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B44" w:rsidRPr="007E0B44" w:rsidRDefault="007E0B44" w:rsidP="007E0B44">
      <w:pPr>
        <w:pStyle w:val="Heading1"/>
        <w:jc w:val="both"/>
        <w:rPr>
          <w:sz w:val="22"/>
        </w:rPr>
      </w:pPr>
      <w:r w:rsidRPr="007E0B44">
        <w:rPr>
          <w:sz w:val="32"/>
          <w:highlight w:val="yellow"/>
        </w:rPr>
        <w:t xml:space="preserve">Cervical </w:t>
      </w:r>
      <w:proofErr w:type="spellStart"/>
      <w:r w:rsidRPr="007E0B44">
        <w:rPr>
          <w:sz w:val="32"/>
          <w:highlight w:val="yellow"/>
        </w:rPr>
        <w:t>Spondylotic</w:t>
      </w:r>
      <w:proofErr w:type="spellEnd"/>
      <w:r w:rsidRPr="007E0B44">
        <w:rPr>
          <w:sz w:val="32"/>
          <w:highlight w:val="yellow"/>
        </w:rPr>
        <w:t xml:space="preserve"> Myelopathy: Pathophysiology, Diagnosis, and Emerging Therapies</w:t>
      </w:r>
    </w:p>
    <w:p w:rsidR="00AB792A" w:rsidRDefault="00AB792A" w:rsidP="007E0B44">
      <w:pPr>
        <w:pStyle w:val="Heading2"/>
        <w:jc w:val="both"/>
      </w:pPr>
      <w:r>
        <w:t>Abstract</w:t>
      </w:r>
      <w:bookmarkStart w:id="0" w:name="_GoBack"/>
      <w:bookmarkEnd w:id="0"/>
    </w:p>
    <w:p w:rsidR="00AB792A" w:rsidRDefault="00AB792A" w:rsidP="007E0B44">
      <w:pPr>
        <w:pStyle w:val="NormalWeb"/>
        <w:jc w:val="both"/>
      </w:pPr>
      <w:r>
        <w:t xml:space="preserve">Cervical </w:t>
      </w:r>
      <w:proofErr w:type="spellStart"/>
      <w:r>
        <w:t>spondylotic</w:t>
      </w:r>
      <w:proofErr w:type="spellEnd"/>
      <w:r>
        <w:t xml:space="preserve"> myelopathy (CSM) represents the commonest cause of non-traumatic spinal cord dysfunction in adults and is increasingly encountered in ageing populations. Contemporary literature often frames CSM within the broader construct of </w:t>
      </w:r>
      <w:r>
        <w:rPr>
          <w:rStyle w:val="Emphasis"/>
        </w:rPr>
        <w:t>degenerative cervical myelopathy</w:t>
      </w:r>
      <w:r>
        <w:t xml:space="preserve"> (DCM), encompassing compressive myelopathy arising from disc degeneration, osteophyte formation, facet arthropathy, ligamentous hypertrophy, and related degenerative pathologies. The clinical impact of CSM extends beyond gait impairment and hand dysfunction to include pain, falls, loss of independence, and diminished health-related quality of life. Pathophysiology is multifactorial and reflects an interaction between chronic static compression, repetitive dynamic injury, microvascular compromise, neuroinflammation, and progressive cellular and tract-level damage within the spinal cord. Diagnosis remains fundamentally clinical, supported by imaging—particularly magnetic resonance imaging—yet conventional measures incompletely </w:t>
      </w:r>
      <w:proofErr w:type="spellStart"/>
      <w:r>
        <w:t>characterise</w:t>
      </w:r>
      <w:proofErr w:type="spellEnd"/>
      <w:r>
        <w:t xml:space="preserve"> microstructural injury, disease activity, and prognostic potential. Advanced quantitative imaging and fluid biomarkers are increasingly investigated to address these gaps and to support earlier diagnosis and more reliable monitoring. Surgical decompression is the cornerstone of disease-modifying management, but heterogeneous outcomes and persistent disability in a subset of patients highlight the need for adjunctive neuroprotective and restorative strategies. Recent trials and secondary analyses of </w:t>
      </w:r>
      <w:proofErr w:type="spellStart"/>
      <w:r>
        <w:t>riluzole</w:t>
      </w:r>
      <w:proofErr w:type="spellEnd"/>
      <w:r>
        <w:t xml:space="preserve">, alongside expanding work in biomarkers and quantitative MRI, exemplify the movement towards mechanism-informed therapeutics and precision stratification. This review </w:t>
      </w:r>
      <w:proofErr w:type="spellStart"/>
      <w:r>
        <w:t>synthesises</w:t>
      </w:r>
      <w:proofErr w:type="spellEnd"/>
      <w:r>
        <w:t xml:space="preserve"> current understanding of CSM/DCM pathobiology, diagnostic approaches, contemporary management paradigms, and emerging therapeutic horizons that may reshape care across the next decade.</w:t>
      </w:r>
    </w:p>
    <w:p w:rsidR="00AB792A" w:rsidRDefault="00AB792A" w:rsidP="007E0B44">
      <w:pPr>
        <w:pStyle w:val="NormalWeb"/>
        <w:jc w:val="both"/>
      </w:pPr>
      <w:r>
        <w:rPr>
          <w:rStyle w:val="Strong"/>
        </w:rPr>
        <w:t>Keywords:</w:t>
      </w:r>
      <w:r>
        <w:t xml:space="preserve"> </w:t>
      </w:r>
      <w:r w:rsidR="00A70809">
        <w:t>C</w:t>
      </w:r>
      <w:r>
        <w:t xml:space="preserve">ervical </w:t>
      </w:r>
      <w:proofErr w:type="spellStart"/>
      <w:r>
        <w:t>spondylotic</w:t>
      </w:r>
      <w:proofErr w:type="spellEnd"/>
      <w:r>
        <w:t xml:space="preserve"> myelopathy, degenerative cervical myelopathy, spinal cord compression, diffusion tensor imaging, biomarkers, decompression surgery, neuroprotection</w:t>
      </w:r>
    </w:p>
    <w:p w:rsidR="00AB792A" w:rsidRDefault="00AB792A" w:rsidP="007E0B44"/>
    <w:p w:rsidR="00AB792A" w:rsidRDefault="00AB792A" w:rsidP="007E0B44">
      <w:pPr>
        <w:pStyle w:val="Heading2"/>
        <w:jc w:val="both"/>
      </w:pPr>
      <w:r>
        <w:t>1. Introduction</w:t>
      </w:r>
    </w:p>
    <w:p w:rsidR="008C28C5" w:rsidRPr="008C28C5" w:rsidRDefault="008C28C5" w:rsidP="00363E4F">
      <w:pPr>
        <w:spacing w:before="100" w:beforeAutospacing="1" w:after="100" w:afterAutospacing="1" w:line="240" w:lineRule="auto"/>
        <w:ind w:left="0" w:right="0" w:firstLine="0"/>
        <w:rPr>
          <w:color w:val="auto"/>
          <w:kern w:val="0"/>
          <w:lang w:val="en-US" w:eastAsia="en-US"/>
        </w:rPr>
      </w:pPr>
      <w:r w:rsidRPr="00363E4F">
        <w:rPr>
          <w:color w:val="auto"/>
          <w:kern w:val="0"/>
          <w:highlight w:val="yellow"/>
          <w:lang w:val="en-US" w:eastAsia="en-US"/>
        </w:rPr>
        <w:t xml:space="preserve">Cervical </w:t>
      </w:r>
      <w:proofErr w:type="spellStart"/>
      <w:r w:rsidR="000E0BA6" w:rsidRPr="000E0BA6">
        <w:rPr>
          <w:color w:val="auto"/>
          <w:kern w:val="0"/>
          <w:highlight w:val="yellow"/>
          <w:lang w:val="en-US" w:eastAsia="en-US"/>
        </w:rPr>
        <w:t>Spondylotic</w:t>
      </w:r>
      <w:proofErr w:type="spellEnd"/>
      <w:r w:rsidR="000E0BA6" w:rsidRPr="000E0BA6">
        <w:rPr>
          <w:color w:val="auto"/>
          <w:kern w:val="0"/>
          <w:highlight w:val="yellow"/>
          <w:lang w:val="en-US" w:eastAsia="en-US"/>
        </w:rPr>
        <w:t xml:space="preserve"> Myelopathy</w:t>
      </w:r>
      <w:r w:rsidR="000E0BA6">
        <w:rPr>
          <w:color w:val="auto"/>
          <w:kern w:val="0"/>
          <w:highlight w:val="yellow"/>
          <w:lang w:val="en-US" w:eastAsia="en-US"/>
        </w:rPr>
        <w:t xml:space="preserve"> (CSM)</w:t>
      </w:r>
      <w:r w:rsidRPr="00363E4F">
        <w:rPr>
          <w:color w:val="auto"/>
          <w:kern w:val="0"/>
          <w:highlight w:val="yellow"/>
          <w:lang w:val="en-US" w:eastAsia="en-US"/>
        </w:rPr>
        <w:t xml:space="preserve"> has long been </w:t>
      </w:r>
      <w:proofErr w:type="spellStart"/>
      <w:r w:rsidRPr="00363E4F">
        <w:rPr>
          <w:color w:val="auto"/>
          <w:kern w:val="0"/>
          <w:highlight w:val="yellow"/>
          <w:lang w:val="en-US" w:eastAsia="en-US"/>
        </w:rPr>
        <w:t>recognised</w:t>
      </w:r>
      <w:proofErr w:type="spellEnd"/>
      <w:r w:rsidRPr="00363E4F">
        <w:rPr>
          <w:color w:val="auto"/>
          <w:kern w:val="0"/>
          <w:highlight w:val="yellow"/>
          <w:lang w:val="en-US" w:eastAsia="en-US"/>
        </w:rPr>
        <w:t xml:space="preserve"> as a progressive and potentially debilitating disorder in which age-related degenerative changes of the cervical spine lead to compromise of spinal cord function. These degenerative processes, including intervertebral disc degeneration, osteophyte formation, ligamentous hypertrophy, and facet joint arthropathy, collectively contribute to narrowing of the cervical spinal canal. As a consequence, both static compression and dynamic mechanical stress are exerted on the spinal cord, resulting in a cascade of pathological events that impair neural conduction and neurological integrity. Over time, the cumulative effects of mechanical compression, microvascular compromise, and secondary inflammatory responses may lead to irreversible structural and functional damage within the spinal cord. Clinically, this condition often manifests as progressive motor weakness, sensory disturbances, gait instability, and impairment of fine motor coordination. Owing to its insidious onset and variable clinical presentation, cervical </w:t>
      </w:r>
      <w:proofErr w:type="spellStart"/>
      <w:r w:rsidRPr="00363E4F">
        <w:rPr>
          <w:color w:val="auto"/>
          <w:kern w:val="0"/>
          <w:highlight w:val="yellow"/>
          <w:lang w:val="en-US" w:eastAsia="en-US"/>
        </w:rPr>
        <w:t>spondylotic</w:t>
      </w:r>
      <w:proofErr w:type="spellEnd"/>
      <w:r w:rsidRPr="00363E4F">
        <w:rPr>
          <w:color w:val="auto"/>
          <w:kern w:val="0"/>
          <w:highlight w:val="yellow"/>
          <w:lang w:val="en-US" w:eastAsia="en-US"/>
        </w:rPr>
        <w:t xml:space="preserve"> myelopathy frequently poses diagnostic challenges, thereby </w:t>
      </w:r>
      <w:r w:rsidRPr="00363E4F">
        <w:rPr>
          <w:color w:val="auto"/>
          <w:kern w:val="0"/>
          <w:highlight w:val="yellow"/>
          <w:lang w:val="en-US" w:eastAsia="en-US"/>
        </w:rPr>
        <w:lastRenderedPageBreak/>
        <w:t>underscoring the importance of heightened clinical awareness and timely intervention</w:t>
      </w:r>
      <w:r w:rsidR="009763D1">
        <w:rPr>
          <w:color w:val="auto"/>
          <w:kern w:val="0"/>
          <w:highlight w:val="yellow"/>
          <w:lang w:val="en-US" w:eastAsia="en-US"/>
        </w:rPr>
        <w:t xml:space="preserve"> </w:t>
      </w:r>
      <w:r w:rsidR="009763D1" w:rsidRPr="009763D1">
        <w:rPr>
          <w:color w:val="auto"/>
          <w:kern w:val="0"/>
          <w:highlight w:val="yellow"/>
          <w:lang w:val="en-US" w:eastAsia="en-US"/>
        </w:rPr>
        <w:t>(</w:t>
      </w:r>
      <w:proofErr w:type="spellStart"/>
      <w:r w:rsidR="009763D1" w:rsidRPr="00363E4F">
        <w:rPr>
          <w:rFonts w:ascii="Arial" w:hAnsi="Arial" w:cs="Arial"/>
          <w:color w:val="222222"/>
          <w:sz w:val="20"/>
          <w:szCs w:val="20"/>
          <w:highlight w:val="yellow"/>
          <w:shd w:val="clear" w:color="auto" w:fill="FFFFFF"/>
        </w:rPr>
        <w:t>Bakhsheshian</w:t>
      </w:r>
      <w:proofErr w:type="spellEnd"/>
      <w:r w:rsidR="009763D1" w:rsidRPr="00363E4F">
        <w:rPr>
          <w:rFonts w:ascii="Arial" w:hAnsi="Arial" w:cs="Arial"/>
          <w:color w:val="222222"/>
          <w:sz w:val="20"/>
          <w:szCs w:val="20"/>
          <w:highlight w:val="yellow"/>
          <w:shd w:val="clear" w:color="auto" w:fill="FFFFFF"/>
        </w:rPr>
        <w:t xml:space="preserve"> et al., 2017</w:t>
      </w:r>
      <w:r w:rsidR="009763D1">
        <w:rPr>
          <w:color w:val="auto"/>
          <w:kern w:val="0"/>
          <w:highlight w:val="yellow"/>
          <w:lang w:val="en-US" w:eastAsia="en-US"/>
        </w:rPr>
        <w:t>)</w:t>
      </w:r>
      <w:r w:rsidRPr="00363E4F">
        <w:rPr>
          <w:color w:val="auto"/>
          <w:kern w:val="0"/>
          <w:highlight w:val="yellow"/>
          <w:lang w:val="en-US" w:eastAsia="en-US"/>
        </w:rPr>
        <w:t>.</w:t>
      </w:r>
    </w:p>
    <w:p w:rsidR="00AB792A" w:rsidRDefault="00AB792A" w:rsidP="007E0B44">
      <w:pPr>
        <w:pStyle w:val="NormalWeb"/>
        <w:jc w:val="both"/>
      </w:pPr>
      <w:r>
        <w:t xml:space="preserve">In modern scholarship, the term </w:t>
      </w:r>
      <w:r>
        <w:rPr>
          <w:rStyle w:val="Emphasis"/>
        </w:rPr>
        <w:t>degenerative cervical myelopathy</w:t>
      </w:r>
      <w:r>
        <w:t xml:space="preserve"> has been proposed as an umbrella descriptor that includes CSM as its most prevalent subtype, together with compressive myelopathy caused by ossified or hypertrophied ligaments and other degenerative canal-narrowing processes (Nouri et al., 2015). This terminological shift is not merely semantic; it encourages consistent case definition, </w:t>
      </w:r>
      <w:proofErr w:type="spellStart"/>
      <w:r>
        <w:t>harmonised</w:t>
      </w:r>
      <w:proofErr w:type="spellEnd"/>
      <w:r>
        <w:t xml:space="preserve"> outcome reporting, and an explicitly mechanistic framing that links spinal degeneration to spinal cord injury biology (</w:t>
      </w:r>
      <w:proofErr w:type="spellStart"/>
      <w:r>
        <w:t>Badhiwala</w:t>
      </w:r>
      <w:proofErr w:type="spellEnd"/>
      <w:r>
        <w:t xml:space="preserve"> et al., 2020). </w:t>
      </w:r>
      <w:r w:rsidR="00101AF6" w:rsidRPr="00363E4F">
        <w:rPr>
          <w:rFonts w:ascii="Segoe UI" w:hAnsi="Segoe UI" w:cs="Segoe UI"/>
          <w:color w:val="000000"/>
          <w:spacing w:val="2"/>
          <w:sz w:val="20"/>
          <w:szCs w:val="26"/>
          <w:highlight w:val="yellow"/>
          <w:shd w:val="clear" w:color="auto" w:fill="FFFFFF"/>
        </w:rPr>
        <w:t>The pathophysiology of CSM is a multifactorial process that can be attributed to static and dynamic factors. Static factors include degenerative changes such as vertebral body osteophyte formation, or degenerative changes along the facet or uncovertebral joints. Dynamic factors relate to repetitive movements of the neck that can exacerbate spinal cord compression. For example, flexion of the cervical spine can be compressed against osteophytic spurs protruding into the spinal canal, or extension of the neck can cause buckling of the ligamentum flavum. In either case, static and dynamic factors can result in cervical spinal cord compression producing neurological symptoms</w:t>
      </w:r>
      <w:r w:rsidR="004838F6">
        <w:rPr>
          <w:rFonts w:ascii="Segoe UI" w:hAnsi="Segoe UI" w:cs="Segoe UI"/>
          <w:color w:val="000000"/>
          <w:spacing w:val="2"/>
          <w:sz w:val="20"/>
          <w:szCs w:val="26"/>
          <w:highlight w:val="yellow"/>
          <w:shd w:val="clear" w:color="auto" w:fill="FFFFFF"/>
        </w:rPr>
        <w:t xml:space="preserve"> (</w:t>
      </w:r>
      <w:r w:rsidR="004838F6" w:rsidRPr="0079649D">
        <w:rPr>
          <w:rFonts w:ascii="Arial" w:hAnsi="Arial" w:cs="Arial"/>
          <w:color w:val="222222"/>
          <w:sz w:val="20"/>
          <w:szCs w:val="20"/>
          <w:highlight w:val="yellow"/>
          <w:shd w:val="clear" w:color="auto" w:fill="FFFFFF"/>
        </w:rPr>
        <w:t>George</w:t>
      </w:r>
      <w:r w:rsidR="004838F6">
        <w:rPr>
          <w:rFonts w:ascii="Arial" w:hAnsi="Arial" w:cs="Arial"/>
          <w:color w:val="222222"/>
          <w:sz w:val="20"/>
          <w:szCs w:val="20"/>
          <w:highlight w:val="yellow"/>
          <w:shd w:val="clear" w:color="auto" w:fill="FFFFFF"/>
        </w:rPr>
        <w:t xml:space="preserve"> et al., 2021</w:t>
      </w:r>
      <w:r w:rsidR="004838F6">
        <w:rPr>
          <w:rFonts w:ascii="Segoe UI" w:hAnsi="Segoe UI" w:cs="Segoe UI"/>
          <w:color w:val="000000"/>
          <w:spacing w:val="2"/>
          <w:sz w:val="20"/>
          <w:szCs w:val="26"/>
          <w:highlight w:val="yellow"/>
          <w:shd w:val="clear" w:color="auto" w:fill="FFFFFF"/>
        </w:rPr>
        <w:t>)</w:t>
      </w:r>
      <w:r w:rsidR="00101AF6" w:rsidRPr="00363E4F">
        <w:rPr>
          <w:rFonts w:ascii="Segoe UI" w:hAnsi="Segoe UI" w:cs="Segoe UI"/>
          <w:color w:val="000000"/>
          <w:spacing w:val="2"/>
          <w:sz w:val="26"/>
          <w:szCs w:val="26"/>
          <w:highlight w:val="yellow"/>
          <w:shd w:val="clear" w:color="auto" w:fill="FFFFFF"/>
        </w:rPr>
        <w:t>.</w:t>
      </w:r>
      <w:r w:rsidR="00101AF6">
        <w:t xml:space="preserve"> </w:t>
      </w:r>
      <w:r>
        <w:t>Nevertheless, “CSM” remains deeply embedded in clinical practice and is frequently used to denote the typical osteoarthritic and disc-degenerative phenotype encountered in middle-aged and older adults.</w:t>
      </w:r>
    </w:p>
    <w:p w:rsidR="00AB792A" w:rsidRDefault="00AB792A" w:rsidP="007E0B44">
      <w:pPr>
        <w:pStyle w:val="NormalWeb"/>
        <w:jc w:val="both"/>
      </w:pPr>
      <w:r>
        <w:t xml:space="preserve">The burden of CSM/DCM is amplified by demographic change. As populations age, degenerative spinal disease becomes more prevalent, and clinical systems increasingly face the challenge of </w:t>
      </w:r>
      <w:proofErr w:type="spellStart"/>
      <w:r>
        <w:t>recognising</w:t>
      </w:r>
      <w:proofErr w:type="spellEnd"/>
      <w:r>
        <w:t xml:space="preserve"> and managing myelopathy before irreversible disability accrues (</w:t>
      </w:r>
      <w:proofErr w:type="spellStart"/>
      <w:r>
        <w:t>Badhiwala</w:t>
      </w:r>
      <w:proofErr w:type="spellEnd"/>
      <w:r>
        <w:t xml:space="preserve"> et al., 2020). Natural history studies and systematic syntheses indicate that, while some individuals may remain stable for a period, a substantial proportion deteriorate over time, often in a stepwise fashion, with meaningful risk of severe disability and spinal cord injury events in untreated disease (</w:t>
      </w:r>
      <w:proofErr w:type="spellStart"/>
      <w:r>
        <w:t>Badhiwala</w:t>
      </w:r>
      <w:proofErr w:type="spellEnd"/>
      <w:r>
        <w:t xml:space="preserve"> &amp; Wilson, 2018; Tetreault et al., 2017). These observations underpin a central clinical tension: waiting may avoid surgery in selected cases, but delay may also reduce the ceiling for neurological recovery once decompression is undertaken.</w:t>
      </w:r>
    </w:p>
    <w:p w:rsidR="00AB792A" w:rsidRDefault="00AB792A" w:rsidP="007E0B44">
      <w:pPr>
        <w:pStyle w:val="NormalWeb"/>
        <w:jc w:val="both"/>
      </w:pPr>
      <w:r>
        <w:t xml:space="preserve">From a biological perspective, CSM is best </w:t>
      </w:r>
      <w:proofErr w:type="spellStart"/>
      <w:r>
        <w:t>conceptualised</w:t>
      </w:r>
      <w:proofErr w:type="spellEnd"/>
      <w:r>
        <w:t xml:space="preserve"> as chronic spinal cord injury driven by mechanical and biochemical forces. Static compression reduces the space available for the cord and alters cord geometry, whereas dynamic factors—including segmental instability and deformity—impose repetitive strain during ordinary neck motion (</w:t>
      </w:r>
      <w:proofErr w:type="spellStart"/>
      <w:r>
        <w:t>Karadimas</w:t>
      </w:r>
      <w:proofErr w:type="spellEnd"/>
      <w:r>
        <w:t xml:space="preserve"> et al., 2015; </w:t>
      </w:r>
      <w:proofErr w:type="spellStart"/>
      <w:r>
        <w:t>Badhiwala</w:t>
      </w:r>
      <w:proofErr w:type="spellEnd"/>
      <w:r>
        <w:t xml:space="preserve"> et al., 2020). Downstream, microvascular compromise and blood–spinal cord barrier dysfunction promote </w:t>
      </w:r>
      <w:proofErr w:type="spellStart"/>
      <w:r>
        <w:t>ischaemia</w:t>
      </w:r>
      <w:proofErr w:type="spellEnd"/>
      <w:r>
        <w:t>, neuroinflammation, glial activation, and apoptotic pathways, leading to demyelination and axonal injury (</w:t>
      </w:r>
      <w:proofErr w:type="spellStart"/>
      <w:r>
        <w:t>Karadimas</w:t>
      </w:r>
      <w:proofErr w:type="spellEnd"/>
      <w:r>
        <w:t xml:space="preserve"> et al., 2015). This mechanistic complexity helps explain why anatomical decompression, although often effective at halting progression and improving function, does not uniformly reverse established injury (</w:t>
      </w:r>
      <w:proofErr w:type="spellStart"/>
      <w:r>
        <w:t>Badhiwala</w:t>
      </w:r>
      <w:proofErr w:type="spellEnd"/>
      <w:r>
        <w:t xml:space="preserve"> et al., 2020).</w:t>
      </w:r>
    </w:p>
    <w:p w:rsidR="00AB792A" w:rsidRDefault="00AB792A" w:rsidP="007E0B44">
      <w:pPr>
        <w:pStyle w:val="NormalWeb"/>
        <w:jc w:val="both"/>
      </w:pPr>
      <w:r>
        <w:t xml:space="preserve">Diagnostic practice remains anchored in clinical examination and conventional MRI. However, conventional imaging findings correlate imperfectly with impairment, and they may not sensitively detect early tissue injury or ongoing disease activity. Advanced quantitative MRI approaches—diffusion tensor imaging (DTI), </w:t>
      </w:r>
      <w:proofErr w:type="spellStart"/>
      <w:r>
        <w:t>magnetisation</w:t>
      </w:r>
      <w:proofErr w:type="spellEnd"/>
      <w:r>
        <w:t xml:space="preserve"> transfer metrics, spinal cord morphometry, and tract-sensitive measures—have therefore gained prominence as candidate tools for staging injury and monitoring progression (Nouri et al., 2016; </w:t>
      </w:r>
      <w:proofErr w:type="spellStart"/>
      <w:r>
        <w:t>Shabani</w:t>
      </w:r>
      <w:proofErr w:type="spellEnd"/>
      <w:r>
        <w:t xml:space="preserve"> et al., 2020; Martin et al., 2018). In parallel, fluid biomarkers reflecting axonal </w:t>
      </w:r>
      <w:r>
        <w:lastRenderedPageBreak/>
        <w:t>and glial injury are being evaluated to complement imaging and clinical metrics, with early studies suggesting potential prognostic relevance (</w:t>
      </w:r>
      <w:proofErr w:type="spellStart"/>
      <w:r>
        <w:t>Tsitsopoulos</w:t>
      </w:r>
      <w:proofErr w:type="spellEnd"/>
      <w:r>
        <w:t xml:space="preserve"> et al., 2022).</w:t>
      </w:r>
    </w:p>
    <w:p w:rsidR="00AB792A" w:rsidRDefault="00AB792A" w:rsidP="007E0B44">
      <w:pPr>
        <w:pStyle w:val="NormalWeb"/>
        <w:jc w:val="both"/>
      </w:pPr>
      <w:r>
        <w:t xml:space="preserve">Therapeutically, surgical decompression remains the primary disease-modifying intervention, but the field is increasingly exploring adjunctive neuroprotection and restorative strategies. </w:t>
      </w:r>
      <w:proofErr w:type="spellStart"/>
      <w:r>
        <w:t>Riluzole</w:t>
      </w:r>
      <w:proofErr w:type="spellEnd"/>
      <w:r>
        <w:t xml:space="preserve">—an agent with anti-excitotoxic properties—has been tested as a perioperative adjunct in </w:t>
      </w:r>
      <w:proofErr w:type="spellStart"/>
      <w:r>
        <w:t>randomised</w:t>
      </w:r>
      <w:proofErr w:type="spellEnd"/>
      <w:r>
        <w:t xml:space="preserve"> evaluation, and subsequent analyses illustrate both the promise and complexity of outcome measurement in CSM/DCM trials (</w:t>
      </w:r>
      <w:proofErr w:type="spellStart"/>
      <w:r>
        <w:t>Fehlings</w:t>
      </w:r>
      <w:proofErr w:type="spellEnd"/>
      <w:r>
        <w:t xml:space="preserve"> et al., 2021; </w:t>
      </w:r>
      <w:proofErr w:type="spellStart"/>
      <w:r>
        <w:t>Fehlings</w:t>
      </w:r>
      <w:proofErr w:type="spellEnd"/>
      <w:r>
        <w:t xml:space="preserve"> et al., 2024). Emerging horizons also include more structured rehabilitation, neuromodulation concepts, biomarker-guided stratification, and motion-preserving or tailored surgical strategies informed by biomechanics and alignment (</w:t>
      </w:r>
      <w:proofErr w:type="spellStart"/>
      <w:r>
        <w:t>Badhiwala</w:t>
      </w:r>
      <w:proofErr w:type="spellEnd"/>
      <w:r>
        <w:t xml:space="preserve"> et al., 2020; McCormick et al., 2020).</w:t>
      </w:r>
    </w:p>
    <w:p w:rsidR="00AB792A" w:rsidRDefault="00AB792A" w:rsidP="007E0B44">
      <w:pPr>
        <w:pStyle w:val="Heading3"/>
        <w:jc w:val="both"/>
      </w:pPr>
      <w:r>
        <w:t>1.4 Scope and objectives</w:t>
      </w:r>
    </w:p>
    <w:p w:rsidR="00AB792A" w:rsidRDefault="00AB792A" w:rsidP="007E0B44">
      <w:pPr>
        <w:pStyle w:val="NormalWeb"/>
        <w:jc w:val="both"/>
      </w:pPr>
      <w:r>
        <w:t xml:space="preserve">This review aims to </w:t>
      </w:r>
      <w:proofErr w:type="spellStart"/>
      <w:r>
        <w:t>synthesise</w:t>
      </w:r>
      <w:proofErr w:type="spellEnd"/>
      <w:r>
        <w:t xml:space="preserve"> contemporary understanding of cervical </w:t>
      </w:r>
      <w:proofErr w:type="spellStart"/>
      <w:r>
        <w:t>spondylotic</w:t>
      </w:r>
      <w:proofErr w:type="spellEnd"/>
      <w:r>
        <w:t xml:space="preserve"> myelopathy across three domains: (</w:t>
      </w:r>
      <w:proofErr w:type="spellStart"/>
      <w:r>
        <w:t>i</w:t>
      </w:r>
      <w:proofErr w:type="spellEnd"/>
      <w:r>
        <w:t>) pathophysiology, integrating mechanical, vascular, inflammatory, and cellular mechanisms; (ii) diagnosis, spanning clinical assessment, conventional imaging, and emerging quantitative and biomarker approaches; and (iii) therapeutic horizons, including current standards of care and developing neuroprotective, restorative, and precision-medicine strategies.</w:t>
      </w:r>
    </w:p>
    <w:p w:rsidR="00AB792A" w:rsidRDefault="00AB792A" w:rsidP="007E0B44"/>
    <w:p w:rsidR="00AB792A" w:rsidRDefault="00AB792A" w:rsidP="007E0B44">
      <w:pPr>
        <w:pStyle w:val="Heading2"/>
        <w:jc w:val="both"/>
      </w:pPr>
      <w:r>
        <w:t>2. Methods for literature selection</w:t>
      </w:r>
    </w:p>
    <w:p w:rsidR="00AB792A" w:rsidRDefault="00AB792A" w:rsidP="007E0B44">
      <w:pPr>
        <w:pStyle w:val="NormalWeb"/>
        <w:jc w:val="both"/>
      </w:pPr>
      <w:r>
        <w:t xml:space="preserve">A targeted narrative review was conducted using PubMed, Web of Science, Scopus, the Cochrane Library, and Google Scholar. Searches </w:t>
      </w:r>
      <w:proofErr w:type="spellStart"/>
      <w:r>
        <w:t>prioritised</w:t>
      </w:r>
      <w:proofErr w:type="spellEnd"/>
      <w:r>
        <w:t xml:space="preserve"> literature published from January 2005 through January 2026, while allowing inclusion of seminal older works when necessary to </w:t>
      </w:r>
      <w:proofErr w:type="spellStart"/>
      <w:r>
        <w:t>contextualise</w:t>
      </w:r>
      <w:proofErr w:type="spellEnd"/>
      <w:r>
        <w:t xml:space="preserve"> contemporary concepts. Search strings combined condition terms with thematic terms, including: (“cervical </w:t>
      </w:r>
      <w:proofErr w:type="spellStart"/>
      <w:r>
        <w:t>spondylotic</w:t>
      </w:r>
      <w:proofErr w:type="spellEnd"/>
      <w:r>
        <w:t xml:space="preserve"> myelopathy” OR “degenerative cervical myelopathy” OR “cervical myelopathy”) AND (“pathophysiology” OR “</w:t>
      </w:r>
      <w:proofErr w:type="spellStart"/>
      <w:r>
        <w:t>ischaemia</w:t>
      </w:r>
      <w:proofErr w:type="spellEnd"/>
      <w:r>
        <w:t>” OR “inflammation” OR “apoptosis” OR “MRI” OR “diffusion tensor imaging” OR “quantitative MRI” OR “biomarkers” OR “cerebrospinal fluid” OR “laminoplasty” OR “laminectomy” OR “fusion” OR “arthroplasty” OR “</w:t>
      </w:r>
      <w:proofErr w:type="spellStart"/>
      <w:r>
        <w:t>riluzole</w:t>
      </w:r>
      <w:proofErr w:type="spellEnd"/>
      <w:r>
        <w:t xml:space="preserve">” OR “neuroprotection” OR “rehabilitation”). Inclusion </w:t>
      </w:r>
      <w:proofErr w:type="spellStart"/>
      <w:r>
        <w:t>emphasised</w:t>
      </w:r>
      <w:proofErr w:type="spellEnd"/>
      <w:r>
        <w:t xml:space="preserve"> peer-reviewed clinical trials, cohort studies, systematic reviews, and high-quality narrative reviews addressing mechanisms, diagnosis, treatment outcomes, or emerging interventions in adult CSM/DCM. Exclusion criteria included non-peer-reviewed material, studies without clear case definition, and reports with insufficient methodological detail for interpretation. Reference lists of key articles were screened to identify additional relevant studies.</w:t>
      </w:r>
    </w:p>
    <w:p w:rsidR="00AB792A" w:rsidRDefault="00AB792A" w:rsidP="007E0B44"/>
    <w:p w:rsidR="00BE2365" w:rsidRPr="00BE2365" w:rsidRDefault="00BE2365" w:rsidP="007E0B44">
      <w:pPr>
        <w:spacing w:before="100" w:beforeAutospacing="1" w:after="100" w:afterAutospacing="1" w:line="240" w:lineRule="auto"/>
        <w:ind w:left="0" w:right="0" w:firstLine="0"/>
        <w:outlineLvl w:val="1"/>
        <w:rPr>
          <w:b/>
          <w:bCs/>
          <w:color w:val="auto"/>
          <w:kern w:val="0"/>
          <w:sz w:val="36"/>
          <w:szCs w:val="36"/>
          <w:lang w:val="en-US" w:eastAsia="en-US"/>
        </w:rPr>
      </w:pPr>
      <w:r w:rsidRPr="00BE2365">
        <w:rPr>
          <w:b/>
          <w:bCs/>
          <w:color w:val="auto"/>
          <w:kern w:val="0"/>
          <w:sz w:val="36"/>
          <w:szCs w:val="36"/>
          <w:lang w:val="en-US" w:eastAsia="en-US"/>
        </w:rPr>
        <w:t xml:space="preserve">3. Pathophysiology of cervical </w:t>
      </w:r>
      <w:proofErr w:type="spellStart"/>
      <w:r w:rsidRPr="00BE2365">
        <w:rPr>
          <w:b/>
          <w:bCs/>
          <w:color w:val="auto"/>
          <w:kern w:val="0"/>
          <w:sz w:val="36"/>
          <w:szCs w:val="36"/>
          <w:lang w:val="en-US" w:eastAsia="en-US"/>
        </w:rPr>
        <w:t>spondylotic</w:t>
      </w:r>
      <w:proofErr w:type="spellEnd"/>
      <w:r w:rsidRPr="00BE2365">
        <w:rPr>
          <w:b/>
          <w:bCs/>
          <w:color w:val="auto"/>
          <w:kern w:val="0"/>
          <w:sz w:val="36"/>
          <w:szCs w:val="36"/>
          <w:lang w:val="en-US" w:eastAsia="en-US"/>
        </w:rPr>
        <w:t xml:space="preserve"> myelopathy</w:t>
      </w:r>
    </w:p>
    <w:p w:rsidR="00BE2365" w:rsidRPr="00BE2365" w:rsidRDefault="00BE2365" w:rsidP="007E0B44">
      <w:pPr>
        <w:spacing w:before="100" w:beforeAutospacing="1" w:after="100" w:afterAutospacing="1" w:line="240" w:lineRule="auto"/>
        <w:ind w:left="0" w:right="0" w:firstLine="0"/>
        <w:rPr>
          <w:color w:val="auto"/>
          <w:kern w:val="0"/>
          <w:lang w:val="en-US" w:eastAsia="en-US"/>
        </w:rPr>
      </w:pPr>
      <w:r w:rsidRPr="00BE2365">
        <w:rPr>
          <w:color w:val="auto"/>
          <w:kern w:val="0"/>
          <w:lang w:val="en-US" w:eastAsia="en-US"/>
        </w:rPr>
        <w:t xml:space="preserve">Cervical </w:t>
      </w:r>
      <w:proofErr w:type="spellStart"/>
      <w:r w:rsidRPr="00BE2365">
        <w:rPr>
          <w:color w:val="auto"/>
          <w:kern w:val="0"/>
          <w:lang w:val="en-US" w:eastAsia="en-US"/>
        </w:rPr>
        <w:t>spondylotic</w:t>
      </w:r>
      <w:proofErr w:type="spellEnd"/>
      <w:r w:rsidRPr="00BE2365">
        <w:rPr>
          <w:color w:val="auto"/>
          <w:kern w:val="0"/>
          <w:lang w:val="en-US" w:eastAsia="en-US"/>
        </w:rPr>
        <w:t xml:space="preserve"> myelopathy (CSM) is increasingly </w:t>
      </w:r>
      <w:proofErr w:type="spellStart"/>
      <w:r w:rsidRPr="00BE2365">
        <w:rPr>
          <w:color w:val="auto"/>
          <w:kern w:val="0"/>
          <w:lang w:val="en-US" w:eastAsia="en-US"/>
        </w:rPr>
        <w:t>conceptualised</w:t>
      </w:r>
      <w:proofErr w:type="spellEnd"/>
      <w:r w:rsidRPr="00BE2365">
        <w:rPr>
          <w:color w:val="auto"/>
          <w:kern w:val="0"/>
          <w:lang w:val="en-US" w:eastAsia="en-US"/>
        </w:rPr>
        <w:t xml:space="preserve"> as a chronic, progressive spinal cord injury state arising from degenerative narrowing of the cervical canal </w:t>
      </w:r>
      <w:r w:rsidRPr="00BE2365">
        <w:rPr>
          <w:color w:val="auto"/>
          <w:kern w:val="0"/>
          <w:lang w:val="en-US" w:eastAsia="en-US"/>
        </w:rPr>
        <w:lastRenderedPageBreak/>
        <w:t xml:space="preserve">and its surrounding compartments. Contemporary framing under the broader label of degenerative cervical myelopathy (DCM) </w:t>
      </w:r>
      <w:proofErr w:type="spellStart"/>
      <w:r w:rsidRPr="00BE2365">
        <w:rPr>
          <w:color w:val="auto"/>
          <w:kern w:val="0"/>
          <w:lang w:val="en-US" w:eastAsia="en-US"/>
        </w:rPr>
        <w:t>emphasises</w:t>
      </w:r>
      <w:proofErr w:type="spellEnd"/>
      <w:r w:rsidRPr="00BE2365">
        <w:rPr>
          <w:color w:val="auto"/>
          <w:kern w:val="0"/>
          <w:lang w:val="en-US" w:eastAsia="en-US"/>
        </w:rPr>
        <w:t xml:space="preserve"> that the clinical syndrome is not dictated solely by the degree of anatomical stenosis; rather, disability emerges from the interaction between mechanical deformation and a complex cascade of secondary biological injury processes within the cord (Nouri et al., 2015; </w:t>
      </w:r>
      <w:proofErr w:type="spellStart"/>
      <w:r w:rsidRPr="00BE2365">
        <w:rPr>
          <w:color w:val="auto"/>
          <w:kern w:val="0"/>
          <w:lang w:val="en-US" w:eastAsia="en-US"/>
        </w:rPr>
        <w:t>Badhiwala</w:t>
      </w:r>
      <w:proofErr w:type="spellEnd"/>
      <w:r w:rsidRPr="00BE2365">
        <w:rPr>
          <w:color w:val="auto"/>
          <w:kern w:val="0"/>
          <w:lang w:val="en-US" w:eastAsia="en-US"/>
        </w:rPr>
        <w:t xml:space="preserve"> et al., 2020). The degenerative changes that produce canal compromise—disc degeneration with bulging, osteophytic ridging, facet arthropathy, and hypertrophy or </w:t>
      </w:r>
      <w:proofErr w:type="spellStart"/>
      <w:r w:rsidRPr="00BE2365">
        <w:rPr>
          <w:color w:val="auto"/>
          <w:kern w:val="0"/>
          <w:lang w:val="en-US" w:eastAsia="en-US"/>
        </w:rPr>
        <w:t>infolding</w:t>
      </w:r>
      <w:proofErr w:type="spellEnd"/>
      <w:r w:rsidRPr="00BE2365">
        <w:rPr>
          <w:color w:val="auto"/>
          <w:kern w:val="0"/>
          <w:lang w:val="en-US" w:eastAsia="en-US"/>
        </w:rPr>
        <w:t xml:space="preserve"> of supporting ligaments—alter both the static space available for the cord and the dynamic </w:t>
      </w:r>
      <w:proofErr w:type="spellStart"/>
      <w:r w:rsidRPr="00BE2365">
        <w:rPr>
          <w:color w:val="auto"/>
          <w:kern w:val="0"/>
          <w:lang w:val="en-US" w:eastAsia="en-US"/>
        </w:rPr>
        <w:t>behaviour</w:t>
      </w:r>
      <w:proofErr w:type="spellEnd"/>
      <w:r w:rsidRPr="00BE2365">
        <w:rPr>
          <w:color w:val="auto"/>
          <w:kern w:val="0"/>
          <w:lang w:val="en-US" w:eastAsia="en-US"/>
        </w:rPr>
        <w:t xml:space="preserve"> of the cervical spine during everyday motion (McCormick et al., 2020). These structural and biomechanical drivers initiate and perpetuate a multi-layered pathobiology that includes microvascular insufficiency, barrier dysfunction, neuroinflammation, and progressive axonal and myelin injury (</w:t>
      </w:r>
      <w:proofErr w:type="spellStart"/>
      <w:r w:rsidRPr="00BE2365">
        <w:rPr>
          <w:color w:val="auto"/>
          <w:kern w:val="0"/>
          <w:lang w:val="en-US" w:eastAsia="en-US"/>
        </w:rPr>
        <w:t>Karadimas</w:t>
      </w:r>
      <w:proofErr w:type="spellEnd"/>
      <w:r w:rsidRPr="00BE2365">
        <w:rPr>
          <w:color w:val="auto"/>
          <w:kern w:val="0"/>
          <w:lang w:val="en-US" w:eastAsia="en-US"/>
        </w:rPr>
        <w:t xml:space="preserve"> et al., 2015; </w:t>
      </w:r>
      <w:proofErr w:type="spellStart"/>
      <w:r w:rsidRPr="00BE2365">
        <w:rPr>
          <w:color w:val="auto"/>
          <w:kern w:val="0"/>
          <w:lang w:val="en-US" w:eastAsia="en-US"/>
        </w:rPr>
        <w:t>Badhiwala</w:t>
      </w:r>
      <w:proofErr w:type="spellEnd"/>
      <w:r w:rsidRPr="00BE2365">
        <w:rPr>
          <w:color w:val="auto"/>
          <w:kern w:val="0"/>
          <w:lang w:val="en-US" w:eastAsia="en-US"/>
        </w:rPr>
        <w:t xml:space="preserve"> et al., 2020).</w:t>
      </w:r>
    </w:p>
    <w:p w:rsidR="00BE2365" w:rsidRPr="00BE2365" w:rsidRDefault="00BE2365"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BE2365">
        <w:rPr>
          <w:b/>
          <w:bCs/>
          <w:color w:val="auto"/>
          <w:kern w:val="0"/>
          <w:sz w:val="27"/>
          <w:szCs w:val="27"/>
          <w:lang w:val="en-US" w:eastAsia="en-US"/>
        </w:rPr>
        <w:t>3.1 Static compression and chronic deformation</w:t>
      </w:r>
    </w:p>
    <w:p w:rsidR="00BE2365" w:rsidRPr="00BE2365" w:rsidRDefault="00BE2365" w:rsidP="007E0B44">
      <w:pPr>
        <w:spacing w:before="100" w:beforeAutospacing="1" w:after="100" w:afterAutospacing="1" w:line="240" w:lineRule="auto"/>
        <w:ind w:left="0" w:right="0" w:firstLine="0"/>
        <w:rPr>
          <w:color w:val="auto"/>
          <w:kern w:val="0"/>
          <w:lang w:val="en-US" w:eastAsia="en-US"/>
        </w:rPr>
      </w:pPr>
      <w:r w:rsidRPr="00BE2365">
        <w:rPr>
          <w:color w:val="auto"/>
          <w:kern w:val="0"/>
          <w:lang w:val="en-US" w:eastAsia="en-US"/>
        </w:rPr>
        <w:t>A central initiating mechanism in CSM is sustained, “static” compression, which changes cord geometry and imposes chronic deformation at one or more levels. Even when gradual, persistent deformation can compromise white matter tracts through direct mechanical stress on axons and oligodendrocytes and by altering the local tissue microenvironment (</w:t>
      </w:r>
      <w:proofErr w:type="spellStart"/>
      <w:r w:rsidRPr="00BE2365">
        <w:rPr>
          <w:color w:val="auto"/>
          <w:kern w:val="0"/>
          <w:lang w:val="en-US" w:eastAsia="en-US"/>
        </w:rPr>
        <w:t>Karadimas</w:t>
      </w:r>
      <w:proofErr w:type="spellEnd"/>
      <w:r w:rsidRPr="00BE2365">
        <w:rPr>
          <w:color w:val="auto"/>
          <w:kern w:val="0"/>
          <w:lang w:val="en-US" w:eastAsia="en-US"/>
        </w:rPr>
        <w:t xml:space="preserve"> et al., 2015). Static compression also reduces the functional reserve of the cord, leaving it less tolerant to additional insults such as minor trauma, transient hypotension, or physiological extremes. Importantly, the relationship between canal narrowing and clinical presentation is non-linear: individuals may demonstrate severe stenosis with relatively mild symptoms, whereas others experience marked functional impairment with apparently modest anatomical compromise, reflecting the contribution of secondary injury biology and inter-individual variability in cord vulnerability (</w:t>
      </w:r>
      <w:proofErr w:type="spellStart"/>
      <w:r w:rsidRPr="00BE2365">
        <w:rPr>
          <w:color w:val="auto"/>
          <w:kern w:val="0"/>
          <w:lang w:val="en-US" w:eastAsia="en-US"/>
        </w:rPr>
        <w:t>Badhiwala</w:t>
      </w:r>
      <w:proofErr w:type="spellEnd"/>
      <w:r w:rsidRPr="00BE2365">
        <w:rPr>
          <w:color w:val="auto"/>
          <w:kern w:val="0"/>
          <w:lang w:val="en-US" w:eastAsia="en-US"/>
        </w:rPr>
        <w:t xml:space="preserve"> et al., 2020). Chronic deformation further promotes gliosis and structural </w:t>
      </w:r>
      <w:proofErr w:type="spellStart"/>
      <w:r w:rsidRPr="00BE2365">
        <w:rPr>
          <w:color w:val="auto"/>
          <w:kern w:val="0"/>
          <w:lang w:val="en-US" w:eastAsia="en-US"/>
        </w:rPr>
        <w:t>reorganisation</w:t>
      </w:r>
      <w:proofErr w:type="spellEnd"/>
      <w:r w:rsidRPr="00BE2365">
        <w:rPr>
          <w:color w:val="auto"/>
          <w:kern w:val="0"/>
          <w:lang w:val="en-US" w:eastAsia="en-US"/>
        </w:rPr>
        <w:t xml:space="preserve"> within the cord, which can limit the extent of neurological recovery even after adequate decompression (</w:t>
      </w:r>
      <w:proofErr w:type="spellStart"/>
      <w:r w:rsidRPr="00BE2365">
        <w:rPr>
          <w:color w:val="auto"/>
          <w:kern w:val="0"/>
          <w:lang w:val="en-US" w:eastAsia="en-US"/>
        </w:rPr>
        <w:t>Karadimas</w:t>
      </w:r>
      <w:proofErr w:type="spellEnd"/>
      <w:r w:rsidRPr="00BE2365">
        <w:rPr>
          <w:color w:val="auto"/>
          <w:kern w:val="0"/>
          <w:lang w:val="en-US" w:eastAsia="en-US"/>
        </w:rPr>
        <w:t xml:space="preserve"> et al., 2015; </w:t>
      </w:r>
      <w:proofErr w:type="spellStart"/>
      <w:r w:rsidRPr="00BE2365">
        <w:rPr>
          <w:color w:val="auto"/>
          <w:kern w:val="0"/>
          <w:lang w:val="en-US" w:eastAsia="en-US"/>
        </w:rPr>
        <w:t>Badhiwala</w:t>
      </w:r>
      <w:proofErr w:type="spellEnd"/>
      <w:r w:rsidRPr="00BE2365">
        <w:rPr>
          <w:color w:val="auto"/>
          <w:kern w:val="0"/>
          <w:lang w:val="en-US" w:eastAsia="en-US"/>
        </w:rPr>
        <w:t xml:space="preserve"> et al., 2020).</w:t>
      </w:r>
    </w:p>
    <w:p w:rsidR="00BE2365" w:rsidRPr="00BE2365" w:rsidRDefault="00BE2365"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BE2365">
        <w:rPr>
          <w:b/>
          <w:bCs/>
          <w:color w:val="auto"/>
          <w:kern w:val="0"/>
          <w:sz w:val="27"/>
          <w:szCs w:val="27"/>
          <w:lang w:val="en-US" w:eastAsia="en-US"/>
        </w:rPr>
        <w:t>3.2 Dynamic injury and cumulative microtrauma</w:t>
      </w:r>
    </w:p>
    <w:p w:rsidR="00BE2365" w:rsidRPr="00BE2365" w:rsidRDefault="00BE2365" w:rsidP="007E0B44">
      <w:pPr>
        <w:spacing w:before="100" w:beforeAutospacing="1" w:after="100" w:afterAutospacing="1" w:line="240" w:lineRule="auto"/>
        <w:ind w:left="0" w:right="0" w:firstLine="0"/>
        <w:rPr>
          <w:color w:val="auto"/>
          <w:kern w:val="0"/>
          <w:lang w:val="en-US" w:eastAsia="en-US"/>
        </w:rPr>
      </w:pPr>
      <w:r w:rsidRPr="00BE2365">
        <w:rPr>
          <w:color w:val="auto"/>
          <w:kern w:val="0"/>
          <w:lang w:val="en-US" w:eastAsia="en-US"/>
        </w:rPr>
        <w:t xml:space="preserve">CSM is rarely explained by static compression alone. Degenerative change can </w:t>
      </w:r>
      <w:proofErr w:type="spellStart"/>
      <w:r w:rsidRPr="00BE2365">
        <w:rPr>
          <w:color w:val="auto"/>
          <w:kern w:val="0"/>
          <w:lang w:val="en-US" w:eastAsia="en-US"/>
        </w:rPr>
        <w:t>destabilise</w:t>
      </w:r>
      <w:proofErr w:type="spellEnd"/>
      <w:r w:rsidRPr="00BE2365">
        <w:rPr>
          <w:color w:val="auto"/>
          <w:kern w:val="0"/>
          <w:lang w:val="en-US" w:eastAsia="en-US"/>
        </w:rPr>
        <w:t xml:space="preserve"> motion segments and alter cervical kinematics such that routine flexion, extension, and rotation repeatedly impose transient compression, shear, and stretch on the cord. This “dynamic” component effectively transforms common movements into recurrent micro-injuries, with cumulative effects over time (</w:t>
      </w:r>
      <w:proofErr w:type="spellStart"/>
      <w:r w:rsidRPr="00BE2365">
        <w:rPr>
          <w:color w:val="auto"/>
          <w:kern w:val="0"/>
          <w:lang w:val="en-US" w:eastAsia="en-US"/>
        </w:rPr>
        <w:t>Karadimas</w:t>
      </w:r>
      <w:proofErr w:type="spellEnd"/>
      <w:r w:rsidRPr="00BE2365">
        <w:rPr>
          <w:color w:val="auto"/>
          <w:kern w:val="0"/>
          <w:lang w:val="en-US" w:eastAsia="en-US"/>
        </w:rPr>
        <w:t xml:space="preserve"> et al., 2015; </w:t>
      </w:r>
      <w:proofErr w:type="spellStart"/>
      <w:r w:rsidRPr="00BE2365">
        <w:rPr>
          <w:color w:val="auto"/>
          <w:kern w:val="0"/>
          <w:lang w:val="en-US" w:eastAsia="en-US"/>
        </w:rPr>
        <w:t>Badhiwala</w:t>
      </w:r>
      <w:proofErr w:type="spellEnd"/>
      <w:r w:rsidRPr="00BE2365">
        <w:rPr>
          <w:color w:val="auto"/>
          <w:kern w:val="0"/>
          <w:lang w:val="en-US" w:eastAsia="en-US"/>
        </w:rPr>
        <w:t xml:space="preserve"> et al., 2020). Segmental translation, local kyphotic tendency, and degenerative malalignment can intensify the mechanical dose delivered to the cord during motion, and symptom fluctuation in some patients may reflect episodic exacerbations of this dynamic stress (McCormick et al., 2020). The dynamic model also clarifies why clinical deterioration can be stepwise rather than smoothly progressive: repeated microtrauma may push already compromised tissue past functional thresholds, leading to abrupt decline in gait, dexterity, or balance. In this view, CSM represents an ongoing injury process rather than a one-time event, and the timing of intervention influences not only decompression but also the opportunity to interrupt secondary injury cascades before they become self-perpetuating (</w:t>
      </w:r>
      <w:proofErr w:type="spellStart"/>
      <w:r w:rsidRPr="00BE2365">
        <w:rPr>
          <w:color w:val="auto"/>
          <w:kern w:val="0"/>
          <w:lang w:val="en-US" w:eastAsia="en-US"/>
        </w:rPr>
        <w:t>Badhiwala</w:t>
      </w:r>
      <w:proofErr w:type="spellEnd"/>
      <w:r w:rsidRPr="00BE2365">
        <w:rPr>
          <w:color w:val="auto"/>
          <w:kern w:val="0"/>
          <w:lang w:val="en-US" w:eastAsia="en-US"/>
        </w:rPr>
        <w:t xml:space="preserve"> et al., 2020).</w:t>
      </w:r>
    </w:p>
    <w:p w:rsidR="00BE2365" w:rsidRPr="00BE2365" w:rsidRDefault="00BE2365"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BE2365">
        <w:rPr>
          <w:b/>
          <w:bCs/>
          <w:color w:val="auto"/>
          <w:kern w:val="0"/>
          <w:sz w:val="27"/>
          <w:szCs w:val="27"/>
          <w:lang w:val="en-US" w:eastAsia="en-US"/>
        </w:rPr>
        <w:t>3.3 Microvascular compromise, venous congestion, and barrier failure</w:t>
      </w:r>
    </w:p>
    <w:p w:rsidR="00BE2365" w:rsidRPr="00BE2365" w:rsidRDefault="00BE2365" w:rsidP="007E0B44">
      <w:pPr>
        <w:spacing w:before="100" w:beforeAutospacing="1" w:after="100" w:afterAutospacing="1" w:line="240" w:lineRule="auto"/>
        <w:ind w:left="0" w:right="0" w:firstLine="0"/>
        <w:rPr>
          <w:color w:val="auto"/>
          <w:kern w:val="0"/>
          <w:lang w:val="en-US" w:eastAsia="en-US"/>
        </w:rPr>
      </w:pPr>
      <w:r w:rsidRPr="00BE2365">
        <w:rPr>
          <w:color w:val="auto"/>
          <w:kern w:val="0"/>
          <w:lang w:val="en-US" w:eastAsia="en-US"/>
        </w:rPr>
        <w:lastRenderedPageBreak/>
        <w:t>Mechanical deformation of the cord and its vascular supply can provoke microvascular compromise through both arterial insufficiency and impaired venous drainage. Reduced perfusion and venous congestion foster a hypoxic–</w:t>
      </w:r>
      <w:proofErr w:type="spellStart"/>
      <w:r w:rsidRPr="00BE2365">
        <w:rPr>
          <w:color w:val="auto"/>
          <w:kern w:val="0"/>
          <w:lang w:val="en-US" w:eastAsia="en-US"/>
        </w:rPr>
        <w:t>ischaemic</w:t>
      </w:r>
      <w:proofErr w:type="spellEnd"/>
      <w:r w:rsidRPr="00BE2365">
        <w:rPr>
          <w:color w:val="auto"/>
          <w:kern w:val="0"/>
          <w:lang w:val="en-US" w:eastAsia="en-US"/>
        </w:rPr>
        <w:t xml:space="preserve"> milieu, impair energy-dependent cellular processes, and increase susceptibility to further injury (</w:t>
      </w:r>
      <w:proofErr w:type="spellStart"/>
      <w:r w:rsidRPr="00BE2365">
        <w:rPr>
          <w:color w:val="auto"/>
          <w:kern w:val="0"/>
          <w:lang w:val="en-US" w:eastAsia="en-US"/>
        </w:rPr>
        <w:t>Karadimas</w:t>
      </w:r>
      <w:proofErr w:type="spellEnd"/>
      <w:r w:rsidRPr="00BE2365">
        <w:rPr>
          <w:color w:val="auto"/>
          <w:kern w:val="0"/>
          <w:lang w:val="en-US" w:eastAsia="en-US"/>
        </w:rPr>
        <w:t xml:space="preserve"> et al., 2015). An additional, closely linked phenomenon is disruption of the blood–spinal cord barrier, which normally helps maintain immune privilege and biochemical homeostasis within cord tissue. Barrier dysfunction permits infiltration of inflammatory mediators and alters ionic and neurotransmitter balance, amplifying tissue injury beyond what would be expected from mechanical deformation alone (</w:t>
      </w:r>
      <w:proofErr w:type="spellStart"/>
      <w:r w:rsidRPr="00BE2365">
        <w:rPr>
          <w:color w:val="auto"/>
          <w:kern w:val="0"/>
          <w:lang w:val="en-US" w:eastAsia="en-US"/>
        </w:rPr>
        <w:t>Karadimas</w:t>
      </w:r>
      <w:proofErr w:type="spellEnd"/>
      <w:r w:rsidRPr="00BE2365">
        <w:rPr>
          <w:color w:val="auto"/>
          <w:kern w:val="0"/>
          <w:lang w:val="en-US" w:eastAsia="en-US"/>
        </w:rPr>
        <w:t xml:space="preserve"> et al., 2015; </w:t>
      </w:r>
      <w:proofErr w:type="spellStart"/>
      <w:r w:rsidRPr="00BE2365">
        <w:rPr>
          <w:color w:val="auto"/>
          <w:kern w:val="0"/>
          <w:lang w:val="en-US" w:eastAsia="en-US"/>
        </w:rPr>
        <w:t>Badhiwala</w:t>
      </w:r>
      <w:proofErr w:type="spellEnd"/>
      <w:r w:rsidRPr="00BE2365">
        <w:rPr>
          <w:color w:val="auto"/>
          <w:kern w:val="0"/>
          <w:lang w:val="en-US" w:eastAsia="en-US"/>
        </w:rPr>
        <w:t xml:space="preserve"> et al., 2020). These vascular and barrier mechanisms provide a plausible explanation for why cord signal change and neurological impairment can progress even in the setting of relatively stable bony anatomy, and they reinforce the biological rationale for viewing CSM/DCM as a chronic </w:t>
      </w:r>
      <w:proofErr w:type="spellStart"/>
      <w:r w:rsidRPr="00BE2365">
        <w:rPr>
          <w:color w:val="auto"/>
          <w:kern w:val="0"/>
          <w:lang w:val="en-US" w:eastAsia="en-US"/>
        </w:rPr>
        <w:t>ischaemic</w:t>
      </w:r>
      <w:proofErr w:type="spellEnd"/>
      <w:r w:rsidRPr="00BE2365">
        <w:rPr>
          <w:color w:val="auto"/>
          <w:kern w:val="0"/>
          <w:lang w:val="en-US" w:eastAsia="en-US"/>
        </w:rPr>
        <w:t>–inflammatory myelopathy as well as a compressive disorder (</w:t>
      </w:r>
      <w:proofErr w:type="spellStart"/>
      <w:r w:rsidRPr="00BE2365">
        <w:rPr>
          <w:color w:val="auto"/>
          <w:kern w:val="0"/>
          <w:lang w:val="en-US" w:eastAsia="en-US"/>
        </w:rPr>
        <w:t>Badhiwala</w:t>
      </w:r>
      <w:proofErr w:type="spellEnd"/>
      <w:r w:rsidRPr="00BE2365">
        <w:rPr>
          <w:color w:val="auto"/>
          <w:kern w:val="0"/>
          <w:lang w:val="en-US" w:eastAsia="en-US"/>
        </w:rPr>
        <w:t xml:space="preserve"> et al., 2020).</w:t>
      </w:r>
    </w:p>
    <w:p w:rsidR="00BE2365" w:rsidRPr="00BE2365" w:rsidRDefault="00BE2365"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BE2365">
        <w:rPr>
          <w:b/>
          <w:bCs/>
          <w:color w:val="auto"/>
          <w:kern w:val="0"/>
          <w:sz w:val="27"/>
          <w:szCs w:val="27"/>
          <w:lang w:val="en-US" w:eastAsia="en-US"/>
        </w:rPr>
        <w:t>3.4 Neuroinflammation, excitotoxic stress, and cell death pathways</w:t>
      </w:r>
    </w:p>
    <w:p w:rsidR="00BE2365" w:rsidRPr="00BE2365" w:rsidRDefault="00BE2365" w:rsidP="007E0B44">
      <w:pPr>
        <w:spacing w:before="100" w:beforeAutospacing="1" w:after="100" w:afterAutospacing="1" w:line="240" w:lineRule="auto"/>
        <w:ind w:left="0" w:right="0" w:firstLine="0"/>
        <w:rPr>
          <w:color w:val="auto"/>
          <w:kern w:val="0"/>
          <w:lang w:val="en-US" w:eastAsia="en-US"/>
        </w:rPr>
      </w:pPr>
      <w:r w:rsidRPr="00BE2365">
        <w:rPr>
          <w:color w:val="auto"/>
          <w:kern w:val="0"/>
          <w:lang w:val="en-US" w:eastAsia="en-US"/>
        </w:rPr>
        <w:t xml:space="preserve">Once vascular and barrier disruptions occur, a network of inflammatory and biochemical events can sustain ongoing injury. Activated microglia and astrocytes, cytokine </w:t>
      </w:r>
      <w:proofErr w:type="spellStart"/>
      <w:r w:rsidRPr="00BE2365">
        <w:rPr>
          <w:color w:val="auto"/>
          <w:kern w:val="0"/>
          <w:lang w:val="en-US" w:eastAsia="en-US"/>
        </w:rPr>
        <w:t>signalling</w:t>
      </w:r>
      <w:proofErr w:type="spellEnd"/>
      <w:r w:rsidRPr="00BE2365">
        <w:rPr>
          <w:color w:val="auto"/>
          <w:kern w:val="0"/>
          <w:lang w:val="en-US" w:eastAsia="en-US"/>
        </w:rPr>
        <w:t>, oxidative stress, and excitotoxic neurotransmitter effects can converge to damage neurons, oligodendrocytes, and axons, promoting demyelination and degeneration of long tracts (</w:t>
      </w:r>
      <w:proofErr w:type="spellStart"/>
      <w:r w:rsidRPr="00BE2365">
        <w:rPr>
          <w:color w:val="auto"/>
          <w:kern w:val="0"/>
          <w:lang w:val="en-US" w:eastAsia="en-US"/>
        </w:rPr>
        <w:t>Karadimas</w:t>
      </w:r>
      <w:proofErr w:type="spellEnd"/>
      <w:r w:rsidRPr="00BE2365">
        <w:rPr>
          <w:color w:val="auto"/>
          <w:kern w:val="0"/>
          <w:lang w:val="en-US" w:eastAsia="en-US"/>
        </w:rPr>
        <w:t xml:space="preserve"> et al., 2015). The resulting pathology is not restricted to a single focal segment: tract-level injury can extend rostrally and caudally from the point of maximal compression, consistent with the clinical prominence of corticospinal and dorsal column dysfunction in many patients (McCormick et al., 2020). This secondary injury framework also helps interpret clinical heterogeneity. Patients with similar degrees of stenosis may differ in their inflammatory reactivity, microvascular resilience, and capacity for remyelination or compensatory plasticity, producing divergent trajectories in gait, hand function, and balance (</w:t>
      </w:r>
      <w:proofErr w:type="spellStart"/>
      <w:r w:rsidRPr="00BE2365">
        <w:rPr>
          <w:color w:val="auto"/>
          <w:kern w:val="0"/>
          <w:lang w:val="en-US" w:eastAsia="en-US"/>
        </w:rPr>
        <w:t>Badhiwala</w:t>
      </w:r>
      <w:proofErr w:type="spellEnd"/>
      <w:r w:rsidRPr="00BE2365">
        <w:rPr>
          <w:color w:val="auto"/>
          <w:kern w:val="0"/>
          <w:lang w:val="en-US" w:eastAsia="en-US"/>
        </w:rPr>
        <w:t xml:space="preserve"> et al., 2020). From a therapeutic standpoint, these mechanisms support the search for adjunctive neuroprotective strategies that complement mechanical decompression by targeting excitotoxicity, inflammation, and other modifiable downstream pathways (</w:t>
      </w:r>
      <w:proofErr w:type="spellStart"/>
      <w:r w:rsidRPr="00BE2365">
        <w:rPr>
          <w:color w:val="auto"/>
          <w:kern w:val="0"/>
          <w:lang w:val="en-US" w:eastAsia="en-US"/>
        </w:rPr>
        <w:t>Badhiwala</w:t>
      </w:r>
      <w:proofErr w:type="spellEnd"/>
      <w:r w:rsidRPr="00BE2365">
        <w:rPr>
          <w:color w:val="auto"/>
          <w:kern w:val="0"/>
          <w:lang w:val="en-US" w:eastAsia="en-US"/>
        </w:rPr>
        <w:t xml:space="preserve"> et al., 2020).</w:t>
      </w:r>
    </w:p>
    <w:p w:rsidR="00BE2365" w:rsidRPr="00BE2365" w:rsidRDefault="00BE2365"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BE2365">
        <w:rPr>
          <w:b/>
          <w:bCs/>
          <w:color w:val="auto"/>
          <w:kern w:val="0"/>
          <w:sz w:val="27"/>
          <w:szCs w:val="27"/>
          <w:lang w:val="en-US" w:eastAsia="en-US"/>
        </w:rPr>
        <w:t>3.5 Tract-selective vulnerability and functional consequences</w:t>
      </w:r>
    </w:p>
    <w:p w:rsidR="00BE2365" w:rsidRPr="00BE2365" w:rsidRDefault="00BE2365" w:rsidP="007E0B44">
      <w:pPr>
        <w:spacing w:before="100" w:beforeAutospacing="1" w:after="100" w:afterAutospacing="1" w:line="240" w:lineRule="auto"/>
        <w:ind w:left="0" w:right="0" w:firstLine="0"/>
        <w:rPr>
          <w:color w:val="auto"/>
          <w:kern w:val="0"/>
          <w:lang w:val="en-US" w:eastAsia="en-US"/>
        </w:rPr>
      </w:pPr>
      <w:r w:rsidRPr="00BE2365">
        <w:rPr>
          <w:color w:val="auto"/>
          <w:kern w:val="0"/>
          <w:lang w:val="en-US" w:eastAsia="en-US"/>
        </w:rPr>
        <w:t>The clinical syndrome of CSM is rooted in the selective vulnerability of key spinal cord pathways to chronic injury. Long descending motor tracts contribute to weakness and spasticity, while dorsal column involvement underlies impaired proprioception and vibration sense, producing gait instability and falls risk (McCormick et al., 2020). Persistent pain and sensory disturbance may reflect mixed processes, including coexistent root involvement and intrinsic cord pathology driven by the compressive–</w:t>
      </w:r>
      <w:proofErr w:type="spellStart"/>
      <w:r w:rsidRPr="00BE2365">
        <w:rPr>
          <w:color w:val="auto"/>
          <w:kern w:val="0"/>
          <w:lang w:val="en-US" w:eastAsia="en-US"/>
        </w:rPr>
        <w:t>ischaemic</w:t>
      </w:r>
      <w:proofErr w:type="spellEnd"/>
      <w:r w:rsidRPr="00BE2365">
        <w:rPr>
          <w:color w:val="auto"/>
          <w:kern w:val="0"/>
          <w:lang w:val="en-US" w:eastAsia="en-US"/>
        </w:rPr>
        <w:t>–inflammatory cascade (</w:t>
      </w:r>
      <w:proofErr w:type="spellStart"/>
      <w:r w:rsidRPr="00BE2365">
        <w:rPr>
          <w:color w:val="auto"/>
          <w:kern w:val="0"/>
          <w:lang w:val="en-US" w:eastAsia="en-US"/>
        </w:rPr>
        <w:t>Karadimas</w:t>
      </w:r>
      <w:proofErr w:type="spellEnd"/>
      <w:r w:rsidRPr="00BE2365">
        <w:rPr>
          <w:color w:val="auto"/>
          <w:kern w:val="0"/>
          <w:lang w:val="en-US" w:eastAsia="en-US"/>
        </w:rPr>
        <w:t xml:space="preserve"> et al., 2015). Over time, the balance between ongoing tissue injury and adaptive compensation shapes disability. When compensation predominates, patients may appear clinically stable despite accumulating microstructural damage; when injury surpasses compensatory capacity, functional decline may be sudden and consequential (</w:t>
      </w:r>
      <w:proofErr w:type="spellStart"/>
      <w:r w:rsidRPr="00BE2365">
        <w:rPr>
          <w:color w:val="auto"/>
          <w:kern w:val="0"/>
          <w:lang w:val="en-US" w:eastAsia="en-US"/>
        </w:rPr>
        <w:t>Badhiwala</w:t>
      </w:r>
      <w:proofErr w:type="spellEnd"/>
      <w:r w:rsidRPr="00BE2365">
        <w:rPr>
          <w:color w:val="auto"/>
          <w:kern w:val="0"/>
          <w:lang w:val="en-US" w:eastAsia="en-US"/>
        </w:rPr>
        <w:t xml:space="preserve"> et al., 2020). This framing reinforces the central pathophysiological principle of CSM: neurological impairment is the emergent result of mechanical forces acting through vascular and inflammatory biology, rather than a simple reflection of canal diameter (Nouri et al., 2015; </w:t>
      </w:r>
      <w:proofErr w:type="spellStart"/>
      <w:r w:rsidRPr="00BE2365">
        <w:rPr>
          <w:color w:val="auto"/>
          <w:kern w:val="0"/>
          <w:lang w:val="en-US" w:eastAsia="en-US"/>
        </w:rPr>
        <w:t>Badhiwala</w:t>
      </w:r>
      <w:proofErr w:type="spellEnd"/>
      <w:r w:rsidRPr="00BE2365">
        <w:rPr>
          <w:color w:val="auto"/>
          <w:kern w:val="0"/>
          <w:lang w:val="en-US" w:eastAsia="en-US"/>
        </w:rPr>
        <w:t xml:space="preserve"> et al., 2020).</w:t>
      </w:r>
    </w:p>
    <w:p w:rsidR="00AB792A" w:rsidRDefault="00AB792A" w:rsidP="007E0B44"/>
    <w:p w:rsidR="00AB792A" w:rsidRDefault="00AB792A" w:rsidP="007E0B44">
      <w:pPr>
        <w:pStyle w:val="Heading2"/>
        <w:jc w:val="both"/>
      </w:pPr>
      <w:r>
        <w:t>4. Clinical phenotype and functional assessment</w:t>
      </w:r>
    </w:p>
    <w:p w:rsidR="00AB792A" w:rsidRDefault="00AB792A" w:rsidP="007E0B44">
      <w:pPr>
        <w:pStyle w:val="NormalWeb"/>
        <w:jc w:val="both"/>
      </w:pPr>
      <w:r>
        <w:t>CSM typically presents insidiously, with symptom evolution over months to years. Early complaints may include loss of fine motor control, difficulty with buttons or handwriting, gait unsteadiness, or sensory disturbances. Neck pain and radicular symptoms may coexist but are not required for diagnosis (McCormick et al., 2020). Examination often reveals upper motor neuron signs—hyperreflexia, clonus, spasticity, and pathological reflexes—alongside segmental weakness or sensory change. Because symptoms overlap with peripheral neuropathies, motor neuron disease, demyelinating disease, and other neurological disorders, careful clinical reasoning remains essential (</w:t>
      </w:r>
      <w:proofErr w:type="spellStart"/>
      <w:r>
        <w:t>Badhiwala</w:t>
      </w:r>
      <w:proofErr w:type="spellEnd"/>
      <w:r>
        <w:t xml:space="preserve"> et al., 2020).</w:t>
      </w:r>
    </w:p>
    <w:p w:rsidR="00AB792A" w:rsidRDefault="00AB792A" w:rsidP="007E0B44">
      <w:pPr>
        <w:pStyle w:val="NormalWeb"/>
        <w:jc w:val="both"/>
      </w:pPr>
      <w:r>
        <w:t xml:space="preserve">Disease severity is commonly graded using myelopathy scales such as the modified Japanese </w:t>
      </w:r>
      <w:proofErr w:type="spellStart"/>
      <w:r>
        <w:t>Orthopaedic</w:t>
      </w:r>
      <w:proofErr w:type="spellEnd"/>
      <w:r>
        <w:t xml:space="preserve"> Association score and complementary disability measures. Nonetheless, traditional clinical scales may lack sensitivity to subtle progression, particularly in mild disease where compensation and </w:t>
      </w:r>
      <w:proofErr w:type="spellStart"/>
      <w:r>
        <w:t>behavioural</w:t>
      </w:r>
      <w:proofErr w:type="spellEnd"/>
      <w:r>
        <w:t xml:space="preserve"> adaptation can mask worsening tissue injury (Martin et al., 2018). This limitation has motivated efforts to augment clinical monitoring with quantitative imaging and objective biomarkers that may detect subclinical progression and support earlier intervention decisions.</w:t>
      </w:r>
    </w:p>
    <w:p w:rsidR="00AB792A" w:rsidRDefault="00AB792A" w:rsidP="007E0B44"/>
    <w:p w:rsidR="00061226" w:rsidRPr="00061226" w:rsidRDefault="00061226" w:rsidP="007E0B44">
      <w:pPr>
        <w:spacing w:before="100" w:beforeAutospacing="1" w:after="100" w:afterAutospacing="1" w:line="240" w:lineRule="auto"/>
        <w:ind w:left="0" w:right="0" w:firstLine="0"/>
        <w:outlineLvl w:val="1"/>
        <w:rPr>
          <w:b/>
          <w:bCs/>
          <w:color w:val="auto"/>
          <w:kern w:val="0"/>
          <w:sz w:val="36"/>
          <w:szCs w:val="36"/>
          <w:lang w:val="en-US" w:eastAsia="en-US"/>
        </w:rPr>
      </w:pPr>
      <w:r w:rsidRPr="00061226">
        <w:rPr>
          <w:b/>
          <w:bCs/>
          <w:color w:val="auto"/>
          <w:kern w:val="0"/>
          <w:sz w:val="36"/>
          <w:szCs w:val="36"/>
          <w:lang w:val="en-US" w:eastAsia="en-US"/>
        </w:rPr>
        <w:t>5. Diagnostic evaluation</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 xml:space="preserve">Diagnostic evaluation in cervical </w:t>
      </w:r>
      <w:proofErr w:type="spellStart"/>
      <w:r w:rsidRPr="00061226">
        <w:rPr>
          <w:color w:val="auto"/>
          <w:kern w:val="0"/>
          <w:lang w:val="en-US" w:eastAsia="en-US"/>
        </w:rPr>
        <w:t>spondylotic</w:t>
      </w:r>
      <w:proofErr w:type="spellEnd"/>
      <w:r w:rsidRPr="00061226">
        <w:rPr>
          <w:color w:val="auto"/>
          <w:kern w:val="0"/>
          <w:lang w:val="en-US" w:eastAsia="en-US"/>
        </w:rPr>
        <w:t xml:space="preserve"> myelopathy (CSM) hinges on integrating clinical phenotype with structural and, increasingly, quantitative indicators of spinal cord injury. The central challenge is that degenerative compression on imaging does not invariably equate to clinically meaningful myelopathy, and conversely, functionally important cord dysfunction may occur despite apparently modest anatomical compromise. A robust diagnostic approach therefore </w:t>
      </w:r>
      <w:proofErr w:type="spellStart"/>
      <w:r w:rsidRPr="00061226">
        <w:rPr>
          <w:color w:val="auto"/>
          <w:kern w:val="0"/>
          <w:lang w:val="en-US" w:eastAsia="en-US"/>
        </w:rPr>
        <w:t>prioritises</w:t>
      </w:r>
      <w:proofErr w:type="spellEnd"/>
      <w:r w:rsidRPr="00061226">
        <w:rPr>
          <w:color w:val="auto"/>
          <w:kern w:val="0"/>
          <w:lang w:val="en-US" w:eastAsia="en-US"/>
        </w:rPr>
        <w:t xml:space="preserve"> careful clinical assessment, followed by imaging that clarifies both the presence of cord compression and the likelihood of tissue injury, with emerging techniques aiming to quantify microstructural damage and improve prognostication (Nouri et al., 2016).</w:t>
      </w:r>
    </w:p>
    <w:p w:rsidR="00061226" w:rsidRPr="00061226" w:rsidRDefault="00061226"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061226">
        <w:rPr>
          <w:b/>
          <w:bCs/>
          <w:color w:val="auto"/>
          <w:kern w:val="0"/>
          <w:sz w:val="27"/>
          <w:szCs w:val="27"/>
          <w:lang w:val="en-US" w:eastAsia="en-US"/>
        </w:rPr>
        <w:t xml:space="preserve">5.1 Clinical assessment and </w:t>
      </w:r>
      <w:proofErr w:type="spellStart"/>
      <w:r w:rsidRPr="00061226">
        <w:rPr>
          <w:b/>
          <w:bCs/>
          <w:color w:val="auto"/>
          <w:kern w:val="0"/>
          <w:sz w:val="27"/>
          <w:szCs w:val="27"/>
          <w:lang w:val="en-US" w:eastAsia="en-US"/>
        </w:rPr>
        <w:t>clinico</w:t>
      </w:r>
      <w:proofErr w:type="spellEnd"/>
      <w:r w:rsidRPr="00061226">
        <w:rPr>
          <w:b/>
          <w:bCs/>
          <w:color w:val="auto"/>
          <w:kern w:val="0"/>
          <w:sz w:val="27"/>
          <w:szCs w:val="27"/>
          <w:lang w:val="en-US" w:eastAsia="en-US"/>
        </w:rPr>
        <w:t>-radiological correlation</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 xml:space="preserve">CSM typically develops insidiously, with patients describing loss of dexterity, clumsiness in fine motor tasks, gait imbalance, falls, sensory disturbance, or progressive stiffness. Symptoms may fluctuate, and individuals frequently adapt their </w:t>
      </w:r>
      <w:proofErr w:type="spellStart"/>
      <w:r w:rsidRPr="00061226">
        <w:rPr>
          <w:color w:val="auto"/>
          <w:kern w:val="0"/>
          <w:lang w:val="en-US" w:eastAsia="en-US"/>
        </w:rPr>
        <w:t>behaviour</w:t>
      </w:r>
      <w:proofErr w:type="spellEnd"/>
      <w:r w:rsidRPr="00061226">
        <w:rPr>
          <w:color w:val="auto"/>
          <w:kern w:val="0"/>
          <w:lang w:val="en-US" w:eastAsia="en-US"/>
        </w:rPr>
        <w:t xml:space="preserve"> to compensate, which can obscure progression. Examination remains indispensable, as upper motor </w:t>
      </w:r>
      <w:proofErr w:type="spellStart"/>
      <w:r w:rsidRPr="00061226">
        <w:rPr>
          <w:color w:val="auto"/>
          <w:kern w:val="0"/>
          <w:lang w:val="en-US" w:eastAsia="en-US"/>
        </w:rPr>
        <w:t>neurone</w:t>
      </w:r>
      <w:proofErr w:type="spellEnd"/>
      <w:r w:rsidRPr="00061226">
        <w:rPr>
          <w:color w:val="auto"/>
          <w:kern w:val="0"/>
          <w:lang w:val="en-US" w:eastAsia="en-US"/>
        </w:rPr>
        <w:t xml:space="preserve"> signs, long-tract sensory findings, and impaired tandem gait may reveal spinal cord dysfunction even when symptoms are vague. However, clinical features can overlap with peripheral neuropathy, motor </w:t>
      </w:r>
      <w:proofErr w:type="spellStart"/>
      <w:r w:rsidRPr="00061226">
        <w:rPr>
          <w:color w:val="auto"/>
          <w:kern w:val="0"/>
          <w:lang w:val="en-US" w:eastAsia="en-US"/>
        </w:rPr>
        <w:t>neurone</w:t>
      </w:r>
      <w:proofErr w:type="spellEnd"/>
      <w:r w:rsidRPr="00061226">
        <w:rPr>
          <w:color w:val="auto"/>
          <w:kern w:val="0"/>
          <w:lang w:val="en-US" w:eastAsia="en-US"/>
        </w:rPr>
        <w:t xml:space="preserve"> disease, cerebrovascular disease, and inflammatory disorders. For this reason, diagnosis should be framed as a </w:t>
      </w:r>
      <w:proofErr w:type="spellStart"/>
      <w:r w:rsidRPr="00061226">
        <w:rPr>
          <w:color w:val="auto"/>
          <w:kern w:val="0"/>
          <w:lang w:val="en-US" w:eastAsia="en-US"/>
        </w:rPr>
        <w:t>clinico</w:t>
      </w:r>
      <w:proofErr w:type="spellEnd"/>
      <w:r w:rsidRPr="00061226">
        <w:rPr>
          <w:color w:val="auto"/>
          <w:kern w:val="0"/>
          <w:lang w:val="en-US" w:eastAsia="en-US"/>
        </w:rPr>
        <w:t xml:space="preserve">-radiological judgement rather than an imaging diagnosis, with particular emphasis on whether the neurological syndrome is anatomically and physiologically plausible given the level(s) of compression and cord involvement seen on imaging (Nouri et al., 2016). A practical corollary is that a </w:t>
      </w:r>
      <w:r w:rsidRPr="00061226">
        <w:rPr>
          <w:color w:val="auto"/>
          <w:kern w:val="0"/>
          <w:lang w:val="en-US" w:eastAsia="en-US"/>
        </w:rPr>
        <w:lastRenderedPageBreak/>
        <w:t>radiology report describing “stenosis” should not be treated as sufficient evidence of myelopathy in isolation; the clinician must determine whether the patient’s functional deficits reflect cord injury and whether alternative explanations remain more likely.</w:t>
      </w:r>
    </w:p>
    <w:p w:rsidR="00061226" w:rsidRPr="00061226" w:rsidRDefault="00061226"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061226">
        <w:rPr>
          <w:b/>
          <w:bCs/>
          <w:color w:val="auto"/>
          <w:kern w:val="0"/>
          <w:sz w:val="27"/>
          <w:szCs w:val="27"/>
          <w:lang w:val="en-US" w:eastAsia="en-US"/>
        </w:rPr>
        <w:t>5.2 Conventional imaging: roles, strengths, and limitations</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 xml:space="preserve">Magnetic resonance imaging is the principal modality for confirming cord compression and assessing intramedullary signal change, and it remains foundational for operative planning and longitudinal follow-up (Nouri et al., 2016). Standard sequences depict disc–osteophyte complexes, ligamentous thickening, and multilevel degenerative change, whilst providing a view of cord contour and signal characteristics. Among conventional findings, intramedullary T2 hyperintensity is commonly interpreted as reflecting </w:t>
      </w:r>
      <w:proofErr w:type="spellStart"/>
      <w:r w:rsidRPr="00061226">
        <w:rPr>
          <w:color w:val="auto"/>
          <w:kern w:val="0"/>
          <w:lang w:val="en-US" w:eastAsia="en-US"/>
        </w:rPr>
        <w:t>oedema</w:t>
      </w:r>
      <w:proofErr w:type="spellEnd"/>
      <w:r w:rsidRPr="00061226">
        <w:rPr>
          <w:color w:val="auto"/>
          <w:kern w:val="0"/>
          <w:lang w:val="en-US" w:eastAsia="en-US"/>
        </w:rPr>
        <w:t xml:space="preserve">, demyelination, gliosis, or myelomalacia; T1 </w:t>
      </w:r>
      <w:proofErr w:type="spellStart"/>
      <w:r w:rsidRPr="00061226">
        <w:rPr>
          <w:color w:val="auto"/>
          <w:kern w:val="0"/>
          <w:lang w:val="en-US" w:eastAsia="en-US"/>
        </w:rPr>
        <w:t>hypointensity</w:t>
      </w:r>
      <w:proofErr w:type="spellEnd"/>
      <w:r w:rsidRPr="00061226">
        <w:rPr>
          <w:color w:val="auto"/>
          <w:kern w:val="0"/>
          <w:lang w:val="en-US" w:eastAsia="en-US"/>
        </w:rPr>
        <w:t>, when present, is often viewed as a marker of more advanced tissue injury. Yet these signal changes are neither perfectly sensitive nor specific for symptomatic myelopathy, and their relationship to functional status and recovery is variable. Consequently, conventional MRI should be interpreted in context, considering both the clinical picture and anatomical modifiers such as multilevel compression, alignment, and the distribution of compressive pathology (Nouri et al., 2016).</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 xml:space="preserve">Conventional imaging is also used to </w:t>
      </w:r>
      <w:proofErr w:type="spellStart"/>
      <w:r w:rsidRPr="00061226">
        <w:rPr>
          <w:color w:val="auto"/>
          <w:kern w:val="0"/>
          <w:lang w:val="en-US" w:eastAsia="en-US"/>
        </w:rPr>
        <w:t>characterise</w:t>
      </w:r>
      <w:proofErr w:type="spellEnd"/>
      <w:r w:rsidRPr="00061226">
        <w:rPr>
          <w:color w:val="auto"/>
          <w:kern w:val="0"/>
          <w:lang w:val="en-US" w:eastAsia="en-US"/>
        </w:rPr>
        <w:t xml:space="preserve"> structural factors that influence management choices. Although MRI is primary, other modalities can add value: computed tomography better defines osseous contributors to stenosis and can clarify the morphology of osteophytes and facet hypertrophy; radiographs can depict alignment, instability, and dynamic changes, all of which can influence surgical strategy. Nonetheless, even an anatomically detailed structural assessment may not fully capture the biological state of the spinal cord. This limitation has driven growing interest in imaging that interrogates microstructure and tissue integrity directly, rather than inferring injury solely from gross morphology and conventional signal changes.</w:t>
      </w:r>
    </w:p>
    <w:p w:rsidR="00061226" w:rsidRPr="00061226" w:rsidRDefault="00061226"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061226">
        <w:rPr>
          <w:b/>
          <w:bCs/>
          <w:color w:val="auto"/>
          <w:kern w:val="0"/>
          <w:sz w:val="27"/>
          <w:szCs w:val="27"/>
          <w:lang w:val="en-US" w:eastAsia="en-US"/>
        </w:rPr>
        <w:t>5.3 Quantitative MRI and microstructural assessment</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 xml:space="preserve">Quantitative MRI aims to measure spinal cord injury more directly and, in doing so, to provide metrics that correlate more consistently with impairment and prognosis than conventional imaging alone. Diffusion tensor imaging (DTI) has been extensively studied, as diffusion metrics such as fractional anisotropy can reflect tract integrity and microstructural </w:t>
      </w:r>
      <w:proofErr w:type="spellStart"/>
      <w:r w:rsidRPr="00061226">
        <w:rPr>
          <w:color w:val="auto"/>
          <w:kern w:val="0"/>
          <w:lang w:val="en-US" w:eastAsia="en-US"/>
        </w:rPr>
        <w:t>organisation</w:t>
      </w:r>
      <w:proofErr w:type="spellEnd"/>
      <w:r w:rsidRPr="00061226">
        <w:rPr>
          <w:color w:val="auto"/>
          <w:kern w:val="0"/>
          <w:lang w:val="en-US" w:eastAsia="en-US"/>
        </w:rPr>
        <w:t xml:space="preserve">. Reviews of the field indicate that DTI abnormalities may be detected even when conventional imaging is equivocal and that diffusion-derived measures can relate to clinical severity; however, variability in acquisition, processing pipelines, and region-of-interest selection remains an obstacle to </w:t>
      </w:r>
      <w:proofErr w:type="spellStart"/>
      <w:r w:rsidRPr="00061226">
        <w:rPr>
          <w:color w:val="auto"/>
          <w:kern w:val="0"/>
          <w:lang w:val="en-US" w:eastAsia="en-US"/>
        </w:rPr>
        <w:t>standardisation</w:t>
      </w:r>
      <w:proofErr w:type="spellEnd"/>
      <w:r w:rsidRPr="00061226">
        <w:rPr>
          <w:color w:val="auto"/>
          <w:kern w:val="0"/>
          <w:lang w:val="en-US" w:eastAsia="en-US"/>
        </w:rPr>
        <w:t xml:space="preserve"> and widespread clinical adoption (</w:t>
      </w:r>
      <w:proofErr w:type="spellStart"/>
      <w:r w:rsidRPr="00061226">
        <w:rPr>
          <w:color w:val="auto"/>
          <w:kern w:val="0"/>
          <w:lang w:val="en-US" w:eastAsia="en-US"/>
        </w:rPr>
        <w:t>Shabani</w:t>
      </w:r>
      <w:proofErr w:type="spellEnd"/>
      <w:r w:rsidRPr="00061226">
        <w:rPr>
          <w:color w:val="auto"/>
          <w:kern w:val="0"/>
          <w:lang w:val="en-US" w:eastAsia="en-US"/>
        </w:rPr>
        <w:t xml:space="preserve"> et al., 2020). In CSM, these methodological issues are particularly important because the cervical cord is small, subject to motion artefact, and surrounded by cerebrospinal fluid pulsation, which can degrade reproducibility if protocols are not carefully controlled.</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 xml:space="preserve">Beyond DTI, multiparametric approaches combine complementary quantitative contrasts to build a richer portrait of tissue integrity. A clinically feasible framework incorporating diffusion metrics, </w:t>
      </w:r>
      <w:proofErr w:type="spellStart"/>
      <w:r w:rsidRPr="00061226">
        <w:rPr>
          <w:color w:val="auto"/>
          <w:kern w:val="0"/>
          <w:lang w:val="en-US" w:eastAsia="en-US"/>
        </w:rPr>
        <w:t>magnetisation</w:t>
      </w:r>
      <w:proofErr w:type="spellEnd"/>
      <w:r w:rsidRPr="00061226">
        <w:rPr>
          <w:color w:val="auto"/>
          <w:kern w:val="0"/>
          <w:lang w:val="en-US" w:eastAsia="en-US"/>
        </w:rPr>
        <w:t xml:space="preserve"> transfer, and other microstructural measures has been described with accompanying normative and reliability evaluation, supporting the contention that quantitative spinal cord imaging can be implemented in clinically realistic settings (Martin et al., 2017a). The value of such multiparametric assessment lies in its ability to triangulate injury: diffusion measures may be sensitive to axonal </w:t>
      </w:r>
      <w:proofErr w:type="spellStart"/>
      <w:r w:rsidRPr="00061226">
        <w:rPr>
          <w:color w:val="auto"/>
          <w:kern w:val="0"/>
          <w:lang w:val="en-US" w:eastAsia="en-US"/>
        </w:rPr>
        <w:t>organisation</w:t>
      </w:r>
      <w:proofErr w:type="spellEnd"/>
      <w:r w:rsidRPr="00061226">
        <w:rPr>
          <w:color w:val="auto"/>
          <w:kern w:val="0"/>
          <w:lang w:val="en-US" w:eastAsia="en-US"/>
        </w:rPr>
        <w:t xml:space="preserve">, </w:t>
      </w:r>
      <w:proofErr w:type="spellStart"/>
      <w:r w:rsidRPr="00061226">
        <w:rPr>
          <w:color w:val="auto"/>
          <w:kern w:val="0"/>
          <w:lang w:val="en-US" w:eastAsia="en-US"/>
        </w:rPr>
        <w:t>magnetisation</w:t>
      </w:r>
      <w:proofErr w:type="spellEnd"/>
      <w:r w:rsidRPr="00061226">
        <w:rPr>
          <w:color w:val="auto"/>
          <w:kern w:val="0"/>
          <w:lang w:val="en-US" w:eastAsia="en-US"/>
        </w:rPr>
        <w:t xml:space="preserve"> </w:t>
      </w:r>
      <w:r w:rsidRPr="00061226">
        <w:rPr>
          <w:color w:val="auto"/>
          <w:kern w:val="0"/>
          <w:lang w:val="en-US" w:eastAsia="en-US"/>
        </w:rPr>
        <w:lastRenderedPageBreak/>
        <w:t>transfer to myelin-related properties, and morphometric measures to atrophy and tissue loss. Together, these can provide a more robust indicator of underlying pathology than any single measure alone.</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An additional strand of development is the design of specific quantitative biomarkers intended to be stable, interpretable, and scalable. For example, a T2*-weighted white matter to grey matter signal intensity ratio has been proposed as a candidate marker of white matter injury, with the aim of capturing tract pathology in a way that complements diffusion and morphometric measures (Martin et al., 2017b). Importantly, the promise of such metrics is not merely cross-sectional discrimination but also longitudinal monitoring, where the clinical question often concerns whether a patient with mild disease is stable or progressing.</w:t>
      </w:r>
    </w:p>
    <w:p w:rsidR="00061226" w:rsidRPr="00061226" w:rsidRDefault="00061226"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061226">
        <w:rPr>
          <w:b/>
          <w:bCs/>
          <w:color w:val="auto"/>
          <w:kern w:val="0"/>
          <w:sz w:val="27"/>
          <w:szCs w:val="27"/>
          <w:lang w:val="en-US" w:eastAsia="en-US"/>
        </w:rPr>
        <w:t>5.4 Longitudinal monitoring and the problem of “silent progression”</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In mild CSM, clinicians frequently face a surveillance dilemma: some patients remain stable for a period, whilst others deteriorate and may lose recovery potential if decompression is delayed. Quantitative MRI has been explored as a means of detecting progression earlier and more sensitively than standard clinical scales. Longitudinal work suggests that multiparametric quantitative MRI can demonstrate change consistent with myelopathic progression even when conventional assessments appear relatively unchanged, raising the possibility of “silent progression” at the tissue level (Martin et al., 2018). If validated broadly, this concept would have practical implications: it would encourage follow-up strategies that incorporate objective tissue metrics to identify patients who are biologically worsening despite apparently stable function and to support more confident timing of surgery.</w:t>
      </w:r>
    </w:p>
    <w:p w:rsidR="00061226" w:rsidRPr="00061226" w:rsidRDefault="00061226"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061226">
        <w:rPr>
          <w:b/>
          <w:bCs/>
          <w:color w:val="auto"/>
          <w:kern w:val="0"/>
          <w:sz w:val="27"/>
          <w:szCs w:val="27"/>
          <w:lang w:val="en-US" w:eastAsia="en-US"/>
        </w:rPr>
        <w:t>5.5 Biomarkers as a complementary diagnostic and prognostic layer</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Fluid biomarkers are an emerging complement to imaging, with the potential to reflect ongoing axonal injury, white matter disruption, and glial activation. Cerebrospinal fluid studies have reported associations between biomarker profiles, baseline severity, and surgical outcomes in degenerative cervical myelopathy, supporting the plausibility of biomarker-informed prognostication (</w:t>
      </w:r>
      <w:proofErr w:type="spellStart"/>
      <w:r w:rsidRPr="00061226">
        <w:rPr>
          <w:color w:val="auto"/>
          <w:kern w:val="0"/>
          <w:lang w:val="en-US" w:eastAsia="en-US"/>
        </w:rPr>
        <w:t>Tsitsopoulos</w:t>
      </w:r>
      <w:proofErr w:type="spellEnd"/>
      <w:r w:rsidRPr="00061226">
        <w:rPr>
          <w:color w:val="auto"/>
          <w:kern w:val="0"/>
          <w:lang w:val="en-US" w:eastAsia="en-US"/>
        </w:rPr>
        <w:t xml:space="preserve"> et al., 2022). Although clinical implementation remains investigational, the conceptual value is clear: biomarkers may help distinguish patients who have mere anatomical compression from those with active cord injury biology, and they may offer a quantitative outcome for trials aimed at neuroprotection and repair. In future, the most informative diagnostic frameworks are likely to integrate clinical examination, structural imaging, quantitative microstructural metrics, and biomarker signals into unified, risk-stratified decision-making models (Nouri et al., 2016; Martin et al., 2017a; </w:t>
      </w:r>
      <w:proofErr w:type="spellStart"/>
      <w:r w:rsidRPr="00061226">
        <w:rPr>
          <w:color w:val="auto"/>
          <w:kern w:val="0"/>
          <w:lang w:val="en-US" w:eastAsia="en-US"/>
        </w:rPr>
        <w:t>Tsitsopoulos</w:t>
      </w:r>
      <w:proofErr w:type="spellEnd"/>
      <w:r w:rsidRPr="00061226">
        <w:rPr>
          <w:color w:val="auto"/>
          <w:kern w:val="0"/>
          <w:lang w:val="en-US" w:eastAsia="en-US"/>
        </w:rPr>
        <w:t xml:space="preserve"> et al., 2022).</w:t>
      </w:r>
    </w:p>
    <w:p w:rsidR="00AB792A" w:rsidRDefault="00AB792A" w:rsidP="007E0B44">
      <w:pPr>
        <w:pStyle w:val="NormalWeb"/>
        <w:jc w:val="both"/>
      </w:pPr>
    </w:p>
    <w:p w:rsidR="00AB792A" w:rsidRDefault="00AB792A" w:rsidP="007E0B44"/>
    <w:p w:rsidR="00061226" w:rsidRPr="00061226" w:rsidRDefault="00061226" w:rsidP="007E0B44">
      <w:pPr>
        <w:spacing w:before="100" w:beforeAutospacing="1" w:after="100" w:afterAutospacing="1" w:line="240" w:lineRule="auto"/>
        <w:ind w:left="0" w:right="0" w:firstLine="0"/>
        <w:outlineLvl w:val="1"/>
        <w:rPr>
          <w:b/>
          <w:bCs/>
          <w:color w:val="auto"/>
          <w:kern w:val="0"/>
          <w:sz w:val="36"/>
          <w:szCs w:val="36"/>
          <w:lang w:val="en-US" w:eastAsia="en-US"/>
        </w:rPr>
      </w:pPr>
      <w:r w:rsidRPr="00061226">
        <w:rPr>
          <w:b/>
          <w:bCs/>
          <w:color w:val="auto"/>
          <w:kern w:val="0"/>
          <w:sz w:val="36"/>
          <w:szCs w:val="36"/>
          <w:lang w:val="en-US" w:eastAsia="en-US"/>
        </w:rPr>
        <w:t>6. Current therapeutic strategies</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 xml:space="preserve">Current management of cervical </w:t>
      </w:r>
      <w:proofErr w:type="spellStart"/>
      <w:r w:rsidRPr="00061226">
        <w:rPr>
          <w:color w:val="auto"/>
          <w:kern w:val="0"/>
          <w:lang w:val="en-US" w:eastAsia="en-US"/>
        </w:rPr>
        <w:t>spondylotic</w:t>
      </w:r>
      <w:proofErr w:type="spellEnd"/>
      <w:r w:rsidRPr="00061226">
        <w:rPr>
          <w:color w:val="auto"/>
          <w:kern w:val="0"/>
          <w:lang w:val="en-US" w:eastAsia="en-US"/>
        </w:rPr>
        <w:t xml:space="preserve"> myelopathy (CSM) is </w:t>
      </w:r>
      <w:proofErr w:type="spellStart"/>
      <w:r w:rsidRPr="00061226">
        <w:rPr>
          <w:color w:val="auto"/>
          <w:kern w:val="0"/>
          <w:lang w:val="en-US" w:eastAsia="en-US"/>
        </w:rPr>
        <w:t>centred</w:t>
      </w:r>
      <w:proofErr w:type="spellEnd"/>
      <w:r w:rsidRPr="00061226">
        <w:rPr>
          <w:color w:val="auto"/>
          <w:kern w:val="0"/>
          <w:lang w:val="en-US" w:eastAsia="en-US"/>
        </w:rPr>
        <w:t xml:space="preserve"> on two complementary aims: first, to arrest ongoing spinal cord injury by addressing mechanical compression and instability; and secondly, to </w:t>
      </w:r>
      <w:proofErr w:type="spellStart"/>
      <w:r w:rsidRPr="00061226">
        <w:rPr>
          <w:color w:val="auto"/>
          <w:kern w:val="0"/>
          <w:lang w:val="en-US" w:eastAsia="en-US"/>
        </w:rPr>
        <w:t>maximise</w:t>
      </w:r>
      <w:proofErr w:type="spellEnd"/>
      <w:r w:rsidRPr="00061226">
        <w:rPr>
          <w:color w:val="auto"/>
          <w:kern w:val="0"/>
          <w:lang w:val="en-US" w:eastAsia="en-US"/>
        </w:rPr>
        <w:t xml:space="preserve"> functional capacity and safety </w:t>
      </w:r>
      <w:r w:rsidRPr="00061226">
        <w:rPr>
          <w:color w:val="auto"/>
          <w:kern w:val="0"/>
          <w:lang w:val="en-US" w:eastAsia="en-US"/>
        </w:rPr>
        <w:lastRenderedPageBreak/>
        <w:t>through symptom control, risk mitigation, and rehabilitation-oriented support. In practice, this translates into a stratified approach in which non-operative strategies may be considered for carefully selected patients with very mild disease or substantial operative risk, whereas surgical decompression is the principal disease-modifying intervention for most patients with established myelopathy or documented progression (</w:t>
      </w:r>
      <w:proofErr w:type="spellStart"/>
      <w:r w:rsidRPr="00061226">
        <w:rPr>
          <w:color w:val="auto"/>
          <w:kern w:val="0"/>
          <w:lang w:val="en-US" w:eastAsia="en-US"/>
        </w:rPr>
        <w:t>Badhiwala</w:t>
      </w:r>
      <w:proofErr w:type="spellEnd"/>
      <w:r w:rsidRPr="00061226">
        <w:rPr>
          <w:color w:val="auto"/>
          <w:kern w:val="0"/>
          <w:lang w:val="en-US" w:eastAsia="en-US"/>
        </w:rPr>
        <w:t xml:space="preserve"> &amp; Wilson, 2018; Tetreault et al., 2017). The clinical challenge is that CSM does not behave as a uniform, predictably linear condition, and a management plan that appears reasonable at one time-point may become inappropriate as neurological reserve declines. Consequently, contemporary therapeutic decision-making </w:t>
      </w:r>
      <w:proofErr w:type="spellStart"/>
      <w:r w:rsidRPr="00061226">
        <w:rPr>
          <w:color w:val="auto"/>
          <w:kern w:val="0"/>
          <w:lang w:val="en-US" w:eastAsia="en-US"/>
        </w:rPr>
        <w:t>emphasises</w:t>
      </w:r>
      <w:proofErr w:type="spellEnd"/>
      <w:r w:rsidRPr="00061226">
        <w:rPr>
          <w:color w:val="auto"/>
          <w:kern w:val="0"/>
          <w:lang w:val="en-US" w:eastAsia="en-US"/>
        </w:rPr>
        <w:t xml:space="preserve"> timely recognition of progression, alignment of treatment intensity with disease severity, and realistic counselling about the range and limits of postoperative recovery (</w:t>
      </w:r>
      <w:proofErr w:type="spellStart"/>
      <w:r w:rsidRPr="00061226">
        <w:rPr>
          <w:color w:val="auto"/>
          <w:kern w:val="0"/>
          <w:lang w:val="en-US" w:eastAsia="en-US"/>
        </w:rPr>
        <w:t>Badhiwala</w:t>
      </w:r>
      <w:proofErr w:type="spellEnd"/>
      <w:r w:rsidRPr="00061226">
        <w:rPr>
          <w:color w:val="auto"/>
          <w:kern w:val="0"/>
          <w:lang w:val="en-US" w:eastAsia="en-US"/>
        </w:rPr>
        <w:t xml:space="preserve"> &amp; Wilson, 2018; McCormick et al., 2020).</w:t>
      </w:r>
    </w:p>
    <w:p w:rsidR="00061226" w:rsidRPr="00061226" w:rsidRDefault="00061226"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061226">
        <w:rPr>
          <w:b/>
          <w:bCs/>
          <w:color w:val="auto"/>
          <w:kern w:val="0"/>
          <w:sz w:val="27"/>
          <w:szCs w:val="27"/>
          <w:lang w:val="en-US" w:eastAsia="en-US"/>
        </w:rPr>
        <w:t>6.1 Non-operative management and surveillance</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 xml:space="preserve">Non-operative management has a limited but important role in CSM. It is most often applied to patients with very mild symptoms, equivocal functional impact, or significant comorbidity in whom the risk–benefit balance of surgery is uncertain. Conservative strategies typically </w:t>
      </w:r>
      <w:proofErr w:type="spellStart"/>
      <w:r w:rsidRPr="00061226">
        <w:rPr>
          <w:color w:val="auto"/>
          <w:kern w:val="0"/>
          <w:lang w:val="en-US" w:eastAsia="en-US"/>
        </w:rPr>
        <w:t>prioritise</w:t>
      </w:r>
      <w:proofErr w:type="spellEnd"/>
      <w:r w:rsidRPr="00061226">
        <w:rPr>
          <w:color w:val="auto"/>
          <w:kern w:val="0"/>
          <w:lang w:val="en-US" w:eastAsia="en-US"/>
        </w:rPr>
        <w:t xml:space="preserve"> patient education, avoidance of high-risk activities that could precipitate falls or neck trauma, structured physiotherapy focused on balance and gait safety, and </w:t>
      </w:r>
      <w:proofErr w:type="spellStart"/>
      <w:r w:rsidRPr="00061226">
        <w:rPr>
          <w:color w:val="auto"/>
          <w:kern w:val="0"/>
          <w:lang w:val="en-US" w:eastAsia="en-US"/>
        </w:rPr>
        <w:t>optimisation</w:t>
      </w:r>
      <w:proofErr w:type="spellEnd"/>
      <w:r w:rsidRPr="00061226">
        <w:rPr>
          <w:color w:val="auto"/>
          <w:kern w:val="0"/>
          <w:lang w:val="en-US" w:eastAsia="en-US"/>
        </w:rPr>
        <w:t xml:space="preserve"> of comorbid contributors to disability. Even when non-operative care is selected, the strategy is best </w:t>
      </w:r>
      <w:proofErr w:type="spellStart"/>
      <w:r w:rsidRPr="00061226">
        <w:rPr>
          <w:color w:val="auto"/>
          <w:kern w:val="0"/>
          <w:lang w:val="en-US" w:eastAsia="en-US"/>
        </w:rPr>
        <w:t>conceptualised</w:t>
      </w:r>
      <w:proofErr w:type="spellEnd"/>
      <w:r w:rsidRPr="00061226">
        <w:rPr>
          <w:color w:val="auto"/>
          <w:kern w:val="0"/>
          <w:lang w:val="en-US" w:eastAsia="en-US"/>
        </w:rPr>
        <w:t xml:space="preserve"> as </w:t>
      </w:r>
      <w:r w:rsidRPr="00061226">
        <w:rPr>
          <w:i/>
          <w:iCs/>
          <w:color w:val="auto"/>
          <w:kern w:val="0"/>
          <w:lang w:val="en-US" w:eastAsia="en-US"/>
        </w:rPr>
        <w:t>active surveillance</w:t>
      </w:r>
      <w:r w:rsidRPr="00061226">
        <w:rPr>
          <w:color w:val="auto"/>
          <w:kern w:val="0"/>
          <w:lang w:val="en-US" w:eastAsia="en-US"/>
        </w:rPr>
        <w:t xml:space="preserve"> rather than definitive treatment, because the principal pathological driver—compressive spinal cord injury—remains uncorrected (</w:t>
      </w:r>
      <w:proofErr w:type="spellStart"/>
      <w:r w:rsidRPr="00061226">
        <w:rPr>
          <w:color w:val="auto"/>
          <w:kern w:val="0"/>
          <w:lang w:val="en-US" w:eastAsia="en-US"/>
        </w:rPr>
        <w:t>Badhiwala</w:t>
      </w:r>
      <w:proofErr w:type="spellEnd"/>
      <w:r w:rsidRPr="00061226">
        <w:rPr>
          <w:color w:val="auto"/>
          <w:kern w:val="0"/>
          <w:lang w:val="en-US" w:eastAsia="en-US"/>
        </w:rPr>
        <w:t xml:space="preserve"> &amp; Wilson, 2018; Tetreault et al., 2017).</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A key limitation of conservative care is the uncertainty of natural history at the individual level. Syntheses of natural history indicate that a proportion of patients deteriorate over time, sometimes in a stepwise fashion, and that delaying decompression in progressing myelopathy can reduce the ceiling for neurological recovery (</w:t>
      </w:r>
      <w:proofErr w:type="spellStart"/>
      <w:r w:rsidRPr="00061226">
        <w:rPr>
          <w:color w:val="auto"/>
          <w:kern w:val="0"/>
          <w:lang w:val="en-US" w:eastAsia="en-US"/>
        </w:rPr>
        <w:t>Badhiwala</w:t>
      </w:r>
      <w:proofErr w:type="spellEnd"/>
      <w:r w:rsidRPr="00061226">
        <w:rPr>
          <w:color w:val="auto"/>
          <w:kern w:val="0"/>
          <w:lang w:val="en-US" w:eastAsia="en-US"/>
        </w:rPr>
        <w:t xml:space="preserve"> &amp; Wilson, 2018; Tetreault et al., 2017). This is particularly relevant in patients who appear clinically stable yet may be accumulating microstructural injury. In this context, quantitative imaging has been explored as a monitoring adjunct; longitudinal multiparametric quantitative MRI has demonstrated sensitivity to progression that may not be captured by routine clinical scales alone, raising concern for “silent progression” in some individuals under surveillance (Martin et al., 2018). Although not yet a universal standard of care, the implication for current practice is pragmatic: patients managed non-operatively should be reviewed with sufficient frequency and structure to detect meaningful change early, and clinicians should maintain a low threshold for reconsidering surgical options when objective decline or increasing functional risk emerges (</w:t>
      </w:r>
      <w:proofErr w:type="spellStart"/>
      <w:r w:rsidRPr="00061226">
        <w:rPr>
          <w:color w:val="auto"/>
          <w:kern w:val="0"/>
          <w:lang w:val="en-US" w:eastAsia="en-US"/>
        </w:rPr>
        <w:t>Badhiwala</w:t>
      </w:r>
      <w:proofErr w:type="spellEnd"/>
      <w:r w:rsidRPr="00061226">
        <w:rPr>
          <w:color w:val="auto"/>
          <w:kern w:val="0"/>
          <w:lang w:val="en-US" w:eastAsia="en-US"/>
        </w:rPr>
        <w:t xml:space="preserve"> &amp; Wilson, 2018; Martin et al., 2018).</w:t>
      </w:r>
    </w:p>
    <w:p w:rsidR="00061226" w:rsidRPr="00061226" w:rsidRDefault="00061226"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061226">
        <w:rPr>
          <w:b/>
          <w:bCs/>
          <w:color w:val="auto"/>
          <w:kern w:val="0"/>
          <w:sz w:val="27"/>
          <w:szCs w:val="27"/>
          <w:lang w:val="en-US" w:eastAsia="en-US"/>
        </w:rPr>
        <w:t>6.2 Surgical decompression as disease-modifying treatment</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 xml:space="preserve">Surgical decompression remains the cornerstone of disease-modifying management in CSM, with the primary objective of relieving spinal cord compression and </w:t>
      </w:r>
      <w:proofErr w:type="spellStart"/>
      <w:r w:rsidRPr="00061226">
        <w:rPr>
          <w:color w:val="auto"/>
          <w:kern w:val="0"/>
          <w:lang w:val="en-US" w:eastAsia="en-US"/>
        </w:rPr>
        <w:t>stabilising</w:t>
      </w:r>
      <w:proofErr w:type="spellEnd"/>
      <w:r w:rsidRPr="00061226">
        <w:rPr>
          <w:color w:val="auto"/>
          <w:kern w:val="0"/>
          <w:lang w:val="en-US" w:eastAsia="en-US"/>
        </w:rPr>
        <w:t xml:space="preserve"> the biomechanical environment to halt ongoing injury (McCormick et al., 2020). Surgical strategy is tailored to the distribution of compressive pathology, the number of involved levels, sagittal alignment, and the presence of instability or deformity. In broad terms, anterior procedures address ventral compressive disease through discectomy or corpectomy with fusion, whereas posterior strategies expand the canal via laminoplasty or laminectomy, with fusion added when stability or alignment concerns warrant it (McCormick et al., 2020). While approach selection is often described as anatomical, it is equally informed by </w:t>
      </w:r>
      <w:r w:rsidRPr="00061226">
        <w:rPr>
          <w:color w:val="auto"/>
          <w:kern w:val="0"/>
          <w:lang w:val="en-US" w:eastAsia="en-US"/>
        </w:rPr>
        <w:lastRenderedPageBreak/>
        <w:t xml:space="preserve">functional goals: preserving motion where feasible, preventing postoperative deformity, and </w:t>
      </w:r>
      <w:proofErr w:type="spellStart"/>
      <w:r w:rsidRPr="00061226">
        <w:rPr>
          <w:color w:val="auto"/>
          <w:kern w:val="0"/>
          <w:lang w:val="en-US" w:eastAsia="en-US"/>
        </w:rPr>
        <w:t>minimising</w:t>
      </w:r>
      <w:proofErr w:type="spellEnd"/>
      <w:r w:rsidRPr="00061226">
        <w:rPr>
          <w:color w:val="auto"/>
          <w:kern w:val="0"/>
          <w:lang w:val="en-US" w:eastAsia="en-US"/>
        </w:rPr>
        <w:t xml:space="preserve"> complications in patients who frequently have age-related comorbidities.</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 xml:space="preserve">Comparative evidence has been particularly influential in clarifying posterior options. Prospective </w:t>
      </w:r>
      <w:proofErr w:type="spellStart"/>
      <w:r w:rsidRPr="00061226">
        <w:rPr>
          <w:color w:val="auto"/>
          <w:kern w:val="0"/>
          <w:lang w:val="en-US" w:eastAsia="en-US"/>
        </w:rPr>
        <w:t>multicentre</w:t>
      </w:r>
      <w:proofErr w:type="spellEnd"/>
      <w:r w:rsidRPr="00061226">
        <w:rPr>
          <w:color w:val="auto"/>
          <w:kern w:val="0"/>
          <w:lang w:val="en-US" w:eastAsia="en-US"/>
        </w:rPr>
        <w:t xml:space="preserve"> data comparing laminoplasty with laminectomy and fusion demonstrate that both can improve function, while also highlighting trade-offs relating to motion preservation, stability, and complication profiles (</w:t>
      </w:r>
      <w:proofErr w:type="spellStart"/>
      <w:r w:rsidRPr="00061226">
        <w:rPr>
          <w:color w:val="auto"/>
          <w:kern w:val="0"/>
          <w:lang w:val="en-US" w:eastAsia="en-US"/>
        </w:rPr>
        <w:t>Fehlings</w:t>
      </w:r>
      <w:proofErr w:type="spellEnd"/>
      <w:r w:rsidRPr="00061226">
        <w:rPr>
          <w:color w:val="auto"/>
          <w:kern w:val="0"/>
          <w:lang w:val="en-US" w:eastAsia="en-US"/>
        </w:rPr>
        <w:t xml:space="preserve"> et al., 2017). These findings support the principle that “adequate decompression” is necessary but not sufficient; the surrounding alignment and stability context can shape both neurological recovery and longer-term mechanical outcomes. For example, in patients at higher risk of postoperative kyphosis or with pre-existing instability, fusion may be </w:t>
      </w:r>
      <w:proofErr w:type="spellStart"/>
      <w:r w:rsidRPr="00061226">
        <w:rPr>
          <w:color w:val="auto"/>
          <w:kern w:val="0"/>
          <w:lang w:val="en-US" w:eastAsia="en-US"/>
        </w:rPr>
        <w:t>favoured</w:t>
      </w:r>
      <w:proofErr w:type="spellEnd"/>
      <w:r w:rsidRPr="00061226">
        <w:rPr>
          <w:color w:val="auto"/>
          <w:kern w:val="0"/>
          <w:lang w:val="en-US" w:eastAsia="en-US"/>
        </w:rPr>
        <w:t xml:space="preserve"> to protect alignment and reduce the risk of delayed deterioration, whereas laminoplasty may be considered when motion preservation is desirable and alignment is </w:t>
      </w:r>
      <w:proofErr w:type="spellStart"/>
      <w:r w:rsidRPr="00061226">
        <w:rPr>
          <w:color w:val="auto"/>
          <w:kern w:val="0"/>
          <w:lang w:val="en-US" w:eastAsia="en-US"/>
        </w:rPr>
        <w:t>favourable</w:t>
      </w:r>
      <w:proofErr w:type="spellEnd"/>
      <w:r w:rsidRPr="00061226">
        <w:rPr>
          <w:color w:val="auto"/>
          <w:kern w:val="0"/>
          <w:lang w:val="en-US" w:eastAsia="en-US"/>
        </w:rPr>
        <w:t xml:space="preserve"> (McCormick et al., 2020; </w:t>
      </w:r>
      <w:proofErr w:type="spellStart"/>
      <w:r w:rsidRPr="00061226">
        <w:rPr>
          <w:color w:val="auto"/>
          <w:kern w:val="0"/>
          <w:lang w:val="en-US" w:eastAsia="en-US"/>
        </w:rPr>
        <w:t>Fehlings</w:t>
      </w:r>
      <w:proofErr w:type="spellEnd"/>
      <w:r w:rsidRPr="00061226">
        <w:rPr>
          <w:color w:val="auto"/>
          <w:kern w:val="0"/>
          <w:lang w:val="en-US" w:eastAsia="en-US"/>
        </w:rPr>
        <w:t xml:space="preserve"> et al., 2017).</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 xml:space="preserve">Motion-preserving technologies have also influenced therapeutic thinking, particularly in the broader degenerative cervical disease spectrum. </w:t>
      </w:r>
      <w:proofErr w:type="spellStart"/>
      <w:r w:rsidRPr="00061226">
        <w:rPr>
          <w:color w:val="auto"/>
          <w:kern w:val="0"/>
          <w:lang w:val="en-US" w:eastAsia="en-US"/>
        </w:rPr>
        <w:t>Randomised</w:t>
      </w:r>
      <w:proofErr w:type="spellEnd"/>
      <w:r w:rsidRPr="00061226">
        <w:rPr>
          <w:color w:val="auto"/>
          <w:kern w:val="0"/>
          <w:lang w:val="en-US" w:eastAsia="en-US"/>
        </w:rPr>
        <w:t xml:space="preserve"> controlled comparisons of cervical disc arthroplasty versus fusion have provided evidence regarding clinical and radiographic outcomes in selected patients, illustrating how motion preservation may be achieved in appropriate contexts and how outcomes can be measured rigorously over follow-up (</w:t>
      </w:r>
      <w:proofErr w:type="spellStart"/>
      <w:r w:rsidRPr="00061226">
        <w:rPr>
          <w:color w:val="auto"/>
          <w:kern w:val="0"/>
          <w:lang w:val="en-US" w:eastAsia="en-US"/>
        </w:rPr>
        <w:t>Mummaneni</w:t>
      </w:r>
      <w:proofErr w:type="spellEnd"/>
      <w:r w:rsidRPr="00061226">
        <w:rPr>
          <w:color w:val="auto"/>
          <w:kern w:val="0"/>
          <w:lang w:val="en-US" w:eastAsia="en-US"/>
        </w:rPr>
        <w:t xml:space="preserve"> et al., 2007). Although many patients with CSM require multilevel decompression and may not be ideal candidates for arthroplasty, the trial evidence remains relevant to therapeutic horizons within “current strategies” insofar as it informs discussions about preserving motion, adjacent segment biomechanics, and patient-</w:t>
      </w:r>
      <w:proofErr w:type="spellStart"/>
      <w:r w:rsidRPr="00061226">
        <w:rPr>
          <w:color w:val="auto"/>
          <w:kern w:val="0"/>
          <w:lang w:val="en-US" w:eastAsia="en-US"/>
        </w:rPr>
        <w:t>centred</w:t>
      </w:r>
      <w:proofErr w:type="spellEnd"/>
      <w:r w:rsidRPr="00061226">
        <w:rPr>
          <w:color w:val="auto"/>
          <w:kern w:val="0"/>
          <w:lang w:val="en-US" w:eastAsia="en-US"/>
        </w:rPr>
        <w:t xml:space="preserve"> functional outcomes when choosing operative constructs (</w:t>
      </w:r>
      <w:proofErr w:type="spellStart"/>
      <w:r w:rsidRPr="00061226">
        <w:rPr>
          <w:color w:val="auto"/>
          <w:kern w:val="0"/>
          <w:lang w:val="en-US" w:eastAsia="en-US"/>
        </w:rPr>
        <w:t>Mummaneni</w:t>
      </w:r>
      <w:proofErr w:type="spellEnd"/>
      <w:r w:rsidRPr="00061226">
        <w:rPr>
          <w:color w:val="auto"/>
          <w:kern w:val="0"/>
          <w:lang w:val="en-US" w:eastAsia="en-US"/>
        </w:rPr>
        <w:t xml:space="preserve"> et al., 2007; McCormick et al., 2020).</w:t>
      </w:r>
    </w:p>
    <w:p w:rsidR="00061226" w:rsidRPr="00061226" w:rsidRDefault="00061226"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061226">
        <w:rPr>
          <w:b/>
          <w:bCs/>
          <w:color w:val="auto"/>
          <w:kern w:val="0"/>
          <w:sz w:val="27"/>
          <w:szCs w:val="27"/>
          <w:lang w:val="en-US" w:eastAsia="en-US"/>
        </w:rPr>
        <w:t>6.3 Timing of surgery, expectations, and outcome variability</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Even with technically successful decompression, recovery is heterogeneous. Patients often experience meaningful improvement, but residual symptoms—particularly in gait balance, hand dexterity, and sensory disturbance—are common, reflecting established tract injury and the limits of neural recovery once chronic damage has accrued (McCormick et al., 2020). This variability reinforces the clinical emphasis on timely intervention for progressing disease. Natural history syntheses underscore that waiting through deterioration can reduce recovery potential and increase the likelihood of persistent disability (</w:t>
      </w:r>
      <w:proofErr w:type="spellStart"/>
      <w:r w:rsidRPr="00061226">
        <w:rPr>
          <w:color w:val="auto"/>
          <w:kern w:val="0"/>
          <w:lang w:val="en-US" w:eastAsia="en-US"/>
        </w:rPr>
        <w:t>Badhiwala</w:t>
      </w:r>
      <w:proofErr w:type="spellEnd"/>
      <w:r w:rsidRPr="00061226">
        <w:rPr>
          <w:color w:val="auto"/>
          <w:kern w:val="0"/>
          <w:lang w:val="en-US" w:eastAsia="en-US"/>
        </w:rPr>
        <w:t xml:space="preserve"> &amp; Wilson, 2018; Tetreault et al., 2017). Accordingly, a key component of current therapeutic strategy is </w:t>
      </w:r>
      <w:r w:rsidRPr="00061226">
        <w:rPr>
          <w:i/>
          <w:iCs/>
          <w:color w:val="auto"/>
          <w:kern w:val="0"/>
          <w:lang w:val="en-US" w:eastAsia="en-US"/>
        </w:rPr>
        <w:t>risk-informed timing</w:t>
      </w:r>
      <w:r w:rsidRPr="00061226">
        <w:rPr>
          <w:color w:val="auto"/>
          <w:kern w:val="0"/>
          <w:lang w:val="en-US" w:eastAsia="en-US"/>
        </w:rPr>
        <w:t>: identifying patients for whom observation is reasonably safe versus those in whom prompt decompression is likely to prevent irreversible functional loss. Quantitative monitoring approaches may strengthen these decisions by providing objective indicators of progression during surveillance, thereby reducing reliance on subjective impressions alone (Martin et al., 2018).</w:t>
      </w:r>
    </w:p>
    <w:p w:rsidR="00061226" w:rsidRPr="00061226" w:rsidRDefault="00061226" w:rsidP="007E0B44">
      <w:pPr>
        <w:spacing w:before="100" w:beforeAutospacing="1" w:after="100" w:afterAutospacing="1" w:line="240" w:lineRule="auto"/>
        <w:ind w:left="0" w:right="0" w:firstLine="0"/>
        <w:rPr>
          <w:color w:val="auto"/>
          <w:kern w:val="0"/>
          <w:lang w:val="en-US" w:eastAsia="en-US"/>
        </w:rPr>
      </w:pPr>
      <w:r w:rsidRPr="00061226">
        <w:rPr>
          <w:color w:val="auto"/>
          <w:kern w:val="0"/>
          <w:lang w:val="en-US" w:eastAsia="en-US"/>
        </w:rPr>
        <w:t xml:space="preserve">In parallel, counselling should balance optimism with realism. Surgical decompression is best described as an intervention that can arrest progression and frequently improves function, rather than a guarantee of full neurological </w:t>
      </w:r>
      <w:proofErr w:type="spellStart"/>
      <w:r w:rsidRPr="00061226">
        <w:rPr>
          <w:color w:val="auto"/>
          <w:kern w:val="0"/>
          <w:lang w:val="en-US" w:eastAsia="en-US"/>
        </w:rPr>
        <w:t>normalisation</w:t>
      </w:r>
      <w:proofErr w:type="spellEnd"/>
      <w:r w:rsidRPr="00061226">
        <w:rPr>
          <w:color w:val="auto"/>
          <w:kern w:val="0"/>
          <w:lang w:val="en-US" w:eastAsia="en-US"/>
        </w:rPr>
        <w:t xml:space="preserve">. This framing supports shared decision-making and encourages postoperative planning that includes rehabilitation, fall-risk reduction, and occupational adaptation, especially in patients whose preoperative deficits have already impacted independence (McCormick et al., 2020). The overarching message from current evidence is coherent: conservative strategies have a selective role, but </w:t>
      </w:r>
      <w:r w:rsidRPr="00061226">
        <w:rPr>
          <w:color w:val="auto"/>
          <w:kern w:val="0"/>
          <w:lang w:val="en-US" w:eastAsia="en-US"/>
        </w:rPr>
        <w:lastRenderedPageBreak/>
        <w:t xml:space="preserve">established or progressive CSM typically warrants decompression, and outcomes are most </w:t>
      </w:r>
      <w:proofErr w:type="spellStart"/>
      <w:r w:rsidRPr="00061226">
        <w:rPr>
          <w:color w:val="auto"/>
          <w:kern w:val="0"/>
          <w:lang w:val="en-US" w:eastAsia="en-US"/>
        </w:rPr>
        <w:t>favourable</w:t>
      </w:r>
      <w:proofErr w:type="spellEnd"/>
      <w:r w:rsidRPr="00061226">
        <w:rPr>
          <w:color w:val="auto"/>
          <w:kern w:val="0"/>
          <w:lang w:val="en-US" w:eastAsia="en-US"/>
        </w:rPr>
        <w:t xml:space="preserve"> when progression is identified and addressed before the cord’s compensatory reserve is exhausted (</w:t>
      </w:r>
      <w:proofErr w:type="spellStart"/>
      <w:r w:rsidRPr="00061226">
        <w:rPr>
          <w:color w:val="auto"/>
          <w:kern w:val="0"/>
          <w:lang w:val="en-US" w:eastAsia="en-US"/>
        </w:rPr>
        <w:t>Badhiwala</w:t>
      </w:r>
      <w:proofErr w:type="spellEnd"/>
      <w:r w:rsidRPr="00061226">
        <w:rPr>
          <w:color w:val="auto"/>
          <w:kern w:val="0"/>
          <w:lang w:val="en-US" w:eastAsia="en-US"/>
        </w:rPr>
        <w:t xml:space="preserve"> &amp; Wilson, 2018; Tetreault et al., 2017; Martin et al., 2018).</w:t>
      </w:r>
    </w:p>
    <w:p w:rsidR="00AB792A" w:rsidRDefault="00AB792A" w:rsidP="007E0B44"/>
    <w:p w:rsidR="00F33463" w:rsidRPr="00F33463" w:rsidRDefault="00F33463" w:rsidP="007E0B44">
      <w:pPr>
        <w:spacing w:before="100" w:beforeAutospacing="1" w:after="100" w:afterAutospacing="1" w:line="240" w:lineRule="auto"/>
        <w:ind w:left="0" w:right="0" w:firstLine="0"/>
        <w:outlineLvl w:val="1"/>
        <w:rPr>
          <w:b/>
          <w:bCs/>
          <w:color w:val="auto"/>
          <w:kern w:val="0"/>
          <w:sz w:val="36"/>
          <w:szCs w:val="36"/>
          <w:lang w:val="en-US" w:eastAsia="en-US"/>
        </w:rPr>
      </w:pPr>
      <w:r w:rsidRPr="00F33463">
        <w:rPr>
          <w:b/>
          <w:bCs/>
          <w:color w:val="auto"/>
          <w:kern w:val="0"/>
          <w:sz w:val="36"/>
          <w:szCs w:val="36"/>
          <w:lang w:val="en-US" w:eastAsia="en-US"/>
        </w:rPr>
        <w:t>7. Emerging therapeutic horizons</w:t>
      </w:r>
    </w:p>
    <w:p w:rsidR="00F33463" w:rsidRPr="00F33463" w:rsidRDefault="00F33463" w:rsidP="007E0B44">
      <w:pPr>
        <w:spacing w:before="100" w:beforeAutospacing="1" w:after="100" w:afterAutospacing="1" w:line="240" w:lineRule="auto"/>
        <w:ind w:left="0" w:right="0" w:firstLine="0"/>
        <w:rPr>
          <w:color w:val="auto"/>
          <w:kern w:val="0"/>
          <w:lang w:val="en-US" w:eastAsia="en-US"/>
        </w:rPr>
      </w:pPr>
      <w:r w:rsidRPr="00F33463">
        <w:rPr>
          <w:color w:val="auto"/>
          <w:kern w:val="0"/>
          <w:lang w:val="en-US" w:eastAsia="en-US"/>
        </w:rPr>
        <w:t xml:space="preserve">The therapeutic landscape in cervical </w:t>
      </w:r>
      <w:proofErr w:type="spellStart"/>
      <w:r w:rsidRPr="00F33463">
        <w:rPr>
          <w:color w:val="auto"/>
          <w:kern w:val="0"/>
          <w:lang w:val="en-US" w:eastAsia="en-US"/>
        </w:rPr>
        <w:t>spondylotic</w:t>
      </w:r>
      <w:proofErr w:type="spellEnd"/>
      <w:r w:rsidRPr="00F33463">
        <w:rPr>
          <w:color w:val="auto"/>
          <w:kern w:val="0"/>
          <w:lang w:val="en-US" w:eastAsia="en-US"/>
        </w:rPr>
        <w:t xml:space="preserve"> myelopathy (CSM) is moving beyond an exclusively anatomical model towards a biologically informed paradigm that treats CSM as chronic spinal cord injury driven by both mechanical compression and secondary tissue injury mechanisms. This shift is motivated by two consistent observations: decompression can halt progression and often improves function, yet residual disability remains common; and conventional clinical and imaging approaches do not fully capture disease activity, tissue vulnerability, or the ceiling for recovery. Consequently, emerging therapeutic horizons increasingly focus on adjunctive neuroprotection, precision stratification using biomarkers and quantitative imaging, and trial designs that better reflect the multidimensional nature of recovery.</w:t>
      </w:r>
    </w:p>
    <w:p w:rsidR="00F33463" w:rsidRPr="00F33463" w:rsidRDefault="00F33463"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F33463">
        <w:rPr>
          <w:b/>
          <w:bCs/>
          <w:color w:val="auto"/>
          <w:kern w:val="0"/>
          <w:sz w:val="27"/>
          <w:szCs w:val="27"/>
          <w:lang w:val="en-US" w:eastAsia="en-US"/>
        </w:rPr>
        <w:t xml:space="preserve">7.1 Neuroprotection as an adjunct to decompression: lessons from </w:t>
      </w:r>
      <w:proofErr w:type="spellStart"/>
      <w:r w:rsidRPr="00F33463">
        <w:rPr>
          <w:b/>
          <w:bCs/>
          <w:color w:val="auto"/>
          <w:kern w:val="0"/>
          <w:sz w:val="27"/>
          <w:szCs w:val="27"/>
          <w:lang w:val="en-US" w:eastAsia="en-US"/>
        </w:rPr>
        <w:t>riluzole</w:t>
      </w:r>
      <w:proofErr w:type="spellEnd"/>
    </w:p>
    <w:p w:rsidR="00F33463" w:rsidRPr="00F33463" w:rsidRDefault="00F33463" w:rsidP="007E0B44">
      <w:pPr>
        <w:spacing w:before="100" w:beforeAutospacing="1" w:after="100" w:afterAutospacing="1" w:line="240" w:lineRule="auto"/>
        <w:ind w:left="0" w:right="0" w:firstLine="0"/>
        <w:rPr>
          <w:color w:val="auto"/>
          <w:kern w:val="0"/>
          <w:lang w:val="en-US" w:eastAsia="en-US"/>
        </w:rPr>
      </w:pPr>
      <w:r w:rsidRPr="00F33463">
        <w:rPr>
          <w:color w:val="auto"/>
          <w:kern w:val="0"/>
          <w:lang w:val="en-US" w:eastAsia="en-US"/>
        </w:rPr>
        <w:t xml:space="preserve">Among candidate neuroprotective strategies, </w:t>
      </w:r>
      <w:proofErr w:type="spellStart"/>
      <w:r w:rsidRPr="00F33463">
        <w:rPr>
          <w:color w:val="auto"/>
          <w:kern w:val="0"/>
          <w:lang w:val="en-US" w:eastAsia="en-US"/>
        </w:rPr>
        <w:t>riluzole</w:t>
      </w:r>
      <w:proofErr w:type="spellEnd"/>
      <w:r w:rsidRPr="00F33463">
        <w:rPr>
          <w:color w:val="auto"/>
          <w:kern w:val="0"/>
          <w:lang w:val="en-US" w:eastAsia="en-US"/>
        </w:rPr>
        <w:t xml:space="preserve"> has become a particularly informative case study for translation in degenerative cervical myelopathy. Mechanistically, </w:t>
      </w:r>
      <w:proofErr w:type="spellStart"/>
      <w:r w:rsidRPr="00F33463">
        <w:rPr>
          <w:color w:val="auto"/>
          <w:kern w:val="0"/>
          <w:lang w:val="en-US" w:eastAsia="en-US"/>
        </w:rPr>
        <w:t>riluzole</w:t>
      </w:r>
      <w:proofErr w:type="spellEnd"/>
      <w:r w:rsidRPr="00F33463">
        <w:rPr>
          <w:color w:val="auto"/>
          <w:kern w:val="0"/>
          <w:lang w:val="en-US" w:eastAsia="en-US"/>
        </w:rPr>
        <w:t xml:space="preserve"> is frequently positioned as an anti-excitotoxic agent with broader modulatory effects that may attenuate secondary injury cascades in chronically compressed spinal cord tissue. In a rodent model intended to capture key features of CSM-like injury, </w:t>
      </w:r>
      <w:proofErr w:type="spellStart"/>
      <w:r w:rsidRPr="00F33463">
        <w:rPr>
          <w:color w:val="auto"/>
          <w:kern w:val="0"/>
          <w:lang w:val="en-US" w:eastAsia="en-US"/>
        </w:rPr>
        <w:t>riluzole</w:t>
      </w:r>
      <w:proofErr w:type="spellEnd"/>
      <w:r w:rsidRPr="00F33463">
        <w:rPr>
          <w:color w:val="auto"/>
          <w:kern w:val="0"/>
          <w:lang w:val="en-US" w:eastAsia="en-US"/>
        </w:rPr>
        <w:t xml:space="preserve"> reduced neuropathic pain </w:t>
      </w:r>
      <w:proofErr w:type="spellStart"/>
      <w:r w:rsidRPr="00F33463">
        <w:rPr>
          <w:color w:val="auto"/>
          <w:kern w:val="0"/>
          <w:lang w:val="en-US" w:eastAsia="en-US"/>
        </w:rPr>
        <w:t>behaviours</w:t>
      </w:r>
      <w:proofErr w:type="spellEnd"/>
      <w:r w:rsidRPr="00F33463">
        <w:rPr>
          <w:color w:val="auto"/>
          <w:kern w:val="0"/>
          <w:lang w:val="en-US" w:eastAsia="en-US"/>
        </w:rPr>
        <w:t xml:space="preserve"> and improved functional recovery, supporting biological plausibility for clinical evaluation and reinforcing the relevance of excitotoxic and inflammatory processes in chronic compressive myelopathy (Moon et al., 2014).</w:t>
      </w:r>
    </w:p>
    <w:p w:rsidR="00F33463" w:rsidRPr="00F33463" w:rsidRDefault="00F33463" w:rsidP="007E0B44">
      <w:pPr>
        <w:spacing w:before="100" w:beforeAutospacing="1" w:after="100" w:afterAutospacing="1" w:line="240" w:lineRule="auto"/>
        <w:ind w:left="0" w:right="0" w:firstLine="0"/>
        <w:rPr>
          <w:color w:val="auto"/>
          <w:kern w:val="0"/>
          <w:lang w:val="en-US" w:eastAsia="en-US"/>
        </w:rPr>
      </w:pPr>
      <w:r w:rsidRPr="00F33463">
        <w:rPr>
          <w:color w:val="auto"/>
          <w:kern w:val="0"/>
          <w:lang w:val="en-US" w:eastAsia="en-US"/>
        </w:rPr>
        <w:t xml:space="preserve">Clinical testing has, however, highlighted the complexity of demonstrating incremental benefit beyond decompression. The </w:t>
      </w:r>
      <w:proofErr w:type="spellStart"/>
      <w:r w:rsidRPr="00F33463">
        <w:rPr>
          <w:color w:val="auto"/>
          <w:kern w:val="0"/>
          <w:lang w:val="en-US" w:eastAsia="en-US"/>
        </w:rPr>
        <w:t>multicentre</w:t>
      </w:r>
      <w:proofErr w:type="spellEnd"/>
      <w:r w:rsidRPr="00F33463">
        <w:rPr>
          <w:color w:val="auto"/>
          <w:kern w:val="0"/>
          <w:lang w:val="en-US" w:eastAsia="en-US"/>
        </w:rPr>
        <w:t xml:space="preserve">, double-blind, </w:t>
      </w:r>
      <w:proofErr w:type="spellStart"/>
      <w:r w:rsidRPr="00F33463">
        <w:rPr>
          <w:color w:val="auto"/>
          <w:kern w:val="0"/>
          <w:lang w:val="en-US" w:eastAsia="en-US"/>
        </w:rPr>
        <w:t>randomised</w:t>
      </w:r>
      <w:proofErr w:type="spellEnd"/>
      <w:r w:rsidRPr="00F33463">
        <w:rPr>
          <w:color w:val="auto"/>
          <w:kern w:val="0"/>
          <w:lang w:val="en-US" w:eastAsia="en-US"/>
        </w:rPr>
        <w:t xml:space="preserve"> phase 3 CSM-PROTECT trial evaluated perioperative </w:t>
      </w:r>
      <w:proofErr w:type="spellStart"/>
      <w:r w:rsidRPr="00F33463">
        <w:rPr>
          <w:color w:val="auto"/>
          <w:kern w:val="0"/>
          <w:lang w:val="en-US" w:eastAsia="en-US"/>
        </w:rPr>
        <w:t>riluzole</w:t>
      </w:r>
      <w:proofErr w:type="spellEnd"/>
      <w:r w:rsidRPr="00F33463">
        <w:rPr>
          <w:color w:val="auto"/>
          <w:kern w:val="0"/>
          <w:lang w:val="en-US" w:eastAsia="en-US"/>
        </w:rPr>
        <w:t xml:space="preserve"> as an adjunct to decompressive surgery and did not demonstrate superiority on the prespecified primary endpoint in the initial report (</w:t>
      </w:r>
      <w:proofErr w:type="spellStart"/>
      <w:r w:rsidRPr="00F33463">
        <w:rPr>
          <w:color w:val="auto"/>
          <w:kern w:val="0"/>
          <w:lang w:val="en-US" w:eastAsia="en-US"/>
        </w:rPr>
        <w:t>Fehlings</w:t>
      </w:r>
      <w:proofErr w:type="spellEnd"/>
      <w:r w:rsidRPr="00F33463">
        <w:rPr>
          <w:color w:val="auto"/>
          <w:kern w:val="0"/>
          <w:lang w:val="en-US" w:eastAsia="en-US"/>
        </w:rPr>
        <w:t xml:space="preserve"> et al., 2021). A subsequent secondary analysis using a global statistical approach that integrated multiple outcome scales suggested a superior overall treatment effect when recovery was assessed as a composite across distinct domains (</w:t>
      </w:r>
      <w:proofErr w:type="spellStart"/>
      <w:r w:rsidRPr="00F33463">
        <w:rPr>
          <w:color w:val="auto"/>
          <w:kern w:val="0"/>
          <w:lang w:val="en-US" w:eastAsia="en-US"/>
        </w:rPr>
        <w:t>Fehlings</w:t>
      </w:r>
      <w:proofErr w:type="spellEnd"/>
      <w:r w:rsidRPr="00F33463">
        <w:rPr>
          <w:color w:val="auto"/>
          <w:kern w:val="0"/>
          <w:lang w:val="en-US" w:eastAsia="en-US"/>
        </w:rPr>
        <w:t xml:space="preserve"> et al., 2024). Together, these studies illustrate several principles likely to shape future neuroprotective development in CSM. First, adjunctive benefits may be modest and therefore require sensitive, multidomain endpoints. Secondly, outcome selection is not merely methodological; it embeds a conceptual model of recovery in which neurological function, pain, disability, and life impact may change asynchronously and may not be adequately represented by a single score (</w:t>
      </w:r>
      <w:proofErr w:type="spellStart"/>
      <w:r w:rsidRPr="00F33463">
        <w:rPr>
          <w:color w:val="auto"/>
          <w:kern w:val="0"/>
          <w:lang w:val="en-US" w:eastAsia="en-US"/>
        </w:rPr>
        <w:t>Fehlings</w:t>
      </w:r>
      <w:proofErr w:type="spellEnd"/>
      <w:r w:rsidRPr="00F33463">
        <w:rPr>
          <w:color w:val="auto"/>
          <w:kern w:val="0"/>
          <w:lang w:val="en-US" w:eastAsia="en-US"/>
        </w:rPr>
        <w:t xml:space="preserve"> et al., 2024). Thirdly, therapeutic timing and baseline injury burden probably matter: neuroprotection is most credible when it targets an active secondary injury window, before chronic tract damage becomes fixed and biologically non-modifiable (</w:t>
      </w:r>
      <w:proofErr w:type="spellStart"/>
      <w:r w:rsidRPr="00F33463">
        <w:rPr>
          <w:color w:val="auto"/>
          <w:kern w:val="0"/>
          <w:lang w:val="en-US" w:eastAsia="en-US"/>
        </w:rPr>
        <w:t>Fehlings</w:t>
      </w:r>
      <w:proofErr w:type="spellEnd"/>
      <w:r w:rsidRPr="00F33463">
        <w:rPr>
          <w:color w:val="auto"/>
          <w:kern w:val="0"/>
          <w:lang w:val="en-US" w:eastAsia="en-US"/>
        </w:rPr>
        <w:t xml:space="preserve"> et al., 2021; </w:t>
      </w:r>
      <w:proofErr w:type="spellStart"/>
      <w:r w:rsidRPr="00F33463">
        <w:rPr>
          <w:color w:val="auto"/>
          <w:kern w:val="0"/>
          <w:lang w:val="en-US" w:eastAsia="en-US"/>
        </w:rPr>
        <w:t>Fehlings</w:t>
      </w:r>
      <w:proofErr w:type="spellEnd"/>
      <w:r w:rsidRPr="00F33463">
        <w:rPr>
          <w:color w:val="auto"/>
          <w:kern w:val="0"/>
          <w:lang w:val="en-US" w:eastAsia="en-US"/>
        </w:rPr>
        <w:t xml:space="preserve"> et al., 2024).</w:t>
      </w:r>
    </w:p>
    <w:p w:rsidR="00F33463" w:rsidRPr="00F33463" w:rsidRDefault="00F33463"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F33463">
        <w:rPr>
          <w:b/>
          <w:bCs/>
          <w:color w:val="auto"/>
          <w:kern w:val="0"/>
          <w:sz w:val="27"/>
          <w:szCs w:val="27"/>
          <w:lang w:val="en-US" w:eastAsia="en-US"/>
        </w:rPr>
        <w:t>7.2 Biomarker-guided stratification and prognostication</w:t>
      </w:r>
    </w:p>
    <w:p w:rsidR="00F33463" w:rsidRPr="00F33463" w:rsidRDefault="00F33463" w:rsidP="007E0B44">
      <w:pPr>
        <w:spacing w:before="100" w:beforeAutospacing="1" w:after="100" w:afterAutospacing="1" w:line="240" w:lineRule="auto"/>
        <w:ind w:left="0" w:right="0" w:firstLine="0"/>
        <w:rPr>
          <w:color w:val="auto"/>
          <w:kern w:val="0"/>
          <w:lang w:val="en-US" w:eastAsia="en-US"/>
        </w:rPr>
      </w:pPr>
      <w:r w:rsidRPr="00F33463">
        <w:rPr>
          <w:color w:val="auto"/>
          <w:kern w:val="0"/>
          <w:lang w:val="en-US" w:eastAsia="en-US"/>
        </w:rPr>
        <w:lastRenderedPageBreak/>
        <w:t xml:space="preserve">A major horizon is biomarker-guided stratification, in which treatment timing, trial enrichment, and prognostication are informed by objective measures of spinal cord injury biology. Cerebrospinal fluid (CSF) biomarkers are of particular interest because they may reflect central nervous system processes more directly than peripheral measures. Evidence indicates that CSF biomarkers associated with white matter injury and astrogliosis are linked to disease severity and surgical outcome in degenerative cervical </w:t>
      </w:r>
      <w:proofErr w:type="spellStart"/>
      <w:r w:rsidRPr="00F33463">
        <w:rPr>
          <w:color w:val="auto"/>
          <w:kern w:val="0"/>
          <w:lang w:val="en-US" w:eastAsia="en-US"/>
        </w:rPr>
        <w:t>spondylotic</w:t>
      </w:r>
      <w:proofErr w:type="spellEnd"/>
      <w:r w:rsidRPr="00F33463">
        <w:rPr>
          <w:color w:val="auto"/>
          <w:kern w:val="0"/>
          <w:lang w:val="en-US" w:eastAsia="en-US"/>
        </w:rPr>
        <w:t xml:space="preserve"> myelopathy, supporting the concept that biochemical signals can differentiate patients with relatively “inactive” compression from those with more active tissue injury (</w:t>
      </w:r>
      <w:proofErr w:type="spellStart"/>
      <w:r w:rsidRPr="00F33463">
        <w:rPr>
          <w:color w:val="auto"/>
          <w:kern w:val="0"/>
          <w:lang w:val="en-US" w:eastAsia="en-US"/>
        </w:rPr>
        <w:t>Tsitsopoulos</w:t>
      </w:r>
      <w:proofErr w:type="spellEnd"/>
      <w:r w:rsidRPr="00F33463">
        <w:rPr>
          <w:color w:val="auto"/>
          <w:kern w:val="0"/>
          <w:lang w:val="en-US" w:eastAsia="en-US"/>
        </w:rPr>
        <w:t xml:space="preserve"> et al., 2022).</w:t>
      </w:r>
    </w:p>
    <w:p w:rsidR="00F33463" w:rsidRPr="00F33463" w:rsidRDefault="00F33463" w:rsidP="007E0B44">
      <w:pPr>
        <w:spacing w:before="100" w:beforeAutospacing="1" w:after="100" w:afterAutospacing="1" w:line="240" w:lineRule="auto"/>
        <w:ind w:left="0" w:right="0" w:firstLine="0"/>
        <w:rPr>
          <w:color w:val="auto"/>
          <w:kern w:val="0"/>
          <w:lang w:val="en-US" w:eastAsia="en-US"/>
        </w:rPr>
      </w:pPr>
      <w:r w:rsidRPr="00F33463">
        <w:rPr>
          <w:color w:val="auto"/>
          <w:kern w:val="0"/>
          <w:lang w:val="en-US" w:eastAsia="en-US"/>
        </w:rPr>
        <w:t>From a therapeutic perspective, biomarkers could contribute in three complementary ways. They may identify patients at higher risk of progression or incomplete recovery who merit earlier intervention; they may support patient enrichment for trials of neuroprotection and repair; and they may provide intermediate endpoints to detect biological response even when clinical change is small or delayed (</w:t>
      </w:r>
      <w:proofErr w:type="spellStart"/>
      <w:r w:rsidRPr="00F33463">
        <w:rPr>
          <w:color w:val="auto"/>
          <w:kern w:val="0"/>
          <w:lang w:val="en-US" w:eastAsia="en-US"/>
        </w:rPr>
        <w:t>Tsitsopoulos</w:t>
      </w:r>
      <w:proofErr w:type="spellEnd"/>
      <w:r w:rsidRPr="00F33463">
        <w:rPr>
          <w:color w:val="auto"/>
          <w:kern w:val="0"/>
          <w:lang w:val="en-US" w:eastAsia="en-US"/>
        </w:rPr>
        <w:t xml:space="preserve"> et al., 2022). Importantly, biomarker development also intersects with the need for </w:t>
      </w:r>
      <w:proofErr w:type="spellStart"/>
      <w:r w:rsidRPr="00F33463">
        <w:rPr>
          <w:color w:val="auto"/>
          <w:kern w:val="0"/>
          <w:lang w:val="en-US" w:eastAsia="en-US"/>
        </w:rPr>
        <w:t>harmonised</w:t>
      </w:r>
      <w:proofErr w:type="spellEnd"/>
      <w:r w:rsidRPr="00F33463">
        <w:rPr>
          <w:color w:val="auto"/>
          <w:kern w:val="0"/>
          <w:lang w:val="en-US" w:eastAsia="en-US"/>
        </w:rPr>
        <w:t xml:space="preserve"> outcome selection; as trials increasingly test adjunctive therapies, biomarker-based stratification will be more interpretable if aligned with consensus outcome constructs and measurement standards in DCM research (Davies et al., 2024).</w:t>
      </w:r>
    </w:p>
    <w:p w:rsidR="00F33463" w:rsidRPr="00F33463" w:rsidRDefault="00F33463"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F33463">
        <w:rPr>
          <w:b/>
          <w:bCs/>
          <w:color w:val="auto"/>
          <w:kern w:val="0"/>
          <w:sz w:val="27"/>
          <w:szCs w:val="27"/>
          <w:lang w:val="en-US" w:eastAsia="en-US"/>
        </w:rPr>
        <w:t>7.3 Quantitative MRI as a bridge between mechanism and management</w:t>
      </w:r>
    </w:p>
    <w:p w:rsidR="00F33463" w:rsidRPr="00F33463" w:rsidRDefault="00F33463" w:rsidP="007E0B44">
      <w:pPr>
        <w:spacing w:before="100" w:beforeAutospacing="1" w:after="100" w:afterAutospacing="1" w:line="240" w:lineRule="auto"/>
        <w:ind w:left="0" w:right="0" w:firstLine="0"/>
        <w:rPr>
          <w:color w:val="auto"/>
          <w:kern w:val="0"/>
          <w:lang w:val="en-US" w:eastAsia="en-US"/>
        </w:rPr>
      </w:pPr>
      <w:r w:rsidRPr="00F33463">
        <w:rPr>
          <w:color w:val="auto"/>
          <w:kern w:val="0"/>
          <w:lang w:val="en-US" w:eastAsia="en-US"/>
        </w:rPr>
        <w:t>The maturation of quantitative spinal cord imaging provides a second pillar for precision therapeutics. Diffusion tensor imaging (DTI) has been widely investigated as a tract-sensitive tool that can detect microstructural disruption not always evident on conventional MRI, and diffusion-derived measures have shown potential correlations with impairment and prognosis (</w:t>
      </w:r>
      <w:proofErr w:type="spellStart"/>
      <w:r w:rsidRPr="00F33463">
        <w:rPr>
          <w:color w:val="auto"/>
          <w:kern w:val="0"/>
          <w:lang w:val="en-US" w:eastAsia="en-US"/>
        </w:rPr>
        <w:t>Shabani</w:t>
      </w:r>
      <w:proofErr w:type="spellEnd"/>
      <w:r w:rsidRPr="00F33463">
        <w:rPr>
          <w:color w:val="auto"/>
          <w:kern w:val="0"/>
          <w:lang w:val="en-US" w:eastAsia="en-US"/>
        </w:rPr>
        <w:t xml:space="preserve"> et al., 2020). However, variability in acquisition, processing pipelines, and region-of-interest selection remains a barrier to </w:t>
      </w:r>
      <w:proofErr w:type="spellStart"/>
      <w:r w:rsidRPr="00F33463">
        <w:rPr>
          <w:color w:val="auto"/>
          <w:kern w:val="0"/>
          <w:lang w:val="en-US" w:eastAsia="en-US"/>
        </w:rPr>
        <w:t>standardisation</w:t>
      </w:r>
      <w:proofErr w:type="spellEnd"/>
      <w:r w:rsidRPr="00F33463">
        <w:rPr>
          <w:color w:val="auto"/>
          <w:kern w:val="0"/>
          <w:lang w:val="en-US" w:eastAsia="en-US"/>
        </w:rPr>
        <w:t>, particularly in the cervical cord where motion and partial-volume effects are prominent (</w:t>
      </w:r>
      <w:proofErr w:type="spellStart"/>
      <w:r w:rsidRPr="00F33463">
        <w:rPr>
          <w:color w:val="auto"/>
          <w:kern w:val="0"/>
          <w:lang w:val="en-US" w:eastAsia="en-US"/>
        </w:rPr>
        <w:t>Shabani</w:t>
      </w:r>
      <w:proofErr w:type="spellEnd"/>
      <w:r w:rsidRPr="00F33463">
        <w:rPr>
          <w:color w:val="auto"/>
          <w:kern w:val="0"/>
          <w:lang w:val="en-US" w:eastAsia="en-US"/>
        </w:rPr>
        <w:t xml:space="preserve"> et al., 2020). This has </w:t>
      </w:r>
      <w:proofErr w:type="spellStart"/>
      <w:r w:rsidRPr="00F33463">
        <w:rPr>
          <w:color w:val="auto"/>
          <w:kern w:val="0"/>
          <w:lang w:val="en-US" w:eastAsia="en-US"/>
        </w:rPr>
        <w:t>fuelled</w:t>
      </w:r>
      <w:proofErr w:type="spellEnd"/>
      <w:r w:rsidRPr="00F33463">
        <w:rPr>
          <w:color w:val="auto"/>
          <w:kern w:val="0"/>
          <w:lang w:val="en-US" w:eastAsia="en-US"/>
        </w:rPr>
        <w:t xml:space="preserve"> interest in multiparametric approaches that combine complementary contrasts. A clinically feasible microstructural MRI protocol integrating diffusion metrics, </w:t>
      </w:r>
      <w:proofErr w:type="spellStart"/>
      <w:r w:rsidRPr="00F33463">
        <w:rPr>
          <w:color w:val="auto"/>
          <w:kern w:val="0"/>
          <w:lang w:val="en-US" w:eastAsia="en-US"/>
        </w:rPr>
        <w:t>magnetisation</w:t>
      </w:r>
      <w:proofErr w:type="spellEnd"/>
      <w:r w:rsidRPr="00F33463">
        <w:rPr>
          <w:color w:val="auto"/>
          <w:kern w:val="0"/>
          <w:lang w:val="en-US" w:eastAsia="en-US"/>
        </w:rPr>
        <w:t xml:space="preserve"> transfer measures, and other indices has been evaluated with normative values and reliability testing, supporting scalability across clinical environments (Martin et al., 2017a).</w:t>
      </w:r>
    </w:p>
    <w:p w:rsidR="00F33463" w:rsidRPr="00F33463" w:rsidRDefault="00F33463" w:rsidP="007E0B44">
      <w:pPr>
        <w:spacing w:before="100" w:beforeAutospacing="1" w:after="100" w:afterAutospacing="1" w:line="240" w:lineRule="auto"/>
        <w:ind w:left="0" w:right="0" w:firstLine="0"/>
        <w:rPr>
          <w:color w:val="auto"/>
          <w:kern w:val="0"/>
          <w:lang w:val="en-US" w:eastAsia="en-US"/>
        </w:rPr>
      </w:pPr>
      <w:r w:rsidRPr="00F33463">
        <w:rPr>
          <w:color w:val="auto"/>
          <w:kern w:val="0"/>
          <w:lang w:val="en-US" w:eastAsia="en-US"/>
        </w:rPr>
        <w:t xml:space="preserve">Alongside multiparametric frameworks, targeted quantitative biomarkers have been introduced to capture specific tissue attributes. A T2*-weighted white matter to grey matter signal intensity ratio has been proposed as a candidate marker of white matter injury, offering a </w:t>
      </w:r>
      <w:proofErr w:type="spellStart"/>
      <w:r w:rsidRPr="00F33463">
        <w:rPr>
          <w:color w:val="auto"/>
          <w:kern w:val="0"/>
          <w:lang w:val="en-US" w:eastAsia="en-US"/>
        </w:rPr>
        <w:t>normalised</w:t>
      </w:r>
      <w:proofErr w:type="spellEnd"/>
      <w:r w:rsidRPr="00F33463">
        <w:rPr>
          <w:color w:val="auto"/>
          <w:kern w:val="0"/>
          <w:lang w:val="en-US" w:eastAsia="en-US"/>
        </w:rPr>
        <w:t xml:space="preserve"> metric that can be incorporated into multivariate models (Martin et al., 2017b). The value of these quantitative techniques is most compelling in longitudinal settings, where the clinical dilemma is often whether a patient with mild disease is stable or progressing. Multiparametric quantitative MRI has demonstrated sensitivity to myelopathic progression, including scenarios in which conventional clinical measures may not register meaningful change, raising concern for tissue-level deterioration during surveillance (Martin et al., 2018). Consistent with this therapeutic framing, quantitative imaging metrics may also help </w:t>
      </w:r>
      <w:proofErr w:type="spellStart"/>
      <w:r w:rsidRPr="00F33463">
        <w:rPr>
          <w:color w:val="auto"/>
          <w:kern w:val="0"/>
          <w:lang w:val="en-US" w:eastAsia="en-US"/>
        </w:rPr>
        <w:t>personalise</w:t>
      </w:r>
      <w:proofErr w:type="spellEnd"/>
      <w:r w:rsidRPr="00F33463">
        <w:rPr>
          <w:color w:val="auto"/>
          <w:kern w:val="0"/>
          <w:lang w:val="en-US" w:eastAsia="en-US"/>
        </w:rPr>
        <w:t xml:space="preserve"> surgical counselling; for example, </w:t>
      </w:r>
      <w:proofErr w:type="spellStart"/>
      <w:r w:rsidRPr="00F33463">
        <w:rPr>
          <w:color w:val="auto"/>
          <w:kern w:val="0"/>
          <w:lang w:val="en-US" w:eastAsia="en-US"/>
        </w:rPr>
        <w:t>magnetisation</w:t>
      </w:r>
      <w:proofErr w:type="spellEnd"/>
      <w:r w:rsidRPr="00F33463">
        <w:rPr>
          <w:color w:val="auto"/>
          <w:kern w:val="0"/>
          <w:lang w:val="en-US" w:eastAsia="en-US"/>
        </w:rPr>
        <w:t xml:space="preserve"> transfer and morphometric measures have been associated with postoperative recovery in degenerative cervical myelopathy, supporting their potential as prognostic tools and as stratification variables for adjunctive trials (</w:t>
      </w:r>
      <w:proofErr w:type="spellStart"/>
      <w:r w:rsidRPr="00F33463">
        <w:rPr>
          <w:color w:val="auto"/>
          <w:kern w:val="0"/>
          <w:lang w:val="en-US" w:eastAsia="en-US"/>
        </w:rPr>
        <w:t>Paliwal</w:t>
      </w:r>
      <w:proofErr w:type="spellEnd"/>
      <w:r w:rsidRPr="00F33463">
        <w:rPr>
          <w:color w:val="auto"/>
          <w:kern w:val="0"/>
          <w:lang w:val="en-US" w:eastAsia="en-US"/>
        </w:rPr>
        <w:t xml:space="preserve"> et al., 2020).</w:t>
      </w:r>
    </w:p>
    <w:p w:rsidR="00F33463" w:rsidRPr="00F33463" w:rsidRDefault="00F33463" w:rsidP="007E0B44">
      <w:pPr>
        <w:spacing w:before="100" w:beforeAutospacing="1" w:after="100" w:afterAutospacing="1" w:line="240" w:lineRule="auto"/>
        <w:ind w:left="0" w:right="0" w:firstLine="0"/>
        <w:outlineLvl w:val="2"/>
        <w:rPr>
          <w:b/>
          <w:bCs/>
          <w:color w:val="auto"/>
          <w:kern w:val="0"/>
          <w:sz w:val="27"/>
          <w:szCs w:val="27"/>
          <w:lang w:val="en-US" w:eastAsia="en-US"/>
        </w:rPr>
      </w:pPr>
      <w:r w:rsidRPr="00F33463">
        <w:rPr>
          <w:b/>
          <w:bCs/>
          <w:color w:val="auto"/>
          <w:kern w:val="0"/>
          <w:sz w:val="27"/>
          <w:szCs w:val="27"/>
          <w:lang w:val="en-US" w:eastAsia="en-US"/>
        </w:rPr>
        <w:t>7.4 Integrating adjunctive therapy, biomarkers, rehabilitation, and outcome science</w:t>
      </w:r>
    </w:p>
    <w:p w:rsidR="00F33463" w:rsidRPr="00F33463" w:rsidRDefault="00F33463" w:rsidP="007E0B44">
      <w:pPr>
        <w:spacing w:before="100" w:beforeAutospacing="1" w:after="100" w:afterAutospacing="1" w:line="240" w:lineRule="auto"/>
        <w:ind w:left="0" w:right="0" w:firstLine="0"/>
        <w:rPr>
          <w:color w:val="auto"/>
          <w:kern w:val="0"/>
          <w:lang w:val="en-US" w:eastAsia="en-US"/>
        </w:rPr>
      </w:pPr>
      <w:r w:rsidRPr="00F33463">
        <w:rPr>
          <w:color w:val="auto"/>
          <w:kern w:val="0"/>
          <w:lang w:val="en-US" w:eastAsia="en-US"/>
        </w:rPr>
        <w:lastRenderedPageBreak/>
        <w:t xml:space="preserve">A decisive emerging horizon is integration: matching adjunctive interventions to biological state and measuring benefit in a way that reflects patient-relevant recovery. The </w:t>
      </w:r>
      <w:proofErr w:type="spellStart"/>
      <w:r w:rsidRPr="00F33463">
        <w:rPr>
          <w:color w:val="auto"/>
          <w:kern w:val="0"/>
          <w:lang w:val="en-US" w:eastAsia="en-US"/>
        </w:rPr>
        <w:t>riluzole</w:t>
      </w:r>
      <w:proofErr w:type="spellEnd"/>
      <w:r w:rsidRPr="00F33463">
        <w:rPr>
          <w:color w:val="auto"/>
          <w:kern w:val="0"/>
          <w:lang w:val="en-US" w:eastAsia="en-US"/>
        </w:rPr>
        <w:t xml:space="preserve"> </w:t>
      </w:r>
      <w:proofErr w:type="spellStart"/>
      <w:r w:rsidRPr="00F33463">
        <w:rPr>
          <w:color w:val="auto"/>
          <w:kern w:val="0"/>
          <w:lang w:val="en-US" w:eastAsia="en-US"/>
        </w:rPr>
        <w:t>programme</w:t>
      </w:r>
      <w:proofErr w:type="spellEnd"/>
      <w:r w:rsidRPr="00F33463">
        <w:rPr>
          <w:color w:val="auto"/>
          <w:kern w:val="0"/>
          <w:lang w:val="en-US" w:eastAsia="en-US"/>
        </w:rPr>
        <w:t xml:space="preserve"> indicates that therapeutic signals may become more visible when outcomes are assessed across multiple domains rather than through a single scale, and it highlights the need to embed endpoint selection within a coherent model of recovery biology (</w:t>
      </w:r>
      <w:proofErr w:type="spellStart"/>
      <w:r w:rsidRPr="00F33463">
        <w:rPr>
          <w:color w:val="auto"/>
          <w:kern w:val="0"/>
          <w:lang w:val="en-US" w:eastAsia="en-US"/>
        </w:rPr>
        <w:t>Fehlings</w:t>
      </w:r>
      <w:proofErr w:type="spellEnd"/>
      <w:r w:rsidRPr="00F33463">
        <w:rPr>
          <w:color w:val="auto"/>
          <w:kern w:val="0"/>
          <w:lang w:val="en-US" w:eastAsia="en-US"/>
        </w:rPr>
        <w:t xml:space="preserve"> et al., 2021; </w:t>
      </w:r>
      <w:proofErr w:type="spellStart"/>
      <w:r w:rsidRPr="00F33463">
        <w:rPr>
          <w:color w:val="auto"/>
          <w:kern w:val="0"/>
          <w:lang w:val="en-US" w:eastAsia="en-US"/>
        </w:rPr>
        <w:t>Fehlings</w:t>
      </w:r>
      <w:proofErr w:type="spellEnd"/>
      <w:r w:rsidRPr="00F33463">
        <w:rPr>
          <w:color w:val="auto"/>
          <w:kern w:val="0"/>
          <w:lang w:val="en-US" w:eastAsia="en-US"/>
        </w:rPr>
        <w:t xml:space="preserve"> et al., 2024). In parallel, biomarker findings associated with tissue injury and glial activation provide a basis for identifying patients with active pathology who may be most likely to benefit from neuroprotective strategies, and may allow trials to distinguish symptomatic compensation from attenuation of injury processes (</w:t>
      </w:r>
      <w:proofErr w:type="spellStart"/>
      <w:r w:rsidRPr="00F33463">
        <w:rPr>
          <w:color w:val="auto"/>
          <w:kern w:val="0"/>
          <w:lang w:val="en-US" w:eastAsia="en-US"/>
        </w:rPr>
        <w:t>Tsitsopoulos</w:t>
      </w:r>
      <w:proofErr w:type="spellEnd"/>
      <w:r w:rsidRPr="00F33463">
        <w:rPr>
          <w:color w:val="auto"/>
          <w:kern w:val="0"/>
          <w:lang w:val="en-US" w:eastAsia="en-US"/>
        </w:rPr>
        <w:t xml:space="preserve"> et al., 2022). Quantitative imaging can complement this approach by staging microstructural injury and identifying progression risk during watchful waiting, thereby helping to time interventions before neurological reserve is exhausted (</w:t>
      </w:r>
      <w:proofErr w:type="spellStart"/>
      <w:r w:rsidRPr="00F33463">
        <w:rPr>
          <w:color w:val="auto"/>
          <w:kern w:val="0"/>
          <w:lang w:val="en-US" w:eastAsia="en-US"/>
        </w:rPr>
        <w:t>Shabani</w:t>
      </w:r>
      <w:proofErr w:type="spellEnd"/>
      <w:r w:rsidRPr="00F33463">
        <w:rPr>
          <w:color w:val="auto"/>
          <w:kern w:val="0"/>
          <w:lang w:val="en-US" w:eastAsia="en-US"/>
        </w:rPr>
        <w:t xml:space="preserve"> et al., 2020; Martin et al., 2017b; Martin et al., 2018).</w:t>
      </w:r>
    </w:p>
    <w:p w:rsidR="00F33463" w:rsidRPr="00F33463" w:rsidRDefault="00F33463" w:rsidP="007E0B44">
      <w:pPr>
        <w:spacing w:before="100" w:beforeAutospacing="1" w:after="100" w:afterAutospacing="1" w:line="240" w:lineRule="auto"/>
        <w:ind w:left="0" w:right="0" w:firstLine="0"/>
        <w:rPr>
          <w:color w:val="auto"/>
          <w:kern w:val="0"/>
          <w:lang w:val="en-US" w:eastAsia="en-US"/>
        </w:rPr>
      </w:pPr>
      <w:r w:rsidRPr="00F33463">
        <w:rPr>
          <w:color w:val="auto"/>
          <w:kern w:val="0"/>
          <w:lang w:val="en-US" w:eastAsia="en-US"/>
        </w:rPr>
        <w:t xml:space="preserve">These developments also bring rehabilitation into sharper therapeutic focus. Emerging work is explicitly testing structured rehabilitation approaches in mild, stable degenerative cervical myelopathy, reflecting an increasing recognition that non-operative strategies should be evidence-informed, reproducible, and measurable using core outcome constructs (Treanor et al., 2026). This direction aligns with broader consensus efforts to </w:t>
      </w:r>
      <w:proofErr w:type="spellStart"/>
      <w:r w:rsidRPr="00F33463">
        <w:rPr>
          <w:color w:val="auto"/>
          <w:kern w:val="0"/>
          <w:lang w:val="en-US" w:eastAsia="en-US"/>
        </w:rPr>
        <w:t>standardise</w:t>
      </w:r>
      <w:proofErr w:type="spellEnd"/>
      <w:r w:rsidRPr="00F33463">
        <w:rPr>
          <w:color w:val="auto"/>
          <w:kern w:val="0"/>
          <w:lang w:val="en-US" w:eastAsia="en-US"/>
        </w:rPr>
        <w:t xml:space="preserve"> what should be measured in DCM trials and how outcomes should be reported, thereby enabling cross-study comparability and more efficient evaluation of adjunctive therapies (Yanez </w:t>
      </w:r>
      <w:proofErr w:type="spellStart"/>
      <w:r w:rsidRPr="00F33463">
        <w:rPr>
          <w:color w:val="auto"/>
          <w:kern w:val="0"/>
          <w:lang w:val="en-US" w:eastAsia="en-US"/>
        </w:rPr>
        <w:t>Touzet</w:t>
      </w:r>
      <w:proofErr w:type="spellEnd"/>
      <w:r w:rsidRPr="00F33463">
        <w:rPr>
          <w:color w:val="auto"/>
          <w:kern w:val="0"/>
          <w:lang w:val="en-US" w:eastAsia="en-US"/>
        </w:rPr>
        <w:t xml:space="preserve"> et al., 2022; Davies et al., 2024). In combination, these horizons point towards a precision model of CSM care: decompression as the indispensable mechanical intervention, adjunctive neuroprotection and restorative strategies targeted to biologically active disease, and integrated biomarker and quantitative imaging systems that guide timing, stratify prognosis, and support sensitive, multidomain trial endpoints (Moon et al., 2014; </w:t>
      </w:r>
      <w:proofErr w:type="spellStart"/>
      <w:r w:rsidRPr="00F33463">
        <w:rPr>
          <w:color w:val="auto"/>
          <w:kern w:val="0"/>
          <w:lang w:val="en-US" w:eastAsia="en-US"/>
        </w:rPr>
        <w:t>Fehlings</w:t>
      </w:r>
      <w:proofErr w:type="spellEnd"/>
      <w:r w:rsidRPr="00F33463">
        <w:rPr>
          <w:color w:val="auto"/>
          <w:kern w:val="0"/>
          <w:lang w:val="en-US" w:eastAsia="en-US"/>
        </w:rPr>
        <w:t xml:space="preserve"> et al., 2024; Martin et al., 2018; </w:t>
      </w:r>
      <w:proofErr w:type="spellStart"/>
      <w:r w:rsidRPr="00F33463">
        <w:rPr>
          <w:color w:val="auto"/>
          <w:kern w:val="0"/>
          <w:lang w:val="en-US" w:eastAsia="en-US"/>
        </w:rPr>
        <w:t>Tsitsopoulos</w:t>
      </w:r>
      <w:proofErr w:type="spellEnd"/>
      <w:r w:rsidRPr="00F33463">
        <w:rPr>
          <w:color w:val="auto"/>
          <w:kern w:val="0"/>
          <w:lang w:val="en-US" w:eastAsia="en-US"/>
        </w:rPr>
        <w:t xml:space="preserve"> et al., 2022).</w:t>
      </w:r>
    </w:p>
    <w:p w:rsidR="00AB792A" w:rsidRDefault="00AB792A" w:rsidP="007E0B44"/>
    <w:p w:rsidR="00AB792A" w:rsidRDefault="00A42234" w:rsidP="007E0B44">
      <w:pPr>
        <w:pStyle w:val="Heading2"/>
        <w:jc w:val="both"/>
      </w:pPr>
      <w:r>
        <w:t>8</w:t>
      </w:r>
      <w:r w:rsidR="00AB792A">
        <w:t>. Conclusions</w:t>
      </w:r>
    </w:p>
    <w:p w:rsidR="00AB792A" w:rsidRDefault="00AB792A" w:rsidP="007E0B44">
      <w:pPr>
        <w:pStyle w:val="NormalWeb"/>
        <w:jc w:val="both"/>
      </w:pPr>
      <w:r>
        <w:t xml:space="preserve">Cervical </w:t>
      </w:r>
      <w:proofErr w:type="spellStart"/>
      <w:r>
        <w:t>spondylotic</w:t>
      </w:r>
      <w:proofErr w:type="spellEnd"/>
      <w:r>
        <w:t xml:space="preserve"> myelopathy is best understood as chronic spinal cord injury driven by the intersection of degenerative biomechanics and secondary biological cascades. Static compression, dynamic microtrauma, vascular compromise, neuroinflammation, and excitotoxic injury jointly shape clinical phenotype and outcomes. Diagnosis remains clinical, supported by MRI, yet conventional approaches incompletely capture disease activity, microstructural injury, and recovery potential. Surgical decompression is the primary disease-modifying intervention, but heterogeneous recovery and persistent disability in some patients underscore the need for adjunctive strategies. Quantitative imaging and biomarker research are rapidly reframing how CSM/DCM may be staged and monitored, while perioperative neuroprotection trials—exemplified by </w:t>
      </w:r>
      <w:proofErr w:type="spellStart"/>
      <w:r>
        <w:t>riluzole</w:t>
      </w:r>
      <w:proofErr w:type="spellEnd"/>
      <w:r>
        <w:t xml:space="preserve">—signal a shift towards mechanism-informed therapeutics and multidomain outcome evaluation. The most credible near-term horizon is a precision model of care in which clinical examination is integrated with objective measures of tissue injury to guide timing of surgery, </w:t>
      </w:r>
      <w:proofErr w:type="spellStart"/>
      <w:r>
        <w:t>personalise</w:t>
      </w:r>
      <w:proofErr w:type="spellEnd"/>
      <w:r>
        <w:t xml:space="preserve"> rehabilitation, and enable efficient trials of neuroprotective and restorative interventions.</w:t>
      </w:r>
    </w:p>
    <w:p w:rsidR="00AB792A" w:rsidRDefault="00AB792A" w:rsidP="007E0B44"/>
    <w:p w:rsidR="00AB792A" w:rsidRDefault="00A42234" w:rsidP="007E0B44">
      <w:pPr>
        <w:pStyle w:val="Heading2"/>
        <w:jc w:val="both"/>
      </w:pPr>
      <w:r>
        <w:lastRenderedPageBreak/>
        <w:t>9</w:t>
      </w:r>
      <w:r w:rsidR="00AB792A">
        <w:t>. Limitations</w:t>
      </w:r>
    </w:p>
    <w:p w:rsidR="00AB792A" w:rsidRDefault="00AB792A" w:rsidP="007E0B44">
      <w:pPr>
        <w:pStyle w:val="NormalWeb"/>
        <w:jc w:val="both"/>
      </w:pPr>
      <w:r>
        <w:t xml:space="preserve">This review is narrative in nature and, despite an explicit search strategy, does not constitute a formal systematic review with meta-analytic synthesis. Study heterogeneity in definitions, imaging protocols, outcome measures, and follow-up intervals limits direct comparability across the literature. The emerging biomarker and advanced imaging fields are evolving quickly, and conclusions regarding clinical readiness may change as </w:t>
      </w:r>
      <w:proofErr w:type="spellStart"/>
      <w:r>
        <w:t>standardisation</w:t>
      </w:r>
      <w:proofErr w:type="spellEnd"/>
      <w:r>
        <w:t xml:space="preserve"> efforts and </w:t>
      </w:r>
      <w:proofErr w:type="spellStart"/>
      <w:r>
        <w:t>multicentre</w:t>
      </w:r>
      <w:proofErr w:type="spellEnd"/>
      <w:r>
        <w:t xml:space="preserve"> validations mature.</w:t>
      </w:r>
    </w:p>
    <w:p w:rsidR="003C06FB" w:rsidRDefault="003C06FB" w:rsidP="007E0B44">
      <w:pPr>
        <w:pStyle w:val="NormalWeb"/>
        <w:jc w:val="both"/>
      </w:pPr>
    </w:p>
    <w:p w:rsidR="003C06FB" w:rsidRPr="00363E4F" w:rsidRDefault="003C06FB" w:rsidP="007E0B44">
      <w:pPr>
        <w:spacing w:after="200" w:line="276" w:lineRule="auto"/>
        <w:ind w:left="0" w:right="0" w:firstLine="0"/>
        <w:rPr>
          <w:rFonts w:ascii="Calibri" w:eastAsia="Calibri" w:hAnsi="Calibri"/>
          <w:b/>
          <w:color w:val="auto"/>
          <w:sz w:val="22"/>
          <w:szCs w:val="22"/>
          <w:highlight w:val="yellow"/>
          <w:lang w:val="en-US" w:eastAsia="en-US"/>
        </w:rPr>
      </w:pPr>
      <w:r w:rsidRPr="00363E4F">
        <w:rPr>
          <w:rFonts w:ascii="Calibri" w:eastAsia="Calibri" w:hAnsi="Calibri"/>
          <w:b/>
          <w:color w:val="auto"/>
          <w:sz w:val="22"/>
          <w:szCs w:val="22"/>
          <w:highlight w:val="yellow"/>
          <w:lang w:val="en-US" w:eastAsia="en-US"/>
        </w:rPr>
        <w:t>Disclaimer (Artificial intelligence)</w:t>
      </w:r>
    </w:p>
    <w:p w:rsidR="003C06FB" w:rsidRPr="003C06FB" w:rsidRDefault="003C06FB" w:rsidP="007E0B44">
      <w:pPr>
        <w:spacing w:after="200" w:line="276" w:lineRule="auto"/>
        <w:ind w:left="0" w:right="0" w:firstLine="0"/>
        <w:rPr>
          <w:rFonts w:ascii="Calibri" w:eastAsia="Calibri" w:hAnsi="Calibri"/>
          <w:color w:val="auto"/>
          <w:sz w:val="22"/>
          <w:szCs w:val="22"/>
          <w:highlight w:val="yellow"/>
          <w:lang w:val="en-US" w:eastAsia="en-US"/>
        </w:rPr>
      </w:pPr>
      <w:r w:rsidRPr="003C06FB">
        <w:rPr>
          <w:rFonts w:ascii="Calibri" w:eastAsia="Calibri" w:hAnsi="Calibri"/>
          <w:color w:val="auto"/>
          <w:sz w:val="22"/>
          <w:szCs w:val="22"/>
          <w:highlight w:val="yellow"/>
          <w:lang w:val="en-US" w:eastAsia="en-US"/>
        </w:rPr>
        <w:t>Author(s) hereby declare that NO generative AI technologies such as Large Language Models (</w:t>
      </w:r>
      <w:proofErr w:type="spellStart"/>
      <w:r w:rsidRPr="003C06FB">
        <w:rPr>
          <w:rFonts w:ascii="Calibri" w:eastAsia="Calibri" w:hAnsi="Calibri"/>
          <w:color w:val="auto"/>
          <w:sz w:val="22"/>
          <w:szCs w:val="22"/>
          <w:highlight w:val="yellow"/>
          <w:lang w:val="en-US" w:eastAsia="en-US"/>
        </w:rPr>
        <w:t>ChatGPT</w:t>
      </w:r>
      <w:proofErr w:type="spellEnd"/>
      <w:r w:rsidRPr="003C06FB">
        <w:rPr>
          <w:rFonts w:ascii="Calibri" w:eastAsia="Calibri" w:hAnsi="Calibri"/>
          <w:color w:val="auto"/>
          <w:sz w:val="22"/>
          <w:szCs w:val="22"/>
          <w:highlight w:val="yellow"/>
          <w:lang w:val="en-US" w:eastAsia="en-US"/>
        </w:rPr>
        <w:t xml:space="preserve">, COPILOT, etc.) and text-to-image generators have been used during the writing or editing of this manuscript. </w:t>
      </w:r>
    </w:p>
    <w:p w:rsidR="003C06FB" w:rsidRDefault="003C06FB" w:rsidP="007E0B44">
      <w:pPr>
        <w:pStyle w:val="NormalWeb"/>
        <w:jc w:val="both"/>
      </w:pPr>
    </w:p>
    <w:p w:rsidR="00AB792A" w:rsidRDefault="00AB792A" w:rsidP="007E0B44"/>
    <w:p w:rsidR="00AB792A" w:rsidRDefault="00AB792A" w:rsidP="007E0B44">
      <w:pPr>
        <w:pStyle w:val="Heading2"/>
        <w:jc w:val="both"/>
      </w:pPr>
      <w:r>
        <w:t xml:space="preserve">References </w:t>
      </w:r>
    </w:p>
    <w:p w:rsidR="00F33463" w:rsidRDefault="00F33463" w:rsidP="007E0B44">
      <w:pPr>
        <w:pStyle w:val="NormalWeb"/>
        <w:jc w:val="both"/>
      </w:pPr>
      <w:proofErr w:type="spellStart"/>
      <w:r>
        <w:t>Badhiwala</w:t>
      </w:r>
      <w:proofErr w:type="spellEnd"/>
      <w:r>
        <w:t xml:space="preserve">, J. H., &amp; Wilson, J. R. (2018). The natural history of degenerative cervical myelopathy. </w:t>
      </w:r>
      <w:r>
        <w:rPr>
          <w:rStyle w:val="Emphasis"/>
        </w:rPr>
        <w:t>Neurosurgery Clinics of North America, 29</w:t>
      </w:r>
      <w:r>
        <w:t xml:space="preserve">(1), 21–32. </w:t>
      </w:r>
      <w:hyperlink r:id="rId8" w:history="1">
        <w:r>
          <w:rPr>
            <w:rStyle w:val="Hyperlink"/>
          </w:rPr>
          <w:t>https://doi.org/10.1016/j.nec.2017.09.002</w:t>
        </w:r>
      </w:hyperlink>
    </w:p>
    <w:p w:rsidR="00F33463" w:rsidRDefault="00F33463" w:rsidP="007E0B44">
      <w:pPr>
        <w:pStyle w:val="NormalWeb"/>
        <w:jc w:val="both"/>
      </w:pPr>
      <w:proofErr w:type="spellStart"/>
      <w:r>
        <w:t>Badhiwala</w:t>
      </w:r>
      <w:proofErr w:type="spellEnd"/>
      <w:r>
        <w:t xml:space="preserve">, J. H., Ahuja, C. S., Akbar, M. A., </w:t>
      </w:r>
      <w:proofErr w:type="spellStart"/>
      <w:r>
        <w:t>Witiw</w:t>
      </w:r>
      <w:proofErr w:type="spellEnd"/>
      <w:r>
        <w:t xml:space="preserve">, C. D., </w:t>
      </w:r>
      <w:proofErr w:type="spellStart"/>
      <w:r>
        <w:t>Nassiri</w:t>
      </w:r>
      <w:proofErr w:type="spellEnd"/>
      <w:r>
        <w:t xml:space="preserve">, F., </w:t>
      </w:r>
      <w:proofErr w:type="spellStart"/>
      <w:r>
        <w:t>Furlan</w:t>
      </w:r>
      <w:proofErr w:type="spellEnd"/>
      <w:r>
        <w:t xml:space="preserve">, J. C., Curt, A., Wilson, J. R., &amp; </w:t>
      </w:r>
      <w:proofErr w:type="spellStart"/>
      <w:r>
        <w:t>Fehlings</w:t>
      </w:r>
      <w:proofErr w:type="spellEnd"/>
      <w:r>
        <w:t xml:space="preserve">, M. G. (2020). Degenerative cervical myelopathy—Update and future directions. </w:t>
      </w:r>
      <w:r>
        <w:rPr>
          <w:rStyle w:val="Emphasis"/>
        </w:rPr>
        <w:t>Nature Reviews Neurology, 16</w:t>
      </w:r>
      <w:r>
        <w:t xml:space="preserve">, 108–124. </w:t>
      </w:r>
      <w:hyperlink r:id="rId9" w:history="1">
        <w:r>
          <w:rPr>
            <w:rStyle w:val="Hyperlink"/>
          </w:rPr>
          <w:t>https://doi.org/10.1038/s41582-019-0303-0</w:t>
        </w:r>
      </w:hyperlink>
    </w:p>
    <w:p w:rsidR="00F33463" w:rsidRDefault="00F33463" w:rsidP="007E0B44">
      <w:pPr>
        <w:pStyle w:val="NormalWeb"/>
        <w:jc w:val="both"/>
      </w:pPr>
      <w:r>
        <w:t xml:space="preserve">Davies, B. M., Yang, X., Khan, D. Z., </w:t>
      </w:r>
      <w:proofErr w:type="spellStart"/>
      <w:r>
        <w:t>Mowforth</w:t>
      </w:r>
      <w:proofErr w:type="spellEnd"/>
      <w:r>
        <w:t xml:space="preserve">, O. D., </w:t>
      </w:r>
      <w:proofErr w:type="spellStart"/>
      <w:r>
        <w:t>Touzet</w:t>
      </w:r>
      <w:proofErr w:type="spellEnd"/>
      <w:r>
        <w:t xml:space="preserve">, A. Y., Nouri, A., et al. (2024). A minimum data set—Core outcome set, core data elements, and core measurement set—For degenerative cervical myelopathy research (AO Spine RECODE DCM): A consensus study. </w:t>
      </w:r>
      <w:r>
        <w:rPr>
          <w:rStyle w:val="Emphasis"/>
        </w:rPr>
        <w:t>PLOS Medicine, 21</w:t>
      </w:r>
      <w:r>
        <w:t xml:space="preserve">(8), e1004447. </w:t>
      </w:r>
      <w:hyperlink r:id="rId10" w:history="1">
        <w:r w:rsidRPr="006754CF">
          <w:rPr>
            <w:rStyle w:val="Hyperlink"/>
          </w:rPr>
          <w:t>https://doi.org/10.1371/journal.pmed.1004447</w:t>
        </w:r>
      </w:hyperlink>
      <w:r>
        <w:t xml:space="preserve"> </w:t>
      </w:r>
    </w:p>
    <w:p w:rsidR="00F33463" w:rsidRDefault="00F33463" w:rsidP="007E0B44">
      <w:pPr>
        <w:pStyle w:val="NormalWeb"/>
        <w:jc w:val="both"/>
      </w:pPr>
      <w:proofErr w:type="spellStart"/>
      <w:r>
        <w:t>Fehlings</w:t>
      </w:r>
      <w:proofErr w:type="spellEnd"/>
      <w:r>
        <w:t xml:space="preserve">, M. G., </w:t>
      </w:r>
      <w:proofErr w:type="spellStart"/>
      <w:r>
        <w:t>Badhiwala</w:t>
      </w:r>
      <w:proofErr w:type="spellEnd"/>
      <w:r>
        <w:t xml:space="preserve">, J. H., </w:t>
      </w:r>
      <w:proofErr w:type="spellStart"/>
      <w:r>
        <w:t>Ahn</w:t>
      </w:r>
      <w:proofErr w:type="spellEnd"/>
      <w:r>
        <w:t xml:space="preserve">, H., et al. (2021). Safety and efficacy of </w:t>
      </w:r>
      <w:proofErr w:type="spellStart"/>
      <w:r>
        <w:t>riluzole</w:t>
      </w:r>
      <w:proofErr w:type="spellEnd"/>
      <w:r>
        <w:t xml:space="preserve"> in patients undergoing decompressive surgery for degenerative cervical myelopathy (CSM-PROTECT): A </w:t>
      </w:r>
      <w:proofErr w:type="spellStart"/>
      <w:r>
        <w:t>multicentre</w:t>
      </w:r>
      <w:proofErr w:type="spellEnd"/>
      <w:r>
        <w:t xml:space="preserve">, double-blind, placebo-controlled, </w:t>
      </w:r>
      <w:proofErr w:type="spellStart"/>
      <w:r>
        <w:t>randomised</w:t>
      </w:r>
      <w:proofErr w:type="spellEnd"/>
      <w:r>
        <w:t xml:space="preserve">, phase 3 trial. </w:t>
      </w:r>
      <w:r>
        <w:rPr>
          <w:rStyle w:val="Emphasis"/>
        </w:rPr>
        <w:t>The Lancet Neurology, 20</w:t>
      </w:r>
      <w:r>
        <w:t xml:space="preserve">(2), 98–106. </w:t>
      </w:r>
      <w:hyperlink r:id="rId11" w:history="1">
        <w:r>
          <w:rPr>
            <w:rStyle w:val="Hyperlink"/>
          </w:rPr>
          <w:t>https://doi.org/10.1016/S1474-4422(20)30407-5</w:t>
        </w:r>
      </w:hyperlink>
    </w:p>
    <w:p w:rsidR="00F33463" w:rsidRDefault="00F33463" w:rsidP="007E0B44">
      <w:pPr>
        <w:pStyle w:val="NormalWeb"/>
        <w:jc w:val="both"/>
      </w:pPr>
      <w:proofErr w:type="spellStart"/>
      <w:r>
        <w:t>Fehlings</w:t>
      </w:r>
      <w:proofErr w:type="spellEnd"/>
      <w:r>
        <w:t xml:space="preserve">, M. G., </w:t>
      </w:r>
      <w:proofErr w:type="spellStart"/>
      <w:r>
        <w:t>Santaguida</w:t>
      </w:r>
      <w:proofErr w:type="spellEnd"/>
      <w:r>
        <w:t xml:space="preserve">, C., Tetreault, L., Arnold, P., </w:t>
      </w:r>
      <w:proofErr w:type="spellStart"/>
      <w:r>
        <w:t>Barbagallo</w:t>
      </w:r>
      <w:proofErr w:type="spellEnd"/>
      <w:r>
        <w:t xml:space="preserve">, G., </w:t>
      </w:r>
      <w:proofErr w:type="spellStart"/>
      <w:r>
        <w:t>Defino</w:t>
      </w:r>
      <w:proofErr w:type="spellEnd"/>
      <w:r>
        <w:t xml:space="preserve">, H., Kale, S., Zhou, Q., Yoon, T. S., &amp; </w:t>
      </w:r>
      <w:proofErr w:type="spellStart"/>
      <w:r>
        <w:t>Kopjar</w:t>
      </w:r>
      <w:proofErr w:type="spellEnd"/>
      <w:r>
        <w:t xml:space="preserve">, B. (2017). Laminectomy and fusion versus laminoplasty for the treatment of degenerative cervical myelopathy: Results from the </w:t>
      </w:r>
      <w:proofErr w:type="spellStart"/>
      <w:r>
        <w:t>AOSpine</w:t>
      </w:r>
      <w:proofErr w:type="spellEnd"/>
      <w:r>
        <w:t xml:space="preserve"> North America and International prospective multicenter studies. </w:t>
      </w:r>
      <w:r>
        <w:rPr>
          <w:rStyle w:val="Emphasis"/>
        </w:rPr>
        <w:t>The Spine Journal, 17</w:t>
      </w:r>
      <w:r>
        <w:t xml:space="preserve">(1), 102–108. </w:t>
      </w:r>
      <w:hyperlink r:id="rId12" w:history="1">
        <w:r>
          <w:rPr>
            <w:rStyle w:val="Hyperlink"/>
          </w:rPr>
          <w:t>https://doi.org/10.1016/j.spinee.2016.08.019</w:t>
        </w:r>
      </w:hyperlink>
    </w:p>
    <w:p w:rsidR="00F33463" w:rsidRDefault="00F33463" w:rsidP="007E0B44">
      <w:pPr>
        <w:pStyle w:val="NormalWeb"/>
        <w:jc w:val="both"/>
      </w:pPr>
      <w:proofErr w:type="spellStart"/>
      <w:r>
        <w:lastRenderedPageBreak/>
        <w:t>Karadimas</w:t>
      </w:r>
      <w:proofErr w:type="spellEnd"/>
      <w:r>
        <w:t xml:space="preserve">, S. K., </w:t>
      </w:r>
      <w:proofErr w:type="spellStart"/>
      <w:r>
        <w:t>Gatzounis</w:t>
      </w:r>
      <w:proofErr w:type="spellEnd"/>
      <w:r>
        <w:t xml:space="preserve">, G., &amp; </w:t>
      </w:r>
      <w:proofErr w:type="spellStart"/>
      <w:r>
        <w:t>Fehlings</w:t>
      </w:r>
      <w:proofErr w:type="spellEnd"/>
      <w:r>
        <w:t xml:space="preserve">, M. G. (2015). Pathobiology of cervical </w:t>
      </w:r>
      <w:proofErr w:type="spellStart"/>
      <w:r>
        <w:t>spondylotic</w:t>
      </w:r>
      <w:proofErr w:type="spellEnd"/>
      <w:r>
        <w:t xml:space="preserve"> myelopathy. </w:t>
      </w:r>
      <w:r>
        <w:rPr>
          <w:rStyle w:val="Emphasis"/>
        </w:rPr>
        <w:t>European Spine Journal, 24</w:t>
      </w:r>
      <w:r>
        <w:t xml:space="preserve">(Suppl 2), 132–138. </w:t>
      </w:r>
      <w:hyperlink r:id="rId13" w:history="1">
        <w:r>
          <w:rPr>
            <w:rStyle w:val="Hyperlink"/>
          </w:rPr>
          <w:t>https://doi.org/10.1007/s00586-014-3264-4</w:t>
        </w:r>
      </w:hyperlink>
    </w:p>
    <w:p w:rsidR="00F33463" w:rsidRDefault="00F33463" w:rsidP="007E0B44">
      <w:pPr>
        <w:pStyle w:val="NormalWeb"/>
        <w:jc w:val="both"/>
      </w:pPr>
      <w:r>
        <w:t xml:space="preserve">Martin, A. R., De </w:t>
      </w:r>
      <w:proofErr w:type="spellStart"/>
      <w:r>
        <w:t>Leener</w:t>
      </w:r>
      <w:proofErr w:type="spellEnd"/>
      <w:r>
        <w:t xml:space="preserve">, B., Cohen-Adad, J., </w:t>
      </w:r>
      <w:proofErr w:type="spellStart"/>
      <w:r>
        <w:t>Cadotte</w:t>
      </w:r>
      <w:proofErr w:type="spellEnd"/>
      <w:r>
        <w:t xml:space="preserve">, D. W., Kalsi-Ryan, S., Lange, S. F., Tetreault, L., Nouri, A., Crawley, A., </w:t>
      </w:r>
      <w:proofErr w:type="spellStart"/>
      <w:r>
        <w:t>Mikulis</w:t>
      </w:r>
      <w:proofErr w:type="spellEnd"/>
      <w:r>
        <w:t xml:space="preserve">, D. J., Ginsberg, H., &amp; </w:t>
      </w:r>
      <w:proofErr w:type="spellStart"/>
      <w:r>
        <w:t>Fehlings</w:t>
      </w:r>
      <w:proofErr w:type="spellEnd"/>
      <w:r>
        <w:t xml:space="preserve">, M. G. (2017a). Clinically feasible microstructural MRI to quantify cervical spinal cord tissue injury using DTI, MT, and T2*-weighted imaging: Assessment of normative data and reliability. </w:t>
      </w:r>
      <w:r>
        <w:rPr>
          <w:rStyle w:val="Emphasis"/>
        </w:rPr>
        <w:t>American Journal of Neuroradiology, 38</w:t>
      </w:r>
      <w:r>
        <w:t xml:space="preserve">(6), 1257–1265. </w:t>
      </w:r>
      <w:hyperlink r:id="rId14" w:history="1">
        <w:r>
          <w:rPr>
            <w:rStyle w:val="Hyperlink"/>
          </w:rPr>
          <w:t>https://doi.org/10.3174/ajnr.A5163</w:t>
        </w:r>
      </w:hyperlink>
    </w:p>
    <w:p w:rsidR="00F33463" w:rsidRDefault="00F33463" w:rsidP="007E0B44">
      <w:pPr>
        <w:pStyle w:val="NormalWeb"/>
        <w:jc w:val="both"/>
      </w:pPr>
      <w:r>
        <w:t xml:space="preserve">Martin, A. R., De </w:t>
      </w:r>
      <w:proofErr w:type="spellStart"/>
      <w:r>
        <w:t>Leener</w:t>
      </w:r>
      <w:proofErr w:type="spellEnd"/>
      <w:r>
        <w:t xml:space="preserve">, B., Cohen-Adad, J., </w:t>
      </w:r>
      <w:proofErr w:type="spellStart"/>
      <w:r>
        <w:t>Cadotte</w:t>
      </w:r>
      <w:proofErr w:type="spellEnd"/>
      <w:r>
        <w:t xml:space="preserve">, D. W., Kalsi-Ryan, S., Lange, S. F., Tetreault, L., Nouri, A., Crawley, A., </w:t>
      </w:r>
      <w:proofErr w:type="spellStart"/>
      <w:r>
        <w:t>Mikulis</w:t>
      </w:r>
      <w:proofErr w:type="spellEnd"/>
      <w:r>
        <w:t xml:space="preserve">, D. J., Ginsberg, H., &amp; </w:t>
      </w:r>
      <w:proofErr w:type="spellStart"/>
      <w:r>
        <w:t>Fehlings</w:t>
      </w:r>
      <w:proofErr w:type="spellEnd"/>
      <w:r>
        <w:t xml:space="preserve">, M. G. (2017b). A novel MRI biomarker of spinal cord white matter injury: T2*-weighted white matter to gray matter signal intensity ratio. </w:t>
      </w:r>
      <w:r>
        <w:rPr>
          <w:rStyle w:val="Emphasis"/>
        </w:rPr>
        <w:t>American Journal of Neuroradiology, 38</w:t>
      </w:r>
      <w:r>
        <w:t xml:space="preserve">(6), 1266–1273. </w:t>
      </w:r>
      <w:hyperlink r:id="rId15" w:history="1">
        <w:r>
          <w:rPr>
            <w:rStyle w:val="Hyperlink"/>
          </w:rPr>
          <w:t>https://doi.org/10.3174/ajnr.A5162</w:t>
        </w:r>
      </w:hyperlink>
    </w:p>
    <w:p w:rsidR="00F33463" w:rsidRDefault="00F33463" w:rsidP="007E0B44">
      <w:pPr>
        <w:pStyle w:val="NormalWeb"/>
        <w:jc w:val="both"/>
      </w:pPr>
      <w:r>
        <w:t xml:space="preserve">Martin, A. R., De </w:t>
      </w:r>
      <w:proofErr w:type="spellStart"/>
      <w:r>
        <w:t>Leener</w:t>
      </w:r>
      <w:proofErr w:type="spellEnd"/>
      <w:r>
        <w:t xml:space="preserve">, B., Cohen-Adad, J., Kalsi-Ryan, S., </w:t>
      </w:r>
      <w:proofErr w:type="spellStart"/>
      <w:r>
        <w:t>Cadotte</w:t>
      </w:r>
      <w:proofErr w:type="spellEnd"/>
      <w:r>
        <w:t xml:space="preserve">, D. W., Wilson, J. R., Tetreault, L., Nouri, A., Crawley, A., &amp; </w:t>
      </w:r>
      <w:proofErr w:type="spellStart"/>
      <w:r>
        <w:t>Mikulis</w:t>
      </w:r>
      <w:proofErr w:type="spellEnd"/>
      <w:r>
        <w:t xml:space="preserve">, D. J. (2018). Monitoring for myelopathic progression with multiparametric quantitative MRI. </w:t>
      </w:r>
      <w:r>
        <w:rPr>
          <w:rStyle w:val="Emphasis"/>
        </w:rPr>
        <w:t>PLOS ONE, 13</w:t>
      </w:r>
      <w:r>
        <w:t xml:space="preserve">(4), e0195733. </w:t>
      </w:r>
      <w:hyperlink r:id="rId16" w:history="1">
        <w:r>
          <w:rPr>
            <w:rStyle w:val="Hyperlink"/>
          </w:rPr>
          <w:t>https://doi.org/10.1371/journal.pone.0195733</w:t>
        </w:r>
      </w:hyperlink>
    </w:p>
    <w:p w:rsidR="00F33463" w:rsidRDefault="00F33463" w:rsidP="007E0B44">
      <w:pPr>
        <w:pStyle w:val="NormalWeb"/>
        <w:jc w:val="both"/>
      </w:pPr>
      <w:r>
        <w:t xml:space="preserve">McCormick, J. R., Sama, A. J., Schiller, N. C., Butler, A. J., &amp; </w:t>
      </w:r>
      <w:proofErr w:type="spellStart"/>
      <w:r>
        <w:t>Donnally</w:t>
      </w:r>
      <w:proofErr w:type="spellEnd"/>
      <w:r>
        <w:t xml:space="preserve">, C. J. (2020). Cervical </w:t>
      </w:r>
      <w:proofErr w:type="spellStart"/>
      <w:r>
        <w:t>spondylotic</w:t>
      </w:r>
      <w:proofErr w:type="spellEnd"/>
      <w:r>
        <w:t xml:space="preserve"> myelopathy: A guide to diagnosis and management. </w:t>
      </w:r>
      <w:r>
        <w:rPr>
          <w:rStyle w:val="Emphasis"/>
        </w:rPr>
        <w:t>The Journal of the American Board of Family Medicine, 33</w:t>
      </w:r>
      <w:r>
        <w:t xml:space="preserve">(2), 303–313. </w:t>
      </w:r>
      <w:hyperlink r:id="rId17" w:history="1">
        <w:r>
          <w:rPr>
            <w:rStyle w:val="Hyperlink"/>
          </w:rPr>
          <w:t>https://doi.org/10.3122/jabfm.2020.02.190195</w:t>
        </w:r>
      </w:hyperlink>
    </w:p>
    <w:p w:rsidR="00F33463" w:rsidRDefault="00F33463" w:rsidP="007E0B44">
      <w:pPr>
        <w:pStyle w:val="NormalWeb"/>
        <w:jc w:val="both"/>
      </w:pPr>
      <w:r>
        <w:t xml:space="preserve">Moon, E. S., </w:t>
      </w:r>
      <w:proofErr w:type="spellStart"/>
      <w:r>
        <w:t>Karadimas</w:t>
      </w:r>
      <w:proofErr w:type="spellEnd"/>
      <w:r>
        <w:t xml:space="preserve">, S. K., Yu, W. R., Austin, J. W., &amp; </w:t>
      </w:r>
      <w:proofErr w:type="spellStart"/>
      <w:r>
        <w:t>Fehlings</w:t>
      </w:r>
      <w:proofErr w:type="spellEnd"/>
      <w:r>
        <w:t xml:space="preserve">, M. G. (2014). </w:t>
      </w:r>
      <w:proofErr w:type="spellStart"/>
      <w:r>
        <w:t>Riluzole</w:t>
      </w:r>
      <w:proofErr w:type="spellEnd"/>
      <w:r>
        <w:t xml:space="preserve"> attenuates neuropathic pain and enhances functional recovery in a rodent model of cervical </w:t>
      </w:r>
      <w:proofErr w:type="spellStart"/>
      <w:r>
        <w:t>spondylotic</w:t>
      </w:r>
      <w:proofErr w:type="spellEnd"/>
      <w:r>
        <w:t xml:space="preserve"> myelopathy. </w:t>
      </w:r>
      <w:r>
        <w:rPr>
          <w:rStyle w:val="Emphasis"/>
        </w:rPr>
        <w:t>Neurobiology of Disease, 62</w:t>
      </w:r>
      <w:r>
        <w:t xml:space="preserve">, 394–406. </w:t>
      </w:r>
      <w:hyperlink r:id="rId18" w:history="1">
        <w:r>
          <w:rPr>
            <w:rStyle w:val="Hyperlink"/>
          </w:rPr>
          <w:t>https://doi.org/10.1016/j.nbd.2013.10.020</w:t>
        </w:r>
      </w:hyperlink>
    </w:p>
    <w:p w:rsidR="00F33463" w:rsidRDefault="00F33463" w:rsidP="007E0B44">
      <w:pPr>
        <w:pStyle w:val="NormalWeb"/>
        <w:jc w:val="both"/>
      </w:pPr>
      <w:proofErr w:type="spellStart"/>
      <w:r>
        <w:t>Mummaneni</w:t>
      </w:r>
      <w:proofErr w:type="spellEnd"/>
      <w:r>
        <w:t xml:space="preserve">, P. V., </w:t>
      </w:r>
      <w:proofErr w:type="spellStart"/>
      <w:r>
        <w:t>Burkus</w:t>
      </w:r>
      <w:proofErr w:type="spellEnd"/>
      <w:r>
        <w:t xml:space="preserve">, J. K., </w:t>
      </w:r>
      <w:proofErr w:type="spellStart"/>
      <w:r>
        <w:t>Haid</w:t>
      </w:r>
      <w:proofErr w:type="spellEnd"/>
      <w:r>
        <w:t xml:space="preserve">, R. W., </w:t>
      </w:r>
      <w:proofErr w:type="spellStart"/>
      <w:r>
        <w:t>Traynelis</w:t>
      </w:r>
      <w:proofErr w:type="spellEnd"/>
      <w:r>
        <w:t xml:space="preserve">, V. C., &amp; </w:t>
      </w:r>
      <w:proofErr w:type="spellStart"/>
      <w:r>
        <w:t>Zdeblick</w:t>
      </w:r>
      <w:proofErr w:type="spellEnd"/>
      <w:r>
        <w:t xml:space="preserve">, T. A. (2007). Clinical and radiographic analysis of cervical disc arthroplasty compared with allograft fusion: A randomized controlled clinical trial. </w:t>
      </w:r>
      <w:r>
        <w:rPr>
          <w:rStyle w:val="Emphasis"/>
        </w:rPr>
        <w:t>Journal of Neurosurgery: Spine, 6</w:t>
      </w:r>
      <w:r>
        <w:t xml:space="preserve">(3), 198–209. </w:t>
      </w:r>
      <w:hyperlink r:id="rId19" w:history="1">
        <w:r>
          <w:rPr>
            <w:rStyle w:val="Hyperlink"/>
          </w:rPr>
          <w:t>https://doi.org/10.3171/spi.2007.6.3.198</w:t>
        </w:r>
      </w:hyperlink>
    </w:p>
    <w:p w:rsidR="00F33463" w:rsidRDefault="00F33463" w:rsidP="007E0B44">
      <w:pPr>
        <w:pStyle w:val="NormalWeb"/>
        <w:jc w:val="both"/>
      </w:pPr>
      <w:r>
        <w:t xml:space="preserve">Nouri, A., Martin, A. R., </w:t>
      </w:r>
      <w:proofErr w:type="spellStart"/>
      <w:r>
        <w:t>Mikulis</w:t>
      </w:r>
      <w:proofErr w:type="spellEnd"/>
      <w:r>
        <w:t xml:space="preserve">, D., &amp; </w:t>
      </w:r>
      <w:proofErr w:type="spellStart"/>
      <w:r>
        <w:t>Fehlings</w:t>
      </w:r>
      <w:proofErr w:type="spellEnd"/>
      <w:r>
        <w:t xml:space="preserve">, M. G. (2016). Magnetic resonance imaging assessment of degenerative cervical myelopathy: A review of structural changes and measurement techniques. </w:t>
      </w:r>
      <w:r>
        <w:rPr>
          <w:rStyle w:val="Emphasis"/>
        </w:rPr>
        <w:t>Neurosurgical Focus, 40</w:t>
      </w:r>
      <w:r>
        <w:t xml:space="preserve">(6), E5. </w:t>
      </w:r>
      <w:hyperlink r:id="rId20" w:history="1">
        <w:r>
          <w:rPr>
            <w:rStyle w:val="Hyperlink"/>
          </w:rPr>
          <w:t>https://doi.org/10.3171/2016.3.FOCUS1667</w:t>
        </w:r>
      </w:hyperlink>
    </w:p>
    <w:p w:rsidR="00F33463" w:rsidRDefault="00F33463" w:rsidP="007E0B44">
      <w:pPr>
        <w:pStyle w:val="NormalWeb"/>
        <w:jc w:val="both"/>
      </w:pPr>
      <w:r>
        <w:t xml:space="preserve">Nouri, A., Tetreault, L., Singh, A., </w:t>
      </w:r>
      <w:proofErr w:type="spellStart"/>
      <w:r>
        <w:t>Karadimas</w:t>
      </w:r>
      <w:proofErr w:type="spellEnd"/>
      <w:r>
        <w:t xml:space="preserve">, S. K., &amp; </w:t>
      </w:r>
      <w:proofErr w:type="spellStart"/>
      <w:r>
        <w:t>Fehlings</w:t>
      </w:r>
      <w:proofErr w:type="spellEnd"/>
      <w:r>
        <w:t xml:space="preserve">, M. G. (2015). Degenerative cervical myelopathy: Epidemiology, genetics, and pathogenesis. </w:t>
      </w:r>
      <w:r>
        <w:rPr>
          <w:rStyle w:val="Emphasis"/>
        </w:rPr>
        <w:t>Spine, 40</w:t>
      </w:r>
      <w:r>
        <w:t xml:space="preserve">(12), E675–E693. </w:t>
      </w:r>
      <w:hyperlink r:id="rId21" w:history="1">
        <w:r>
          <w:rPr>
            <w:rStyle w:val="Hyperlink"/>
          </w:rPr>
          <w:t>https://doi.org/10.1097/BRS.0000000000000913</w:t>
        </w:r>
      </w:hyperlink>
    </w:p>
    <w:p w:rsidR="00F33463" w:rsidRDefault="00F33463" w:rsidP="007E0B44">
      <w:pPr>
        <w:pStyle w:val="NormalWeb"/>
        <w:jc w:val="both"/>
      </w:pPr>
      <w:proofErr w:type="spellStart"/>
      <w:r>
        <w:t>Paliwal</w:t>
      </w:r>
      <w:proofErr w:type="spellEnd"/>
      <w:r>
        <w:t xml:space="preserve">, M., Weber, K. A., Hopkins, B. S., Cantrell, D. R., </w:t>
      </w:r>
      <w:proofErr w:type="spellStart"/>
      <w:r>
        <w:t>Hoggarth</w:t>
      </w:r>
      <w:proofErr w:type="spellEnd"/>
      <w:r>
        <w:t xml:space="preserve">, M. A., Elliott, J. M., </w:t>
      </w:r>
      <w:proofErr w:type="spellStart"/>
      <w:r>
        <w:t>Dahdaleh</w:t>
      </w:r>
      <w:proofErr w:type="spellEnd"/>
      <w:r>
        <w:t xml:space="preserve">, N. S., Mackey, S., Parrish, T. D., </w:t>
      </w:r>
      <w:proofErr w:type="spellStart"/>
      <w:r>
        <w:t>Dhaher</w:t>
      </w:r>
      <w:proofErr w:type="spellEnd"/>
      <w:r>
        <w:t xml:space="preserve">, Y., &amp; Smith, Z. A. (2020). Magnetization transfer ratio and morphometrics of the spinal cord associates with surgical recovery in patients with degenerative cervical myelopathy. </w:t>
      </w:r>
      <w:r>
        <w:rPr>
          <w:rStyle w:val="Emphasis"/>
        </w:rPr>
        <w:t>World Neurosurgery, 144</w:t>
      </w:r>
      <w:r>
        <w:t xml:space="preserve">, e939–e947. </w:t>
      </w:r>
      <w:hyperlink r:id="rId22" w:history="1">
        <w:r w:rsidRPr="006754CF">
          <w:rPr>
            <w:rStyle w:val="Hyperlink"/>
          </w:rPr>
          <w:t>https://doi.org/10.1016/j.wneu.2020.09.148</w:t>
        </w:r>
      </w:hyperlink>
      <w:r>
        <w:t xml:space="preserve"> </w:t>
      </w:r>
    </w:p>
    <w:p w:rsidR="00F33463" w:rsidRDefault="00F33463" w:rsidP="007E0B44">
      <w:pPr>
        <w:pStyle w:val="NormalWeb"/>
        <w:jc w:val="both"/>
      </w:pPr>
      <w:proofErr w:type="spellStart"/>
      <w:r>
        <w:lastRenderedPageBreak/>
        <w:t>Shabani</w:t>
      </w:r>
      <w:proofErr w:type="spellEnd"/>
      <w:r>
        <w:t xml:space="preserve">, S., Kaushal, M., </w:t>
      </w:r>
      <w:proofErr w:type="spellStart"/>
      <w:r>
        <w:t>Budde</w:t>
      </w:r>
      <w:proofErr w:type="spellEnd"/>
      <w:r>
        <w:t xml:space="preserve">, M. D., Wang, M. C., &amp; </w:t>
      </w:r>
      <w:proofErr w:type="spellStart"/>
      <w:r>
        <w:t>Kurpad</w:t>
      </w:r>
      <w:proofErr w:type="spellEnd"/>
      <w:r>
        <w:t xml:space="preserve">, S. N. (2020). Diffusion tensor imaging in cervical </w:t>
      </w:r>
      <w:proofErr w:type="spellStart"/>
      <w:r>
        <w:t>spondylotic</w:t>
      </w:r>
      <w:proofErr w:type="spellEnd"/>
      <w:r>
        <w:t xml:space="preserve"> myelopathy: A review. </w:t>
      </w:r>
      <w:r>
        <w:rPr>
          <w:rStyle w:val="Emphasis"/>
        </w:rPr>
        <w:t>Journal of Neurosurgery: Spine, 33</w:t>
      </w:r>
      <w:r>
        <w:t xml:space="preserve">(1), 65–72. </w:t>
      </w:r>
      <w:hyperlink r:id="rId23" w:history="1">
        <w:r>
          <w:rPr>
            <w:rStyle w:val="Hyperlink"/>
          </w:rPr>
          <w:t>https://doi.org/10.3171/2019.12.SPINE191158</w:t>
        </w:r>
      </w:hyperlink>
    </w:p>
    <w:p w:rsidR="00F33463" w:rsidRDefault="00F33463" w:rsidP="007E0B44">
      <w:pPr>
        <w:pStyle w:val="NormalWeb"/>
        <w:jc w:val="both"/>
      </w:pPr>
      <w:r>
        <w:t xml:space="preserve">Tetreault, L. A., </w:t>
      </w:r>
      <w:proofErr w:type="spellStart"/>
      <w:r>
        <w:t>Karadimas</w:t>
      </w:r>
      <w:proofErr w:type="spellEnd"/>
      <w:r>
        <w:t xml:space="preserve">, S., Wilson, J. R., Arnold, P. M., </w:t>
      </w:r>
      <w:proofErr w:type="spellStart"/>
      <w:r>
        <w:t>Kurpad</w:t>
      </w:r>
      <w:proofErr w:type="spellEnd"/>
      <w:r>
        <w:t xml:space="preserve">, S., </w:t>
      </w:r>
      <w:proofErr w:type="spellStart"/>
      <w:r>
        <w:t>Dettori</w:t>
      </w:r>
      <w:proofErr w:type="spellEnd"/>
      <w:r>
        <w:t xml:space="preserve">, J. R., &amp; </w:t>
      </w:r>
      <w:proofErr w:type="spellStart"/>
      <w:r>
        <w:t>Fehlings</w:t>
      </w:r>
      <w:proofErr w:type="spellEnd"/>
      <w:r>
        <w:t xml:space="preserve">, M. G. (2017). The natural history of degenerative cervical myelopathy and the rate of hospitalization following spinal cord injury: An updated systematic review. </w:t>
      </w:r>
      <w:r>
        <w:rPr>
          <w:rStyle w:val="Emphasis"/>
        </w:rPr>
        <w:t>Global Spine Journal, 7</w:t>
      </w:r>
      <w:r>
        <w:t xml:space="preserve">(3 Suppl), 28S–34S. </w:t>
      </w:r>
      <w:hyperlink r:id="rId24" w:history="1">
        <w:r>
          <w:rPr>
            <w:rStyle w:val="Hyperlink"/>
          </w:rPr>
          <w:t>https://doi.org/10.1177/2192568217700396</w:t>
        </w:r>
      </w:hyperlink>
    </w:p>
    <w:p w:rsidR="00F33463" w:rsidRDefault="00F33463" w:rsidP="007E0B44">
      <w:pPr>
        <w:pStyle w:val="NormalWeb"/>
        <w:jc w:val="both"/>
      </w:pPr>
      <w:r>
        <w:t xml:space="preserve">Treanor, C., Bolger, C., &amp; Malone, A. (2026). </w:t>
      </w:r>
      <w:proofErr w:type="spellStart"/>
      <w:r>
        <w:t>ReMiDY</w:t>
      </w:r>
      <w:proofErr w:type="spellEnd"/>
      <w:r>
        <w:t xml:space="preserve"> (rehabilitation in mild stable degenerative cervical myelopathy): Protocol for feasibility randomized controlled trial. </w:t>
      </w:r>
      <w:r>
        <w:rPr>
          <w:rStyle w:val="Emphasis"/>
        </w:rPr>
        <w:t>Spinal Cord</w:t>
      </w:r>
      <w:r>
        <w:t xml:space="preserve">. </w:t>
      </w:r>
      <w:hyperlink r:id="rId25" w:history="1">
        <w:r w:rsidRPr="006754CF">
          <w:rPr>
            <w:rStyle w:val="Hyperlink"/>
          </w:rPr>
          <w:t>https://doi.org/10.1038/s41393-025-01148-z</w:t>
        </w:r>
      </w:hyperlink>
      <w:r>
        <w:t xml:space="preserve"> </w:t>
      </w:r>
    </w:p>
    <w:p w:rsidR="00F33463" w:rsidRDefault="00F33463" w:rsidP="007E0B44">
      <w:pPr>
        <w:pStyle w:val="NormalWeb"/>
        <w:jc w:val="both"/>
      </w:pPr>
      <w:proofErr w:type="spellStart"/>
      <w:r>
        <w:t>Tsitsopoulos</w:t>
      </w:r>
      <w:proofErr w:type="spellEnd"/>
      <w:r>
        <w:t xml:space="preserve">, P. P., </w:t>
      </w:r>
      <w:proofErr w:type="spellStart"/>
      <w:r>
        <w:t>Mondello</w:t>
      </w:r>
      <w:proofErr w:type="spellEnd"/>
      <w:r>
        <w:t xml:space="preserve">, S., </w:t>
      </w:r>
      <w:proofErr w:type="spellStart"/>
      <w:r>
        <w:t>Holmström</w:t>
      </w:r>
      <w:proofErr w:type="spellEnd"/>
      <w:r>
        <w:t xml:space="preserve">, U., &amp; </w:t>
      </w:r>
      <w:proofErr w:type="spellStart"/>
      <w:r>
        <w:t>Marklund</w:t>
      </w:r>
      <w:proofErr w:type="spellEnd"/>
      <w:r>
        <w:t xml:space="preserve">, N. (2022). Cerebrospinal fluid biomarkers of white matter injury and astrogliosis are associated with the severity and surgical outcome of degenerative cervical </w:t>
      </w:r>
      <w:proofErr w:type="spellStart"/>
      <w:r>
        <w:t>spondylotic</w:t>
      </w:r>
      <w:proofErr w:type="spellEnd"/>
      <w:r>
        <w:t xml:space="preserve"> myelopathy. </w:t>
      </w:r>
      <w:r>
        <w:rPr>
          <w:rStyle w:val="Emphasis"/>
        </w:rPr>
        <w:t>The Spine Journal, 22</w:t>
      </w:r>
      <w:r>
        <w:t xml:space="preserve">(11), 1848–1856. </w:t>
      </w:r>
      <w:hyperlink r:id="rId26" w:history="1">
        <w:r>
          <w:rPr>
            <w:rStyle w:val="Hyperlink"/>
          </w:rPr>
          <w:t>https://doi.org/10.1016/j.spinee.2022.06.012</w:t>
        </w:r>
      </w:hyperlink>
    </w:p>
    <w:p w:rsidR="00F33463" w:rsidRDefault="00F33463" w:rsidP="007E0B44">
      <w:pPr>
        <w:pStyle w:val="NormalWeb"/>
        <w:jc w:val="both"/>
      </w:pPr>
      <w:r>
        <w:t xml:space="preserve">Yanez </w:t>
      </w:r>
      <w:proofErr w:type="spellStart"/>
      <w:r>
        <w:t>Touzet</w:t>
      </w:r>
      <w:proofErr w:type="spellEnd"/>
      <w:r>
        <w:t xml:space="preserve">, A., Bhatti, A., </w:t>
      </w:r>
      <w:proofErr w:type="spellStart"/>
      <w:r>
        <w:t>Dohle</w:t>
      </w:r>
      <w:proofErr w:type="spellEnd"/>
      <w:r>
        <w:t xml:space="preserve">, E., Bhatti, F., Lee, K. S., </w:t>
      </w:r>
      <w:proofErr w:type="spellStart"/>
      <w:r>
        <w:t>Furlan</w:t>
      </w:r>
      <w:proofErr w:type="spellEnd"/>
      <w:r>
        <w:t xml:space="preserve">, J. C., </w:t>
      </w:r>
      <w:proofErr w:type="spellStart"/>
      <w:r>
        <w:t>Fehlings</w:t>
      </w:r>
      <w:proofErr w:type="spellEnd"/>
      <w:r>
        <w:t>, M. G., Harrop, J. S., Curt, A., Rahimi-</w:t>
      </w:r>
      <w:proofErr w:type="spellStart"/>
      <w:r>
        <w:t>Movaghar</w:t>
      </w:r>
      <w:proofErr w:type="spellEnd"/>
      <w:r>
        <w:t xml:space="preserve">, V., </w:t>
      </w:r>
      <w:proofErr w:type="spellStart"/>
      <w:r>
        <w:t>Aarabi</w:t>
      </w:r>
      <w:proofErr w:type="spellEnd"/>
      <w:r>
        <w:t xml:space="preserve">, B., Tetreault, L., Chen, R., Guest, J. D., Kalsi-Ryan, S., McNair, A. G. K., Kotter, M. R. N., &amp; Davies, B. (2022). Clinical outcome measures and their evidence base in degenerative cervical myelopathy: A systematic review to inform a core measurement set (AO Spine RECODE-DCM). </w:t>
      </w:r>
      <w:r>
        <w:rPr>
          <w:rStyle w:val="Emphasis"/>
        </w:rPr>
        <w:t>BMJ Open, 12</w:t>
      </w:r>
      <w:r>
        <w:t xml:space="preserve">(1), e057650. </w:t>
      </w:r>
      <w:hyperlink r:id="rId27" w:history="1">
        <w:r w:rsidRPr="006754CF">
          <w:rPr>
            <w:rStyle w:val="Hyperlink"/>
          </w:rPr>
          <w:t>https://doi.org/10.1136/bmjopen-2021-057650</w:t>
        </w:r>
      </w:hyperlink>
      <w:r>
        <w:t xml:space="preserve"> </w:t>
      </w:r>
    </w:p>
    <w:p w:rsidR="004838F6" w:rsidRDefault="004838F6" w:rsidP="007E0B44">
      <w:pPr>
        <w:pStyle w:val="NormalWeb"/>
        <w:jc w:val="both"/>
        <w:rPr>
          <w:rFonts w:ascii="Arial" w:hAnsi="Arial" w:cs="Arial"/>
          <w:color w:val="222222"/>
          <w:sz w:val="20"/>
          <w:szCs w:val="20"/>
          <w:highlight w:val="yellow"/>
          <w:shd w:val="clear" w:color="auto" w:fill="FFFFFF"/>
        </w:rPr>
      </w:pPr>
      <w:r w:rsidRPr="00363E4F">
        <w:rPr>
          <w:rFonts w:ascii="Arial" w:hAnsi="Arial" w:cs="Arial"/>
          <w:color w:val="222222"/>
          <w:sz w:val="20"/>
          <w:szCs w:val="20"/>
          <w:highlight w:val="yellow"/>
          <w:shd w:val="clear" w:color="auto" w:fill="FFFFFF"/>
        </w:rPr>
        <w:t xml:space="preserve">George, P. L., </w:t>
      </w:r>
      <w:proofErr w:type="spellStart"/>
      <w:r w:rsidRPr="00363E4F">
        <w:rPr>
          <w:rFonts w:ascii="Arial" w:hAnsi="Arial" w:cs="Arial"/>
          <w:color w:val="222222"/>
          <w:sz w:val="20"/>
          <w:szCs w:val="20"/>
          <w:highlight w:val="yellow"/>
          <w:shd w:val="clear" w:color="auto" w:fill="FFFFFF"/>
        </w:rPr>
        <w:t>Bhaveshkumar</w:t>
      </w:r>
      <w:proofErr w:type="spellEnd"/>
      <w:r w:rsidRPr="00363E4F">
        <w:rPr>
          <w:rFonts w:ascii="Arial" w:hAnsi="Arial" w:cs="Arial"/>
          <w:color w:val="222222"/>
          <w:sz w:val="20"/>
          <w:szCs w:val="20"/>
          <w:highlight w:val="yellow"/>
          <w:shd w:val="clear" w:color="auto" w:fill="FFFFFF"/>
        </w:rPr>
        <w:t xml:space="preserve">, A., Nauman, C., &amp; Herbert, H. E. (2021). Cervical </w:t>
      </w:r>
      <w:proofErr w:type="spellStart"/>
      <w:r w:rsidRPr="00363E4F">
        <w:rPr>
          <w:rFonts w:ascii="Arial" w:hAnsi="Arial" w:cs="Arial"/>
          <w:color w:val="222222"/>
          <w:sz w:val="20"/>
          <w:szCs w:val="20"/>
          <w:highlight w:val="yellow"/>
          <w:shd w:val="clear" w:color="auto" w:fill="FFFFFF"/>
        </w:rPr>
        <w:t>spondylotic</w:t>
      </w:r>
      <w:proofErr w:type="spellEnd"/>
      <w:r w:rsidRPr="00363E4F">
        <w:rPr>
          <w:rFonts w:ascii="Arial" w:hAnsi="Arial" w:cs="Arial"/>
          <w:color w:val="222222"/>
          <w:sz w:val="20"/>
          <w:szCs w:val="20"/>
          <w:highlight w:val="yellow"/>
          <w:shd w:val="clear" w:color="auto" w:fill="FFFFFF"/>
        </w:rPr>
        <w:t xml:space="preserve"> myelopathy: an updated review. </w:t>
      </w:r>
      <w:proofErr w:type="spellStart"/>
      <w:r w:rsidRPr="00363E4F">
        <w:rPr>
          <w:rFonts w:ascii="Arial" w:hAnsi="Arial" w:cs="Arial"/>
          <w:i/>
          <w:iCs/>
          <w:color w:val="222222"/>
          <w:sz w:val="20"/>
          <w:szCs w:val="20"/>
          <w:highlight w:val="yellow"/>
          <w:shd w:val="clear" w:color="auto" w:fill="FFFFFF"/>
        </w:rPr>
        <w:t>Neurosurg</w:t>
      </w:r>
      <w:proofErr w:type="spellEnd"/>
      <w:r w:rsidRPr="00363E4F">
        <w:rPr>
          <w:rFonts w:ascii="Arial" w:hAnsi="Arial" w:cs="Arial"/>
          <w:i/>
          <w:iCs/>
          <w:color w:val="222222"/>
          <w:sz w:val="20"/>
          <w:szCs w:val="20"/>
          <w:highlight w:val="yellow"/>
          <w:shd w:val="clear" w:color="auto" w:fill="FFFFFF"/>
        </w:rPr>
        <w:t xml:space="preserve"> Cases Rev</w:t>
      </w:r>
      <w:r w:rsidRPr="00363E4F">
        <w:rPr>
          <w:rFonts w:ascii="Arial" w:hAnsi="Arial" w:cs="Arial"/>
          <w:color w:val="222222"/>
          <w:sz w:val="20"/>
          <w:szCs w:val="20"/>
          <w:highlight w:val="yellow"/>
          <w:shd w:val="clear" w:color="auto" w:fill="FFFFFF"/>
        </w:rPr>
        <w:t>, </w:t>
      </w:r>
      <w:r w:rsidRPr="00363E4F">
        <w:rPr>
          <w:rFonts w:ascii="Arial" w:hAnsi="Arial" w:cs="Arial"/>
          <w:i/>
          <w:iCs/>
          <w:color w:val="222222"/>
          <w:sz w:val="20"/>
          <w:szCs w:val="20"/>
          <w:highlight w:val="yellow"/>
          <w:shd w:val="clear" w:color="auto" w:fill="FFFFFF"/>
        </w:rPr>
        <w:t>4</w:t>
      </w:r>
      <w:r w:rsidRPr="00363E4F">
        <w:rPr>
          <w:rFonts w:ascii="Arial" w:hAnsi="Arial" w:cs="Arial"/>
          <w:color w:val="222222"/>
          <w:sz w:val="20"/>
          <w:szCs w:val="20"/>
          <w:highlight w:val="yellow"/>
          <w:shd w:val="clear" w:color="auto" w:fill="FFFFFF"/>
        </w:rPr>
        <w:t>(056), 10-23937.</w:t>
      </w:r>
    </w:p>
    <w:p w:rsidR="009763D1" w:rsidRDefault="009763D1" w:rsidP="007E0B44">
      <w:pPr>
        <w:pStyle w:val="NormalWeb"/>
        <w:jc w:val="both"/>
      </w:pPr>
      <w:proofErr w:type="spellStart"/>
      <w:r w:rsidRPr="00363E4F">
        <w:rPr>
          <w:rFonts w:ascii="Arial" w:hAnsi="Arial" w:cs="Arial"/>
          <w:color w:val="222222"/>
          <w:sz w:val="20"/>
          <w:szCs w:val="20"/>
          <w:highlight w:val="yellow"/>
          <w:shd w:val="clear" w:color="auto" w:fill="FFFFFF"/>
        </w:rPr>
        <w:t>Bakhsheshian</w:t>
      </w:r>
      <w:proofErr w:type="spellEnd"/>
      <w:r w:rsidRPr="00363E4F">
        <w:rPr>
          <w:rFonts w:ascii="Arial" w:hAnsi="Arial" w:cs="Arial"/>
          <w:color w:val="222222"/>
          <w:sz w:val="20"/>
          <w:szCs w:val="20"/>
          <w:highlight w:val="yellow"/>
          <w:shd w:val="clear" w:color="auto" w:fill="FFFFFF"/>
        </w:rPr>
        <w:t xml:space="preserve">, J., Mehta, V. A., &amp; Liu, J. C. (2017). Current diagnosis and management of cervical </w:t>
      </w:r>
      <w:proofErr w:type="spellStart"/>
      <w:r w:rsidRPr="00363E4F">
        <w:rPr>
          <w:rFonts w:ascii="Arial" w:hAnsi="Arial" w:cs="Arial"/>
          <w:color w:val="222222"/>
          <w:sz w:val="20"/>
          <w:szCs w:val="20"/>
          <w:highlight w:val="yellow"/>
          <w:shd w:val="clear" w:color="auto" w:fill="FFFFFF"/>
        </w:rPr>
        <w:t>spondylotic</w:t>
      </w:r>
      <w:proofErr w:type="spellEnd"/>
      <w:r w:rsidRPr="00363E4F">
        <w:rPr>
          <w:rFonts w:ascii="Arial" w:hAnsi="Arial" w:cs="Arial"/>
          <w:color w:val="222222"/>
          <w:sz w:val="20"/>
          <w:szCs w:val="20"/>
          <w:highlight w:val="yellow"/>
          <w:shd w:val="clear" w:color="auto" w:fill="FFFFFF"/>
        </w:rPr>
        <w:t xml:space="preserve"> myelopathy. </w:t>
      </w:r>
      <w:r w:rsidRPr="00363E4F">
        <w:rPr>
          <w:rFonts w:ascii="Arial" w:hAnsi="Arial" w:cs="Arial"/>
          <w:i/>
          <w:iCs/>
          <w:color w:val="222222"/>
          <w:sz w:val="20"/>
          <w:szCs w:val="20"/>
          <w:highlight w:val="yellow"/>
          <w:shd w:val="clear" w:color="auto" w:fill="FFFFFF"/>
        </w:rPr>
        <w:t>Global spine journal</w:t>
      </w:r>
      <w:r w:rsidRPr="00363E4F">
        <w:rPr>
          <w:rFonts w:ascii="Arial" w:hAnsi="Arial" w:cs="Arial"/>
          <w:color w:val="222222"/>
          <w:sz w:val="20"/>
          <w:szCs w:val="20"/>
          <w:highlight w:val="yellow"/>
          <w:shd w:val="clear" w:color="auto" w:fill="FFFFFF"/>
        </w:rPr>
        <w:t>, </w:t>
      </w:r>
      <w:r w:rsidRPr="00363E4F">
        <w:rPr>
          <w:rFonts w:ascii="Arial" w:hAnsi="Arial" w:cs="Arial"/>
          <w:i/>
          <w:iCs/>
          <w:color w:val="222222"/>
          <w:sz w:val="20"/>
          <w:szCs w:val="20"/>
          <w:highlight w:val="yellow"/>
          <w:shd w:val="clear" w:color="auto" w:fill="FFFFFF"/>
        </w:rPr>
        <w:t>7</w:t>
      </w:r>
      <w:r w:rsidRPr="00363E4F">
        <w:rPr>
          <w:rFonts w:ascii="Arial" w:hAnsi="Arial" w:cs="Arial"/>
          <w:color w:val="222222"/>
          <w:sz w:val="20"/>
          <w:szCs w:val="20"/>
          <w:highlight w:val="yellow"/>
          <w:shd w:val="clear" w:color="auto" w:fill="FFFFFF"/>
        </w:rPr>
        <w:t>(6), 572-586.</w:t>
      </w:r>
    </w:p>
    <w:sectPr w:rsidR="009763D1" w:rsidSect="00CB6EB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DAE" w:rsidRDefault="00DE6DAE" w:rsidP="00D7161C">
      <w:pPr>
        <w:spacing w:after="0" w:line="240" w:lineRule="auto"/>
      </w:pPr>
      <w:r>
        <w:separator/>
      </w:r>
    </w:p>
  </w:endnote>
  <w:endnote w:type="continuationSeparator" w:id="0">
    <w:p w:rsidR="00DE6DAE" w:rsidRDefault="00DE6DAE" w:rsidP="00D7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61C" w:rsidRDefault="00D71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61C" w:rsidRDefault="00D71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61C" w:rsidRDefault="00D71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DAE" w:rsidRDefault="00DE6DAE" w:rsidP="00D7161C">
      <w:pPr>
        <w:spacing w:after="0" w:line="240" w:lineRule="auto"/>
      </w:pPr>
      <w:r>
        <w:separator/>
      </w:r>
    </w:p>
  </w:footnote>
  <w:footnote w:type="continuationSeparator" w:id="0">
    <w:p w:rsidR="00DE6DAE" w:rsidRDefault="00DE6DAE" w:rsidP="00D7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61C" w:rsidRDefault="00DE6D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689783" o:spid="_x0000_s2053"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61C" w:rsidRDefault="00DE6D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689784" o:spid="_x0000_s2054"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61C" w:rsidRDefault="00DE6D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689782" o:spid="_x0000_s2052"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876"/>
    <w:multiLevelType w:val="hybridMultilevel"/>
    <w:tmpl w:val="D6F65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02BBC"/>
    <w:multiLevelType w:val="hybridMultilevel"/>
    <w:tmpl w:val="015E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231D4"/>
    <w:multiLevelType w:val="hybridMultilevel"/>
    <w:tmpl w:val="8B1A0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81D37"/>
    <w:multiLevelType w:val="multilevel"/>
    <w:tmpl w:val="1180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F5D9F"/>
    <w:multiLevelType w:val="hybridMultilevel"/>
    <w:tmpl w:val="F028B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D34EC"/>
    <w:multiLevelType w:val="hybridMultilevel"/>
    <w:tmpl w:val="17F2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F4225"/>
    <w:multiLevelType w:val="multilevel"/>
    <w:tmpl w:val="A52E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3315C4"/>
    <w:multiLevelType w:val="multilevel"/>
    <w:tmpl w:val="5DFE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70A2B"/>
    <w:multiLevelType w:val="hybridMultilevel"/>
    <w:tmpl w:val="696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1"/>
  </w:num>
  <w:num w:numId="3">
    <w:abstractNumId w:val="14"/>
  </w:num>
  <w:num w:numId="4">
    <w:abstractNumId w:val="5"/>
  </w:num>
  <w:num w:numId="5">
    <w:abstractNumId w:val="1"/>
  </w:num>
  <w:num w:numId="6">
    <w:abstractNumId w:val="24"/>
  </w:num>
  <w:num w:numId="7">
    <w:abstractNumId w:val="7"/>
  </w:num>
  <w:num w:numId="8">
    <w:abstractNumId w:val="6"/>
  </w:num>
  <w:num w:numId="9">
    <w:abstractNumId w:val="33"/>
  </w:num>
  <w:num w:numId="10">
    <w:abstractNumId w:val="9"/>
  </w:num>
  <w:num w:numId="11">
    <w:abstractNumId w:val="10"/>
  </w:num>
  <w:num w:numId="12">
    <w:abstractNumId w:val="29"/>
  </w:num>
  <w:num w:numId="13">
    <w:abstractNumId w:val="17"/>
  </w:num>
  <w:num w:numId="14">
    <w:abstractNumId w:val="4"/>
  </w:num>
  <w:num w:numId="15">
    <w:abstractNumId w:val="35"/>
  </w:num>
  <w:num w:numId="16">
    <w:abstractNumId w:val="22"/>
  </w:num>
  <w:num w:numId="17">
    <w:abstractNumId w:val="8"/>
  </w:num>
  <w:num w:numId="18">
    <w:abstractNumId w:val="25"/>
  </w:num>
  <w:num w:numId="19">
    <w:abstractNumId w:val="12"/>
  </w:num>
  <w:num w:numId="20">
    <w:abstractNumId w:val="13"/>
  </w:num>
  <w:num w:numId="21">
    <w:abstractNumId w:val="34"/>
  </w:num>
  <w:num w:numId="22">
    <w:abstractNumId w:val="23"/>
  </w:num>
  <w:num w:numId="23">
    <w:abstractNumId w:val="2"/>
  </w:num>
  <w:num w:numId="24">
    <w:abstractNumId w:val="30"/>
  </w:num>
  <w:num w:numId="25">
    <w:abstractNumId w:val="27"/>
  </w:num>
  <w:num w:numId="26">
    <w:abstractNumId w:val="19"/>
  </w:num>
  <w:num w:numId="27">
    <w:abstractNumId w:val="26"/>
  </w:num>
  <w:num w:numId="28">
    <w:abstractNumId w:val="3"/>
  </w:num>
  <w:num w:numId="29">
    <w:abstractNumId w:val="32"/>
  </w:num>
  <w:num w:numId="30">
    <w:abstractNumId w:val="16"/>
  </w:num>
  <w:num w:numId="31">
    <w:abstractNumId w:val="0"/>
  </w:num>
  <w:num w:numId="32">
    <w:abstractNumId w:val="18"/>
  </w:num>
  <w:num w:numId="33">
    <w:abstractNumId w:val="20"/>
  </w:num>
  <w:num w:numId="34">
    <w:abstractNumId w:val="15"/>
  </w:num>
  <w:num w:numId="35">
    <w:abstractNumId w:val="2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cwNTQztTQzMjaxNDZW0lEKTi0uzszPAykwrAUAhC8NXSwAAAA="/>
  </w:docVars>
  <w:rsids>
    <w:rsidRoot w:val="00761CB6"/>
    <w:rsid w:val="00004A77"/>
    <w:rsid w:val="000078F4"/>
    <w:rsid w:val="00007AAB"/>
    <w:rsid w:val="00010860"/>
    <w:rsid w:val="000336E1"/>
    <w:rsid w:val="000425DD"/>
    <w:rsid w:val="00053D7A"/>
    <w:rsid w:val="0005616C"/>
    <w:rsid w:val="0006037D"/>
    <w:rsid w:val="000607E4"/>
    <w:rsid w:val="00061226"/>
    <w:rsid w:val="000628E8"/>
    <w:rsid w:val="0006413B"/>
    <w:rsid w:val="000643E7"/>
    <w:rsid w:val="0006527C"/>
    <w:rsid w:val="000652AA"/>
    <w:rsid w:val="000656B9"/>
    <w:rsid w:val="00065D51"/>
    <w:rsid w:val="000814C4"/>
    <w:rsid w:val="00083646"/>
    <w:rsid w:val="00086EDD"/>
    <w:rsid w:val="000A0EB4"/>
    <w:rsid w:val="000A2A54"/>
    <w:rsid w:val="000A633F"/>
    <w:rsid w:val="000A79B2"/>
    <w:rsid w:val="000B7204"/>
    <w:rsid w:val="000B75EF"/>
    <w:rsid w:val="000C0D71"/>
    <w:rsid w:val="000C411D"/>
    <w:rsid w:val="000C4F0E"/>
    <w:rsid w:val="000D461E"/>
    <w:rsid w:val="000D6AAA"/>
    <w:rsid w:val="000D7028"/>
    <w:rsid w:val="000D7DCE"/>
    <w:rsid w:val="000E0BA6"/>
    <w:rsid w:val="000E33DE"/>
    <w:rsid w:val="000E59CC"/>
    <w:rsid w:val="000E67D1"/>
    <w:rsid w:val="000E709D"/>
    <w:rsid w:val="000F14D5"/>
    <w:rsid w:val="000F27AA"/>
    <w:rsid w:val="000F28EC"/>
    <w:rsid w:val="00101AF6"/>
    <w:rsid w:val="00103C35"/>
    <w:rsid w:val="001053F8"/>
    <w:rsid w:val="00106150"/>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42FC"/>
    <w:rsid w:val="001D7EA7"/>
    <w:rsid w:val="001E6EC5"/>
    <w:rsid w:val="001F4E51"/>
    <w:rsid w:val="00202F35"/>
    <w:rsid w:val="00203EFF"/>
    <w:rsid w:val="0022042D"/>
    <w:rsid w:val="00220ADF"/>
    <w:rsid w:val="002216D7"/>
    <w:rsid w:val="00226D27"/>
    <w:rsid w:val="00227919"/>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0C8"/>
    <w:rsid w:val="002A4C47"/>
    <w:rsid w:val="002B1310"/>
    <w:rsid w:val="002B76E6"/>
    <w:rsid w:val="002C0DF9"/>
    <w:rsid w:val="002C48BB"/>
    <w:rsid w:val="002C6872"/>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3E4F"/>
    <w:rsid w:val="003664CE"/>
    <w:rsid w:val="003740DE"/>
    <w:rsid w:val="00384ACA"/>
    <w:rsid w:val="003909C0"/>
    <w:rsid w:val="00391BB6"/>
    <w:rsid w:val="003975AE"/>
    <w:rsid w:val="003A104D"/>
    <w:rsid w:val="003A4787"/>
    <w:rsid w:val="003A5332"/>
    <w:rsid w:val="003A6513"/>
    <w:rsid w:val="003A683D"/>
    <w:rsid w:val="003A71E9"/>
    <w:rsid w:val="003B035B"/>
    <w:rsid w:val="003B09B4"/>
    <w:rsid w:val="003B31CA"/>
    <w:rsid w:val="003B3553"/>
    <w:rsid w:val="003B400E"/>
    <w:rsid w:val="003B64F9"/>
    <w:rsid w:val="003B6CCD"/>
    <w:rsid w:val="003B73A7"/>
    <w:rsid w:val="003C06FB"/>
    <w:rsid w:val="003C1803"/>
    <w:rsid w:val="003C31E9"/>
    <w:rsid w:val="003C3BB0"/>
    <w:rsid w:val="003C4000"/>
    <w:rsid w:val="003D67F8"/>
    <w:rsid w:val="003E35A3"/>
    <w:rsid w:val="003E61B2"/>
    <w:rsid w:val="003F02C5"/>
    <w:rsid w:val="003F6E91"/>
    <w:rsid w:val="00400005"/>
    <w:rsid w:val="00405181"/>
    <w:rsid w:val="004132B1"/>
    <w:rsid w:val="004148C1"/>
    <w:rsid w:val="004148F5"/>
    <w:rsid w:val="004155A7"/>
    <w:rsid w:val="00416C8C"/>
    <w:rsid w:val="00417DFC"/>
    <w:rsid w:val="0042325D"/>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75A3D"/>
    <w:rsid w:val="004838F6"/>
    <w:rsid w:val="004951DA"/>
    <w:rsid w:val="004A16BD"/>
    <w:rsid w:val="004A508F"/>
    <w:rsid w:val="004A5427"/>
    <w:rsid w:val="004A586B"/>
    <w:rsid w:val="004A7955"/>
    <w:rsid w:val="004B02DF"/>
    <w:rsid w:val="004B351D"/>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072B4"/>
    <w:rsid w:val="00516AA1"/>
    <w:rsid w:val="00521EFD"/>
    <w:rsid w:val="00523936"/>
    <w:rsid w:val="0052448D"/>
    <w:rsid w:val="0052741B"/>
    <w:rsid w:val="0054487D"/>
    <w:rsid w:val="00554C7D"/>
    <w:rsid w:val="005577C6"/>
    <w:rsid w:val="0056389E"/>
    <w:rsid w:val="00564FB4"/>
    <w:rsid w:val="00565C3C"/>
    <w:rsid w:val="00571246"/>
    <w:rsid w:val="00586265"/>
    <w:rsid w:val="0059595D"/>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4513"/>
    <w:rsid w:val="0063716F"/>
    <w:rsid w:val="0064677F"/>
    <w:rsid w:val="006500A6"/>
    <w:rsid w:val="00650475"/>
    <w:rsid w:val="00655F10"/>
    <w:rsid w:val="00657005"/>
    <w:rsid w:val="00661483"/>
    <w:rsid w:val="006618F5"/>
    <w:rsid w:val="00665992"/>
    <w:rsid w:val="0067007E"/>
    <w:rsid w:val="00671CE7"/>
    <w:rsid w:val="00676549"/>
    <w:rsid w:val="0067685B"/>
    <w:rsid w:val="00682053"/>
    <w:rsid w:val="00683EC3"/>
    <w:rsid w:val="006864CA"/>
    <w:rsid w:val="006907D2"/>
    <w:rsid w:val="00692471"/>
    <w:rsid w:val="00693DFE"/>
    <w:rsid w:val="00695D59"/>
    <w:rsid w:val="006972CC"/>
    <w:rsid w:val="00697683"/>
    <w:rsid w:val="00697CF9"/>
    <w:rsid w:val="006A126B"/>
    <w:rsid w:val="006A2C8B"/>
    <w:rsid w:val="006A39B3"/>
    <w:rsid w:val="006A7ABC"/>
    <w:rsid w:val="006B0247"/>
    <w:rsid w:val="006B57D5"/>
    <w:rsid w:val="006B66BC"/>
    <w:rsid w:val="006C161B"/>
    <w:rsid w:val="006C7C9D"/>
    <w:rsid w:val="006D2558"/>
    <w:rsid w:val="006D3E12"/>
    <w:rsid w:val="006D455D"/>
    <w:rsid w:val="006E13D4"/>
    <w:rsid w:val="006E4B0A"/>
    <w:rsid w:val="006F1ABF"/>
    <w:rsid w:val="006F1FC2"/>
    <w:rsid w:val="006F418F"/>
    <w:rsid w:val="006F708E"/>
    <w:rsid w:val="00705A87"/>
    <w:rsid w:val="00711B14"/>
    <w:rsid w:val="00713825"/>
    <w:rsid w:val="00720F41"/>
    <w:rsid w:val="00721966"/>
    <w:rsid w:val="0073506F"/>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48C1"/>
    <w:rsid w:val="007A5BAB"/>
    <w:rsid w:val="007B0E74"/>
    <w:rsid w:val="007B437D"/>
    <w:rsid w:val="007B68AF"/>
    <w:rsid w:val="007C4389"/>
    <w:rsid w:val="007C5F8A"/>
    <w:rsid w:val="007C7951"/>
    <w:rsid w:val="007D03BC"/>
    <w:rsid w:val="007D38FC"/>
    <w:rsid w:val="007D6740"/>
    <w:rsid w:val="007E0B44"/>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5A4C"/>
    <w:rsid w:val="00856AFD"/>
    <w:rsid w:val="008666DC"/>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28C5"/>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47AFC"/>
    <w:rsid w:val="00951A3D"/>
    <w:rsid w:val="009536DC"/>
    <w:rsid w:val="009551E6"/>
    <w:rsid w:val="00960579"/>
    <w:rsid w:val="0096776A"/>
    <w:rsid w:val="00973C48"/>
    <w:rsid w:val="00975E52"/>
    <w:rsid w:val="009763D1"/>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E6513"/>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A95"/>
    <w:rsid w:val="00A3760B"/>
    <w:rsid w:val="00A4069A"/>
    <w:rsid w:val="00A42234"/>
    <w:rsid w:val="00A43928"/>
    <w:rsid w:val="00A478B2"/>
    <w:rsid w:val="00A50845"/>
    <w:rsid w:val="00A5299F"/>
    <w:rsid w:val="00A54719"/>
    <w:rsid w:val="00A57A87"/>
    <w:rsid w:val="00A57EEA"/>
    <w:rsid w:val="00A61C31"/>
    <w:rsid w:val="00A62C46"/>
    <w:rsid w:val="00A6369F"/>
    <w:rsid w:val="00A64590"/>
    <w:rsid w:val="00A66C70"/>
    <w:rsid w:val="00A7055A"/>
    <w:rsid w:val="00A70809"/>
    <w:rsid w:val="00A77093"/>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B792A"/>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8003F"/>
    <w:rsid w:val="00B81562"/>
    <w:rsid w:val="00B84C19"/>
    <w:rsid w:val="00B91792"/>
    <w:rsid w:val="00B928B4"/>
    <w:rsid w:val="00B93BD4"/>
    <w:rsid w:val="00BA248E"/>
    <w:rsid w:val="00BA3C57"/>
    <w:rsid w:val="00BB0BE1"/>
    <w:rsid w:val="00BB2F9E"/>
    <w:rsid w:val="00BB4C3B"/>
    <w:rsid w:val="00BB6828"/>
    <w:rsid w:val="00BB7829"/>
    <w:rsid w:val="00BC43AE"/>
    <w:rsid w:val="00BD22E5"/>
    <w:rsid w:val="00BD346C"/>
    <w:rsid w:val="00BE2004"/>
    <w:rsid w:val="00BE2365"/>
    <w:rsid w:val="00BF0896"/>
    <w:rsid w:val="00BF26BF"/>
    <w:rsid w:val="00BF31D8"/>
    <w:rsid w:val="00BF5B05"/>
    <w:rsid w:val="00C00621"/>
    <w:rsid w:val="00C033E1"/>
    <w:rsid w:val="00C04B81"/>
    <w:rsid w:val="00C07482"/>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515E"/>
    <w:rsid w:val="00C5683C"/>
    <w:rsid w:val="00C57B8F"/>
    <w:rsid w:val="00C650CE"/>
    <w:rsid w:val="00C6694F"/>
    <w:rsid w:val="00C7136B"/>
    <w:rsid w:val="00C8662E"/>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3FD"/>
    <w:rsid w:val="00D0374A"/>
    <w:rsid w:val="00D055EE"/>
    <w:rsid w:val="00D07932"/>
    <w:rsid w:val="00D1176E"/>
    <w:rsid w:val="00D2322A"/>
    <w:rsid w:val="00D261CC"/>
    <w:rsid w:val="00D370EF"/>
    <w:rsid w:val="00D40796"/>
    <w:rsid w:val="00D61F91"/>
    <w:rsid w:val="00D63323"/>
    <w:rsid w:val="00D66880"/>
    <w:rsid w:val="00D71250"/>
    <w:rsid w:val="00D7161C"/>
    <w:rsid w:val="00D75C9D"/>
    <w:rsid w:val="00D80CF2"/>
    <w:rsid w:val="00D82C22"/>
    <w:rsid w:val="00D83111"/>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2D6D"/>
    <w:rsid w:val="00DE3F15"/>
    <w:rsid w:val="00DE544F"/>
    <w:rsid w:val="00DE6DAE"/>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08F3"/>
    <w:rsid w:val="00EF4D40"/>
    <w:rsid w:val="00EF4D87"/>
    <w:rsid w:val="00EF5941"/>
    <w:rsid w:val="00F03903"/>
    <w:rsid w:val="00F03E39"/>
    <w:rsid w:val="00F13040"/>
    <w:rsid w:val="00F133C3"/>
    <w:rsid w:val="00F144B9"/>
    <w:rsid w:val="00F278AB"/>
    <w:rsid w:val="00F33463"/>
    <w:rsid w:val="00F36C5B"/>
    <w:rsid w:val="00F43253"/>
    <w:rsid w:val="00F43CC2"/>
    <w:rsid w:val="00F45317"/>
    <w:rsid w:val="00F4728A"/>
    <w:rsid w:val="00F533A4"/>
    <w:rsid w:val="00F54256"/>
    <w:rsid w:val="00F6047F"/>
    <w:rsid w:val="00F62CC5"/>
    <w:rsid w:val="00F62D4E"/>
    <w:rsid w:val="00F6454B"/>
    <w:rsid w:val="00F73CB7"/>
    <w:rsid w:val="00F754E8"/>
    <w:rsid w:val="00F76FC1"/>
    <w:rsid w:val="00F800B7"/>
    <w:rsid w:val="00F970BC"/>
    <w:rsid w:val="00F97B7F"/>
    <w:rsid w:val="00FA03AB"/>
    <w:rsid w:val="00FA1C67"/>
    <w:rsid w:val="00FA5698"/>
    <w:rsid w:val="00FA5C8B"/>
    <w:rsid w:val="00FA7321"/>
    <w:rsid w:val="00FB1450"/>
    <w:rsid w:val="00FB5CFC"/>
    <w:rsid w:val="00FB6475"/>
    <w:rsid w:val="00FC1A30"/>
    <w:rsid w:val="00FC3FB3"/>
    <w:rsid w:val="00FD042D"/>
    <w:rsid w:val="00FD1C43"/>
    <w:rsid w:val="00FD24C5"/>
    <w:rsid w:val="00FD402F"/>
    <w:rsid w:val="00FE123A"/>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4AAE14"/>
  <w15:docId w15:val="{ADFA4F56-3EB9-4104-A446-FCA5DC39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character" w:styleId="HTMLCode">
    <w:name w:val="HTML Code"/>
    <w:basedOn w:val="DefaultParagraphFont"/>
    <w:uiPriority w:val="99"/>
    <w:semiHidden/>
    <w:unhideWhenUsed/>
    <w:rsid w:val="00BE2365"/>
    <w:rPr>
      <w:rFonts w:ascii="Courier New" w:eastAsia="Times New Roman" w:hAnsi="Courier New" w:cs="Courier New"/>
      <w:sz w:val="20"/>
      <w:szCs w:val="20"/>
    </w:rPr>
  </w:style>
  <w:style w:type="paragraph" w:styleId="Header">
    <w:name w:val="header"/>
    <w:basedOn w:val="Normal"/>
    <w:link w:val="HeaderChar"/>
    <w:uiPriority w:val="99"/>
    <w:unhideWhenUsed/>
    <w:rsid w:val="00D71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61C"/>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D71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61C"/>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8724130">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449">
      <w:bodyDiv w:val="1"/>
      <w:marLeft w:val="0"/>
      <w:marRight w:val="0"/>
      <w:marTop w:val="0"/>
      <w:marBottom w:val="0"/>
      <w:divBdr>
        <w:top w:val="none" w:sz="0" w:space="0" w:color="auto"/>
        <w:left w:val="none" w:sz="0" w:space="0" w:color="auto"/>
        <w:bottom w:val="none" w:sz="0" w:space="0" w:color="auto"/>
        <w:right w:val="none" w:sz="0" w:space="0" w:color="auto"/>
      </w:divBdr>
      <w:divsChild>
        <w:div w:id="721946594">
          <w:marLeft w:val="0"/>
          <w:marRight w:val="0"/>
          <w:marTop w:val="0"/>
          <w:marBottom w:val="0"/>
          <w:divBdr>
            <w:top w:val="none" w:sz="0" w:space="0" w:color="auto"/>
            <w:left w:val="none" w:sz="0" w:space="0" w:color="auto"/>
            <w:bottom w:val="none" w:sz="0" w:space="0" w:color="auto"/>
            <w:right w:val="none" w:sz="0" w:space="0" w:color="auto"/>
          </w:divBdr>
          <w:divsChild>
            <w:div w:id="716860715">
              <w:marLeft w:val="0"/>
              <w:marRight w:val="0"/>
              <w:marTop w:val="0"/>
              <w:marBottom w:val="0"/>
              <w:divBdr>
                <w:top w:val="none" w:sz="0" w:space="0" w:color="auto"/>
                <w:left w:val="none" w:sz="0" w:space="0" w:color="auto"/>
                <w:bottom w:val="none" w:sz="0" w:space="0" w:color="auto"/>
                <w:right w:val="none" w:sz="0" w:space="0" w:color="auto"/>
              </w:divBdr>
              <w:divsChild>
                <w:div w:id="945188306">
                  <w:marLeft w:val="0"/>
                  <w:marRight w:val="0"/>
                  <w:marTop w:val="0"/>
                  <w:marBottom w:val="0"/>
                  <w:divBdr>
                    <w:top w:val="none" w:sz="0" w:space="0" w:color="auto"/>
                    <w:left w:val="none" w:sz="0" w:space="0" w:color="auto"/>
                    <w:bottom w:val="none" w:sz="0" w:space="0" w:color="auto"/>
                    <w:right w:val="none" w:sz="0" w:space="0" w:color="auto"/>
                  </w:divBdr>
                  <w:divsChild>
                    <w:div w:id="763841092">
                      <w:marLeft w:val="0"/>
                      <w:marRight w:val="0"/>
                      <w:marTop w:val="0"/>
                      <w:marBottom w:val="0"/>
                      <w:divBdr>
                        <w:top w:val="none" w:sz="0" w:space="0" w:color="auto"/>
                        <w:left w:val="none" w:sz="0" w:space="0" w:color="auto"/>
                        <w:bottom w:val="none" w:sz="0" w:space="0" w:color="auto"/>
                        <w:right w:val="none" w:sz="0" w:space="0" w:color="auto"/>
                      </w:divBdr>
                      <w:divsChild>
                        <w:div w:id="930622031">
                          <w:marLeft w:val="0"/>
                          <w:marRight w:val="0"/>
                          <w:marTop w:val="0"/>
                          <w:marBottom w:val="0"/>
                          <w:divBdr>
                            <w:top w:val="none" w:sz="0" w:space="0" w:color="auto"/>
                            <w:left w:val="none" w:sz="0" w:space="0" w:color="auto"/>
                            <w:bottom w:val="none" w:sz="0" w:space="0" w:color="auto"/>
                            <w:right w:val="none" w:sz="0" w:space="0" w:color="auto"/>
                          </w:divBdr>
                          <w:divsChild>
                            <w:div w:id="1721706477">
                              <w:marLeft w:val="0"/>
                              <w:marRight w:val="0"/>
                              <w:marTop w:val="0"/>
                              <w:marBottom w:val="0"/>
                              <w:divBdr>
                                <w:top w:val="none" w:sz="0" w:space="0" w:color="auto"/>
                                <w:left w:val="none" w:sz="0" w:space="0" w:color="auto"/>
                                <w:bottom w:val="none" w:sz="0" w:space="0" w:color="auto"/>
                                <w:right w:val="none" w:sz="0" w:space="0" w:color="auto"/>
                              </w:divBdr>
                              <w:divsChild>
                                <w:div w:id="152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2629798">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5607">
      <w:bodyDiv w:val="1"/>
      <w:marLeft w:val="0"/>
      <w:marRight w:val="0"/>
      <w:marTop w:val="0"/>
      <w:marBottom w:val="0"/>
      <w:divBdr>
        <w:top w:val="none" w:sz="0" w:space="0" w:color="auto"/>
        <w:left w:val="none" w:sz="0" w:space="0" w:color="auto"/>
        <w:bottom w:val="none" w:sz="0" w:space="0" w:color="auto"/>
        <w:right w:val="none" w:sz="0" w:space="0" w:color="auto"/>
      </w:divBdr>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0906886">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3331944">
      <w:bodyDiv w:val="1"/>
      <w:marLeft w:val="0"/>
      <w:marRight w:val="0"/>
      <w:marTop w:val="0"/>
      <w:marBottom w:val="0"/>
      <w:divBdr>
        <w:top w:val="none" w:sz="0" w:space="0" w:color="auto"/>
        <w:left w:val="none" w:sz="0" w:space="0" w:color="auto"/>
        <w:bottom w:val="none" w:sz="0" w:space="0" w:color="auto"/>
        <w:right w:val="none" w:sz="0" w:space="0" w:color="auto"/>
      </w:divBdr>
      <w:divsChild>
        <w:div w:id="1192766237">
          <w:marLeft w:val="0"/>
          <w:marRight w:val="0"/>
          <w:marTop w:val="0"/>
          <w:marBottom w:val="0"/>
          <w:divBdr>
            <w:top w:val="none" w:sz="0" w:space="0" w:color="auto"/>
            <w:left w:val="none" w:sz="0" w:space="0" w:color="auto"/>
            <w:bottom w:val="none" w:sz="0" w:space="0" w:color="auto"/>
            <w:right w:val="none" w:sz="0" w:space="0" w:color="auto"/>
          </w:divBdr>
          <w:divsChild>
            <w:div w:id="131291070">
              <w:marLeft w:val="0"/>
              <w:marRight w:val="0"/>
              <w:marTop w:val="0"/>
              <w:marBottom w:val="0"/>
              <w:divBdr>
                <w:top w:val="none" w:sz="0" w:space="0" w:color="auto"/>
                <w:left w:val="none" w:sz="0" w:space="0" w:color="auto"/>
                <w:bottom w:val="none" w:sz="0" w:space="0" w:color="auto"/>
                <w:right w:val="none" w:sz="0" w:space="0" w:color="auto"/>
              </w:divBdr>
              <w:divsChild>
                <w:div w:id="2007125384">
                  <w:marLeft w:val="0"/>
                  <w:marRight w:val="0"/>
                  <w:marTop w:val="0"/>
                  <w:marBottom w:val="0"/>
                  <w:divBdr>
                    <w:top w:val="none" w:sz="0" w:space="0" w:color="auto"/>
                    <w:left w:val="none" w:sz="0" w:space="0" w:color="auto"/>
                    <w:bottom w:val="none" w:sz="0" w:space="0" w:color="auto"/>
                    <w:right w:val="none" w:sz="0" w:space="0" w:color="auto"/>
                  </w:divBdr>
                  <w:divsChild>
                    <w:div w:id="1938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9474">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39661776">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1238613">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199518696">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3979128">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954058">
      <w:bodyDiv w:val="1"/>
      <w:marLeft w:val="0"/>
      <w:marRight w:val="0"/>
      <w:marTop w:val="0"/>
      <w:marBottom w:val="0"/>
      <w:divBdr>
        <w:top w:val="none" w:sz="0" w:space="0" w:color="auto"/>
        <w:left w:val="none" w:sz="0" w:space="0" w:color="auto"/>
        <w:bottom w:val="none" w:sz="0" w:space="0" w:color="auto"/>
        <w:right w:val="none" w:sz="0" w:space="0" w:color="auto"/>
      </w:divBdr>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309735">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5116013">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48876916">
      <w:bodyDiv w:val="1"/>
      <w:marLeft w:val="0"/>
      <w:marRight w:val="0"/>
      <w:marTop w:val="0"/>
      <w:marBottom w:val="0"/>
      <w:divBdr>
        <w:top w:val="none" w:sz="0" w:space="0" w:color="auto"/>
        <w:left w:val="none" w:sz="0" w:space="0" w:color="auto"/>
        <w:bottom w:val="none" w:sz="0" w:space="0" w:color="auto"/>
        <w:right w:val="none" w:sz="0" w:space="0" w:color="auto"/>
      </w:divBdr>
    </w:div>
    <w:div w:id="35635148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244068">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761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46297">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5792430">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51948">
      <w:bodyDiv w:val="1"/>
      <w:marLeft w:val="0"/>
      <w:marRight w:val="0"/>
      <w:marTop w:val="0"/>
      <w:marBottom w:val="0"/>
      <w:divBdr>
        <w:top w:val="none" w:sz="0" w:space="0" w:color="auto"/>
        <w:left w:val="none" w:sz="0" w:space="0" w:color="auto"/>
        <w:bottom w:val="none" w:sz="0" w:space="0" w:color="auto"/>
        <w:right w:val="none" w:sz="0" w:space="0" w:color="auto"/>
      </w:divBdr>
    </w:div>
    <w:div w:id="676469021">
      <w:bodyDiv w:val="1"/>
      <w:marLeft w:val="0"/>
      <w:marRight w:val="0"/>
      <w:marTop w:val="0"/>
      <w:marBottom w:val="0"/>
      <w:divBdr>
        <w:top w:val="none" w:sz="0" w:space="0" w:color="auto"/>
        <w:left w:val="none" w:sz="0" w:space="0" w:color="auto"/>
        <w:bottom w:val="none" w:sz="0" w:space="0" w:color="auto"/>
        <w:right w:val="none" w:sz="0" w:space="0" w:color="auto"/>
      </w:divBdr>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250974">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3888766">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2241443">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1678825">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237050">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6548279">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12668359">
      <w:bodyDiv w:val="1"/>
      <w:marLeft w:val="0"/>
      <w:marRight w:val="0"/>
      <w:marTop w:val="0"/>
      <w:marBottom w:val="0"/>
      <w:divBdr>
        <w:top w:val="none" w:sz="0" w:space="0" w:color="auto"/>
        <w:left w:val="none" w:sz="0" w:space="0" w:color="auto"/>
        <w:bottom w:val="none" w:sz="0" w:space="0" w:color="auto"/>
        <w:right w:val="none" w:sz="0" w:space="0" w:color="auto"/>
      </w:divBdr>
    </w:div>
    <w:div w:id="922371542">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268">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4430234">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25519833">
      <w:bodyDiv w:val="1"/>
      <w:marLeft w:val="0"/>
      <w:marRight w:val="0"/>
      <w:marTop w:val="0"/>
      <w:marBottom w:val="0"/>
      <w:divBdr>
        <w:top w:val="none" w:sz="0" w:space="0" w:color="auto"/>
        <w:left w:val="none" w:sz="0" w:space="0" w:color="auto"/>
        <w:bottom w:val="none" w:sz="0" w:space="0" w:color="auto"/>
        <w:right w:val="none" w:sz="0" w:space="0" w:color="auto"/>
      </w:divBdr>
    </w:div>
    <w:div w:id="1032069810">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0875861">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05476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3541354">
      <w:bodyDiv w:val="1"/>
      <w:marLeft w:val="0"/>
      <w:marRight w:val="0"/>
      <w:marTop w:val="0"/>
      <w:marBottom w:val="0"/>
      <w:divBdr>
        <w:top w:val="none" w:sz="0" w:space="0" w:color="auto"/>
        <w:left w:val="none" w:sz="0" w:space="0" w:color="auto"/>
        <w:bottom w:val="none" w:sz="0" w:space="0" w:color="auto"/>
        <w:right w:val="none" w:sz="0" w:space="0" w:color="auto"/>
      </w:divBdr>
    </w:div>
    <w:div w:id="1146358158">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00050410">
      <w:bodyDiv w:val="1"/>
      <w:marLeft w:val="0"/>
      <w:marRight w:val="0"/>
      <w:marTop w:val="0"/>
      <w:marBottom w:val="0"/>
      <w:divBdr>
        <w:top w:val="none" w:sz="0" w:space="0" w:color="auto"/>
        <w:left w:val="none" w:sz="0" w:space="0" w:color="auto"/>
        <w:bottom w:val="none" w:sz="0" w:space="0" w:color="auto"/>
        <w:right w:val="none" w:sz="0" w:space="0" w:color="auto"/>
      </w:divBdr>
    </w:div>
    <w:div w:id="1202403403">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54778382">
      <w:bodyDiv w:val="1"/>
      <w:marLeft w:val="0"/>
      <w:marRight w:val="0"/>
      <w:marTop w:val="0"/>
      <w:marBottom w:val="0"/>
      <w:divBdr>
        <w:top w:val="none" w:sz="0" w:space="0" w:color="auto"/>
        <w:left w:val="none" w:sz="0" w:space="0" w:color="auto"/>
        <w:bottom w:val="none" w:sz="0" w:space="0" w:color="auto"/>
        <w:right w:val="none" w:sz="0" w:space="0" w:color="auto"/>
      </w:divBdr>
    </w:div>
    <w:div w:id="1255170738">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89705266">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1974838">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517941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005422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3088819">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202109">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4300154">
      <w:bodyDiv w:val="1"/>
      <w:marLeft w:val="0"/>
      <w:marRight w:val="0"/>
      <w:marTop w:val="0"/>
      <w:marBottom w:val="0"/>
      <w:divBdr>
        <w:top w:val="none" w:sz="0" w:space="0" w:color="auto"/>
        <w:left w:val="none" w:sz="0" w:space="0" w:color="auto"/>
        <w:bottom w:val="none" w:sz="0" w:space="0" w:color="auto"/>
        <w:right w:val="none" w:sz="0" w:space="0" w:color="auto"/>
      </w:divBdr>
      <w:divsChild>
        <w:div w:id="1642422085">
          <w:marLeft w:val="0"/>
          <w:marRight w:val="0"/>
          <w:marTop w:val="0"/>
          <w:marBottom w:val="0"/>
          <w:divBdr>
            <w:top w:val="none" w:sz="0" w:space="0" w:color="auto"/>
            <w:left w:val="none" w:sz="0" w:space="0" w:color="auto"/>
            <w:bottom w:val="none" w:sz="0" w:space="0" w:color="auto"/>
            <w:right w:val="none" w:sz="0" w:space="0" w:color="auto"/>
          </w:divBdr>
          <w:divsChild>
            <w:div w:id="940526396">
              <w:marLeft w:val="0"/>
              <w:marRight w:val="0"/>
              <w:marTop w:val="0"/>
              <w:marBottom w:val="0"/>
              <w:divBdr>
                <w:top w:val="none" w:sz="0" w:space="0" w:color="auto"/>
                <w:left w:val="none" w:sz="0" w:space="0" w:color="auto"/>
                <w:bottom w:val="none" w:sz="0" w:space="0" w:color="auto"/>
                <w:right w:val="none" w:sz="0" w:space="0" w:color="auto"/>
              </w:divBdr>
              <w:divsChild>
                <w:div w:id="1628047455">
                  <w:marLeft w:val="0"/>
                  <w:marRight w:val="0"/>
                  <w:marTop w:val="0"/>
                  <w:marBottom w:val="0"/>
                  <w:divBdr>
                    <w:top w:val="none" w:sz="0" w:space="0" w:color="auto"/>
                    <w:left w:val="none" w:sz="0" w:space="0" w:color="auto"/>
                    <w:bottom w:val="none" w:sz="0" w:space="0" w:color="auto"/>
                    <w:right w:val="none" w:sz="0" w:space="0" w:color="auto"/>
                  </w:divBdr>
                  <w:divsChild>
                    <w:div w:id="1570727862">
                      <w:marLeft w:val="0"/>
                      <w:marRight w:val="0"/>
                      <w:marTop w:val="0"/>
                      <w:marBottom w:val="0"/>
                      <w:divBdr>
                        <w:top w:val="none" w:sz="0" w:space="0" w:color="auto"/>
                        <w:left w:val="none" w:sz="0" w:space="0" w:color="auto"/>
                        <w:bottom w:val="none" w:sz="0" w:space="0" w:color="auto"/>
                        <w:right w:val="none" w:sz="0" w:space="0" w:color="auto"/>
                      </w:divBdr>
                      <w:divsChild>
                        <w:div w:id="569005505">
                          <w:marLeft w:val="0"/>
                          <w:marRight w:val="0"/>
                          <w:marTop w:val="0"/>
                          <w:marBottom w:val="0"/>
                          <w:divBdr>
                            <w:top w:val="none" w:sz="0" w:space="0" w:color="auto"/>
                            <w:left w:val="none" w:sz="0" w:space="0" w:color="auto"/>
                            <w:bottom w:val="none" w:sz="0" w:space="0" w:color="auto"/>
                            <w:right w:val="none" w:sz="0" w:space="0" w:color="auto"/>
                          </w:divBdr>
                          <w:divsChild>
                            <w:div w:id="1631354473">
                              <w:marLeft w:val="0"/>
                              <w:marRight w:val="0"/>
                              <w:marTop w:val="0"/>
                              <w:marBottom w:val="0"/>
                              <w:divBdr>
                                <w:top w:val="none" w:sz="0" w:space="0" w:color="auto"/>
                                <w:left w:val="none" w:sz="0" w:space="0" w:color="auto"/>
                                <w:bottom w:val="none" w:sz="0" w:space="0" w:color="auto"/>
                                <w:right w:val="none" w:sz="0" w:space="0" w:color="auto"/>
                              </w:divBdr>
                              <w:divsChild>
                                <w:div w:id="84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425007">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138708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4919223">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08168479">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4766889">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6107191">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586-014-3264-4" TargetMode="External"/><Relationship Id="rId18" Type="http://schemas.openxmlformats.org/officeDocument/2006/relationships/hyperlink" Target="https://doi.org/10.1016/j.nbd.2013.10.020" TargetMode="External"/><Relationship Id="rId26" Type="http://schemas.openxmlformats.org/officeDocument/2006/relationships/hyperlink" Target="https://doi.org/10.1016/j.spinee.2022.06.012" TargetMode="External"/><Relationship Id="rId3" Type="http://schemas.openxmlformats.org/officeDocument/2006/relationships/styles" Target="styles.xml"/><Relationship Id="rId21" Type="http://schemas.openxmlformats.org/officeDocument/2006/relationships/hyperlink" Target="https://doi.org/10.1097/BRS.000000000000091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spinee.2016.08.019" TargetMode="External"/><Relationship Id="rId17" Type="http://schemas.openxmlformats.org/officeDocument/2006/relationships/hyperlink" Target="https://doi.org/10.3122/jabfm.2020.02.190195" TargetMode="External"/><Relationship Id="rId25" Type="http://schemas.openxmlformats.org/officeDocument/2006/relationships/hyperlink" Target="https://doi.org/10.1038/s41393-025-01148-z"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371/journal.pone.0195733" TargetMode="External"/><Relationship Id="rId20" Type="http://schemas.openxmlformats.org/officeDocument/2006/relationships/hyperlink" Target="https://doi.org/10.3171/2016.3.FOCUS166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1474-4422(20)30407-5" TargetMode="External"/><Relationship Id="rId24" Type="http://schemas.openxmlformats.org/officeDocument/2006/relationships/hyperlink" Target="https://doi.org/10.1177/2192568217700396"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174/ajnr.A5162" TargetMode="External"/><Relationship Id="rId23" Type="http://schemas.openxmlformats.org/officeDocument/2006/relationships/hyperlink" Target="https://doi.org/10.3171/2019.12.SPINE191158" TargetMode="External"/><Relationship Id="rId28" Type="http://schemas.openxmlformats.org/officeDocument/2006/relationships/header" Target="header1.xml"/><Relationship Id="rId10" Type="http://schemas.openxmlformats.org/officeDocument/2006/relationships/hyperlink" Target="https://doi.org/10.1371/journal.pmed.1004447" TargetMode="External"/><Relationship Id="rId19" Type="http://schemas.openxmlformats.org/officeDocument/2006/relationships/hyperlink" Target="https://doi.org/10.3171/spi.2007.6.3.198"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38/s41582-019-0303-0" TargetMode="External"/><Relationship Id="rId14" Type="http://schemas.openxmlformats.org/officeDocument/2006/relationships/hyperlink" Target="https://doi.org/10.3174/ajnr.A5163" TargetMode="External"/><Relationship Id="rId22" Type="http://schemas.openxmlformats.org/officeDocument/2006/relationships/hyperlink" Target="https://doi.org/10.1016/j.wneu.2020.09.148" TargetMode="External"/><Relationship Id="rId27" Type="http://schemas.openxmlformats.org/officeDocument/2006/relationships/hyperlink" Target="https://doi.org/10.1136/bmjopen-2021-057650"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16/j.nec.2017.09.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497DA-5F8C-442C-91F7-B6B370EC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13751</TotalTime>
  <Pages>16</Pages>
  <Words>8144</Words>
  <Characters>46424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181</cp:revision>
  <cp:lastPrinted>2025-12-13T07:14:00Z</cp:lastPrinted>
  <dcterms:created xsi:type="dcterms:W3CDTF">2025-09-24T12:44:00Z</dcterms:created>
  <dcterms:modified xsi:type="dcterms:W3CDTF">2026-03-13T05:29:00Z</dcterms:modified>
</cp:coreProperties>
</file>