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1397" w:rsidRDefault="00763C03">
      <w:pPr>
        <w:widowControl w:val="0"/>
        <w:pBdr>
          <w:top w:val="nil"/>
          <w:left w:val="nil"/>
          <w:bottom w:val="nil"/>
          <w:right w:val="nil"/>
          <w:between w:val="nil"/>
        </w:pBdr>
        <w:spacing w:line="276" w:lineRule="auto"/>
      </w:pPr>
      <w:r>
        <w:pict w14:anchorId="3D51C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0634A6AC">
          <v:shape id="_x0000_s1030" type="#_x0000_t136" style="position:absolute;margin-left:0;margin-top:0;width:50pt;height:50pt;z-index:251656192;visibility:hidden">
            <o:lock v:ext="edit" selection="t"/>
          </v:shape>
        </w:pict>
      </w:r>
      <w:r>
        <w:pict w14:anchorId="47228D3C">
          <v:shape id="_x0000_s1029" type="#_x0000_t136" style="position:absolute;margin-left:0;margin-top:0;width:50pt;height:50pt;z-index:251657216;visibility:hidden">
            <o:lock v:ext="edit" selection="t"/>
          </v:shape>
        </w:pict>
      </w:r>
      <w:r>
        <w:pict w14:anchorId="4140577B">
          <v:shape id="_x0000_s1028" type="#_x0000_t136" style="position:absolute;margin-left:0;margin-top:0;width:50pt;height:50pt;z-index:251658240;visibility:hidden">
            <o:lock v:ext="edit" selection="t"/>
          </v:shape>
        </w:pict>
      </w:r>
      <w:r>
        <w:pict w14:anchorId="3C4F9B7C">
          <v:shape id="_x0000_s1027" type="#_x0000_t136" style="position:absolute;margin-left:0;margin-top:0;width:50pt;height:50pt;z-index:251659264;visibility:hidden">
            <o:lock v:ext="edit" selection="t"/>
          </v:shape>
        </w:pict>
      </w:r>
      <w:r>
        <w:pict w14:anchorId="64F75DF9">
          <v:shape id="_x0000_s1026" type="#_x0000_t136" style="position:absolute;margin-left:0;margin-top:0;width:50pt;height:50pt;z-index:251660288;visibility:hidden">
            <o:lock v:ext="edit" selection="t"/>
          </v:shape>
        </w:pict>
      </w:r>
    </w:p>
    <w:p w:rsidR="00311397" w:rsidRDefault="00311397">
      <w:pPr>
        <w:widowControl w:val="0"/>
        <w:pBdr>
          <w:top w:val="nil"/>
          <w:left w:val="nil"/>
          <w:bottom w:val="nil"/>
          <w:right w:val="nil"/>
          <w:between w:val="nil"/>
        </w:pBdr>
        <w:spacing w:line="276" w:lineRule="auto"/>
      </w:pPr>
    </w:p>
    <w:p w:rsidR="00311397" w:rsidRDefault="00311397">
      <w:pPr>
        <w:widowControl w:val="0"/>
        <w:pBdr>
          <w:top w:val="nil"/>
          <w:left w:val="nil"/>
          <w:bottom w:val="nil"/>
          <w:right w:val="nil"/>
          <w:between w:val="nil"/>
        </w:pBdr>
        <w:spacing w:line="276" w:lineRule="auto"/>
      </w:pPr>
    </w:p>
    <w:p w:rsidR="00311397" w:rsidRDefault="00311397">
      <w:pPr>
        <w:pStyle w:val="Title"/>
        <w:spacing w:after="0"/>
        <w:jc w:val="both"/>
        <w:rPr>
          <w:rFonts w:ascii="Arial" w:eastAsia="Arial" w:hAnsi="Arial" w:cs="Arial"/>
        </w:rPr>
      </w:pPr>
    </w:p>
    <w:p w:rsidR="00311397" w:rsidRDefault="00311397">
      <w:pPr>
        <w:pBdr>
          <w:top w:val="nil"/>
          <w:left w:val="nil"/>
          <w:bottom w:val="nil"/>
          <w:right w:val="nil"/>
          <w:between w:val="nil"/>
        </w:pBdr>
        <w:jc w:val="right"/>
        <w:rPr>
          <w:rFonts w:ascii="Arial" w:eastAsia="Arial" w:hAnsi="Arial" w:cs="Arial"/>
          <w:b/>
          <w:bCs/>
          <w:sz w:val="36"/>
          <w:szCs w:val="36"/>
        </w:rPr>
      </w:pPr>
    </w:p>
    <w:p w:rsidR="00311397" w:rsidRDefault="00311397">
      <w:pPr>
        <w:pBdr>
          <w:top w:val="nil"/>
          <w:left w:val="nil"/>
          <w:bottom w:val="nil"/>
          <w:right w:val="nil"/>
          <w:between w:val="nil"/>
        </w:pBdr>
        <w:jc w:val="right"/>
        <w:rPr>
          <w:rFonts w:ascii="Arial" w:eastAsia="Arial" w:hAnsi="Arial" w:cs="Arial"/>
          <w:b/>
          <w:bCs/>
          <w:sz w:val="36"/>
          <w:szCs w:val="36"/>
        </w:rPr>
      </w:pPr>
    </w:p>
    <w:p w:rsidR="00311397" w:rsidRDefault="000E2E76">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A Signal for Caution: Eight Cases of Neurological Injury After Spinal Manipulation and Implications for Future Surveillance</w:t>
      </w:r>
      <w:r>
        <w:rPr>
          <w:rFonts w:ascii="Arial" w:eastAsia="Arial" w:hAnsi="Arial" w:cs="Arial"/>
          <w:b/>
          <w:bCs/>
          <w:color w:val="000000"/>
          <w:sz w:val="36"/>
          <w:szCs w:val="36"/>
        </w:rPr>
        <w:t xml:space="preserve"> </w:t>
      </w:r>
    </w:p>
    <w:p w:rsidR="00311397" w:rsidRDefault="00311397">
      <w:pPr>
        <w:pBdr>
          <w:top w:val="nil"/>
          <w:left w:val="nil"/>
          <w:bottom w:val="nil"/>
          <w:right w:val="nil"/>
          <w:between w:val="nil"/>
        </w:pBdr>
        <w:jc w:val="both"/>
        <w:rPr>
          <w:rFonts w:ascii="Arial" w:eastAsia="Arial" w:hAnsi="Arial" w:cs="Arial"/>
          <w:b/>
          <w:bCs/>
          <w:color w:val="000000"/>
          <w:sz w:val="36"/>
          <w:szCs w:val="36"/>
        </w:rPr>
      </w:pPr>
    </w:p>
    <w:p w:rsidR="00311397" w:rsidRDefault="00311397">
      <w:pPr>
        <w:pBdr>
          <w:top w:val="nil"/>
          <w:left w:val="nil"/>
          <w:bottom w:val="nil"/>
          <w:right w:val="nil"/>
          <w:between w:val="nil"/>
        </w:pBdr>
        <w:jc w:val="right"/>
        <w:rPr>
          <w:rFonts w:ascii="Arial" w:eastAsia="Arial" w:hAnsi="Arial" w:cs="Arial"/>
          <w:i/>
          <w:iCs/>
        </w:rPr>
      </w:pPr>
    </w:p>
    <w:p w:rsidR="00311397" w:rsidRDefault="00311397">
      <w:pPr>
        <w:pBdr>
          <w:top w:val="nil"/>
          <w:left w:val="nil"/>
          <w:bottom w:val="nil"/>
          <w:right w:val="nil"/>
          <w:between w:val="nil"/>
        </w:pBdr>
        <w:jc w:val="both"/>
        <w:rPr>
          <w:rFonts w:ascii="Arial" w:eastAsia="Arial" w:hAnsi="Arial" w:cs="Arial"/>
          <w:color w:val="000000"/>
        </w:rPr>
      </w:pPr>
    </w:p>
    <w:p w:rsidR="00311397" w:rsidRDefault="00311397">
      <w:pPr>
        <w:pBdr>
          <w:top w:val="nil"/>
          <w:left w:val="nil"/>
          <w:bottom w:val="nil"/>
          <w:right w:val="nil"/>
          <w:between w:val="nil"/>
        </w:pBdr>
        <w:jc w:val="both"/>
        <w:rPr>
          <w:rFonts w:ascii="Arial" w:eastAsia="Arial" w:hAnsi="Arial" w:cs="Arial"/>
          <w:color w:val="000000"/>
        </w:rPr>
      </w:pPr>
    </w:p>
    <w:p w:rsidR="00311397" w:rsidRDefault="000E2E76">
      <w:pPr>
        <w:pBdr>
          <w:top w:val="nil"/>
          <w:left w:val="nil"/>
          <w:bottom w:val="nil"/>
          <w:right w:val="nil"/>
          <w:between w:val="nil"/>
        </w:pBdr>
        <w:jc w:val="both"/>
        <w:rPr>
          <w:rFonts w:ascii="Arial" w:eastAsia="Arial" w:hAnsi="Arial" w:cs="Arial"/>
          <w:color w:val="000000"/>
          <w:sz w:val="16"/>
          <w:szCs w:val="16"/>
        </w:rPr>
        <w:sectPr w:rsidR="00311397">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114300" distR="114300">
                <wp:extent cx="0" cy="19050"/>
                <wp:effectExtent l="0" t="0" r="0" b="0"/>
                <wp:docPr id="17" name="Freeform: Shape 17"/>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inline distB="0" distT="0" distL="114300" distR="114300">
                <wp:extent cx="0" cy="19050"/>
                <wp:effectExtent b="0" l="0" r="0" t="0"/>
                <wp:docPr id="17"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rsidR="00311397" w:rsidRDefault="000E2E7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rsidR="00311397" w:rsidRDefault="00311397">
      <w:pPr>
        <w:keepNext/>
        <w:pBdr>
          <w:top w:val="nil"/>
          <w:left w:val="nil"/>
          <w:bottom w:val="nil"/>
          <w:right w:val="nil"/>
          <w:between w:val="nil"/>
        </w:pBdr>
        <w:jc w:val="both"/>
        <w:rPr>
          <w:rFonts w:ascii="Arial" w:eastAsia="Arial" w:hAnsi="Arial" w:cs="Arial"/>
          <w:b/>
          <w:bCs/>
          <w:smallCaps/>
          <w:color w:val="000000"/>
          <w:sz w:val="22"/>
          <w:szCs w:val="22"/>
        </w:rPr>
      </w:pPr>
    </w:p>
    <w:tbl>
      <w:tblPr>
        <w:tblStyle w:val="a3"/>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311397">
        <w:tc>
          <w:tcPr>
            <w:tcW w:w="8424" w:type="dxa"/>
            <w:shd w:val="clear" w:color="auto" w:fill="F2F2F2"/>
          </w:tcPr>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b/>
                <w:bCs/>
              </w:rPr>
              <w:t xml:space="preserve">Aims: </w:t>
            </w:r>
            <w:r>
              <w:rPr>
                <w:rFonts w:ascii="Arial" w:eastAsia="Arial" w:hAnsi="Arial" w:cs="Arial"/>
              </w:rPr>
              <w:t>We present a two-year, single-center retrospective case series on spine-related complications caused by unregulated spinal manipulation.</w:t>
            </w: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b/>
                <w:bCs/>
              </w:rPr>
              <w:t xml:space="preserve">Study design: </w:t>
            </w:r>
            <w:r>
              <w:rPr>
                <w:rFonts w:ascii="Arial" w:eastAsia="Arial" w:hAnsi="Arial" w:cs="Arial"/>
              </w:rPr>
              <w:t>This is a retrospective case series.</w:t>
            </w: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b/>
                <w:bCs/>
              </w:rPr>
              <w:t xml:space="preserve">Place and Duration of Study: </w:t>
            </w:r>
            <w:r>
              <w:rPr>
                <w:rFonts w:ascii="Arial" w:eastAsia="Arial" w:hAnsi="Arial" w:cs="Arial"/>
              </w:rPr>
              <w:t>A tertiary hospital from 1 January 2024 to 31 December 2025 (24 months). This study included adults aged 18–65 who presented with spine-related injuries secondary to spinal manipulation.</w:t>
            </w: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b/>
                <w:bCs/>
              </w:rPr>
              <w:t xml:space="preserve">Methodology: </w:t>
            </w:r>
            <w:r>
              <w:rPr>
                <w:rFonts w:ascii="Arial" w:eastAsia="Arial" w:hAnsi="Arial" w:cs="Arial"/>
              </w:rPr>
              <w:t>A search was conducted in the hospital records. Patients’ data were tabulated and analyzed using descriptive statistics for variables including demographics, diagnosis, American Spinal Injury Association (ASIA) Impairment Scale, and treatment outcomes.</w:t>
            </w:r>
          </w:p>
          <w:p w:rsidR="00311397" w:rsidRDefault="000E2E76">
            <w:pPr>
              <w:pBdr>
                <w:top w:val="nil"/>
                <w:left w:val="nil"/>
                <w:bottom w:val="nil"/>
                <w:right w:val="nil"/>
                <w:between w:val="nil"/>
              </w:pBdr>
              <w:jc w:val="both"/>
              <w:rPr>
                <w:rFonts w:ascii="Arial" w:eastAsia="Arial" w:hAnsi="Arial" w:cs="Arial"/>
                <w:b/>
                <w:bCs/>
              </w:rPr>
            </w:pPr>
            <w:r>
              <w:rPr>
                <w:rFonts w:ascii="Arial" w:eastAsia="Arial" w:hAnsi="Arial" w:cs="Arial"/>
                <w:b/>
                <w:bCs/>
              </w:rPr>
              <w:t xml:space="preserve">Results: </w:t>
            </w:r>
            <w:r>
              <w:rPr>
                <w:rFonts w:ascii="Arial" w:eastAsia="Arial" w:hAnsi="Arial" w:cs="Arial"/>
              </w:rPr>
              <w:t xml:space="preserve">Eight patients (seven </w:t>
            </w:r>
            <w:proofErr w:type="gramStart"/>
            <w:r>
              <w:rPr>
                <w:rFonts w:ascii="Arial" w:eastAsia="Arial" w:hAnsi="Arial" w:cs="Arial"/>
              </w:rPr>
              <w:t>male</w:t>
            </w:r>
            <w:proofErr w:type="gramEnd"/>
            <w:r>
              <w:rPr>
                <w:rFonts w:ascii="Arial" w:eastAsia="Arial" w:hAnsi="Arial" w:cs="Arial"/>
              </w:rPr>
              <w:t xml:space="preserve">, one female), aged 18 to 57 years (mean = 39.1), were included. There were six cervical injuries and two thoracic injuries, including one case of cervical metastasis and one of thoracic ossification of the ligamentum flavum (yellow ligament). Four cervical patients had pre-existing cervical spondylosis. One cervical and one thoracic patient had no predisposition. In the cervical region, five patients suffered ASIA C and D injuries, while one patient suffered an ASIA </w:t>
            </w:r>
            <w:proofErr w:type="spellStart"/>
            <w:r>
              <w:rPr>
                <w:rFonts w:ascii="Arial" w:eastAsia="Arial" w:hAnsi="Arial" w:cs="Arial"/>
              </w:rPr>
              <w:t>A</w:t>
            </w:r>
            <w:proofErr w:type="spellEnd"/>
            <w:r>
              <w:rPr>
                <w:rFonts w:ascii="Arial" w:eastAsia="Arial" w:hAnsi="Arial" w:cs="Arial"/>
              </w:rPr>
              <w:t xml:space="preserve"> injury from massaging and abdominal bracing. In the thoracic region, one patient suffered an ASIA </w:t>
            </w:r>
            <w:proofErr w:type="spellStart"/>
            <w:r>
              <w:rPr>
                <w:rFonts w:ascii="Arial" w:eastAsia="Arial" w:hAnsi="Arial" w:cs="Arial"/>
              </w:rPr>
              <w:t>A</w:t>
            </w:r>
            <w:proofErr w:type="spellEnd"/>
            <w:r>
              <w:rPr>
                <w:rFonts w:ascii="Arial" w:eastAsia="Arial" w:hAnsi="Arial" w:cs="Arial"/>
              </w:rPr>
              <w:t xml:space="preserve"> injury from a practitioner standing on the thoracic spine, and another suffered an ASIA D injury from spinal rotation. Two cervical patients underwent operative treatment and showed improvement, while those receiving conservative treatment showed no worsening. The ASIA A patients succumbed to subacute complications of their injuries.</w:t>
            </w: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b/>
                <w:bCs/>
              </w:rPr>
              <w:t xml:space="preserve">Conclusion: </w:t>
            </w:r>
            <w:r>
              <w:rPr>
                <w:rFonts w:ascii="Arial" w:eastAsia="Arial" w:hAnsi="Arial" w:cs="Arial"/>
              </w:rPr>
              <w:t>Accurate diagnosis and the exclusion of serious pathology are mandatory prerequisites to any treatment. Aggressive maneuvers should be avoided, while ensuring judicious and controlled application of force, with heightened caution in the cervical region, particularly when untrained manipulation is involved. Prognostically, the initial severity of the injury remains the most critical factor; however, in cases of incomplete neurological deficits, timely surgical decompression may significantly improve functional outcomes.</w:t>
            </w:r>
          </w:p>
        </w:tc>
      </w:tr>
    </w:tbl>
    <w:p w:rsidR="00311397" w:rsidRDefault="00311397">
      <w:pPr>
        <w:pBdr>
          <w:top w:val="nil"/>
          <w:left w:val="nil"/>
          <w:bottom w:val="nil"/>
          <w:right w:val="nil"/>
          <w:between w:val="nil"/>
        </w:pBdr>
        <w:jc w:val="both"/>
        <w:rPr>
          <w:rFonts w:ascii="Arial" w:eastAsia="Arial" w:hAnsi="Arial" w:cs="Arial"/>
          <w:i/>
          <w:iCs/>
          <w:color w:val="000000"/>
        </w:rPr>
      </w:pPr>
    </w:p>
    <w:p w:rsidR="00311397" w:rsidRDefault="000E2E76">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Keywords: [</w:t>
      </w:r>
      <w:r>
        <w:rPr>
          <w:rFonts w:ascii="Arial" w:eastAsia="Arial" w:hAnsi="Arial" w:cs="Arial"/>
          <w:i/>
          <w:iCs/>
        </w:rPr>
        <w:t>Spinal Manipulation, Spinal Cord Injury, Cervical Spine, Patient Safety</w:t>
      </w:r>
      <w:r>
        <w:rPr>
          <w:rFonts w:ascii="Arial" w:eastAsia="Arial" w:hAnsi="Arial" w:cs="Arial"/>
          <w:i/>
          <w:iCs/>
          <w:color w:val="000000"/>
        </w:rPr>
        <w:t>)</w:t>
      </w:r>
    </w:p>
    <w:p w:rsidR="00311397" w:rsidRDefault="00311397">
      <w:pPr>
        <w:pBdr>
          <w:top w:val="nil"/>
          <w:left w:val="nil"/>
          <w:bottom w:val="nil"/>
          <w:right w:val="nil"/>
          <w:between w:val="nil"/>
        </w:pBdr>
        <w:jc w:val="both"/>
        <w:rPr>
          <w:rFonts w:ascii="Arial" w:eastAsia="Arial" w:hAnsi="Arial" w:cs="Arial"/>
          <w:i/>
          <w:iCs/>
          <w:color w:val="000000"/>
        </w:rPr>
      </w:pPr>
    </w:p>
    <w:p w:rsidR="00311397" w:rsidRDefault="00311397">
      <w:pPr>
        <w:pBdr>
          <w:top w:val="nil"/>
          <w:left w:val="nil"/>
          <w:bottom w:val="nil"/>
          <w:right w:val="nil"/>
          <w:between w:val="nil"/>
        </w:pBdr>
        <w:jc w:val="both"/>
        <w:rPr>
          <w:rFonts w:ascii="Arial" w:eastAsia="Arial" w:hAnsi="Arial" w:cs="Arial"/>
          <w:i/>
          <w:iCs/>
          <w:color w:val="000000"/>
        </w:rPr>
      </w:pPr>
    </w:p>
    <w:p w:rsidR="00311397" w:rsidRDefault="000E2E7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1. INTRODUCTION</w:t>
      </w:r>
    </w:p>
    <w:p w:rsidR="00311397" w:rsidRDefault="00311397">
      <w:pPr>
        <w:keepNext/>
        <w:pBdr>
          <w:top w:val="nil"/>
          <w:left w:val="nil"/>
          <w:bottom w:val="nil"/>
          <w:right w:val="nil"/>
          <w:between w:val="nil"/>
        </w:pBdr>
        <w:jc w:val="both"/>
        <w:rPr>
          <w:rFonts w:ascii="Arial" w:eastAsia="Arial" w:hAnsi="Arial" w:cs="Arial"/>
          <w:b/>
          <w:bCs/>
          <w:smallCaps/>
          <w:color w:val="000000"/>
          <w:sz w:val="22"/>
          <w:szCs w:val="22"/>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Spinal manipulative therapy is a high-velocity low-amplitude thrust technique applied to the spine to achieve pain relief</w:t>
      </w:r>
      <w:r>
        <w:rPr>
          <w:rFonts w:ascii="Arial" w:eastAsia="Arial" w:hAnsi="Arial" w:cs="Arial"/>
          <w:vertAlign w:val="superscript"/>
        </w:rPr>
        <w:t>1</w:t>
      </w:r>
      <w:r>
        <w:rPr>
          <w:rFonts w:ascii="Arial" w:eastAsia="Arial" w:hAnsi="Arial" w:cs="Arial"/>
        </w:rPr>
        <w:t>. This is one of the physiotherapeutic modalities for conservative treatment of cervical spondylosis, lumbar spondylosis, and chronic pain syndromes and has proven efficacy. Spinal manipulation may be indicated in the treatment of low back pain, neck pain, headache, and hypomobility of spinal joints</w:t>
      </w:r>
      <w:r>
        <w:rPr>
          <w:rFonts w:ascii="Arial" w:eastAsia="Arial" w:hAnsi="Arial" w:cs="Arial"/>
          <w:vertAlign w:val="superscript"/>
        </w:rPr>
        <w:t>3</w:t>
      </w:r>
      <w:r>
        <w:rPr>
          <w:rFonts w:ascii="Arial" w:eastAsia="Arial" w:hAnsi="Arial" w:cs="Arial"/>
        </w:rPr>
        <w:t xml:space="preserve">. Contraindications include, but are not limited to severe osteoporosis, nerve or spinal cord compression, bleeding or vascular conditions, acute herniated nucleus pulposus, hypermobility disorders, pregnancy, and in the </w:t>
      </w:r>
      <w:proofErr w:type="spellStart"/>
      <w:r>
        <w:rPr>
          <w:rFonts w:ascii="Arial" w:eastAsia="Arial" w:hAnsi="Arial" w:cs="Arial"/>
        </w:rPr>
        <w:t>paediatric</w:t>
      </w:r>
      <w:proofErr w:type="spellEnd"/>
      <w:r>
        <w:rPr>
          <w:rFonts w:ascii="Arial" w:eastAsia="Arial" w:hAnsi="Arial" w:cs="Arial"/>
        </w:rPr>
        <w:t xml:space="preserve"> population. Common side effects can be temporary and mild, characterized by soreness, fatigue, and headache</w:t>
      </w:r>
      <w:r>
        <w:rPr>
          <w:rFonts w:ascii="Arial" w:eastAsia="Arial" w:hAnsi="Arial" w:cs="Arial"/>
          <w:vertAlign w:val="superscript"/>
        </w:rPr>
        <w:t>4</w:t>
      </w:r>
      <w:r>
        <w:rPr>
          <w:rFonts w:ascii="Arial" w:eastAsia="Arial" w:hAnsi="Arial" w:cs="Arial"/>
        </w:rPr>
        <w:t>. Serious side effects are rare and include vertebral artery dissection and stroke</w:t>
      </w:r>
      <w:r>
        <w:rPr>
          <w:rFonts w:ascii="Arial" w:eastAsia="Arial" w:hAnsi="Arial" w:cs="Arial"/>
          <w:vertAlign w:val="superscript"/>
        </w:rPr>
        <w:t>5</w:t>
      </w:r>
      <w:r>
        <w:rPr>
          <w:rFonts w:ascii="Arial" w:eastAsia="Arial" w:hAnsi="Arial" w:cs="Arial"/>
        </w:rPr>
        <w:t xml:space="preserve">. While serious side effects are rare, these reports are based on regulated practice within the physiotherapy community. </w:t>
      </w:r>
    </w:p>
    <w:p w:rsidR="00311397" w:rsidRDefault="00311397">
      <w:pPr>
        <w:pBdr>
          <w:top w:val="nil"/>
          <w:left w:val="nil"/>
          <w:bottom w:val="nil"/>
          <w:right w:val="nil"/>
          <w:between w:val="nil"/>
        </w:pBdr>
        <w:jc w:val="both"/>
        <w:rPr>
          <w:rFonts w:ascii="Arial" w:eastAsia="Arial" w:hAnsi="Arial" w:cs="Arial"/>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With the advent of social media, complementary treatment of common musculoskeletal conditions has become widely popular, often involving dramatic spinal manipulation accompanied by loud popping noises performed by untrained personnel. This has led to many members of the public seeking treatment without first ruling out contraindications to spinal manipulation with a trained medical professional.</w:t>
      </w:r>
    </w:p>
    <w:p w:rsidR="00311397" w:rsidRDefault="00311397">
      <w:pPr>
        <w:pBdr>
          <w:top w:val="nil"/>
          <w:left w:val="nil"/>
          <w:bottom w:val="nil"/>
          <w:right w:val="nil"/>
          <w:between w:val="nil"/>
        </w:pBdr>
        <w:jc w:val="both"/>
        <w:rPr>
          <w:rFonts w:ascii="Arial" w:eastAsia="Arial" w:hAnsi="Arial" w:cs="Arial"/>
        </w:rPr>
      </w:pPr>
    </w:p>
    <w:p w:rsidR="00311397" w:rsidRDefault="000E2E76">
      <w:pPr>
        <w:pBdr>
          <w:top w:val="nil"/>
          <w:left w:val="nil"/>
          <w:bottom w:val="nil"/>
          <w:right w:val="nil"/>
          <w:between w:val="nil"/>
        </w:pBdr>
        <w:jc w:val="both"/>
        <w:rPr>
          <w:rFonts w:ascii="Arial" w:eastAsia="Arial" w:hAnsi="Arial" w:cs="Arial"/>
          <w:color w:val="000000"/>
        </w:rPr>
      </w:pPr>
      <w:r>
        <w:rPr>
          <w:rFonts w:ascii="Arial" w:eastAsia="Arial" w:hAnsi="Arial" w:cs="Arial"/>
        </w:rPr>
        <w:t>There is limited evidence in the literature related to spinal injury from passive spinal manipulation. This information is important for educating the public on the safety and risks of untrained and unsupervised spinal manipulation. Hence, it is essential to provide reliable and strong evidence when counseling patients seeking treatment for spinal conditions. We present a retrospective case series of spine-related complications due to mechanisms related to spinal manipulation in the community</w:t>
      </w:r>
      <w:r w:rsidR="00763C03">
        <w:rPr>
          <w:rFonts w:ascii="Arial" w:eastAsia="Arial" w:hAnsi="Arial" w:cs="Arial"/>
        </w:rPr>
        <w:t>,</w:t>
      </w:r>
      <w:r>
        <w:rPr>
          <w:rFonts w:ascii="Arial" w:eastAsia="Arial" w:hAnsi="Arial" w:cs="Arial"/>
        </w:rPr>
        <w:t xml:space="preserve"> which presented to our center over a period of 24 months.</w:t>
      </w:r>
    </w:p>
    <w:p w:rsidR="00311397" w:rsidRDefault="00311397">
      <w:pPr>
        <w:pBdr>
          <w:top w:val="nil"/>
          <w:left w:val="nil"/>
          <w:bottom w:val="nil"/>
          <w:right w:val="nil"/>
          <w:between w:val="nil"/>
        </w:pBdr>
        <w:jc w:val="both"/>
        <w:rPr>
          <w:rFonts w:ascii="Arial" w:eastAsia="Arial" w:hAnsi="Arial" w:cs="Arial"/>
          <w:color w:val="000000"/>
        </w:rPr>
      </w:pPr>
    </w:p>
    <w:p w:rsidR="00311397" w:rsidRDefault="000E2E76">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2. </w:t>
      </w:r>
      <w:r w:rsidR="00763C03">
        <w:rPr>
          <w:rFonts w:ascii="Arial" w:eastAsia="Arial" w:hAnsi="Arial" w:cs="Arial"/>
          <w:b/>
          <w:bCs/>
          <w:smallCaps/>
          <w:color w:val="000000"/>
          <w:sz w:val="22"/>
          <w:szCs w:val="22"/>
        </w:rPr>
        <w:t>Materials</w:t>
      </w:r>
      <w:r>
        <w:rPr>
          <w:rFonts w:ascii="Arial" w:eastAsia="Arial" w:hAnsi="Arial" w:cs="Arial"/>
          <w:b/>
          <w:bCs/>
          <w:smallCaps/>
          <w:color w:val="000000"/>
          <w:sz w:val="22"/>
          <w:szCs w:val="22"/>
        </w:rPr>
        <w:t xml:space="preserve"> and methods </w:t>
      </w:r>
    </w:p>
    <w:p w:rsidR="00311397" w:rsidRDefault="00311397">
      <w:pPr>
        <w:keepNext/>
        <w:pBdr>
          <w:top w:val="nil"/>
          <w:left w:val="nil"/>
          <w:bottom w:val="nil"/>
          <w:right w:val="nil"/>
          <w:between w:val="nil"/>
        </w:pBdr>
        <w:jc w:val="both"/>
        <w:rPr>
          <w:rFonts w:ascii="Arial" w:eastAsia="Arial" w:hAnsi="Arial" w:cs="Arial"/>
          <w:b/>
          <w:bCs/>
          <w:smallCaps/>
          <w:sz w:val="22"/>
          <w:szCs w:val="22"/>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This study is a retrospective observational case series of spinal injuries secondary to spinal manipulation therapy. Patient data were collected from a regional tertiary center. The study included patients who presented within a 24-month period, from 1 January 2023 to 31 December 2024.</w:t>
      </w:r>
    </w:p>
    <w:p w:rsidR="00311397" w:rsidRDefault="00311397">
      <w:pPr>
        <w:pBdr>
          <w:top w:val="nil"/>
          <w:left w:val="nil"/>
          <w:bottom w:val="nil"/>
          <w:right w:val="nil"/>
          <w:between w:val="nil"/>
        </w:pBdr>
        <w:jc w:val="both"/>
        <w:rPr>
          <w:rFonts w:ascii="Arial" w:eastAsia="Arial" w:hAnsi="Arial" w:cs="Arial"/>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Inclusion criteria were: (</w:t>
      </w:r>
      <w:proofErr w:type="spellStart"/>
      <w:r>
        <w:rPr>
          <w:rFonts w:ascii="Arial" w:eastAsia="Arial" w:hAnsi="Arial" w:cs="Arial"/>
        </w:rPr>
        <w:t>i</w:t>
      </w:r>
      <w:proofErr w:type="spellEnd"/>
      <w:r>
        <w:rPr>
          <w:rFonts w:ascii="Arial" w:eastAsia="Arial" w:hAnsi="Arial" w:cs="Arial"/>
        </w:rPr>
        <w:t>) adult patients aged between 18 and 65 years, (ii) spine-related injury secondary to manipulation of the spinal column, and (iii) spinal manipulation performed by untrained personnel or the patients themselves.</w:t>
      </w:r>
    </w:p>
    <w:p w:rsidR="00311397" w:rsidRDefault="00311397">
      <w:pPr>
        <w:pBdr>
          <w:top w:val="nil"/>
          <w:left w:val="nil"/>
          <w:bottom w:val="nil"/>
          <w:right w:val="nil"/>
          <w:between w:val="nil"/>
        </w:pBdr>
        <w:jc w:val="both"/>
        <w:rPr>
          <w:rFonts w:ascii="Arial" w:eastAsia="Arial" w:hAnsi="Arial" w:cs="Arial"/>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Data were collected and analyzed using descriptive statistics for the following variables: (</w:t>
      </w:r>
      <w:proofErr w:type="spellStart"/>
      <w:r>
        <w:rPr>
          <w:rFonts w:ascii="Arial" w:eastAsia="Arial" w:hAnsi="Arial" w:cs="Arial"/>
        </w:rPr>
        <w:t>i</w:t>
      </w:r>
      <w:proofErr w:type="spellEnd"/>
      <w:r>
        <w:rPr>
          <w:rFonts w:ascii="Arial" w:eastAsia="Arial" w:hAnsi="Arial" w:cs="Arial"/>
        </w:rPr>
        <w:t>) demographics, (ii) diagnosis, (iii) neurologic status on presentation and post-treatment, (iv) mechanism of manipulation, (v) treatment received, and (vi) underlying spinal conditions.</w:t>
      </w:r>
    </w:p>
    <w:p w:rsidR="00311397" w:rsidRDefault="00311397">
      <w:pPr>
        <w:pBdr>
          <w:top w:val="nil"/>
          <w:left w:val="nil"/>
          <w:bottom w:val="nil"/>
          <w:right w:val="nil"/>
          <w:between w:val="nil"/>
        </w:pBdr>
        <w:jc w:val="both"/>
        <w:rPr>
          <w:rFonts w:ascii="Arial" w:eastAsia="Arial" w:hAnsi="Arial" w:cs="Arial"/>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The neurological status of all patients was graded according to the American Spinal Injury Association (ASIA) Impairment Scale, following the International Standards for Neurological Classification of Spinal Cord Injury (ISNCSCI) protocol</w:t>
      </w:r>
      <w:r>
        <w:rPr>
          <w:rFonts w:ascii="Arial" w:eastAsia="Arial" w:hAnsi="Arial" w:cs="Arial"/>
          <w:vertAlign w:val="superscript"/>
        </w:rPr>
        <w:t>6</w:t>
      </w:r>
      <w:r>
        <w:rPr>
          <w:rFonts w:ascii="Arial" w:eastAsia="Arial" w:hAnsi="Arial" w:cs="Arial"/>
        </w:rPr>
        <w:t>.</w:t>
      </w:r>
    </w:p>
    <w:p w:rsidR="00311397" w:rsidRDefault="00311397">
      <w:pPr>
        <w:pBdr>
          <w:top w:val="nil"/>
          <w:left w:val="nil"/>
          <w:bottom w:val="nil"/>
          <w:right w:val="nil"/>
          <w:between w:val="nil"/>
        </w:pBdr>
        <w:jc w:val="both"/>
        <w:rPr>
          <w:rFonts w:ascii="Arial" w:eastAsia="Arial" w:hAnsi="Arial" w:cs="Arial"/>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Data tabulation was performed using Google Sheets, and analysis was conducted using descriptive statistics.</w:t>
      </w:r>
    </w:p>
    <w:p w:rsidR="00311397" w:rsidRDefault="00311397">
      <w:pPr>
        <w:pBdr>
          <w:top w:val="nil"/>
          <w:left w:val="nil"/>
          <w:bottom w:val="nil"/>
          <w:right w:val="nil"/>
          <w:between w:val="nil"/>
        </w:pBdr>
        <w:jc w:val="both"/>
        <w:rPr>
          <w:rFonts w:ascii="Arial" w:eastAsia="Arial" w:hAnsi="Arial" w:cs="Arial"/>
          <w:color w:val="000000"/>
        </w:rPr>
      </w:pPr>
    </w:p>
    <w:p w:rsidR="00311397" w:rsidRDefault="000E2E7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rsidR="00311397" w:rsidRDefault="00311397">
      <w:pPr>
        <w:keepNext/>
        <w:pBdr>
          <w:top w:val="nil"/>
          <w:left w:val="nil"/>
          <w:bottom w:val="nil"/>
          <w:right w:val="nil"/>
          <w:between w:val="nil"/>
        </w:pBdr>
        <w:jc w:val="both"/>
        <w:rPr>
          <w:rFonts w:ascii="Arial" w:eastAsia="Arial" w:hAnsi="Arial" w:cs="Arial"/>
          <w:b/>
          <w:bCs/>
          <w:smallCaps/>
          <w:color w:val="000000"/>
          <w:sz w:val="22"/>
          <w:szCs w:val="22"/>
        </w:rPr>
      </w:pPr>
    </w:p>
    <w:p w:rsidR="00311397" w:rsidRDefault="000E2E76">
      <w:pPr>
        <w:rPr>
          <w:rFonts w:ascii="Arial" w:eastAsia="Arial" w:hAnsi="Arial" w:cs="Arial"/>
        </w:rPr>
      </w:pPr>
      <w:r>
        <w:rPr>
          <w:rFonts w:ascii="Arial" w:eastAsia="Arial" w:hAnsi="Arial" w:cs="Arial"/>
        </w:rPr>
        <w:t xml:space="preserve">The study cohort comprised eight patients (seven males and one female) with a mean age of 39.1 years (range: 18–57 years). Anatomically, six patients (75.0%) sustained injuries in the </w:t>
      </w:r>
      <w:r>
        <w:rPr>
          <w:rFonts w:ascii="Arial" w:eastAsia="Arial" w:hAnsi="Arial" w:cs="Arial"/>
        </w:rPr>
        <w:lastRenderedPageBreak/>
        <w:t>cervical region, while two (25.0%) involved the thoracic spine. Neurological severity at presentation, according to the American Spinal Injury Association (ASIA) Impairment Scale, was primarily ASIA D (n=5, 62.5%), followed by ASIA A (n=2, 25.0%) and ASIA C (n=1, 12.5%).</w:t>
      </w:r>
    </w:p>
    <w:p w:rsidR="00311397" w:rsidRDefault="00311397">
      <w:pPr>
        <w:rPr>
          <w:rFonts w:ascii="Arial" w:eastAsia="Arial" w:hAnsi="Arial" w:cs="Arial"/>
        </w:rPr>
      </w:pPr>
    </w:p>
    <w:p w:rsidR="00311397" w:rsidRDefault="000E2E76">
      <w:pPr>
        <w:rPr>
          <w:rFonts w:ascii="Arial" w:eastAsia="Arial" w:hAnsi="Arial" w:cs="Arial"/>
        </w:rPr>
      </w:pPr>
      <w:r>
        <w:rPr>
          <w:rFonts w:ascii="Arial" w:eastAsia="Arial" w:hAnsi="Arial" w:cs="Arial"/>
        </w:rPr>
        <w:t xml:space="preserve">Pre-existing spinal pathology was present in 75.0% of the cohort (n=6). Among the cervical group (n=6), conditions included degenerative spinal stenosis (n=3), spinal metastasis (n=1), and unstable </w:t>
      </w:r>
      <w:proofErr w:type="spellStart"/>
      <w:r>
        <w:rPr>
          <w:rFonts w:ascii="Arial" w:eastAsia="Arial" w:hAnsi="Arial" w:cs="Arial"/>
        </w:rPr>
        <w:t>os</w:t>
      </w:r>
      <w:proofErr w:type="spellEnd"/>
      <w:r>
        <w:rPr>
          <w:rFonts w:ascii="Arial" w:eastAsia="Arial" w:hAnsi="Arial" w:cs="Arial"/>
        </w:rPr>
        <w:t xml:space="preserve"> </w:t>
      </w:r>
      <w:proofErr w:type="spellStart"/>
      <w:r>
        <w:rPr>
          <w:rFonts w:ascii="Arial" w:eastAsia="Arial" w:hAnsi="Arial" w:cs="Arial"/>
        </w:rPr>
        <w:t>odontoideum</w:t>
      </w:r>
      <w:proofErr w:type="spellEnd"/>
      <w:r>
        <w:rPr>
          <w:rFonts w:ascii="Arial" w:eastAsia="Arial" w:hAnsi="Arial" w:cs="Arial"/>
        </w:rPr>
        <w:t xml:space="preserve"> (n=1). In the thoracic group, one patient had ossification of the yellow ligament (OYL), while the other had a normal spinal profile.</w:t>
      </w:r>
    </w:p>
    <w:p w:rsidR="00311397" w:rsidRDefault="00311397">
      <w:pPr>
        <w:rPr>
          <w:rFonts w:ascii="Arial" w:eastAsia="Arial" w:hAnsi="Arial" w:cs="Arial"/>
        </w:rPr>
      </w:pPr>
    </w:p>
    <w:p w:rsidR="00311397" w:rsidRDefault="000E2E76">
      <w:pPr>
        <w:rPr>
          <w:rFonts w:ascii="Arial" w:eastAsia="Arial" w:hAnsi="Arial" w:cs="Arial"/>
        </w:rPr>
      </w:pPr>
      <w:r>
        <w:rPr>
          <w:rFonts w:ascii="Arial" w:eastAsia="Arial" w:hAnsi="Arial" w:cs="Arial"/>
        </w:rPr>
        <w:t xml:space="preserve">The relationship between the massage technique and neurological outcomes varied by region. In the cervical region, massage-related maneuvers resulted in three ASIA D injuries and one ASIA C injury. Notably, the single case of complete neurology (ASIA A) occurred in a patient with underlying spinal metastasis. In the thoracic region, one patient with OYL sustained an ASIA D injury following thoracolumbar rotation. The second thoracic case resulted in an ASIA </w:t>
      </w:r>
      <w:proofErr w:type="spellStart"/>
      <w:r>
        <w:rPr>
          <w:rFonts w:ascii="Arial" w:eastAsia="Arial" w:hAnsi="Arial" w:cs="Arial"/>
        </w:rPr>
        <w:t>A</w:t>
      </w:r>
      <w:proofErr w:type="spellEnd"/>
      <w:r>
        <w:rPr>
          <w:rFonts w:ascii="Arial" w:eastAsia="Arial" w:hAnsi="Arial" w:cs="Arial"/>
        </w:rPr>
        <w:t xml:space="preserve"> injury in a previously normal spine after the masseuse stood directly on the patient's back.</w:t>
      </w:r>
    </w:p>
    <w:p w:rsidR="00311397" w:rsidRDefault="00311397">
      <w:pPr>
        <w:rPr>
          <w:rFonts w:ascii="Arial" w:eastAsia="Arial" w:hAnsi="Arial" w:cs="Arial"/>
        </w:rPr>
      </w:pPr>
    </w:p>
    <w:p w:rsidR="00311397" w:rsidRDefault="000E2E76">
      <w:pPr>
        <w:rPr>
          <w:rFonts w:ascii="Arial" w:eastAsia="Arial" w:hAnsi="Arial" w:cs="Arial"/>
        </w:rPr>
      </w:pPr>
      <w:r>
        <w:rPr>
          <w:rFonts w:ascii="Arial" w:eastAsia="Arial" w:hAnsi="Arial" w:cs="Arial"/>
        </w:rPr>
        <w:t>Surgical intervention (decompression and stabilization) was performed in four patients with cervical injuries, while the remaining four patients were managed conservatively.</w:t>
      </w:r>
    </w:p>
    <w:p w:rsidR="00311397" w:rsidRDefault="00311397">
      <w:pPr>
        <w:rPr>
          <w:rFonts w:ascii="Arial" w:eastAsia="Arial" w:hAnsi="Arial" w:cs="Arial"/>
        </w:rPr>
      </w:pPr>
    </w:p>
    <w:p w:rsidR="00311397" w:rsidRDefault="000E2E76">
      <w:pPr>
        <w:rPr>
          <w:rFonts w:ascii="Arial" w:eastAsia="Arial" w:hAnsi="Arial" w:cs="Arial"/>
        </w:rPr>
      </w:pPr>
      <w:r>
        <w:rPr>
          <w:rFonts w:ascii="Arial" w:eastAsia="Arial" w:hAnsi="Arial" w:cs="Arial"/>
        </w:rPr>
        <w:t>At the three-month follow-up, 50% (n=2) of the surgically treated group showed neurological recovery, improving from ASIA C to ASIA D. Conversely, all patients managed conservatively for incomplete injuries (cervical and thoracic) showed no change in their neurological status. Mortality was 25.0% (n=2), involving both patients who initially presented with ASIA A injuries (Patient 6 and Patient 8), both of whom passed away during the subacute period.</w:t>
      </w:r>
    </w:p>
    <w:p w:rsidR="00311397" w:rsidRDefault="00311397">
      <w:pPr>
        <w:rPr>
          <w:rFonts w:ascii="Arial" w:eastAsia="Arial" w:hAnsi="Arial" w:cs="Arial"/>
        </w:rPr>
      </w:pPr>
    </w:p>
    <w:p w:rsidR="00311397" w:rsidRDefault="000E2E76">
      <w:pPr>
        <w:rPr>
          <w:rFonts w:ascii="Arial" w:eastAsia="Arial" w:hAnsi="Arial" w:cs="Arial"/>
        </w:rPr>
      </w:pPr>
      <w:r>
        <w:rPr>
          <w:rFonts w:ascii="Arial" w:eastAsia="Arial" w:hAnsi="Arial" w:cs="Arial"/>
        </w:rPr>
        <w:t>Table 1 summarizes the clinical presentation, mechanism of injury, and neurological severity for all patients.</w:t>
      </w:r>
    </w:p>
    <w:p w:rsidR="00311397" w:rsidRDefault="00311397">
      <w:pPr>
        <w:rPr>
          <w:rFonts w:ascii="Arial" w:eastAsia="Arial" w:hAnsi="Arial" w:cs="Arial"/>
        </w:rPr>
      </w:pPr>
    </w:p>
    <w:p w:rsidR="00311397" w:rsidRDefault="000E2E76">
      <w:pPr>
        <w:spacing w:line="276" w:lineRule="auto"/>
        <w:rPr>
          <w:rFonts w:ascii="Arial" w:eastAsia="Arial" w:hAnsi="Arial" w:cs="Arial"/>
        </w:rPr>
      </w:pPr>
      <w:r>
        <w:rPr>
          <w:rFonts w:ascii="Arial" w:eastAsia="Arial" w:hAnsi="Arial" w:cs="Arial"/>
          <w:b/>
          <w:bCs/>
        </w:rPr>
        <w:t>Table 1</w:t>
      </w:r>
      <w:r>
        <w:rPr>
          <w:rFonts w:ascii="Arial" w:eastAsia="Arial" w:hAnsi="Arial" w:cs="Arial"/>
        </w:rPr>
        <w:t>: Summary of patient presentation, diagnosis, treatment and outcome.</w:t>
      </w:r>
    </w:p>
    <w:p w:rsidR="00311397" w:rsidRDefault="00311397">
      <w:pPr>
        <w:spacing w:line="276" w:lineRule="auto"/>
        <w:rPr>
          <w:rFonts w:ascii="Arial" w:eastAsia="Arial" w:hAnsi="Arial" w:cs="Arial"/>
        </w:rPr>
      </w:pPr>
    </w:p>
    <w:sdt>
      <w:sdtPr>
        <w:tag w:val="goog_rdk_72"/>
        <w:id w:val="-2097175162"/>
        <w:lock w:val="contentLocked"/>
      </w:sdtPr>
      <w:sdtEndPr/>
      <w:sdtContent>
        <w:tbl>
          <w:tblPr>
            <w:tblStyle w:val="a4"/>
            <w:tblpPr w:leftFromText="180" w:rightFromText="180" w:topFromText="180" w:bottomFromText="180" w:vertAnchor="text"/>
            <w:tblW w:w="8320" w:type="dxa"/>
            <w:tblBorders>
              <w:top w:val="nil"/>
              <w:left w:val="nil"/>
              <w:bottom w:val="nil"/>
              <w:right w:val="nil"/>
              <w:insideH w:val="nil"/>
              <w:insideV w:val="nil"/>
            </w:tblBorders>
            <w:tblLayout w:type="fixed"/>
            <w:tblLook w:val="0600" w:firstRow="0" w:lastRow="0" w:firstColumn="0" w:lastColumn="0" w:noHBand="1" w:noVBand="1"/>
          </w:tblPr>
          <w:tblGrid>
            <w:gridCol w:w="320"/>
            <w:gridCol w:w="700"/>
            <w:gridCol w:w="1380"/>
            <w:gridCol w:w="1300"/>
            <w:gridCol w:w="1220"/>
            <w:gridCol w:w="1040"/>
            <w:gridCol w:w="1260"/>
            <w:gridCol w:w="1100"/>
          </w:tblGrid>
          <w:tr w:rsidR="00311397">
            <w:trPr>
              <w:trHeight w:val="315"/>
            </w:trPr>
            <w:sdt>
              <w:sdtPr>
                <w:tag w:val="goog_rdk_0"/>
                <w:id w:val="1450942303"/>
                <w:lock w:val="contentLocked"/>
              </w:sdtPr>
              <w:sdtEndPr/>
              <w:sdtContent>
                <w:tc>
                  <w:tcPr>
                    <w:tcW w:w="320" w:type="dxa"/>
                    <w:tcBorders>
                      <w:top w:val="single" w:sz="6" w:space="0" w:color="284E3F"/>
                      <w:left w:val="single" w:sz="6" w:space="0" w:color="284E3F"/>
                      <w:bottom w:val="single" w:sz="6" w:space="0" w:color="000000"/>
                      <w:right w:val="single" w:sz="6" w:space="0" w:color="356854"/>
                    </w:tcBorders>
                    <w:shd w:val="clear" w:color="auto" w:fill="A4C2F4"/>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sz w:val="14"/>
                        <w:szCs w:val="14"/>
                      </w:rPr>
                      <w:t>No</w:t>
                    </w:r>
                  </w:p>
                </w:tc>
              </w:sdtContent>
            </w:sdt>
            <w:sdt>
              <w:sdtPr>
                <w:tag w:val="goog_rdk_1"/>
                <w:id w:val="1548555641"/>
                <w:lock w:val="contentLocked"/>
              </w:sdtPr>
              <w:sdtEndPr/>
              <w:sdtContent>
                <w:tc>
                  <w:tcPr>
                    <w:tcW w:w="700" w:type="dxa"/>
                    <w:tcBorders>
                      <w:top w:val="single" w:sz="6" w:space="0" w:color="284E3F"/>
                      <w:left w:val="single" w:sz="6" w:space="0" w:color="356854"/>
                      <w:bottom w:val="single" w:sz="6" w:space="0" w:color="000000"/>
                      <w:right w:val="single" w:sz="6" w:space="0" w:color="356854"/>
                    </w:tcBorders>
                    <w:shd w:val="clear" w:color="auto" w:fill="A4C2F4"/>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sz w:val="14"/>
                        <w:szCs w:val="14"/>
                      </w:rPr>
                      <w:t>Age</w:t>
                    </w:r>
                  </w:p>
                </w:tc>
              </w:sdtContent>
            </w:sdt>
            <w:sdt>
              <w:sdtPr>
                <w:tag w:val="goog_rdk_2"/>
                <w:id w:val="711294416"/>
                <w:lock w:val="contentLocked"/>
              </w:sdtPr>
              <w:sdtEndPr/>
              <w:sdtContent>
                <w:tc>
                  <w:tcPr>
                    <w:tcW w:w="1380" w:type="dxa"/>
                    <w:tcBorders>
                      <w:top w:val="single" w:sz="6" w:space="0" w:color="284E3F"/>
                      <w:left w:val="single" w:sz="6" w:space="0" w:color="356854"/>
                      <w:bottom w:val="single" w:sz="6" w:space="0" w:color="000000"/>
                      <w:right w:val="single" w:sz="6" w:space="0" w:color="356854"/>
                    </w:tcBorders>
                    <w:shd w:val="clear" w:color="auto" w:fill="A4C2F4"/>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sz w:val="14"/>
                        <w:szCs w:val="14"/>
                      </w:rPr>
                      <w:t>Mechanism</w:t>
                    </w:r>
                  </w:p>
                </w:tc>
              </w:sdtContent>
            </w:sdt>
            <w:sdt>
              <w:sdtPr>
                <w:tag w:val="goog_rdk_3"/>
                <w:id w:val="-1385949922"/>
                <w:lock w:val="contentLocked"/>
              </w:sdtPr>
              <w:sdtEndPr/>
              <w:sdtContent>
                <w:tc>
                  <w:tcPr>
                    <w:tcW w:w="1300" w:type="dxa"/>
                    <w:tcBorders>
                      <w:top w:val="single" w:sz="6" w:space="0" w:color="284E3F"/>
                      <w:left w:val="single" w:sz="6" w:space="0" w:color="356854"/>
                      <w:bottom w:val="single" w:sz="6" w:space="0" w:color="000000"/>
                      <w:right w:val="single" w:sz="6" w:space="0" w:color="356854"/>
                    </w:tcBorders>
                    <w:shd w:val="clear" w:color="auto" w:fill="A4C2F4"/>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sz w:val="14"/>
                        <w:szCs w:val="14"/>
                      </w:rPr>
                      <w:t>Underlying Disorder</w:t>
                    </w:r>
                  </w:p>
                </w:tc>
              </w:sdtContent>
            </w:sdt>
            <w:sdt>
              <w:sdtPr>
                <w:tag w:val="goog_rdk_4"/>
                <w:id w:val="-534885050"/>
                <w:lock w:val="contentLocked"/>
              </w:sdtPr>
              <w:sdtEndPr/>
              <w:sdtContent>
                <w:tc>
                  <w:tcPr>
                    <w:tcW w:w="1220" w:type="dxa"/>
                    <w:tcBorders>
                      <w:top w:val="single" w:sz="6" w:space="0" w:color="284E3F"/>
                      <w:left w:val="single" w:sz="6" w:space="0" w:color="356854"/>
                      <w:bottom w:val="single" w:sz="6" w:space="0" w:color="000000"/>
                      <w:right w:val="single" w:sz="6" w:space="0" w:color="356854"/>
                    </w:tcBorders>
                    <w:shd w:val="clear" w:color="auto" w:fill="A4C2F4"/>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sz w:val="14"/>
                        <w:szCs w:val="14"/>
                      </w:rPr>
                      <w:t>Diagnosis</w:t>
                    </w:r>
                  </w:p>
                </w:tc>
              </w:sdtContent>
            </w:sdt>
            <w:sdt>
              <w:sdtPr>
                <w:tag w:val="goog_rdk_5"/>
                <w:id w:val="-245527746"/>
                <w:lock w:val="contentLocked"/>
              </w:sdtPr>
              <w:sdtEndPr/>
              <w:sdtContent>
                <w:tc>
                  <w:tcPr>
                    <w:tcW w:w="1040" w:type="dxa"/>
                    <w:tcBorders>
                      <w:top w:val="single" w:sz="6" w:space="0" w:color="284E3F"/>
                      <w:left w:val="single" w:sz="6" w:space="0" w:color="356854"/>
                      <w:bottom w:val="single" w:sz="6" w:space="0" w:color="000000"/>
                      <w:right w:val="single" w:sz="6" w:space="0" w:color="356854"/>
                    </w:tcBorders>
                    <w:shd w:val="clear" w:color="auto" w:fill="A4C2F4"/>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sz w:val="14"/>
                        <w:szCs w:val="14"/>
                      </w:rPr>
                      <w:t>Neurologic Status on Presentation</w:t>
                    </w:r>
                  </w:p>
                </w:tc>
              </w:sdtContent>
            </w:sdt>
            <w:sdt>
              <w:sdtPr>
                <w:tag w:val="goog_rdk_6"/>
                <w:id w:val="-150377215"/>
                <w:lock w:val="contentLocked"/>
              </w:sdtPr>
              <w:sdtEndPr/>
              <w:sdtContent>
                <w:tc>
                  <w:tcPr>
                    <w:tcW w:w="1260" w:type="dxa"/>
                    <w:tcBorders>
                      <w:top w:val="single" w:sz="6" w:space="0" w:color="284E3F"/>
                      <w:left w:val="single" w:sz="6" w:space="0" w:color="356854"/>
                      <w:bottom w:val="single" w:sz="6" w:space="0" w:color="000000"/>
                      <w:right w:val="single" w:sz="6" w:space="0" w:color="284E3F"/>
                    </w:tcBorders>
                    <w:shd w:val="clear" w:color="auto" w:fill="A4C2F4"/>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sz w:val="14"/>
                        <w:szCs w:val="14"/>
                      </w:rPr>
                      <w:t>Treatment</w:t>
                    </w:r>
                  </w:p>
                </w:tc>
              </w:sdtContent>
            </w:sdt>
            <w:sdt>
              <w:sdtPr>
                <w:tag w:val="goog_rdk_7"/>
                <w:id w:val="-827398847"/>
                <w:lock w:val="contentLocked"/>
              </w:sdtPr>
              <w:sdtEndPr/>
              <w:sdtContent>
                <w:tc>
                  <w:tcPr>
                    <w:tcW w:w="1100" w:type="dxa"/>
                    <w:tcBorders>
                      <w:top w:val="single" w:sz="6" w:space="0" w:color="284E3F"/>
                      <w:left w:val="single" w:sz="6" w:space="0" w:color="284E3F"/>
                      <w:bottom w:val="single" w:sz="6" w:space="0" w:color="000000"/>
                      <w:right w:val="single" w:sz="6" w:space="0" w:color="284E3F"/>
                    </w:tcBorders>
                    <w:shd w:val="clear" w:color="auto" w:fill="A4C2F4"/>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sz w:val="14"/>
                        <w:szCs w:val="14"/>
                      </w:rPr>
                      <w:t>Neurologic Outcome</w:t>
                    </w:r>
                  </w:p>
                </w:tc>
              </w:sdtContent>
            </w:sdt>
          </w:tr>
          <w:tr w:rsidR="00311397">
            <w:trPr>
              <w:trHeight w:val="1245"/>
            </w:trPr>
            <w:sdt>
              <w:sdtPr>
                <w:tag w:val="goog_rdk_8"/>
                <w:id w:val="-1097397601"/>
                <w:lock w:val="contentLocked"/>
              </w:sdtPr>
              <w:sdtEndPr/>
              <w:sdtContent>
                <w:tc>
                  <w:tcPr>
                    <w:tcW w:w="320" w:type="dxa"/>
                    <w:tcBorders>
                      <w:top w:val="single" w:sz="6" w:space="0" w:color="000000"/>
                      <w:left w:val="single" w:sz="6" w:space="0" w:color="284E3F"/>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right"/>
                      <w:rPr>
                        <w:rFonts w:ascii="Arial" w:eastAsia="Arial" w:hAnsi="Arial" w:cs="Arial"/>
                        <w:sz w:val="14"/>
                        <w:szCs w:val="14"/>
                      </w:rPr>
                    </w:pPr>
                    <w:r>
                      <w:rPr>
                        <w:rFonts w:ascii="Arial" w:eastAsia="Arial" w:hAnsi="Arial" w:cs="Arial"/>
                        <w:color w:val="434343"/>
                        <w:sz w:val="14"/>
                        <w:szCs w:val="14"/>
                      </w:rPr>
                      <w:t>1</w:t>
                    </w:r>
                  </w:p>
                </w:tc>
              </w:sdtContent>
            </w:sdt>
            <w:sdt>
              <w:sdtPr>
                <w:tag w:val="goog_rdk_9"/>
                <w:id w:val="594886396"/>
                <w:lock w:val="contentLocked"/>
              </w:sdtPr>
              <w:sdtEndPr/>
              <w:sdtContent>
                <w:tc>
                  <w:tcPr>
                    <w:tcW w:w="70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right"/>
                      <w:rPr>
                        <w:rFonts w:ascii="Arial" w:eastAsia="Arial" w:hAnsi="Arial" w:cs="Arial"/>
                        <w:sz w:val="14"/>
                        <w:szCs w:val="14"/>
                      </w:rPr>
                    </w:pPr>
                    <w:r>
                      <w:rPr>
                        <w:rFonts w:ascii="Arial" w:eastAsia="Arial" w:hAnsi="Arial" w:cs="Arial"/>
                        <w:color w:val="434343"/>
                        <w:sz w:val="14"/>
                        <w:szCs w:val="14"/>
                      </w:rPr>
                      <w:t>57</w:t>
                    </w:r>
                  </w:p>
                </w:tc>
              </w:sdtContent>
            </w:sdt>
            <w:sdt>
              <w:sdtPr>
                <w:tag w:val="goog_rdk_10"/>
                <w:id w:val="-1395454030"/>
                <w:lock w:val="contentLocked"/>
              </w:sdtPr>
              <w:sdtEndPr/>
              <w:sdtContent>
                <w:tc>
                  <w:tcPr>
                    <w:tcW w:w="138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Direct massaging of the neck</w:t>
                    </w:r>
                  </w:p>
                </w:tc>
              </w:sdtContent>
            </w:sdt>
            <w:sdt>
              <w:sdtPr>
                <w:tag w:val="goog_rdk_11"/>
                <w:id w:val="-387471433"/>
                <w:lock w:val="contentLocked"/>
              </w:sdtPr>
              <w:sdtEndPr/>
              <w:sdtContent>
                <w:tc>
                  <w:tcPr>
                    <w:tcW w:w="130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Cervical spondylosis</w:t>
                    </w:r>
                  </w:p>
                </w:tc>
              </w:sdtContent>
            </w:sdt>
            <w:sdt>
              <w:sdtPr>
                <w:tag w:val="goog_rdk_12"/>
                <w:id w:val="1755437213"/>
                <w:lock w:val="contentLocked"/>
              </w:sdtPr>
              <w:sdtEndPr/>
              <w:sdtContent>
                <w:tc>
                  <w:tcPr>
                    <w:tcW w:w="122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C6 Incomplete spinal cord injury with c5-c6 prolapse intervertebral disc</w:t>
                    </w:r>
                  </w:p>
                </w:tc>
              </w:sdtContent>
            </w:sdt>
            <w:sdt>
              <w:sdtPr>
                <w:tag w:val="goog_rdk_13"/>
                <w:id w:val="-355582034"/>
                <w:lock w:val="contentLocked"/>
              </w:sdtPr>
              <w:sdtEndPr/>
              <w:sdtContent>
                <w:tc>
                  <w:tcPr>
                    <w:tcW w:w="104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C</w:t>
                    </w:r>
                  </w:p>
                </w:tc>
              </w:sdtContent>
            </w:sdt>
            <w:sdt>
              <w:sdtPr>
                <w:tag w:val="goog_rdk_14"/>
                <w:id w:val="303616621"/>
                <w:lock w:val="contentLocked"/>
              </w:sdtPr>
              <w:sdtEndPr/>
              <w:sdtContent>
                <w:tc>
                  <w:tcPr>
                    <w:tcW w:w="1260" w:type="dxa"/>
                    <w:tcBorders>
                      <w:top w:val="single" w:sz="6" w:space="0" w:color="000000"/>
                      <w:left w:val="single" w:sz="6" w:space="0" w:color="CCCCCC"/>
                      <w:bottom w:val="single" w:sz="6" w:space="0" w:color="000000"/>
                      <w:right w:val="single" w:sz="6" w:space="0" w:color="284E3F"/>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Combined anterior cervical discectomy and fusion c5/6 and posterior cervical decompression and fusion c5-c7</w:t>
                    </w:r>
                  </w:p>
                </w:tc>
              </w:sdtContent>
            </w:sdt>
            <w:sdt>
              <w:sdtPr>
                <w:tag w:val="goog_rdk_15"/>
                <w:id w:val="-409803765"/>
                <w:lock w:val="contentLocked"/>
              </w:sdtPr>
              <w:sdtEndPr/>
              <w:sdtContent>
                <w:tc>
                  <w:tcPr>
                    <w:tcW w:w="1100" w:type="dxa"/>
                    <w:tcBorders>
                      <w:top w:val="single" w:sz="6" w:space="0" w:color="000000"/>
                      <w:left w:val="single" w:sz="6" w:space="0" w:color="284E3F"/>
                      <w:bottom w:val="single" w:sz="6" w:space="0" w:color="000000"/>
                      <w:right w:val="single" w:sz="6" w:space="0" w:color="284E3F"/>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ASIA D</w:t>
                    </w:r>
                  </w:p>
                </w:tc>
              </w:sdtContent>
            </w:sdt>
          </w:tr>
          <w:tr w:rsidR="00311397">
            <w:trPr>
              <w:trHeight w:val="780"/>
            </w:trPr>
            <w:sdt>
              <w:sdtPr>
                <w:tag w:val="goog_rdk_16"/>
                <w:id w:val="161441931"/>
                <w:lock w:val="contentLocked"/>
              </w:sdtPr>
              <w:sdtEndPr/>
              <w:sdtContent>
                <w:tc>
                  <w:tcPr>
                    <w:tcW w:w="320" w:type="dxa"/>
                    <w:tcBorders>
                      <w:top w:val="single" w:sz="6" w:space="0" w:color="000000"/>
                      <w:left w:val="single" w:sz="6" w:space="0" w:color="284E3F"/>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right"/>
                      <w:rPr>
                        <w:rFonts w:ascii="Arial" w:eastAsia="Arial" w:hAnsi="Arial" w:cs="Arial"/>
                        <w:sz w:val="14"/>
                        <w:szCs w:val="14"/>
                      </w:rPr>
                    </w:pPr>
                    <w:r>
                      <w:rPr>
                        <w:rFonts w:ascii="Arial" w:eastAsia="Arial" w:hAnsi="Arial" w:cs="Arial"/>
                        <w:color w:val="434343"/>
                        <w:sz w:val="14"/>
                        <w:szCs w:val="14"/>
                      </w:rPr>
                      <w:t>2</w:t>
                    </w:r>
                  </w:p>
                </w:tc>
              </w:sdtContent>
            </w:sdt>
            <w:sdt>
              <w:sdtPr>
                <w:tag w:val="goog_rdk_17"/>
                <w:id w:val="-611814041"/>
                <w:lock w:val="contentLocked"/>
              </w:sdtPr>
              <w:sdtEndPr/>
              <w:sdtContent>
                <w:tc>
                  <w:tcPr>
                    <w:tcW w:w="70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right"/>
                      <w:rPr>
                        <w:rFonts w:ascii="Arial" w:eastAsia="Arial" w:hAnsi="Arial" w:cs="Arial"/>
                        <w:sz w:val="14"/>
                        <w:szCs w:val="14"/>
                      </w:rPr>
                    </w:pPr>
                    <w:r>
                      <w:rPr>
                        <w:rFonts w:ascii="Arial" w:eastAsia="Arial" w:hAnsi="Arial" w:cs="Arial"/>
                        <w:color w:val="434343"/>
                        <w:sz w:val="14"/>
                        <w:szCs w:val="14"/>
                      </w:rPr>
                      <w:t>32</w:t>
                    </w:r>
                  </w:p>
                </w:tc>
              </w:sdtContent>
            </w:sdt>
            <w:sdt>
              <w:sdtPr>
                <w:tag w:val="goog_rdk_18"/>
                <w:id w:val="-1436097370"/>
                <w:lock w:val="contentLocked"/>
              </w:sdtPr>
              <w:sdtEndPr/>
              <w:sdtContent>
                <w:tc>
                  <w:tcPr>
                    <w:tcW w:w="138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Direct massaging of the neck</w:t>
                    </w:r>
                  </w:p>
                </w:tc>
              </w:sdtContent>
            </w:sdt>
            <w:sdt>
              <w:sdtPr>
                <w:tag w:val="goog_rdk_19"/>
                <w:id w:val="1481767081"/>
                <w:lock w:val="contentLocked"/>
              </w:sdtPr>
              <w:sdtEndPr/>
              <w:sdtContent>
                <w:tc>
                  <w:tcPr>
                    <w:tcW w:w="130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Cervical spondylosis</w:t>
                    </w:r>
                  </w:p>
                </w:tc>
              </w:sdtContent>
            </w:sdt>
            <w:sdt>
              <w:sdtPr>
                <w:tag w:val="goog_rdk_20"/>
                <w:id w:val="-728882244"/>
                <w:lock w:val="contentLocked"/>
              </w:sdtPr>
              <w:sdtEndPr/>
              <w:sdtContent>
                <w:tc>
                  <w:tcPr>
                    <w:tcW w:w="122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C6 Incomplete spinal cord injury with c5-c6 prolapse intervertebral disc</w:t>
                    </w:r>
                  </w:p>
                </w:tc>
              </w:sdtContent>
            </w:sdt>
            <w:sdt>
              <w:sdtPr>
                <w:tag w:val="goog_rdk_21"/>
                <w:id w:val="404954021"/>
                <w:lock w:val="contentLocked"/>
              </w:sdtPr>
              <w:sdtEndPr/>
              <w:sdtContent>
                <w:tc>
                  <w:tcPr>
                    <w:tcW w:w="104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D</w:t>
                    </w:r>
                  </w:p>
                </w:tc>
              </w:sdtContent>
            </w:sdt>
            <w:sdt>
              <w:sdtPr>
                <w:tag w:val="goog_rdk_22"/>
                <w:id w:val="-1724889307"/>
                <w:lock w:val="contentLocked"/>
              </w:sdtPr>
              <w:sdtEndPr/>
              <w:sdtContent>
                <w:tc>
                  <w:tcPr>
                    <w:tcW w:w="1260" w:type="dxa"/>
                    <w:tcBorders>
                      <w:top w:val="single" w:sz="6" w:space="0" w:color="000000"/>
                      <w:left w:val="single" w:sz="6" w:space="0" w:color="CCCCCC"/>
                      <w:bottom w:val="single" w:sz="6" w:space="0" w:color="000000"/>
                      <w:right w:val="single" w:sz="6" w:space="0" w:color="284E3F"/>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Trial of conservative</w:t>
                    </w:r>
                  </w:p>
                </w:tc>
              </w:sdtContent>
            </w:sdt>
            <w:sdt>
              <w:sdtPr>
                <w:tag w:val="goog_rdk_23"/>
                <w:id w:val="-2144871765"/>
                <w:lock w:val="contentLocked"/>
              </w:sdtPr>
              <w:sdtEndPr/>
              <w:sdtContent>
                <w:tc>
                  <w:tcPr>
                    <w:tcW w:w="1100" w:type="dxa"/>
                    <w:tcBorders>
                      <w:top w:val="single" w:sz="6" w:space="0" w:color="000000"/>
                      <w:left w:val="single" w:sz="6" w:space="0" w:color="284E3F"/>
                      <w:bottom w:val="single" w:sz="6" w:space="0" w:color="000000"/>
                      <w:right w:val="single" w:sz="6" w:space="0" w:color="284E3F"/>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ASIA D</w:t>
                    </w:r>
                  </w:p>
                </w:tc>
              </w:sdtContent>
            </w:sdt>
          </w:tr>
          <w:tr w:rsidR="00311397">
            <w:trPr>
              <w:trHeight w:val="780"/>
            </w:trPr>
            <w:sdt>
              <w:sdtPr>
                <w:tag w:val="goog_rdk_24"/>
                <w:id w:val="485212930"/>
                <w:lock w:val="contentLocked"/>
              </w:sdtPr>
              <w:sdtEndPr/>
              <w:sdtContent>
                <w:tc>
                  <w:tcPr>
                    <w:tcW w:w="320" w:type="dxa"/>
                    <w:tcBorders>
                      <w:top w:val="single" w:sz="6" w:space="0" w:color="000000"/>
                      <w:left w:val="single" w:sz="6" w:space="0" w:color="284E3F"/>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right"/>
                      <w:rPr>
                        <w:rFonts w:ascii="Arial" w:eastAsia="Arial" w:hAnsi="Arial" w:cs="Arial"/>
                        <w:sz w:val="14"/>
                        <w:szCs w:val="14"/>
                      </w:rPr>
                    </w:pPr>
                    <w:r>
                      <w:rPr>
                        <w:rFonts w:ascii="Arial" w:eastAsia="Arial" w:hAnsi="Arial" w:cs="Arial"/>
                        <w:color w:val="434343"/>
                        <w:sz w:val="14"/>
                        <w:szCs w:val="14"/>
                      </w:rPr>
                      <w:t>3</w:t>
                    </w:r>
                  </w:p>
                </w:tc>
              </w:sdtContent>
            </w:sdt>
            <w:sdt>
              <w:sdtPr>
                <w:tag w:val="goog_rdk_25"/>
                <w:id w:val="-2047258746"/>
                <w:lock w:val="contentLocked"/>
              </w:sdtPr>
              <w:sdtEndPr/>
              <w:sdtContent>
                <w:tc>
                  <w:tcPr>
                    <w:tcW w:w="70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right"/>
                      <w:rPr>
                        <w:rFonts w:ascii="Arial" w:eastAsia="Arial" w:hAnsi="Arial" w:cs="Arial"/>
                        <w:sz w:val="14"/>
                        <w:szCs w:val="14"/>
                      </w:rPr>
                    </w:pPr>
                    <w:r>
                      <w:rPr>
                        <w:rFonts w:ascii="Arial" w:eastAsia="Arial" w:hAnsi="Arial" w:cs="Arial"/>
                        <w:color w:val="434343"/>
                        <w:sz w:val="14"/>
                        <w:szCs w:val="14"/>
                      </w:rPr>
                      <w:t>33</w:t>
                    </w:r>
                  </w:p>
                </w:tc>
              </w:sdtContent>
            </w:sdt>
            <w:sdt>
              <w:sdtPr>
                <w:tag w:val="goog_rdk_26"/>
                <w:id w:val="-1235128724"/>
                <w:lock w:val="contentLocked"/>
              </w:sdtPr>
              <w:sdtEndPr/>
              <w:sdtContent>
                <w:tc>
                  <w:tcPr>
                    <w:tcW w:w="138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Voluntary bracing with isometric contraction of the neck and muscles.</w:t>
                    </w:r>
                  </w:p>
                </w:tc>
              </w:sdtContent>
            </w:sdt>
            <w:sdt>
              <w:sdtPr>
                <w:tag w:val="goog_rdk_27"/>
                <w:id w:val="-1243484824"/>
                <w:lock w:val="contentLocked"/>
              </w:sdtPr>
              <w:sdtEndPr/>
              <w:sdtContent>
                <w:tc>
                  <w:tcPr>
                    <w:tcW w:w="130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Nil</w:t>
                    </w:r>
                  </w:p>
                </w:tc>
              </w:sdtContent>
            </w:sdt>
            <w:sdt>
              <w:sdtPr>
                <w:tag w:val="goog_rdk_28"/>
                <w:id w:val="872511865"/>
                <w:lock w:val="contentLocked"/>
              </w:sdtPr>
              <w:sdtEndPr/>
              <w:sdtContent>
                <w:tc>
                  <w:tcPr>
                    <w:tcW w:w="122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C6 central cord syndrome 2’ to c5-c6 prolapsed intervertebral disc.</w:t>
                    </w:r>
                  </w:p>
                </w:tc>
              </w:sdtContent>
            </w:sdt>
            <w:sdt>
              <w:sdtPr>
                <w:tag w:val="goog_rdk_29"/>
                <w:id w:val="-1156338766"/>
                <w:lock w:val="contentLocked"/>
              </w:sdtPr>
              <w:sdtEndPr/>
              <w:sdtContent>
                <w:tc>
                  <w:tcPr>
                    <w:tcW w:w="104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D</w:t>
                    </w:r>
                  </w:p>
                </w:tc>
              </w:sdtContent>
            </w:sdt>
            <w:sdt>
              <w:sdtPr>
                <w:tag w:val="goog_rdk_30"/>
                <w:id w:val="-109678461"/>
                <w:lock w:val="contentLocked"/>
              </w:sdtPr>
              <w:sdtEndPr/>
              <w:sdtContent>
                <w:tc>
                  <w:tcPr>
                    <w:tcW w:w="1260" w:type="dxa"/>
                    <w:tcBorders>
                      <w:top w:val="single" w:sz="6" w:space="0" w:color="000000"/>
                      <w:left w:val="single" w:sz="6" w:space="0" w:color="CCCCCC"/>
                      <w:bottom w:val="single" w:sz="6" w:space="0" w:color="000000"/>
                      <w:right w:val="single" w:sz="6" w:space="0" w:color="284E3F"/>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Anterior cervical discectomy and fusion c5-c6</w:t>
                    </w:r>
                  </w:p>
                </w:tc>
              </w:sdtContent>
            </w:sdt>
            <w:sdt>
              <w:sdtPr>
                <w:tag w:val="goog_rdk_31"/>
                <w:id w:val="1545004492"/>
                <w:lock w:val="contentLocked"/>
              </w:sdtPr>
              <w:sdtEndPr/>
              <w:sdtContent>
                <w:tc>
                  <w:tcPr>
                    <w:tcW w:w="1100" w:type="dxa"/>
                    <w:tcBorders>
                      <w:top w:val="single" w:sz="6" w:space="0" w:color="000000"/>
                      <w:left w:val="single" w:sz="6" w:space="0" w:color="284E3F"/>
                      <w:bottom w:val="single" w:sz="6" w:space="0" w:color="000000"/>
                      <w:right w:val="single" w:sz="6" w:space="0" w:color="284E3F"/>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ASIA E</w:t>
                    </w:r>
                  </w:p>
                </w:tc>
              </w:sdtContent>
            </w:sdt>
          </w:tr>
          <w:tr w:rsidR="00311397">
            <w:trPr>
              <w:trHeight w:val="315"/>
            </w:trPr>
            <w:sdt>
              <w:sdtPr>
                <w:tag w:val="goog_rdk_32"/>
                <w:id w:val="-1755534831"/>
                <w:lock w:val="contentLocked"/>
              </w:sdtPr>
              <w:sdtEndPr/>
              <w:sdtContent>
                <w:tc>
                  <w:tcPr>
                    <w:tcW w:w="320" w:type="dxa"/>
                    <w:tcBorders>
                      <w:top w:val="single" w:sz="6" w:space="0" w:color="000000"/>
                      <w:left w:val="single" w:sz="6" w:space="0" w:color="284E3F"/>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right"/>
                      <w:rPr>
                        <w:rFonts w:ascii="Arial" w:eastAsia="Arial" w:hAnsi="Arial" w:cs="Arial"/>
                        <w:sz w:val="14"/>
                        <w:szCs w:val="14"/>
                      </w:rPr>
                    </w:pPr>
                    <w:r>
                      <w:rPr>
                        <w:rFonts w:ascii="Arial" w:eastAsia="Arial" w:hAnsi="Arial" w:cs="Arial"/>
                        <w:color w:val="434343"/>
                        <w:sz w:val="14"/>
                        <w:szCs w:val="14"/>
                      </w:rPr>
                      <w:t>4</w:t>
                    </w:r>
                  </w:p>
                </w:tc>
              </w:sdtContent>
            </w:sdt>
            <w:sdt>
              <w:sdtPr>
                <w:tag w:val="goog_rdk_33"/>
                <w:id w:val="-186583963"/>
                <w:lock w:val="contentLocked"/>
              </w:sdtPr>
              <w:sdtEndPr/>
              <w:sdtContent>
                <w:tc>
                  <w:tcPr>
                    <w:tcW w:w="70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right"/>
                      <w:rPr>
                        <w:rFonts w:ascii="Arial" w:eastAsia="Arial" w:hAnsi="Arial" w:cs="Arial"/>
                        <w:sz w:val="14"/>
                        <w:szCs w:val="14"/>
                      </w:rPr>
                    </w:pPr>
                    <w:r>
                      <w:rPr>
                        <w:rFonts w:ascii="Arial" w:eastAsia="Arial" w:hAnsi="Arial" w:cs="Arial"/>
                        <w:color w:val="434343"/>
                        <w:sz w:val="14"/>
                        <w:szCs w:val="14"/>
                      </w:rPr>
                      <w:t>55</w:t>
                    </w:r>
                  </w:p>
                </w:tc>
              </w:sdtContent>
            </w:sdt>
            <w:sdt>
              <w:sdtPr>
                <w:tag w:val="goog_rdk_34"/>
                <w:id w:val="-1846097730"/>
                <w:lock w:val="contentLocked"/>
              </w:sdtPr>
              <w:sdtEndPr/>
              <w:sdtContent>
                <w:tc>
                  <w:tcPr>
                    <w:tcW w:w="138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Direct massaging</w:t>
                    </w:r>
                  </w:p>
                </w:tc>
              </w:sdtContent>
            </w:sdt>
            <w:sdt>
              <w:sdtPr>
                <w:tag w:val="goog_rdk_35"/>
                <w:id w:val="-244465829"/>
                <w:lock w:val="contentLocked"/>
              </w:sdtPr>
              <w:sdtEndPr/>
              <w:sdtContent>
                <w:tc>
                  <w:tcPr>
                    <w:tcW w:w="130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Degenerative stenosis</w:t>
                    </w:r>
                  </w:p>
                </w:tc>
              </w:sdtContent>
            </w:sdt>
            <w:sdt>
              <w:sdtPr>
                <w:tag w:val="goog_rdk_36"/>
                <w:id w:val="326513350"/>
                <w:lock w:val="contentLocked"/>
              </w:sdtPr>
              <w:sdtEndPr/>
              <w:sdtContent>
                <w:tc>
                  <w:tcPr>
                    <w:tcW w:w="122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C5 central cord</w:t>
                    </w:r>
                  </w:p>
                </w:tc>
              </w:sdtContent>
            </w:sdt>
            <w:sdt>
              <w:sdtPr>
                <w:tag w:val="goog_rdk_37"/>
                <w:id w:val="128439464"/>
                <w:lock w:val="contentLocked"/>
              </w:sdtPr>
              <w:sdtEndPr/>
              <w:sdtContent>
                <w:tc>
                  <w:tcPr>
                    <w:tcW w:w="104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D</w:t>
                    </w:r>
                  </w:p>
                </w:tc>
              </w:sdtContent>
            </w:sdt>
            <w:sdt>
              <w:sdtPr>
                <w:tag w:val="goog_rdk_38"/>
                <w:id w:val="1048094022"/>
                <w:lock w:val="contentLocked"/>
              </w:sdtPr>
              <w:sdtEndPr/>
              <w:sdtContent>
                <w:tc>
                  <w:tcPr>
                    <w:tcW w:w="1260" w:type="dxa"/>
                    <w:tcBorders>
                      <w:top w:val="single" w:sz="6" w:space="0" w:color="000000"/>
                      <w:left w:val="single" w:sz="6" w:space="0" w:color="CCCCCC"/>
                      <w:bottom w:val="single" w:sz="6" w:space="0" w:color="000000"/>
                      <w:right w:val="single" w:sz="6" w:space="0" w:color="284E3F"/>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Conservative</w:t>
                    </w:r>
                  </w:p>
                </w:tc>
              </w:sdtContent>
            </w:sdt>
            <w:sdt>
              <w:sdtPr>
                <w:tag w:val="goog_rdk_39"/>
                <w:id w:val="304004946"/>
                <w:lock w:val="contentLocked"/>
              </w:sdtPr>
              <w:sdtEndPr/>
              <w:sdtContent>
                <w:tc>
                  <w:tcPr>
                    <w:tcW w:w="1100" w:type="dxa"/>
                    <w:tcBorders>
                      <w:top w:val="single" w:sz="6" w:space="0" w:color="000000"/>
                      <w:left w:val="single" w:sz="6" w:space="0" w:color="284E3F"/>
                      <w:bottom w:val="single" w:sz="6" w:space="0" w:color="000000"/>
                      <w:right w:val="single" w:sz="6" w:space="0" w:color="284E3F"/>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ASIA D</w:t>
                    </w:r>
                  </w:p>
                </w:tc>
              </w:sdtContent>
            </w:sdt>
          </w:tr>
          <w:tr w:rsidR="00311397">
            <w:trPr>
              <w:trHeight w:val="540"/>
            </w:trPr>
            <w:sdt>
              <w:sdtPr>
                <w:tag w:val="goog_rdk_40"/>
                <w:id w:val="466240396"/>
                <w:lock w:val="contentLocked"/>
              </w:sdtPr>
              <w:sdtEndPr/>
              <w:sdtContent>
                <w:tc>
                  <w:tcPr>
                    <w:tcW w:w="320" w:type="dxa"/>
                    <w:tcBorders>
                      <w:top w:val="single" w:sz="6" w:space="0" w:color="000000"/>
                      <w:left w:val="single" w:sz="6" w:space="0" w:color="284E3F"/>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right"/>
                      <w:rPr>
                        <w:rFonts w:ascii="Arial" w:eastAsia="Arial" w:hAnsi="Arial" w:cs="Arial"/>
                        <w:sz w:val="14"/>
                        <w:szCs w:val="14"/>
                      </w:rPr>
                    </w:pPr>
                    <w:r>
                      <w:rPr>
                        <w:rFonts w:ascii="Arial" w:eastAsia="Arial" w:hAnsi="Arial" w:cs="Arial"/>
                        <w:color w:val="434343"/>
                        <w:sz w:val="14"/>
                        <w:szCs w:val="14"/>
                      </w:rPr>
                      <w:t>5</w:t>
                    </w:r>
                  </w:p>
                </w:tc>
              </w:sdtContent>
            </w:sdt>
            <w:sdt>
              <w:sdtPr>
                <w:tag w:val="goog_rdk_41"/>
                <w:id w:val="-1631344016"/>
                <w:lock w:val="contentLocked"/>
              </w:sdtPr>
              <w:sdtEndPr/>
              <w:sdtContent>
                <w:tc>
                  <w:tcPr>
                    <w:tcW w:w="70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right"/>
                      <w:rPr>
                        <w:rFonts w:ascii="Arial" w:eastAsia="Arial" w:hAnsi="Arial" w:cs="Arial"/>
                        <w:sz w:val="14"/>
                        <w:szCs w:val="14"/>
                      </w:rPr>
                    </w:pPr>
                    <w:r>
                      <w:rPr>
                        <w:rFonts w:ascii="Arial" w:eastAsia="Arial" w:hAnsi="Arial" w:cs="Arial"/>
                        <w:color w:val="434343"/>
                        <w:sz w:val="14"/>
                        <w:szCs w:val="14"/>
                      </w:rPr>
                      <w:t>18</w:t>
                    </w:r>
                  </w:p>
                </w:tc>
              </w:sdtContent>
            </w:sdt>
            <w:sdt>
              <w:sdtPr>
                <w:tag w:val="goog_rdk_42"/>
                <w:id w:val="-1248998971"/>
                <w:lock w:val="contentLocked"/>
              </w:sdtPr>
              <w:sdtEndPr/>
              <w:sdtContent>
                <w:tc>
                  <w:tcPr>
                    <w:tcW w:w="138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Direct massage</w:t>
                    </w:r>
                  </w:p>
                </w:tc>
              </w:sdtContent>
            </w:sdt>
            <w:sdt>
              <w:sdtPr>
                <w:tag w:val="goog_rdk_43"/>
                <w:id w:val="-236942421"/>
                <w:lock w:val="contentLocked"/>
              </w:sdtPr>
              <w:sdtEndPr/>
              <w:sdtContent>
                <w:tc>
                  <w:tcPr>
                    <w:tcW w:w="130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Unstable os odontoideum</w:t>
                    </w:r>
                  </w:p>
                </w:tc>
              </w:sdtContent>
            </w:sdt>
            <w:sdt>
              <w:sdtPr>
                <w:tag w:val="goog_rdk_44"/>
                <w:id w:val="-1075656952"/>
                <w:lock w:val="contentLocked"/>
              </w:sdtPr>
              <w:sdtEndPr/>
              <w:sdtContent>
                <w:tc>
                  <w:tcPr>
                    <w:tcW w:w="122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Incomplete cord injury</w:t>
                    </w:r>
                  </w:p>
                </w:tc>
              </w:sdtContent>
            </w:sdt>
            <w:sdt>
              <w:sdtPr>
                <w:tag w:val="goog_rdk_45"/>
                <w:id w:val="1442734920"/>
                <w:lock w:val="contentLocked"/>
              </w:sdtPr>
              <w:sdtEndPr/>
              <w:sdtContent>
                <w:tc>
                  <w:tcPr>
                    <w:tcW w:w="104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D</w:t>
                    </w:r>
                  </w:p>
                </w:tc>
              </w:sdtContent>
            </w:sdt>
            <w:sdt>
              <w:sdtPr>
                <w:tag w:val="goog_rdk_46"/>
                <w:id w:val="1044119238"/>
                <w:lock w:val="contentLocked"/>
              </w:sdtPr>
              <w:sdtEndPr/>
              <w:sdtContent>
                <w:tc>
                  <w:tcPr>
                    <w:tcW w:w="1260" w:type="dxa"/>
                    <w:tcBorders>
                      <w:top w:val="single" w:sz="6" w:space="0" w:color="000000"/>
                      <w:left w:val="single" w:sz="6" w:space="0" w:color="CCCCCC"/>
                      <w:bottom w:val="single" w:sz="6" w:space="0" w:color="000000"/>
                      <w:right w:val="single" w:sz="6" w:space="0" w:color="284E3F"/>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Decompression and c0 fusion</w:t>
                    </w:r>
                  </w:p>
                </w:tc>
              </w:sdtContent>
            </w:sdt>
            <w:sdt>
              <w:sdtPr>
                <w:tag w:val="goog_rdk_47"/>
                <w:id w:val="-910996279"/>
                <w:lock w:val="contentLocked"/>
              </w:sdtPr>
              <w:sdtEndPr/>
              <w:sdtContent>
                <w:tc>
                  <w:tcPr>
                    <w:tcW w:w="1100" w:type="dxa"/>
                    <w:tcBorders>
                      <w:top w:val="single" w:sz="6" w:space="0" w:color="000000"/>
                      <w:left w:val="single" w:sz="6" w:space="0" w:color="284E3F"/>
                      <w:bottom w:val="single" w:sz="6" w:space="0" w:color="000000"/>
                      <w:right w:val="single" w:sz="6" w:space="0" w:color="284E3F"/>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ASIA D</w:t>
                    </w:r>
                  </w:p>
                </w:tc>
              </w:sdtContent>
            </w:sdt>
          </w:tr>
          <w:tr w:rsidR="00311397">
            <w:trPr>
              <w:trHeight w:val="540"/>
            </w:trPr>
            <w:sdt>
              <w:sdtPr>
                <w:tag w:val="goog_rdk_48"/>
                <w:id w:val="1393974160"/>
                <w:lock w:val="contentLocked"/>
              </w:sdtPr>
              <w:sdtEndPr/>
              <w:sdtContent>
                <w:tc>
                  <w:tcPr>
                    <w:tcW w:w="320" w:type="dxa"/>
                    <w:tcBorders>
                      <w:top w:val="single" w:sz="6" w:space="0" w:color="000000"/>
                      <w:left w:val="single" w:sz="6" w:space="0" w:color="284E3F"/>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right"/>
                      <w:rPr>
                        <w:rFonts w:ascii="Arial" w:eastAsia="Arial" w:hAnsi="Arial" w:cs="Arial"/>
                        <w:sz w:val="14"/>
                        <w:szCs w:val="14"/>
                      </w:rPr>
                    </w:pPr>
                    <w:r>
                      <w:rPr>
                        <w:rFonts w:ascii="Arial" w:eastAsia="Arial" w:hAnsi="Arial" w:cs="Arial"/>
                        <w:color w:val="434343"/>
                        <w:sz w:val="14"/>
                        <w:szCs w:val="14"/>
                      </w:rPr>
                      <w:t>6</w:t>
                    </w:r>
                  </w:p>
                </w:tc>
              </w:sdtContent>
            </w:sdt>
            <w:sdt>
              <w:sdtPr>
                <w:tag w:val="goog_rdk_49"/>
                <w:id w:val="748251431"/>
                <w:lock w:val="contentLocked"/>
              </w:sdtPr>
              <w:sdtEndPr/>
              <w:sdtContent>
                <w:tc>
                  <w:tcPr>
                    <w:tcW w:w="70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right"/>
                      <w:rPr>
                        <w:rFonts w:ascii="Arial" w:eastAsia="Arial" w:hAnsi="Arial" w:cs="Arial"/>
                        <w:sz w:val="14"/>
                        <w:szCs w:val="14"/>
                      </w:rPr>
                    </w:pPr>
                    <w:r>
                      <w:rPr>
                        <w:rFonts w:ascii="Arial" w:eastAsia="Arial" w:hAnsi="Arial" w:cs="Arial"/>
                        <w:color w:val="434343"/>
                        <w:sz w:val="14"/>
                        <w:szCs w:val="14"/>
                      </w:rPr>
                      <w:t>43</w:t>
                    </w:r>
                  </w:p>
                </w:tc>
              </w:sdtContent>
            </w:sdt>
            <w:sdt>
              <w:sdtPr>
                <w:tag w:val="goog_rdk_50"/>
                <w:id w:val="-404549049"/>
                <w:lock w:val="contentLocked"/>
              </w:sdtPr>
              <w:sdtEndPr/>
              <w:sdtContent>
                <w:tc>
                  <w:tcPr>
                    <w:tcW w:w="138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Direct massage</w:t>
                    </w:r>
                  </w:p>
                </w:tc>
              </w:sdtContent>
            </w:sdt>
            <w:sdt>
              <w:sdtPr>
                <w:tag w:val="goog_rdk_51"/>
                <w:id w:val="-247733173"/>
                <w:lock w:val="contentLocked"/>
              </w:sdtPr>
              <w:sdtEndPr/>
              <w:sdtContent>
                <w:tc>
                  <w:tcPr>
                    <w:tcW w:w="130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Spinal metastasis</w:t>
                    </w:r>
                  </w:p>
                </w:tc>
              </w:sdtContent>
            </w:sdt>
            <w:sdt>
              <w:sdtPr>
                <w:tag w:val="goog_rdk_52"/>
                <w:id w:val="318626703"/>
                <w:lock w:val="contentLocked"/>
              </w:sdtPr>
              <w:sdtEndPr/>
              <w:sdtContent>
                <w:tc>
                  <w:tcPr>
                    <w:tcW w:w="122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Complete cord injury</w:t>
                    </w:r>
                  </w:p>
                </w:tc>
              </w:sdtContent>
            </w:sdt>
            <w:sdt>
              <w:sdtPr>
                <w:tag w:val="goog_rdk_53"/>
                <w:id w:val="-1831363138"/>
                <w:lock w:val="contentLocked"/>
              </w:sdtPr>
              <w:sdtEndPr/>
              <w:sdtContent>
                <w:tc>
                  <w:tcPr>
                    <w:tcW w:w="104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A</w:t>
                    </w:r>
                  </w:p>
                </w:tc>
              </w:sdtContent>
            </w:sdt>
            <w:sdt>
              <w:sdtPr>
                <w:tag w:val="goog_rdk_54"/>
                <w:id w:val="733112452"/>
                <w:lock w:val="contentLocked"/>
              </w:sdtPr>
              <w:sdtEndPr/>
              <w:sdtContent>
                <w:tc>
                  <w:tcPr>
                    <w:tcW w:w="1260" w:type="dxa"/>
                    <w:tcBorders>
                      <w:top w:val="single" w:sz="6" w:space="0" w:color="000000"/>
                      <w:left w:val="single" w:sz="6" w:space="0" w:color="CCCCCC"/>
                      <w:bottom w:val="single" w:sz="6" w:space="0" w:color="000000"/>
                      <w:right w:val="single" w:sz="6" w:space="0" w:color="284E3F"/>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Conservative</w:t>
                    </w:r>
                  </w:p>
                </w:tc>
              </w:sdtContent>
            </w:sdt>
            <w:sdt>
              <w:sdtPr>
                <w:tag w:val="goog_rdk_55"/>
                <w:id w:val="-543084454"/>
                <w:lock w:val="contentLocked"/>
              </w:sdtPr>
              <w:sdtEndPr/>
              <w:sdtContent>
                <w:tc>
                  <w:tcPr>
                    <w:tcW w:w="1100" w:type="dxa"/>
                    <w:tcBorders>
                      <w:top w:val="single" w:sz="6" w:space="0" w:color="000000"/>
                      <w:left w:val="single" w:sz="6" w:space="0" w:color="284E3F"/>
                      <w:bottom w:val="single" w:sz="6" w:space="0" w:color="000000"/>
                      <w:right w:val="single" w:sz="6" w:space="0" w:color="284E3F"/>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ASIA A</w:t>
                    </w:r>
                  </w:p>
                </w:tc>
              </w:sdtContent>
            </w:sdt>
          </w:tr>
          <w:tr w:rsidR="00311397">
            <w:trPr>
              <w:trHeight w:val="540"/>
            </w:trPr>
            <w:sdt>
              <w:sdtPr>
                <w:tag w:val="goog_rdk_56"/>
                <w:id w:val="-689801981"/>
                <w:lock w:val="contentLocked"/>
              </w:sdtPr>
              <w:sdtEndPr/>
              <w:sdtContent>
                <w:tc>
                  <w:tcPr>
                    <w:tcW w:w="320" w:type="dxa"/>
                    <w:tcBorders>
                      <w:top w:val="single" w:sz="6" w:space="0" w:color="000000"/>
                      <w:left w:val="single" w:sz="6" w:space="0" w:color="284E3F"/>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right"/>
                      <w:rPr>
                        <w:rFonts w:ascii="Arial" w:eastAsia="Arial" w:hAnsi="Arial" w:cs="Arial"/>
                        <w:sz w:val="14"/>
                        <w:szCs w:val="14"/>
                      </w:rPr>
                    </w:pPr>
                    <w:r>
                      <w:rPr>
                        <w:rFonts w:ascii="Arial" w:eastAsia="Arial" w:hAnsi="Arial" w:cs="Arial"/>
                        <w:color w:val="434343"/>
                        <w:sz w:val="14"/>
                        <w:szCs w:val="14"/>
                      </w:rPr>
                      <w:t>7</w:t>
                    </w:r>
                  </w:p>
                </w:tc>
              </w:sdtContent>
            </w:sdt>
            <w:sdt>
              <w:sdtPr>
                <w:tag w:val="goog_rdk_57"/>
                <w:id w:val="-619026452"/>
                <w:lock w:val="contentLocked"/>
              </w:sdtPr>
              <w:sdtEndPr/>
              <w:sdtContent>
                <w:tc>
                  <w:tcPr>
                    <w:tcW w:w="70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right"/>
                      <w:rPr>
                        <w:rFonts w:ascii="Arial" w:eastAsia="Arial" w:hAnsi="Arial" w:cs="Arial"/>
                        <w:sz w:val="14"/>
                        <w:szCs w:val="14"/>
                      </w:rPr>
                    </w:pPr>
                    <w:r>
                      <w:rPr>
                        <w:rFonts w:ascii="Arial" w:eastAsia="Arial" w:hAnsi="Arial" w:cs="Arial"/>
                        <w:color w:val="434343"/>
                        <w:sz w:val="14"/>
                        <w:szCs w:val="14"/>
                      </w:rPr>
                      <w:t>35</w:t>
                    </w:r>
                  </w:p>
                </w:tc>
              </w:sdtContent>
            </w:sdt>
            <w:sdt>
              <w:sdtPr>
                <w:tag w:val="goog_rdk_58"/>
                <w:id w:val="605035679"/>
                <w:lock w:val="contentLocked"/>
              </w:sdtPr>
              <w:sdtEndPr/>
              <w:sdtContent>
                <w:tc>
                  <w:tcPr>
                    <w:tcW w:w="138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Rotation</w:t>
                    </w:r>
                  </w:p>
                </w:tc>
              </w:sdtContent>
            </w:sdt>
            <w:sdt>
              <w:sdtPr>
                <w:tag w:val="goog_rdk_59"/>
                <w:id w:val="471687078"/>
                <w:lock w:val="contentLocked"/>
              </w:sdtPr>
              <w:sdtEndPr/>
              <w:sdtContent>
                <w:tc>
                  <w:tcPr>
                    <w:tcW w:w="130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Ossification of Yellow Ligament thoracic</w:t>
                    </w:r>
                  </w:p>
                </w:tc>
              </w:sdtContent>
            </w:sdt>
            <w:sdt>
              <w:sdtPr>
                <w:tag w:val="goog_rdk_60"/>
                <w:id w:val="413553610"/>
                <w:lock w:val="contentLocked"/>
              </w:sdtPr>
              <w:sdtEndPr/>
              <w:sdtContent>
                <w:tc>
                  <w:tcPr>
                    <w:tcW w:w="122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T10, 11, 12 OYL with Thoracic myelopathy</w:t>
                    </w:r>
                  </w:p>
                </w:tc>
              </w:sdtContent>
            </w:sdt>
            <w:sdt>
              <w:sdtPr>
                <w:tag w:val="goog_rdk_61"/>
                <w:id w:val="669241578"/>
                <w:lock w:val="contentLocked"/>
              </w:sdtPr>
              <w:sdtEndPr/>
              <w:sdtContent>
                <w:tc>
                  <w:tcPr>
                    <w:tcW w:w="104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D</w:t>
                    </w:r>
                  </w:p>
                </w:tc>
              </w:sdtContent>
            </w:sdt>
            <w:sdt>
              <w:sdtPr>
                <w:tag w:val="goog_rdk_62"/>
                <w:id w:val="-258756563"/>
                <w:lock w:val="contentLocked"/>
              </w:sdtPr>
              <w:sdtEndPr/>
              <w:sdtContent>
                <w:tc>
                  <w:tcPr>
                    <w:tcW w:w="1260" w:type="dxa"/>
                    <w:tcBorders>
                      <w:top w:val="single" w:sz="6" w:space="0" w:color="000000"/>
                      <w:left w:val="single" w:sz="6" w:space="0" w:color="CCCCCC"/>
                      <w:bottom w:val="single" w:sz="6" w:space="0" w:color="000000"/>
                      <w:right w:val="single" w:sz="6" w:space="0" w:color="284E3F"/>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Conservative</w:t>
                    </w:r>
                  </w:p>
                </w:tc>
              </w:sdtContent>
            </w:sdt>
            <w:sdt>
              <w:sdtPr>
                <w:tag w:val="goog_rdk_63"/>
                <w:id w:val="984962981"/>
                <w:lock w:val="contentLocked"/>
              </w:sdtPr>
              <w:sdtEndPr/>
              <w:sdtContent>
                <w:tc>
                  <w:tcPr>
                    <w:tcW w:w="1100" w:type="dxa"/>
                    <w:tcBorders>
                      <w:top w:val="single" w:sz="6" w:space="0" w:color="000000"/>
                      <w:left w:val="single" w:sz="6" w:space="0" w:color="284E3F"/>
                      <w:bottom w:val="single" w:sz="6" w:space="0" w:color="000000"/>
                      <w:right w:val="single" w:sz="6" w:space="0" w:color="284E3F"/>
                    </w:tcBorders>
                    <w:shd w:val="clear" w:color="auto" w:fill="FFFFFF"/>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ASIA A</w:t>
                    </w:r>
                  </w:p>
                </w:tc>
              </w:sdtContent>
            </w:sdt>
          </w:tr>
          <w:tr w:rsidR="00311397">
            <w:trPr>
              <w:trHeight w:val="780"/>
            </w:trPr>
            <w:sdt>
              <w:sdtPr>
                <w:tag w:val="goog_rdk_64"/>
                <w:id w:val="1978259660"/>
                <w:lock w:val="contentLocked"/>
              </w:sdtPr>
              <w:sdtEndPr/>
              <w:sdtContent>
                <w:tc>
                  <w:tcPr>
                    <w:tcW w:w="320" w:type="dxa"/>
                    <w:tcBorders>
                      <w:top w:val="single" w:sz="6" w:space="0" w:color="000000"/>
                      <w:left w:val="single" w:sz="6" w:space="0" w:color="284E3F"/>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right"/>
                      <w:rPr>
                        <w:rFonts w:ascii="Arial" w:eastAsia="Arial" w:hAnsi="Arial" w:cs="Arial"/>
                        <w:sz w:val="14"/>
                        <w:szCs w:val="14"/>
                      </w:rPr>
                    </w:pPr>
                    <w:r>
                      <w:rPr>
                        <w:rFonts w:ascii="Arial" w:eastAsia="Arial" w:hAnsi="Arial" w:cs="Arial"/>
                        <w:color w:val="434343"/>
                        <w:sz w:val="14"/>
                        <w:szCs w:val="14"/>
                      </w:rPr>
                      <w:t>8</w:t>
                    </w:r>
                  </w:p>
                </w:tc>
              </w:sdtContent>
            </w:sdt>
            <w:sdt>
              <w:sdtPr>
                <w:tag w:val="goog_rdk_65"/>
                <w:id w:val="139439782"/>
                <w:lock w:val="contentLocked"/>
              </w:sdtPr>
              <w:sdtEndPr/>
              <w:sdtContent>
                <w:tc>
                  <w:tcPr>
                    <w:tcW w:w="70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right"/>
                      <w:rPr>
                        <w:rFonts w:ascii="Arial" w:eastAsia="Arial" w:hAnsi="Arial" w:cs="Arial"/>
                        <w:sz w:val="14"/>
                        <w:szCs w:val="14"/>
                      </w:rPr>
                    </w:pPr>
                    <w:r>
                      <w:rPr>
                        <w:rFonts w:ascii="Arial" w:eastAsia="Arial" w:hAnsi="Arial" w:cs="Arial"/>
                        <w:color w:val="434343"/>
                        <w:sz w:val="14"/>
                        <w:szCs w:val="14"/>
                      </w:rPr>
                      <w:t>40</w:t>
                    </w:r>
                  </w:p>
                </w:tc>
              </w:sdtContent>
            </w:sdt>
            <w:sdt>
              <w:sdtPr>
                <w:tag w:val="goog_rdk_66"/>
                <w:id w:val="1333153122"/>
                <w:lock w:val="contentLocked"/>
              </w:sdtPr>
              <w:sdtEndPr/>
              <w:sdtContent>
                <w:tc>
                  <w:tcPr>
                    <w:tcW w:w="138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Standing on the back</w:t>
                    </w:r>
                  </w:p>
                </w:tc>
              </w:sdtContent>
            </w:sdt>
            <w:sdt>
              <w:sdtPr>
                <w:tag w:val="goog_rdk_67"/>
                <w:id w:val="1573398385"/>
                <w:lock w:val="contentLocked"/>
              </w:sdtPr>
              <w:sdtEndPr/>
              <w:sdtContent>
                <w:tc>
                  <w:tcPr>
                    <w:tcW w:w="130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Nil</w:t>
                    </w:r>
                  </w:p>
                </w:tc>
              </w:sdtContent>
            </w:sdt>
            <w:sdt>
              <w:sdtPr>
                <w:tag w:val="goog_rdk_68"/>
                <w:id w:val="510616142"/>
                <w:lock w:val="contentLocked"/>
              </w:sdtPr>
              <w:sdtEndPr/>
              <w:sdtContent>
                <w:tc>
                  <w:tcPr>
                    <w:tcW w:w="122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Thoracic chance fracture</w:t>
                    </w:r>
                  </w:p>
                </w:tc>
              </w:sdtContent>
            </w:sdt>
            <w:sdt>
              <w:sdtPr>
                <w:tag w:val="goog_rdk_69"/>
                <w:id w:val="-724180305"/>
                <w:lock w:val="contentLocked"/>
              </w:sdtPr>
              <w:sdtEndPr/>
              <w:sdtContent>
                <w:tc>
                  <w:tcPr>
                    <w:tcW w:w="104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A</w:t>
                    </w:r>
                  </w:p>
                </w:tc>
              </w:sdtContent>
            </w:sdt>
            <w:sdt>
              <w:sdtPr>
                <w:tag w:val="goog_rdk_70"/>
                <w:id w:val="-275081750"/>
                <w:lock w:val="contentLocked"/>
              </w:sdtPr>
              <w:sdtEndPr/>
              <w:sdtContent>
                <w:tc>
                  <w:tcPr>
                    <w:tcW w:w="1260" w:type="dxa"/>
                    <w:tcBorders>
                      <w:top w:val="single" w:sz="6" w:space="0" w:color="000000"/>
                      <w:left w:val="single" w:sz="6" w:space="0" w:color="CCCCCC"/>
                      <w:bottom w:val="single" w:sz="6" w:space="0" w:color="000000"/>
                      <w:right w:val="single" w:sz="6" w:space="0" w:color="284E3F"/>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Posterior Instrumentation and fusion with decompression</w:t>
                    </w:r>
                  </w:p>
                </w:tc>
              </w:sdtContent>
            </w:sdt>
            <w:sdt>
              <w:sdtPr>
                <w:tag w:val="goog_rdk_71"/>
                <w:id w:val="1500024174"/>
                <w:lock w:val="contentLocked"/>
              </w:sdtPr>
              <w:sdtEndPr/>
              <w:sdtContent>
                <w:tc>
                  <w:tcPr>
                    <w:tcW w:w="1100" w:type="dxa"/>
                    <w:tcBorders>
                      <w:top w:val="single" w:sz="6" w:space="0" w:color="000000"/>
                      <w:left w:val="single" w:sz="6" w:space="0" w:color="284E3F"/>
                      <w:bottom w:val="single" w:sz="6" w:space="0" w:color="000000"/>
                      <w:right w:val="single" w:sz="6" w:space="0" w:color="284E3F"/>
                    </w:tcBorders>
                    <w:shd w:val="clear" w:color="auto" w:fill="F6F8F9"/>
                    <w:tcMar>
                      <w:top w:w="40" w:type="dxa"/>
                      <w:left w:w="120" w:type="dxa"/>
                      <w:bottom w:w="40" w:type="dxa"/>
                      <w:right w:w="120" w:type="dxa"/>
                    </w:tcMar>
                    <w:vAlign w:val="center"/>
                  </w:tcPr>
                  <w:p w:rsidR="00311397" w:rsidRDefault="000E2E76">
                    <w:pPr>
                      <w:widowControl w:val="0"/>
                      <w:spacing w:line="276" w:lineRule="auto"/>
                      <w:jc w:val="center"/>
                      <w:rPr>
                        <w:rFonts w:ascii="Arial" w:eastAsia="Arial" w:hAnsi="Arial" w:cs="Arial"/>
                        <w:sz w:val="14"/>
                        <w:szCs w:val="14"/>
                      </w:rPr>
                    </w:pPr>
                    <w:r>
                      <w:rPr>
                        <w:rFonts w:ascii="Arial" w:eastAsia="Arial" w:hAnsi="Arial" w:cs="Arial"/>
                        <w:color w:val="434343"/>
                        <w:sz w:val="14"/>
                        <w:szCs w:val="14"/>
                      </w:rPr>
                      <w:t>ASIA A</w:t>
                    </w:r>
                  </w:p>
                </w:tc>
              </w:sdtContent>
            </w:sdt>
          </w:tr>
        </w:tbl>
      </w:sdtContent>
    </w:sdt>
    <w:p w:rsidR="00311397" w:rsidRDefault="000E2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3733800" cy="2724150"/>
            <wp:effectExtent l="0" t="0" r="0" b="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3733800" cy="2724150"/>
                    </a:xfrm>
                    <a:prstGeom prst="rect">
                      <a:avLst/>
                    </a:prstGeom>
                    <a:ln/>
                  </pic:spPr>
                </pic:pic>
              </a:graphicData>
            </a:graphic>
          </wp:inline>
        </w:drawing>
      </w:r>
    </w:p>
    <w:p w:rsidR="00311397" w:rsidRDefault="000E2E76">
      <w:pPr>
        <w:jc w:val="both"/>
        <w:rPr>
          <w:rFonts w:ascii="Arial" w:eastAsia="Arial" w:hAnsi="Arial" w:cs="Arial"/>
          <w:b/>
          <w:bCs/>
        </w:rPr>
      </w:pPr>
      <w:r>
        <w:rPr>
          <w:rFonts w:ascii="Arial" w:eastAsia="Arial" w:hAnsi="Arial" w:cs="Arial"/>
          <w:b/>
          <w:bCs/>
        </w:rPr>
        <w:t xml:space="preserve">Fig. 1. Demonstrate traumatic cervical prolapsed intervertebral disc as a result of neck manipulation. </w:t>
      </w:r>
    </w:p>
    <w:p w:rsidR="00311397" w:rsidRDefault="00311397">
      <w:pPr>
        <w:spacing w:line="276" w:lineRule="auto"/>
        <w:rPr>
          <w:rFonts w:ascii="Times New Roman" w:eastAsia="Times New Roman" w:hAnsi="Times New Roman" w:cs="Times New Roman"/>
          <w:sz w:val="24"/>
          <w:szCs w:val="24"/>
        </w:rPr>
      </w:pPr>
    </w:p>
    <w:p w:rsidR="00311397" w:rsidRDefault="000E2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829050" cy="2552700"/>
            <wp:effectExtent l="0" t="0" r="0" b="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3829050" cy="2552700"/>
                    </a:xfrm>
                    <a:prstGeom prst="rect">
                      <a:avLst/>
                    </a:prstGeom>
                    <a:ln/>
                  </pic:spPr>
                </pic:pic>
              </a:graphicData>
            </a:graphic>
          </wp:inline>
        </w:drawing>
      </w:r>
    </w:p>
    <w:p w:rsidR="00311397" w:rsidRDefault="000E2E76">
      <w:pPr>
        <w:jc w:val="both"/>
        <w:rPr>
          <w:rFonts w:ascii="Arial" w:eastAsia="Arial" w:hAnsi="Arial" w:cs="Arial"/>
          <w:b/>
          <w:bCs/>
        </w:rPr>
      </w:pPr>
      <w:r>
        <w:rPr>
          <w:rFonts w:ascii="Arial" w:eastAsia="Arial" w:hAnsi="Arial" w:cs="Arial"/>
          <w:b/>
          <w:bCs/>
        </w:rPr>
        <w:t xml:space="preserve">Fig. 2. Postoperative radiograph after anterior cervical discectomy and fusion. This patient had a </w:t>
      </w:r>
      <w:proofErr w:type="spellStart"/>
      <w:r>
        <w:rPr>
          <w:rFonts w:ascii="Arial" w:eastAsia="Arial" w:hAnsi="Arial" w:cs="Arial"/>
          <w:b/>
          <w:bCs/>
        </w:rPr>
        <w:t>favourable</w:t>
      </w:r>
      <w:proofErr w:type="spellEnd"/>
      <w:r>
        <w:rPr>
          <w:rFonts w:ascii="Arial" w:eastAsia="Arial" w:hAnsi="Arial" w:cs="Arial"/>
          <w:b/>
          <w:bCs/>
        </w:rPr>
        <w:t xml:space="preserve"> outcome.</w:t>
      </w:r>
    </w:p>
    <w:p w:rsidR="00311397" w:rsidRDefault="00311397">
      <w:pPr>
        <w:spacing w:line="276" w:lineRule="auto"/>
        <w:rPr>
          <w:rFonts w:ascii="Times New Roman" w:eastAsia="Times New Roman" w:hAnsi="Times New Roman" w:cs="Times New Roman"/>
          <w:sz w:val="24"/>
          <w:szCs w:val="24"/>
        </w:rPr>
      </w:pPr>
    </w:p>
    <w:p w:rsidR="00311397" w:rsidRDefault="000E2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212080" cy="5003800"/>
            <wp:effectExtent l="0" t="0" r="0" b="0"/>
            <wp:docPr id="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212080" cy="5003800"/>
                    </a:xfrm>
                    <a:prstGeom prst="rect">
                      <a:avLst/>
                    </a:prstGeom>
                    <a:ln/>
                  </pic:spPr>
                </pic:pic>
              </a:graphicData>
            </a:graphic>
          </wp:inline>
        </w:drawing>
      </w:r>
    </w:p>
    <w:p w:rsidR="00311397" w:rsidRDefault="000E2E76">
      <w:pPr>
        <w:jc w:val="both"/>
        <w:rPr>
          <w:rFonts w:ascii="Arial" w:eastAsia="Arial" w:hAnsi="Arial" w:cs="Arial"/>
          <w:b/>
          <w:bCs/>
        </w:rPr>
      </w:pPr>
      <w:r>
        <w:rPr>
          <w:rFonts w:ascii="Arial" w:eastAsia="Arial" w:hAnsi="Arial" w:cs="Arial"/>
          <w:b/>
          <w:bCs/>
        </w:rPr>
        <w:t>Fig. 3. Intervertebral disc material evacuated during operation.</w:t>
      </w:r>
    </w:p>
    <w:p w:rsidR="00311397" w:rsidRDefault="00311397">
      <w:pPr>
        <w:pBdr>
          <w:top w:val="nil"/>
          <w:left w:val="nil"/>
          <w:bottom w:val="nil"/>
          <w:right w:val="nil"/>
          <w:between w:val="nil"/>
        </w:pBdr>
        <w:jc w:val="both"/>
        <w:rPr>
          <w:rFonts w:ascii="Arial" w:eastAsia="Arial" w:hAnsi="Arial" w:cs="Arial"/>
        </w:rPr>
      </w:pPr>
    </w:p>
    <w:p w:rsidR="00311397" w:rsidRDefault="000E2E76">
      <w:pPr>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 xml:space="preserve">3.1 </w:t>
      </w:r>
      <w:r>
        <w:rPr>
          <w:rFonts w:ascii="Arial" w:eastAsia="Arial" w:hAnsi="Arial" w:cs="Arial"/>
          <w:b/>
          <w:bCs/>
          <w:sz w:val="22"/>
          <w:szCs w:val="22"/>
        </w:rPr>
        <w:t>Discussion</w:t>
      </w:r>
    </w:p>
    <w:p w:rsidR="00311397" w:rsidRDefault="00311397">
      <w:pPr>
        <w:pBdr>
          <w:top w:val="nil"/>
          <w:left w:val="nil"/>
          <w:bottom w:val="nil"/>
          <w:right w:val="nil"/>
          <w:between w:val="nil"/>
        </w:pBdr>
        <w:jc w:val="both"/>
        <w:rPr>
          <w:rFonts w:ascii="Arial" w:eastAsia="Arial" w:hAnsi="Arial" w:cs="Arial"/>
          <w:color w:val="000000"/>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 xml:space="preserve">Spinal manipulative therapy involves </w:t>
      </w:r>
      <w:r w:rsidR="00763C03">
        <w:rPr>
          <w:rFonts w:ascii="Arial" w:eastAsia="Arial" w:hAnsi="Arial" w:cs="Arial"/>
        </w:rPr>
        <w:t xml:space="preserve">a </w:t>
      </w:r>
      <w:r>
        <w:rPr>
          <w:rFonts w:ascii="Arial" w:eastAsia="Arial" w:hAnsi="Arial" w:cs="Arial"/>
        </w:rPr>
        <w:t>high-</w:t>
      </w:r>
      <w:proofErr w:type="gramStart"/>
      <w:r>
        <w:rPr>
          <w:rFonts w:ascii="Arial" w:eastAsia="Arial" w:hAnsi="Arial" w:cs="Arial"/>
        </w:rPr>
        <w:t>velocity,  low</w:t>
      </w:r>
      <w:proofErr w:type="gramEnd"/>
      <w:r>
        <w:rPr>
          <w:rFonts w:ascii="Arial" w:eastAsia="Arial" w:hAnsi="Arial" w:cs="Arial"/>
        </w:rPr>
        <w:t>-amplitude thrust technique applied to the spine to achieve pain relief and is one of physiotherapeutic approaches to conservative treatment of cervical spondylosis, lumbar spondylosis and chronic pain syndromes</w:t>
      </w:r>
      <w:r>
        <w:rPr>
          <w:rFonts w:ascii="Arial" w:eastAsia="Arial" w:hAnsi="Arial" w:cs="Arial"/>
          <w:vertAlign w:val="superscript"/>
        </w:rPr>
        <w:t>7,8</w:t>
      </w:r>
      <w:r>
        <w:rPr>
          <w:rFonts w:ascii="Arial" w:eastAsia="Arial" w:hAnsi="Arial" w:cs="Arial"/>
        </w:rPr>
        <w:t>. Pain relief is achieved via forceful stretching</w:t>
      </w:r>
      <w:r w:rsidR="00763C03">
        <w:rPr>
          <w:rFonts w:ascii="Arial" w:eastAsia="Arial" w:hAnsi="Arial" w:cs="Arial"/>
        </w:rPr>
        <w:t>,</w:t>
      </w:r>
      <w:r>
        <w:rPr>
          <w:rFonts w:ascii="Arial" w:eastAsia="Arial" w:hAnsi="Arial" w:cs="Arial"/>
        </w:rPr>
        <w:t xml:space="preserve"> which is postulated to induce relaxation mechanisms and disrupting pain-spasm-pain cycle independent from spinal lesion</w:t>
      </w:r>
      <w:r>
        <w:rPr>
          <w:rFonts w:ascii="Arial" w:eastAsia="Arial" w:hAnsi="Arial" w:cs="Arial"/>
          <w:vertAlign w:val="superscript"/>
        </w:rPr>
        <w:t>9</w:t>
      </w:r>
      <w:r>
        <w:rPr>
          <w:rFonts w:ascii="Arial" w:eastAsia="Arial" w:hAnsi="Arial" w:cs="Arial"/>
        </w:rPr>
        <w:t>. Persistent effect may result from neural plastic changes and alteration in motor neuron excitability with associated increase in cortical drive</w:t>
      </w:r>
      <w:r>
        <w:rPr>
          <w:rFonts w:ascii="Arial" w:eastAsia="Arial" w:hAnsi="Arial" w:cs="Arial"/>
          <w:vertAlign w:val="superscript"/>
        </w:rPr>
        <w:t>10</w:t>
      </w:r>
      <w:r>
        <w:rPr>
          <w:rFonts w:ascii="Arial" w:eastAsia="Arial" w:hAnsi="Arial" w:cs="Arial"/>
        </w:rPr>
        <w:t>.</w:t>
      </w:r>
    </w:p>
    <w:p w:rsidR="00311397" w:rsidRDefault="00311397">
      <w:pPr>
        <w:pBdr>
          <w:top w:val="nil"/>
          <w:left w:val="nil"/>
          <w:bottom w:val="nil"/>
          <w:right w:val="nil"/>
          <w:between w:val="nil"/>
        </w:pBdr>
        <w:jc w:val="both"/>
        <w:rPr>
          <w:rFonts w:ascii="Arial" w:eastAsia="Arial" w:hAnsi="Arial" w:cs="Arial"/>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In our case series, the application of manipulation ranges from massaging and standing on the thoracic spine. Clearly, forces applied were beyond what was safe for the spine</w:t>
      </w:r>
      <w:r w:rsidR="00763C03">
        <w:rPr>
          <w:rFonts w:ascii="Arial" w:eastAsia="Arial" w:hAnsi="Arial" w:cs="Arial"/>
        </w:rPr>
        <w:t>,</w:t>
      </w:r>
      <w:r>
        <w:rPr>
          <w:rFonts w:ascii="Arial" w:eastAsia="Arial" w:hAnsi="Arial" w:cs="Arial"/>
        </w:rPr>
        <w:t xml:space="preserve"> resulting in varying degrees of neurologic injury. Pre-existing condition</w:t>
      </w:r>
      <w:r w:rsidR="00763C03">
        <w:rPr>
          <w:rFonts w:ascii="Arial" w:eastAsia="Arial" w:hAnsi="Arial" w:cs="Arial"/>
        </w:rPr>
        <w:t>s</w:t>
      </w:r>
      <w:r>
        <w:rPr>
          <w:rFonts w:ascii="Arial" w:eastAsia="Arial" w:hAnsi="Arial" w:cs="Arial"/>
        </w:rPr>
        <w:t xml:space="preserve"> also alter the biomechanics of the spine predisposing to injury. </w:t>
      </w:r>
    </w:p>
    <w:p w:rsidR="00311397" w:rsidRDefault="00311397">
      <w:pPr>
        <w:pBdr>
          <w:top w:val="nil"/>
          <w:left w:val="nil"/>
          <w:bottom w:val="nil"/>
          <w:right w:val="nil"/>
          <w:between w:val="nil"/>
        </w:pBdr>
        <w:jc w:val="both"/>
        <w:rPr>
          <w:rFonts w:ascii="Arial" w:eastAsia="Arial" w:hAnsi="Arial" w:cs="Arial"/>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 xml:space="preserve">Common side effects reported in the literature are temporary and mild, </w:t>
      </w:r>
      <w:r w:rsidR="00763C03">
        <w:rPr>
          <w:rFonts w:ascii="Arial" w:eastAsia="Arial" w:hAnsi="Arial" w:cs="Arial"/>
        </w:rPr>
        <w:t xml:space="preserve">such as </w:t>
      </w:r>
      <w:r>
        <w:rPr>
          <w:rFonts w:ascii="Arial" w:eastAsia="Arial" w:hAnsi="Arial" w:cs="Arial"/>
        </w:rPr>
        <w:t>soreness, fatigue and headache</w:t>
      </w:r>
      <w:r>
        <w:rPr>
          <w:rFonts w:ascii="Arial" w:eastAsia="Arial" w:hAnsi="Arial" w:cs="Arial"/>
          <w:vertAlign w:val="superscript"/>
        </w:rPr>
        <w:t>11</w:t>
      </w:r>
      <w:r>
        <w:rPr>
          <w:rFonts w:ascii="Arial" w:eastAsia="Arial" w:hAnsi="Arial" w:cs="Arial"/>
        </w:rPr>
        <w:t xml:space="preserve">. Ernst reported in a 2007 review of 32 case reports, 200 serious </w:t>
      </w:r>
      <w:r>
        <w:rPr>
          <w:rFonts w:ascii="Arial" w:eastAsia="Arial" w:hAnsi="Arial" w:cs="Arial"/>
        </w:rPr>
        <w:lastRenderedPageBreak/>
        <w:t>adverse events were reported with 30-61% mild events, while serious side effects were vertebral artery dissection and stroke</w:t>
      </w:r>
      <w:r>
        <w:rPr>
          <w:rFonts w:ascii="Arial" w:eastAsia="Arial" w:hAnsi="Arial" w:cs="Arial"/>
          <w:vertAlign w:val="superscript"/>
        </w:rPr>
        <w:t>12</w:t>
      </w:r>
      <w:r>
        <w:rPr>
          <w:rFonts w:ascii="Arial" w:eastAsia="Arial" w:hAnsi="Arial" w:cs="Arial"/>
        </w:rPr>
        <w:t xml:space="preserve">. Spinal manipulation can be applied for chronic low back pain, neck pain, headache, </w:t>
      </w:r>
      <w:r w:rsidR="00763C03">
        <w:rPr>
          <w:rFonts w:ascii="Arial" w:eastAsia="Arial" w:hAnsi="Arial" w:cs="Arial"/>
        </w:rPr>
        <w:t xml:space="preserve">and </w:t>
      </w:r>
      <w:r>
        <w:rPr>
          <w:rFonts w:ascii="Arial" w:eastAsia="Arial" w:hAnsi="Arial" w:cs="Arial"/>
        </w:rPr>
        <w:t>hypomobility of spinal joint</w:t>
      </w:r>
      <w:r>
        <w:rPr>
          <w:rFonts w:ascii="Arial" w:eastAsia="Arial" w:hAnsi="Arial" w:cs="Arial"/>
          <w:vertAlign w:val="superscript"/>
        </w:rPr>
        <w:t>13</w:t>
      </w:r>
      <w:r>
        <w:rPr>
          <w:rFonts w:ascii="Arial" w:eastAsia="Arial" w:hAnsi="Arial" w:cs="Arial"/>
        </w:rPr>
        <w:t>.</w:t>
      </w:r>
    </w:p>
    <w:p w:rsidR="00311397" w:rsidRDefault="00311397">
      <w:pPr>
        <w:pBdr>
          <w:top w:val="nil"/>
          <w:left w:val="nil"/>
          <w:bottom w:val="nil"/>
          <w:right w:val="nil"/>
          <w:between w:val="nil"/>
        </w:pBdr>
        <w:jc w:val="both"/>
        <w:rPr>
          <w:rFonts w:ascii="Arial" w:eastAsia="Arial" w:hAnsi="Arial" w:cs="Arial"/>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 xml:space="preserve">While the underlying basic science of spinal manipulation has its basis in the literature, bonesetters and laymen in the community have no training in safe application of the maneuvers. Severe osteoporosis, nerve or spinal cord compression, bleeding or vascular conditions, acute herniated nucleus pulposus, hypermobility disorder, pregnancy and </w:t>
      </w:r>
      <w:proofErr w:type="spellStart"/>
      <w:r>
        <w:rPr>
          <w:rFonts w:ascii="Arial" w:eastAsia="Arial" w:hAnsi="Arial" w:cs="Arial"/>
        </w:rPr>
        <w:t>paediatric</w:t>
      </w:r>
      <w:proofErr w:type="spellEnd"/>
      <w:r>
        <w:rPr>
          <w:rFonts w:ascii="Arial" w:eastAsia="Arial" w:hAnsi="Arial" w:cs="Arial"/>
        </w:rPr>
        <w:t xml:space="preserve"> population are contraindicated</w:t>
      </w:r>
      <w:r w:rsidR="00763C03">
        <w:rPr>
          <w:rFonts w:ascii="Arial" w:eastAsia="Arial" w:hAnsi="Arial" w:cs="Arial"/>
        </w:rPr>
        <w:t>;</w:t>
      </w:r>
      <w:r>
        <w:rPr>
          <w:rFonts w:ascii="Arial" w:eastAsia="Arial" w:hAnsi="Arial" w:cs="Arial"/>
        </w:rPr>
        <w:t xml:space="preserve"> these populations might predispose themselves to danger when the spine is being thrusted by untrained personnel. In our case series, pre-existing conditions range from degenerative stenotic disorder, upper cervical congenital instability, spinal metastasis and ankylosing spine. </w:t>
      </w:r>
    </w:p>
    <w:p w:rsidR="00311397" w:rsidRDefault="00311397">
      <w:pPr>
        <w:pBdr>
          <w:top w:val="nil"/>
          <w:left w:val="nil"/>
          <w:bottom w:val="nil"/>
          <w:right w:val="nil"/>
          <w:between w:val="nil"/>
        </w:pBdr>
        <w:jc w:val="both"/>
        <w:rPr>
          <w:rFonts w:ascii="Arial" w:eastAsia="Arial" w:hAnsi="Arial" w:cs="Arial"/>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 xml:space="preserve">Mechanism of injury ranges from low energy mechanism by massaging of the neck to standing on the thoracic spine. In our patients, direct massage of the neck resulted in spinal cord injury. We also recorded </w:t>
      </w:r>
      <w:r w:rsidR="00763C03">
        <w:rPr>
          <w:rFonts w:ascii="Arial" w:eastAsia="Arial" w:hAnsi="Arial" w:cs="Arial"/>
        </w:rPr>
        <w:t xml:space="preserve">a </w:t>
      </w:r>
      <w:r>
        <w:rPr>
          <w:rFonts w:ascii="Arial" w:eastAsia="Arial" w:hAnsi="Arial" w:cs="Arial"/>
        </w:rPr>
        <w:t>thoracic injury due to standing on the spine</w:t>
      </w:r>
      <w:r w:rsidR="00763C03">
        <w:rPr>
          <w:rFonts w:ascii="Arial" w:eastAsia="Arial" w:hAnsi="Arial" w:cs="Arial"/>
        </w:rPr>
        <w:t>,</w:t>
      </w:r>
      <w:r>
        <w:rPr>
          <w:rFonts w:ascii="Arial" w:eastAsia="Arial" w:hAnsi="Arial" w:cs="Arial"/>
        </w:rPr>
        <w:t xml:space="preserve"> which reflects injudicious use of force on the weakened spine. Due to these mechanisms employed by bonesetters, the safety of these maneuvers </w:t>
      </w:r>
      <w:proofErr w:type="gramStart"/>
      <w:r>
        <w:rPr>
          <w:rFonts w:ascii="Arial" w:eastAsia="Arial" w:hAnsi="Arial" w:cs="Arial"/>
        </w:rPr>
        <w:t>are</w:t>
      </w:r>
      <w:proofErr w:type="gramEnd"/>
      <w:r>
        <w:rPr>
          <w:rFonts w:ascii="Arial" w:eastAsia="Arial" w:hAnsi="Arial" w:cs="Arial"/>
        </w:rPr>
        <w:t xml:space="preserve"> not known. </w:t>
      </w:r>
    </w:p>
    <w:p w:rsidR="00311397" w:rsidRDefault="00311397">
      <w:pPr>
        <w:pBdr>
          <w:top w:val="nil"/>
          <w:left w:val="nil"/>
          <w:bottom w:val="nil"/>
          <w:right w:val="nil"/>
          <w:between w:val="nil"/>
        </w:pBdr>
        <w:jc w:val="both"/>
        <w:rPr>
          <w:rFonts w:ascii="Arial" w:eastAsia="Arial" w:hAnsi="Arial" w:cs="Arial"/>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A case report by Chung in 2002, a case of acute tetraplegia which was confirmed by MRI cord edema, resolved with conservative treatment and methylprednisolone after 6 months</w:t>
      </w:r>
      <w:r>
        <w:rPr>
          <w:rFonts w:ascii="Arial" w:eastAsia="Arial" w:hAnsi="Arial" w:cs="Arial"/>
          <w:vertAlign w:val="superscript"/>
        </w:rPr>
        <w:t>14</w:t>
      </w:r>
      <w:sdt>
        <w:sdtPr>
          <w:tag w:val="goog_rdk_73"/>
          <w:id w:val="-2040027882"/>
        </w:sdtPr>
        <w:sdtEndPr/>
        <w:sdtContent>
          <w:r>
            <w:rPr>
              <w:rFonts w:ascii="Arial Unicode MS" w:eastAsia="Arial Unicode MS" w:hAnsi="Arial Unicode MS" w:cs="Arial Unicode MS"/>
            </w:rPr>
            <w:t xml:space="preserve">. Chu et al studied </w:t>
          </w:r>
          <w:r w:rsidR="00763C03">
            <w:rPr>
              <w:rFonts w:ascii="Arial Unicode MS" w:eastAsia="Arial Unicode MS" w:hAnsi="Arial Unicode MS" w:cs="Arial Unicode MS"/>
            </w:rPr>
            <w:t xml:space="preserve">the </w:t>
          </w:r>
          <w:r>
            <w:rPr>
              <w:rFonts w:ascii="Arial Unicode MS" w:eastAsia="Arial Unicode MS" w:hAnsi="Arial Unicode MS" w:cs="Arial Unicode MS"/>
            </w:rPr>
            <w:t>incidence and severity of adverse events across 30 chiropractic clinics in Hong Kong from 2017 to 2022. They graded into 5 grades of severity and reported 0.21 per 100,000 SMT sessions of grade ≥ 3 injuries</w:t>
          </w:r>
          <w:r w:rsidR="00763C03">
            <w:rPr>
              <w:rFonts w:ascii="Arial Unicode MS" w:eastAsia="Arial Unicode MS" w:hAnsi="Arial Unicode MS" w:cs="Arial Unicode MS"/>
            </w:rPr>
            <w:t>,</w:t>
          </w:r>
          <w:r>
            <w:rPr>
              <w:rFonts w:ascii="Arial Unicode MS" w:eastAsia="Arial Unicode MS" w:hAnsi="Arial Unicode MS" w:cs="Arial Unicode MS"/>
            </w:rPr>
            <w:t xml:space="preserve"> severe, life</w:t>
          </w:r>
          <w:r w:rsidR="00763C03">
            <w:rPr>
              <w:rFonts w:ascii="Arial Unicode MS" w:eastAsia="Arial Unicode MS" w:hAnsi="Arial Unicode MS" w:cs="Arial Unicode MS"/>
            </w:rPr>
            <w:t>-</w:t>
          </w:r>
          <w:r>
            <w:rPr>
              <w:rFonts w:ascii="Arial Unicode MS" w:eastAsia="Arial Unicode MS" w:hAnsi="Arial Unicode MS" w:cs="Arial Unicode MS"/>
            </w:rPr>
            <w:t>threatening or death. In their report, no grade 4 or grade 5 cases were reported</w:t>
          </w:r>
        </w:sdtContent>
      </w:sdt>
      <w:r>
        <w:rPr>
          <w:rFonts w:ascii="Arial" w:eastAsia="Arial" w:hAnsi="Arial" w:cs="Arial"/>
          <w:vertAlign w:val="superscript"/>
        </w:rPr>
        <w:t>15</w:t>
      </w:r>
      <w:r>
        <w:rPr>
          <w:rFonts w:ascii="Arial" w:eastAsia="Arial" w:hAnsi="Arial" w:cs="Arial"/>
        </w:rPr>
        <w:t>.</w:t>
      </w:r>
    </w:p>
    <w:p w:rsidR="00311397" w:rsidRDefault="00311397">
      <w:pPr>
        <w:pBdr>
          <w:top w:val="nil"/>
          <w:left w:val="nil"/>
          <w:bottom w:val="nil"/>
          <w:right w:val="nil"/>
          <w:between w:val="nil"/>
        </w:pBdr>
        <w:jc w:val="both"/>
        <w:rPr>
          <w:rFonts w:ascii="Arial" w:eastAsia="Arial" w:hAnsi="Arial" w:cs="Arial"/>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 xml:space="preserve">In our series of patients, operative treatment yielded </w:t>
      </w:r>
      <w:proofErr w:type="spellStart"/>
      <w:r>
        <w:rPr>
          <w:rFonts w:ascii="Arial" w:eastAsia="Arial" w:hAnsi="Arial" w:cs="Arial"/>
        </w:rPr>
        <w:t>favourable</w:t>
      </w:r>
      <w:proofErr w:type="spellEnd"/>
      <w:r>
        <w:rPr>
          <w:rFonts w:ascii="Arial" w:eastAsia="Arial" w:hAnsi="Arial" w:cs="Arial"/>
        </w:rPr>
        <w:t xml:space="preserve"> neurologic outcomes. These are mainly in patients with cervical region injury with incomplete spinal cord injury. 6 patients suffered injury in the cervical region while 2 in the thoracic region. This could be due to mobility of the cervical spine compared to other regions of the spine</w:t>
      </w:r>
      <w:r>
        <w:rPr>
          <w:rFonts w:ascii="Arial" w:eastAsia="Arial" w:hAnsi="Arial" w:cs="Arial"/>
          <w:vertAlign w:val="superscript"/>
        </w:rPr>
        <w:t>16</w:t>
      </w:r>
      <w:r>
        <w:rPr>
          <w:rFonts w:ascii="Arial" w:eastAsia="Arial" w:hAnsi="Arial" w:cs="Arial"/>
        </w:rPr>
        <w:t>.</w:t>
      </w:r>
    </w:p>
    <w:p w:rsidR="00311397" w:rsidRDefault="00311397">
      <w:pPr>
        <w:pBdr>
          <w:top w:val="nil"/>
          <w:left w:val="nil"/>
          <w:bottom w:val="nil"/>
          <w:right w:val="nil"/>
          <w:between w:val="nil"/>
        </w:pBdr>
        <w:jc w:val="both"/>
        <w:rPr>
          <w:rFonts w:ascii="Arial" w:eastAsia="Arial" w:hAnsi="Arial" w:cs="Arial"/>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 xml:space="preserve">Preexisting conditions can predispose the spinal cord to injury as a result of displacement of the spinal motion segment due to manipulation. </w:t>
      </w:r>
      <w:proofErr w:type="spellStart"/>
      <w:r>
        <w:rPr>
          <w:rFonts w:ascii="Arial" w:eastAsia="Arial" w:hAnsi="Arial" w:cs="Arial"/>
        </w:rPr>
        <w:t>Kirnaz</w:t>
      </w:r>
      <w:proofErr w:type="spellEnd"/>
      <w:r>
        <w:rPr>
          <w:rFonts w:ascii="Arial" w:eastAsia="Arial" w:hAnsi="Arial" w:cs="Arial"/>
        </w:rPr>
        <w:t xml:space="preserve"> et al showed in a review a decrease in normal compressive modulus of the disc from 20 to 5 MPa and 700 to 1800 </w:t>
      </w:r>
      <w:proofErr w:type="spellStart"/>
      <w:r>
        <w:rPr>
          <w:rFonts w:ascii="Arial" w:eastAsia="Arial" w:hAnsi="Arial" w:cs="Arial"/>
        </w:rPr>
        <w:t>Nmm</w:t>
      </w:r>
      <w:proofErr w:type="spellEnd"/>
      <w:r>
        <w:rPr>
          <w:rFonts w:ascii="Arial" w:eastAsia="Arial" w:hAnsi="Arial" w:cs="Arial"/>
        </w:rPr>
        <w:t>/</w:t>
      </w:r>
      <w:proofErr w:type="gramStart"/>
      <w:r>
        <w:rPr>
          <w:rFonts w:ascii="Arial" w:eastAsia="Arial" w:hAnsi="Arial" w:cs="Arial"/>
        </w:rPr>
        <w:t>8  as</w:t>
      </w:r>
      <w:proofErr w:type="gramEnd"/>
      <w:r>
        <w:rPr>
          <w:rFonts w:ascii="Arial" w:eastAsia="Arial" w:hAnsi="Arial" w:cs="Arial"/>
        </w:rPr>
        <w:t xml:space="preserve"> a result of degenerative process</w:t>
      </w:r>
      <w:r>
        <w:rPr>
          <w:rFonts w:ascii="Arial" w:eastAsia="Arial" w:hAnsi="Arial" w:cs="Arial"/>
          <w:vertAlign w:val="superscript"/>
        </w:rPr>
        <w:t>17</w:t>
      </w:r>
      <w:r>
        <w:rPr>
          <w:rFonts w:ascii="Arial" w:eastAsia="Arial" w:hAnsi="Arial" w:cs="Arial"/>
        </w:rPr>
        <w:t>. Alteration in spine stiffness and viscoelasticity coupled with resultant stenosis may lead to widening of elastic or narrowing of neutral zone kinematics</w:t>
      </w:r>
      <w:r w:rsidR="00763C03">
        <w:rPr>
          <w:rFonts w:ascii="Arial" w:eastAsia="Arial" w:hAnsi="Arial" w:cs="Arial"/>
        </w:rPr>
        <w:t>,</w:t>
      </w:r>
      <w:r>
        <w:rPr>
          <w:rFonts w:ascii="Arial" w:eastAsia="Arial" w:hAnsi="Arial" w:cs="Arial"/>
        </w:rPr>
        <w:t xml:space="preserve"> predisposing the neural elements to injury from manipulation</w:t>
      </w:r>
      <w:r>
        <w:rPr>
          <w:rFonts w:ascii="Arial" w:eastAsia="Arial" w:hAnsi="Arial" w:cs="Arial"/>
          <w:vertAlign w:val="superscript"/>
        </w:rPr>
        <w:t>18</w:t>
      </w:r>
      <w:r>
        <w:rPr>
          <w:rFonts w:ascii="Arial" w:eastAsia="Arial" w:hAnsi="Arial" w:cs="Arial"/>
        </w:rPr>
        <w:t xml:space="preserve">. Destructive disease processes like tumors may also destroy the </w:t>
      </w:r>
      <w:proofErr w:type="spellStart"/>
      <w:r>
        <w:rPr>
          <w:rFonts w:ascii="Arial" w:eastAsia="Arial" w:hAnsi="Arial" w:cs="Arial"/>
        </w:rPr>
        <w:t>polyaxial</w:t>
      </w:r>
      <w:proofErr w:type="spellEnd"/>
      <w:r>
        <w:rPr>
          <w:rFonts w:ascii="Arial" w:eastAsia="Arial" w:hAnsi="Arial" w:cs="Arial"/>
        </w:rPr>
        <w:t xml:space="preserve"> columnar stability of the spine</w:t>
      </w:r>
      <w:r>
        <w:rPr>
          <w:rFonts w:ascii="Arial" w:eastAsia="Arial" w:hAnsi="Arial" w:cs="Arial"/>
          <w:vertAlign w:val="superscript"/>
        </w:rPr>
        <w:t>19</w:t>
      </w:r>
      <w:r>
        <w:rPr>
          <w:rFonts w:ascii="Arial" w:eastAsia="Arial" w:hAnsi="Arial" w:cs="Arial"/>
        </w:rPr>
        <w:t xml:space="preserve">. The mechanisms involved in these patients are low energy. One patient with spinal metastasis and another with thoracic fracture with complete cord injury died during the subacute period of the injury. </w:t>
      </w:r>
    </w:p>
    <w:p w:rsidR="009A6F3E" w:rsidRDefault="009A6F3E">
      <w:pPr>
        <w:pBdr>
          <w:top w:val="nil"/>
          <w:left w:val="nil"/>
          <w:bottom w:val="nil"/>
          <w:right w:val="nil"/>
          <w:between w:val="nil"/>
        </w:pBdr>
        <w:jc w:val="both"/>
        <w:rPr>
          <w:rFonts w:ascii="Arial" w:eastAsia="Arial" w:hAnsi="Arial" w:cs="Arial"/>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From this series of cases, the lessons that we would like to put forward are;</w:t>
      </w:r>
    </w:p>
    <w:p w:rsidR="00311397" w:rsidRDefault="000E2E76">
      <w:pPr>
        <w:numPr>
          <w:ilvl w:val="0"/>
          <w:numId w:val="2"/>
        </w:numPr>
        <w:pBdr>
          <w:top w:val="nil"/>
          <w:left w:val="nil"/>
          <w:bottom w:val="nil"/>
          <w:right w:val="nil"/>
          <w:between w:val="nil"/>
        </w:pBdr>
        <w:jc w:val="both"/>
        <w:rPr>
          <w:rFonts w:ascii="Arial" w:eastAsia="Arial" w:hAnsi="Arial" w:cs="Arial"/>
        </w:rPr>
      </w:pPr>
      <w:r>
        <w:rPr>
          <w:rFonts w:ascii="Arial" w:eastAsia="Arial" w:hAnsi="Arial" w:cs="Arial"/>
          <w:b/>
          <w:bCs/>
        </w:rPr>
        <w:t>Aggressive techniques</w:t>
      </w:r>
      <w:r>
        <w:rPr>
          <w:rFonts w:ascii="Arial" w:eastAsia="Arial" w:hAnsi="Arial" w:cs="Arial"/>
        </w:rPr>
        <w:t xml:space="preserve"> such as standing on the thoracic spine or aggressive neck massaging represent injudicious force that exceeds the physiological tolerance of the spinal column.</w:t>
      </w:r>
    </w:p>
    <w:p w:rsidR="00311397" w:rsidRDefault="000E2E76">
      <w:pPr>
        <w:numPr>
          <w:ilvl w:val="0"/>
          <w:numId w:val="2"/>
        </w:numPr>
        <w:pBdr>
          <w:top w:val="nil"/>
          <w:left w:val="nil"/>
          <w:bottom w:val="nil"/>
          <w:right w:val="nil"/>
          <w:between w:val="nil"/>
        </w:pBdr>
        <w:jc w:val="both"/>
        <w:rPr>
          <w:rFonts w:ascii="Arial" w:eastAsia="Arial" w:hAnsi="Arial" w:cs="Arial"/>
        </w:rPr>
      </w:pPr>
      <w:r>
        <w:rPr>
          <w:rFonts w:ascii="Arial" w:eastAsia="Arial" w:hAnsi="Arial" w:cs="Arial"/>
        </w:rPr>
        <w:t xml:space="preserve">"Low-energy" maneuvers, such as injudicious neck massage, can cause permanent spinal cord injury when applied to </w:t>
      </w:r>
      <w:r w:rsidR="00763C03">
        <w:rPr>
          <w:rFonts w:ascii="Arial" w:eastAsia="Arial" w:hAnsi="Arial" w:cs="Arial"/>
        </w:rPr>
        <w:t xml:space="preserve">a </w:t>
      </w:r>
      <w:r>
        <w:rPr>
          <w:rFonts w:ascii="Arial" w:eastAsia="Arial" w:hAnsi="Arial" w:cs="Arial"/>
        </w:rPr>
        <w:t xml:space="preserve">vulnerable region like the neck. The </w:t>
      </w:r>
      <w:r>
        <w:rPr>
          <w:rFonts w:ascii="Arial" w:eastAsia="Arial" w:hAnsi="Arial" w:cs="Arial"/>
          <w:b/>
          <w:bCs/>
        </w:rPr>
        <w:t>cervical spine</w:t>
      </w:r>
      <w:r>
        <w:rPr>
          <w:rFonts w:ascii="Arial" w:eastAsia="Arial" w:hAnsi="Arial" w:cs="Arial"/>
        </w:rPr>
        <w:t xml:space="preserve"> is more vulnerable to manipulation-induced injury (6 out of 8 cases) due to its high mobility compared to the thoracic region.</w:t>
      </w:r>
    </w:p>
    <w:p w:rsidR="00311397" w:rsidRDefault="000E2E76">
      <w:pPr>
        <w:numPr>
          <w:ilvl w:val="0"/>
          <w:numId w:val="2"/>
        </w:numPr>
        <w:pBdr>
          <w:top w:val="nil"/>
          <w:left w:val="nil"/>
          <w:bottom w:val="nil"/>
          <w:right w:val="nil"/>
          <w:between w:val="nil"/>
        </w:pBdr>
        <w:jc w:val="both"/>
        <w:rPr>
          <w:rFonts w:ascii="Arial" w:eastAsia="Arial" w:hAnsi="Arial" w:cs="Arial"/>
        </w:rPr>
      </w:pPr>
      <w:r>
        <w:rPr>
          <w:rFonts w:ascii="Arial" w:eastAsia="Arial" w:hAnsi="Arial" w:cs="Arial"/>
          <w:b/>
          <w:bCs/>
        </w:rPr>
        <w:t>Pre-existing pathology</w:t>
      </w:r>
      <w:r>
        <w:rPr>
          <w:rFonts w:ascii="Arial" w:eastAsia="Arial" w:hAnsi="Arial" w:cs="Arial"/>
        </w:rPr>
        <w:t xml:space="preserve"> alters spine biomechanics and predisposes the spine and the neural elements to injury when manipulated. The relationship between the spectrum of spinal manipulation and spinal tolerance is non-linear when different pathologies are present, making intuitive predictions unreliable. For example, a stiff </w:t>
      </w:r>
      <w:r>
        <w:rPr>
          <w:rFonts w:ascii="Arial" w:eastAsia="Arial" w:hAnsi="Arial" w:cs="Arial"/>
        </w:rPr>
        <w:lastRenderedPageBreak/>
        <w:t>spine as a result of ankylosing spondylitis, is more vulnerable to bending manipulation and may lead to catastrophic injury in the stiff thoracic region. In contrast, lytic pathology will render the stiffest region unstable.</w:t>
      </w:r>
    </w:p>
    <w:p w:rsidR="00311397" w:rsidRDefault="000E2E76">
      <w:pPr>
        <w:numPr>
          <w:ilvl w:val="0"/>
          <w:numId w:val="2"/>
        </w:numPr>
        <w:jc w:val="both"/>
        <w:rPr>
          <w:rFonts w:ascii="Arial" w:eastAsia="Arial" w:hAnsi="Arial" w:cs="Arial"/>
        </w:rPr>
      </w:pPr>
      <w:r>
        <w:rPr>
          <w:rFonts w:ascii="Arial" w:eastAsia="Arial" w:hAnsi="Arial" w:cs="Arial"/>
          <w:b/>
          <w:bCs/>
        </w:rPr>
        <w:t>Surgical Benefit:</w:t>
      </w:r>
      <w:r>
        <w:rPr>
          <w:rFonts w:ascii="Arial" w:eastAsia="Arial" w:hAnsi="Arial" w:cs="Arial"/>
        </w:rPr>
        <w:t xml:space="preserve"> Operative treatment shows favorable neurologic outcomes for incomplete cervical cord injuries.</w:t>
      </w:r>
    </w:p>
    <w:p w:rsidR="00311397" w:rsidRDefault="000E2E76">
      <w:pPr>
        <w:numPr>
          <w:ilvl w:val="0"/>
          <w:numId w:val="2"/>
        </w:numPr>
        <w:jc w:val="both"/>
        <w:rPr>
          <w:rFonts w:ascii="Arial" w:eastAsia="Arial" w:hAnsi="Arial" w:cs="Arial"/>
        </w:rPr>
      </w:pPr>
      <w:r>
        <w:rPr>
          <w:rFonts w:ascii="Arial" w:eastAsia="Arial" w:hAnsi="Arial" w:cs="Arial"/>
          <w:b/>
          <w:bCs/>
        </w:rPr>
        <w:t>Mortality Risks:</w:t>
      </w:r>
      <w:r>
        <w:rPr>
          <w:rFonts w:ascii="Arial" w:eastAsia="Arial" w:hAnsi="Arial" w:cs="Arial"/>
        </w:rPr>
        <w:t xml:space="preserve"> Patients with spinal </w:t>
      </w:r>
      <w:proofErr w:type="spellStart"/>
      <w:r>
        <w:rPr>
          <w:rFonts w:ascii="Arial" w:eastAsia="Arial" w:hAnsi="Arial" w:cs="Arial"/>
        </w:rPr>
        <w:t>tumo</w:t>
      </w:r>
      <w:r w:rsidR="00763C03">
        <w:rPr>
          <w:rFonts w:ascii="Arial" w:eastAsia="Arial" w:hAnsi="Arial" w:cs="Arial"/>
        </w:rPr>
        <w:t>u</w:t>
      </w:r>
      <w:r>
        <w:rPr>
          <w:rFonts w:ascii="Arial" w:eastAsia="Arial" w:hAnsi="Arial" w:cs="Arial"/>
        </w:rPr>
        <w:t>rs</w:t>
      </w:r>
      <w:proofErr w:type="spellEnd"/>
      <w:r>
        <w:rPr>
          <w:rFonts w:ascii="Arial" w:eastAsia="Arial" w:hAnsi="Arial" w:cs="Arial"/>
        </w:rPr>
        <w:t xml:space="preserve"> or complete thoracic injuries face high mortality rates in the subacute period.</w:t>
      </w:r>
    </w:p>
    <w:p w:rsidR="00311397" w:rsidRDefault="00311397">
      <w:pPr>
        <w:jc w:val="both"/>
        <w:rPr>
          <w:rFonts w:ascii="Arial" w:eastAsia="Arial" w:hAnsi="Arial" w:cs="Arial"/>
        </w:rPr>
      </w:pPr>
    </w:p>
    <w:p w:rsidR="00311397" w:rsidRDefault="000E2E76">
      <w:pPr>
        <w:jc w:val="both"/>
        <w:rPr>
          <w:rFonts w:ascii="Arial" w:eastAsia="Arial" w:hAnsi="Arial" w:cs="Arial"/>
        </w:rPr>
      </w:pPr>
      <w:r>
        <w:rPr>
          <w:rFonts w:ascii="Arial" w:eastAsia="Arial" w:hAnsi="Arial" w:cs="Arial"/>
        </w:rPr>
        <w:t>Based on this, 3 elements interact to determine the severity of injury.</w:t>
      </w:r>
    </w:p>
    <w:p w:rsidR="00311397" w:rsidRDefault="000E2E76">
      <w:pPr>
        <w:numPr>
          <w:ilvl w:val="0"/>
          <w:numId w:val="1"/>
        </w:numPr>
        <w:jc w:val="both"/>
        <w:rPr>
          <w:rFonts w:ascii="Arial" w:eastAsia="Arial" w:hAnsi="Arial" w:cs="Arial"/>
        </w:rPr>
      </w:pPr>
      <w:r>
        <w:rPr>
          <w:rFonts w:ascii="Arial" w:eastAsia="Arial" w:hAnsi="Arial" w:cs="Arial"/>
        </w:rPr>
        <w:t>Force applied</w:t>
      </w:r>
    </w:p>
    <w:p w:rsidR="00311397" w:rsidRDefault="000E2E76">
      <w:pPr>
        <w:numPr>
          <w:ilvl w:val="0"/>
          <w:numId w:val="1"/>
        </w:numPr>
        <w:jc w:val="both"/>
        <w:rPr>
          <w:rFonts w:ascii="Arial" w:eastAsia="Arial" w:hAnsi="Arial" w:cs="Arial"/>
        </w:rPr>
      </w:pPr>
      <w:r>
        <w:rPr>
          <w:rFonts w:ascii="Arial" w:eastAsia="Arial" w:hAnsi="Arial" w:cs="Arial"/>
        </w:rPr>
        <w:t>Spine tolerance</w:t>
      </w:r>
    </w:p>
    <w:p w:rsidR="00311397" w:rsidRDefault="000E2E76">
      <w:pPr>
        <w:numPr>
          <w:ilvl w:val="0"/>
          <w:numId w:val="1"/>
        </w:numPr>
        <w:jc w:val="both"/>
        <w:rPr>
          <w:rFonts w:ascii="Arial" w:eastAsia="Arial" w:hAnsi="Arial" w:cs="Arial"/>
        </w:rPr>
      </w:pPr>
      <w:r>
        <w:rPr>
          <w:rFonts w:ascii="Arial" w:eastAsia="Arial" w:hAnsi="Arial" w:cs="Arial"/>
        </w:rPr>
        <w:t>Spinal pathology</w:t>
      </w:r>
    </w:p>
    <w:p w:rsidR="00311397" w:rsidRDefault="00311397">
      <w:pPr>
        <w:jc w:val="both"/>
        <w:rPr>
          <w:rFonts w:ascii="Arial" w:eastAsia="Arial" w:hAnsi="Arial" w:cs="Arial"/>
        </w:rPr>
      </w:pPr>
    </w:p>
    <w:p w:rsidR="00311397" w:rsidRDefault="000E2E76">
      <w:pPr>
        <w:jc w:val="both"/>
        <w:rPr>
          <w:rFonts w:ascii="Arial" w:eastAsia="Arial" w:hAnsi="Arial" w:cs="Arial"/>
        </w:rPr>
      </w:pPr>
      <w:r>
        <w:rPr>
          <w:rFonts w:ascii="Arial" w:eastAsia="Arial" w:hAnsi="Arial" w:cs="Arial"/>
        </w:rPr>
        <w:t xml:space="preserve">The prognosis is primarily dictated by the </w:t>
      </w:r>
      <w:r>
        <w:rPr>
          <w:rFonts w:ascii="Arial" w:eastAsia="Arial" w:hAnsi="Arial" w:cs="Arial"/>
          <w:b/>
          <w:bCs/>
        </w:rPr>
        <w:t>severity of the initial injury</w:t>
      </w:r>
      <w:r>
        <w:rPr>
          <w:rFonts w:ascii="Arial" w:eastAsia="Arial" w:hAnsi="Arial" w:cs="Arial"/>
        </w:rPr>
        <w:t xml:space="preserve"> and the </w:t>
      </w:r>
      <w:r>
        <w:rPr>
          <w:rFonts w:ascii="Arial" w:eastAsia="Arial" w:hAnsi="Arial" w:cs="Arial"/>
          <w:b/>
          <w:bCs/>
        </w:rPr>
        <w:t>type of treatment</w:t>
      </w:r>
      <w:r>
        <w:rPr>
          <w:rFonts w:ascii="Arial" w:eastAsia="Arial" w:hAnsi="Arial" w:cs="Arial"/>
        </w:rPr>
        <w:t xml:space="preserve"> administered. </w:t>
      </w:r>
    </w:p>
    <w:p w:rsidR="00311397" w:rsidRDefault="00311397">
      <w:pPr>
        <w:jc w:val="both"/>
        <w:rPr>
          <w:rFonts w:ascii="Arial" w:eastAsia="Arial" w:hAnsi="Arial" w:cs="Arial"/>
        </w:rPr>
      </w:pPr>
    </w:p>
    <w:p w:rsidR="00311397" w:rsidRDefault="000E2E76">
      <w:pPr>
        <w:jc w:val="both"/>
        <w:rPr>
          <w:rFonts w:ascii="Arial" w:eastAsia="Arial" w:hAnsi="Arial" w:cs="Arial"/>
        </w:rPr>
      </w:pPr>
      <w:r>
        <w:rPr>
          <w:rFonts w:ascii="Arial" w:eastAsia="Arial" w:hAnsi="Arial" w:cs="Arial"/>
        </w:rPr>
        <w:t>While spinal injury due to spinal manipulation is rare within regulated healthcare settings, this may not be the case outside of the regulated physiotherapy community. Serious spinal injury is a significant risk in the hands of untrained and unregulated individuals. Thoroughly ruling out serious spinal conditions is imperative before employing any form of spinal manipulation to ensure patient safety.</w:t>
      </w:r>
    </w:p>
    <w:p w:rsidR="00311397" w:rsidRDefault="00311397">
      <w:pPr>
        <w:pBdr>
          <w:top w:val="nil"/>
          <w:left w:val="nil"/>
          <w:bottom w:val="nil"/>
          <w:right w:val="nil"/>
          <w:between w:val="nil"/>
        </w:pBdr>
        <w:jc w:val="both"/>
        <w:rPr>
          <w:rFonts w:ascii="Arial" w:eastAsia="Arial" w:hAnsi="Arial" w:cs="Arial"/>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This study has several limitations. First, it is a retrospective case series that inherently limits the ability to establish causality. Second, the small sample size from a single center may affect the statistical power and generalizability of our findings. Consequently, these results should be interpreted as preliminary and require validation in larger, prospective, multi-center studies.</w:t>
      </w:r>
    </w:p>
    <w:p w:rsidR="00311397" w:rsidRDefault="00311397">
      <w:pPr>
        <w:pBdr>
          <w:top w:val="nil"/>
          <w:left w:val="nil"/>
          <w:bottom w:val="nil"/>
          <w:right w:val="nil"/>
          <w:between w:val="nil"/>
        </w:pBdr>
        <w:jc w:val="both"/>
        <w:rPr>
          <w:rFonts w:ascii="Arial" w:eastAsia="Arial" w:hAnsi="Arial" w:cs="Arial"/>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We hope that this information can be used to provide evidence during consultation for patients seeking spinal manipulation for the treatment of their spinal condition as well as protecting the general public from potential harm. Further prospective epidemiological stud</w:t>
      </w:r>
      <w:r w:rsidR="00763C03">
        <w:rPr>
          <w:rFonts w:ascii="Arial" w:eastAsia="Arial" w:hAnsi="Arial" w:cs="Arial"/>
        </w:rPr>
        <w:t>ies</w:t>
      </w:r>
      <w:r>
        <w:rPr>
          <w:rFonts w:ascii="Arial" w:eastAsia="Arial" w:hAnsi="Arial" w:cs="Arial"/>
        </w:rPr>
        <w:t xml:space="preserve"> looking into the spine</w:t>
      </w:r>
      <w:r w:rsidR="00763C03">
        <w:rPr>
          <w:rFonts w:ascii="Arial" w:eastAsia="Arial" w:hAnsi="Arial" w:cs="Arial"/>
        </w:rPr>
        <w:t>-</w:t>
      </w:r>
      <w:r>
        <w:rPr>
          <w:rFonts w:ascii="Arial" w:eastAsia="Arial" w:hAnsi="Arial" w:cs="Arial"/>
        </w:rPr>
        <w:t xml:space="preserve">related side effects of spinal manipulation will provide more robust evidence and assist in comprehensive counselling and patient education.  </w:t>
      </w:r>
    </w:p>
    <w:p w:rsidR="00311397" w:rsidRDefault="00311397">
      <w:pPr>
        <w:pBdr>
          <w:top w:val="nil"/>
          <w:left w:val="nil"/>
          <w:bottom w:val="nil"/>
          <w:right w:val="nil"/>
          <w:between w:val="nil"/>
        </w:pBdr>
        <w:jc w:val="both"/>
        <w:rPr>
          <w:rFonts w:ascii="Arial" w:eastAsia="Arial" w:hAnsi="Arial" w:cs="Arial"/>
          <w:color w:val="000000"/>
        </w:rPr>
      </w:pPr>
    </w:p>
    <w:p w:rsidR="00311397" w:rsidRDefault="000E2E7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rsidR="00311397" w:rsidRDefault="00311397">
      <w:pPr>
        <w:keepNext/>
        <w:pBdr>
          <w:top w:val="nil"/>
          <w:left w:val="nil"/>
          <w:bottom w:val="nil"/>
          <w:right w:val="nil"/>
          <w:between w:val="nil"/>
        </w:pBdr>
        <w:jc w:val="both"/>
        <w:rPr>
          <w:rFonts w:ascii="Arial" w:eastAsia="Arial" w:hAnsi="Arial" w:cs="Arial"/>
          <w:b/>
          <w:bCs/>
          <w:smallCaps/>
          <w:color w:val="000000"/>
          <w:sz w:val="22"/>
          <w:szCs w:val="22"/>
        </w:rPr>
      </w:pPr>
    </w:p>
    <w:p w:rsidR="00311397" w:rsidRDefault="000E2E76">
      <w:pPr>
        <w:pBdr>
          <w:top w:val="nil"/>
          <w:left w:val="nil"/>
          <w:bottom w:val="nil"/>
          <w:right w:val="nil"/>
          <w:between w:val="nil"/>
        </w:pBdr>
        <w:jc w:val="both"/>
        <w:rPr>
          <w:rFonts w:ascii="Arial" w:eastAsia="Arial" w:hAnsi="Arial" w:cs="Arial"/>
        </w:rPr>
      </w:pPr>
      <w:r>
        <w:rPr>
          <w:rFonts w:ascii="Arial" w:eastAsia="Arial" w:hAnsi="Arial" w:cs="Arial"/>
        </w:rPr>
        <w:t xml:space="preserve">The primary "take-home message" is that </w:t>
      </w:r>
      <w:r>
        <w:rPr>
          <w:rFonts w:ascii="Arial" w:eastAsia="Arial" w:hAnsi="Arial" w:cs="Arial"/>
          <w:b/>
          <w:bCs/>
        </w:rPr>
        <w:t>accurate diagnosis</w:t>
      </w:r>
      <w:r>
        <w:rPr>
          <w:rFonts w:ascii="Arial" w:eastAsia="Arial" w:hAnsi="Arial" w:cs="Arial"/>
        </w:rPr>
        <w:t xml:space="preserve"> and the exclusion of </w:t>
      </w:r>
      <w:r>
        <w:rPr>
          <w:rFonts w:ascii="Arial" w:eastAsia="Arial" w:hAnsi="Arial" w:cs="Arial"/>
          <w:b/>
          <w:bCs/>
        </w:rPr>
        <w:t>serious pathology</w:t>
      </w:r>
      <w:r>
        <w:rPr>
          <w:rFonts w:ascii="Arial" w:eastAsia="Arial" w:hAnsi="Arial" w:cs="Arial"/>
        </w:rPr>
        <w:t xml:space="preserve"> are mandatory prerequisites to any treatment. </w:t>
      </w:r>
      <w:r>
        <w:rPr>
          <w:rFonts w:ascii="Arial" w:eastAsia="Arial" w:hAnsi="Arial" w:cs="Arial"/>
          <w:b/>
          <w:bCs/>
        </w:rPr>
        <w:t>Aggressive maneuvers</w:t>
      </w:r>
      <w:r>
        <w:rPr>
          <w:rFonts w:ascii="Arial" w:eastAsia="Arial" w:hAnsi="Arial" w:cs="Arial"/>
        </w:rPr>
        <w:t xml:space="preserve"> should be avoided, while ensuring </w:t>
      </w:r>
      <w:r>
        <w:rPr>
          <w:rFonts w:ascii="Arial" w:eastAsia="Arial" w:hAnsi="Arial" w:cs="Arial"/>
          <w:b/>
          <w:bCs/>
        </w:rPr>
        <w:t>judicious and controlled application of force</w:t>
      </w:r>
      <w:r>
        <w:rPr>
          <w:rFonts w:ascii="Arial" w:eastAsia="Arial" w:hAnsi="Arial" w:cs="Arial"/>
        </w:rPr>
        <w:t xml:space="preserve">, with heightened caution in the </w:t>
      </w:r>
      <w:r>
        <w:rPr>
          <w:rFonts w:ascii="Arial" w:eastAsia="Arial" w:hAnsi="Arial" w:cs="Arial"/>
          <w:b/>
          <w:bCs/>
        </w:rPr>
        <w:t>cervical region</w:t>
      </w:r>
      <w:r>
        <w:rPr>
          <w:rFonts w:ascii="Arial" w:eastAsia="Arial" w:hAnsi="Arial" w:cs="Arial"/>
        </w:rPr>
        <w:t xml:space="preserve">, particularly when untrained manipulation is involved. Prognostically, the initial </w:t>
      </w:r>
      <w:r>
        <w:rPr>
          <w:rFonts w:ascii="Arial" w:eastAsia="Arial" w:hAnsi="Arial" w:cs="Arial"/>
          <w:b/>
          <w:bCs/>
        </w:rPr>
        <w:t>severity of the injury</w:t>
      </w:r>
      <w:r>
        <w:rPr>
          <w:rFonts w:ascii="Arial" w:eastAsia="Arial" w:hAnsi="Arial" w:cs="Arial"/>
        </w:rPr>
        <w:t xml:space="preserve"> remains the most critical factor; however, in cases of incomplete neurological deficits, timely </w:t>
      </w:r>
      <w:r>
        <w:rPr>
          <w:rFonts w:ascii="Arial" w:eastAsia="Arial" w:hAnsi="Arial" w:cs="Arial"/>
          <w:b/>
          <w:bCs/>
        </w:rPr>
        <w:t>surgical decompression</w:t>
      </w:r>
      <w:r>
        <w:rPr>
          <w:rFonts w:ascii="Arial" w:eastAsia="Arial" w:hAnsi="Arial" w:cs="Arial"/>
        </w:rPr>
        <w:t xml:space="preserve"> may significantly improve functional outcomes.</w:t>
      </w:r>
    </w:p>
    <w:p w:rsidR="00311397" w:rsidRDefault="00311397">
      <w:pPr>
        <w:pBdr>
          <w:top w:val="nil"/>
          <w:left w:val="nil"/>
          <w:bottom w:val="nil"/>
          <w:right w:val="nil"/>
          <w:between w:val="nil"/>
        </w:pBdr>
        <w:jc w:val="both"/>
        <w:rPr>
          <w:rFonts w:ascii="Arial" w:eastAsia="Arial" w:hAnsi="Arial" w:cs="Arial"/>
        </w:rPr>
      </w:pPr>
    </w:p>
    <w:p w:rsidR="00311397" w:rsidRDefault="00311397">
      <w:pPr>
        <w:pBdr>
          <w:top w:val="nil"/>
          <w:left w:val="nil"/>
          <w:bottom w:val="nil"/>
          <w:right w:val="nil"/>
          <w:between w:val="nil"/>
        </w:pBdr>
        <w:jc w:val="both"/>
        <w:rPr>
          <w:rFonts w:ascii="Arial" w:eastAsia="Arial" w:hAnsi="Arial" w:cs="Arial"/>
          <w:color w:val="000000"/>
        </w:rPr>
      </w:pPr>
    </w:p>
    <w:p w:rsidR="00311397" w:rsidRDefault="000E2E7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Acknowledg</w:t>
      </w:r>
      <w:r>
        <w:rPr>
          <w:rFonts w:ascii="Arial" w:eastAsia="Arial" w:hAnsi="Arial" w:cs="Arial"/>
          <w:b/>
          <w:bCs/>
          <w:smallCaps/>
          <w:sz w:val="22"/>
          <w:szCs w:val="22"/>
        </w:rPr>
        <w:t>e</w:t>
      </w:r>
      <w:r>
        <w:rPr>
          <w:rFonts w:ascii="Arial" w:eastAsia="Arial" w:hAnsi="Arial" w:cs="Arial"/>
          <w:b/>
          <w:bCs/>
          <w:smallCaps/>
          <w:color w:val="000000"/>
          <w:sz w:val="22"/>
          <w:szCs w:val="22"/>
        </w:rPr>
        <w:t>ments</w:t>
      </w:r>
    </w:p>
    <w:p w:rsidR="00311397" w:rsidRDefault="00311397">
      <w:pPr>
        <w:keepNext/>
        <w:pBdr>
          <w:top w:val="nil"/>
          <w:left w:val="nil"/>
          <w:bottom w:val="nil"/>
          <w:right w:val="nil"/>
          <w:between w:val="nil"/>
        </w:pBdr>
        <w:jc w:val="both"/>
        <w:rPr>
          <w:rFonts w:ascii="Arial" w:eastAsia="Arial" w:hAnsi="Arial" w:cs="Arial"/>
          <w:b/>
          <w:bCs/>
          <w:smallCaps/>
          <w:color w:val="000000"/>
          <w:sz w:val="22"/>
          <w:szCs w:val="22"/>
        </w:rPr>
      </w:pPr>
    </w:p>
    <w:p w:rsidR="00311397" w:rsidRDefault="000E2E7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 brief acknowledgement section may be given after the conclusion section just before the references. The acknowledgments of people who </w:t>
      </w:r>
      <w:proofErr w:type="gramStart"/>
      <w:r>
        <w:rPr>
          <w:rFonts w:ascii="Arial" w:eastAsia="Arial" w:hAnsi="Arial" w:cs="Arial"/>
          <w:color w:val="000000"/>
        </w:rPr>
        <w:t>provided assistance</w:t>
      </w:r>
      <w:proofErr w:type="gramEnd"/>
      <w:r>
        <w:rPr>
          <w:rFonts w:ascii="Arial" w:eastAsia="Arial" w:hAnsi="Arial" w:cs="Arial"/>
          <w:color w:val="000000"/>
        </w:rPr>
        <w:t xml:space="preserve"> in manuscript preparation, funding for res</w:t>
      </w:r>
      <w:bookmarkStart w:id="0" w:name="_GoBack"/>
      <w:bookmarkEnd w:id="0"/>
      <w:r>
        <w:rPr>
          <w:rFonts w:ascii="Arial" w:eastAsia="Arial" w:hAnsi="Arial" w:cs="Arial"/>
          <w:color w:val="000000"/>
        </w:rPr>
        <w:t>earch, etc. should be listed in this section. All sources of funding should be declared as an acknowledgement. Authors should declare the role of funding agency, if any, in the study design, collection, analysis and interpretation of data; in the writing of the manuscript. If the study sponsors had no such involvement, the authors should so state.</w:t>
      </w:r>
    </w:p>
    <w:p w:rsidR="00311397" w:rsidRDefault="00311397"/>
    <w:p w:rsidR="00311397" w:rsidRDefault="000E2E7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Competing interests</w:t>
      </w:r>
    </w:p>
    <w:p w:rsidR="00311397" w:rsidRDefault="00311397">
      <w:pPr>
        <w:keepNext/>
        <w:pBdr>
          <w:top w:val="nil"/>
          <w:left w:val="nil"/>
          <w:bottom w:val="nil"/>
          <w:right w:val="nil"/>
          <w:between w:val="nil"/>
        </w:pBdr>
        <w:jc w:val="both"/>
        <w:rPr>
          <w:rFonts w:ascii="Arial" w:eastAsia="Arial" w:hAnsi="Arial" w:cs="Arial"/>
          <w:b/>
          <w:bCs/>
          <w:smallCaps/>
          <w:color w:val="000000"/>
          <w:sz w:val="22"/>
          <w:szCs w:val="22"/>
        </w:rPr>
      </w:pPr>
    </w:p>
    <w:p w:rsidR="00311397" w:rsidRDefault="000E2E76">
      <w:pPr>
        <w:keepNext/>
        <w:pBdr>
          <w:top w:val="nil"/>
          <w:left w:val="nil"/>
          <w:bottom w:val="nil"/>
          <w:right w:val="nil"/>
          <w:between w:val="nil"/>
        </w:pBdr>
        <w:jc w:val="both"/>
        <w:rPr>
          <w:rFonts w:ascii="Arial" w:eastAsia="Arial" w:hAnsi="Arial" w:cs="Arial"/>
          <w:color w:val="000000"/>
        </w:rPr>
      </w:pPr>
      <w:r>
        <w:rPr>
          <w:rFonts w:ascii="Arial" w:eastAsia="Arial" w:hAnsi="Arial" w:cs="Arial"/>
        </w:rPr>
        <w:t>We declare</w:t>
      </w:r>
      <w:r>
        <w:rPr>
          <w:rFonts w:ascii="Arial" w:eastAsia="Arial" w:hAnsi="Arial" w:cs="Arial"/>
          <w:color w:val="000000"/>
        </w:rPr>
        <w:t xml:space="preserve"> that no competing interests exist</w:t>
      </w:r>
      <w:r>
        <w:rPr>
          <w:rFonts w:ascii="Arial" w:eastAsia="Arial" w:hAnsi="Arial" w:cs="Arial"/>
        </w:rPr>
        <w:t>.</w:t>
      </w:r>
    </w:p>
    <w:p w:rsidR="00311397" w:rsidRDefault="00311397">
      <w:pPr>
        <w:keepNext/>
        <w:pBdr>
          <w:top w:val="nil"/>
          <w:left w:val="nil"/>
          <w:bottom w:val="nil"/>
          <w:right w:val="nil"/>
          <w:between w:val="nil"/>
        </w:pBdr>
        <w:jc w:val="both"/>
        <w:rPr>
          <w:rFonts w:ascii="Arial" w:eastAsia="Arial" w:hAnsi="Arial" w:cs="Arial"/>
          <w:color w:val="000000"/>
        </w:rPr>
      </w:pPr>
    </w:p>
    <w:p w:rsidR="00311397" w:rsidRDefault="000E2E7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Authors’ Contributions</w:t>
      </w:r>
    </w:p>
    <w:p w:rsidR="00311397" w:rsidRDefault="00311397">
      <w:pPr>
        <w:keepNext/>
        <w:pBdr>
          <w:top w:val="nil"/>
          <w:left w:val="nil"/>
          <w:bottom w:val="nil"/>
          <w:right w:val="nil"/>
          <w:between w:val="nil"/>
        </w:pBdr>
        <w:jc w:val="both"/>
        <w:rPr>
          <w:rFonts w:ascii="Arial" w:eastAsia="Arial" w:hAnsi="Arial" w:cs="Arial"/>
          <w:b/>
          <w:bCs/>
          <w:smallCaps/>
          <w:color w:val="000000"/>
          <w:sz w:val="22"/>
          <w:szCs w:val="22"/>
        </w:rPr>
      </w:pPr>
    </w:p>
    <w:p w:rsidR="00311397" w:rsidRDefault="000E2E76">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Author Dr </w:t>
      </w:r>
      <w:r>
        <w:rPr>
          <w:rFonts w:ascii="Arial" w:eastAsia="Arial" w:hAnsi="Arial" w:cs="Arial"/>
        </w:rPr>
        <w:t xml:space="preserve">Ahmad Ikhwan bin </w:t>
      </w:r>
      <w:proofErr w:type="spellStart"/>
      <w:r>
        <w:rPr>
          <w:rFonts w:ascii="Arial" w:eastAsia="Arial" w:hAnsi="Arial" w:cs="Arial"/>
        </w:rPr>
        <w:t>Mohd</w:t>
      </w:r>
      <w:proofErr w:type="spellEnd"/>
      <w:r>
        <w:rPr>
          <w:rFonts w:ascii="Arial" w:eastAsia="Arial" w:hAnsi="Arial" w:cs="Arial"/>
        </w:rPr>
        <w:t xml:space="preserve"> Sharfuddin</w:t>
      </w:r>
      <w:r>
        <w:rPr>
          <w:rFonts w:ascii="Arial" w:eastAsia="Arial" w:hAnsi="Arial" w:cs="Arial"/>
          <w:color w:val="000000"/>
        </w:rPr>
        <w:t xml:space="preserve"> designed the study, performed the statistical analysis, wrote the protocol, and wrote the first draft of the manuscript. </w:t>
      </w:r>
      <w:r>
        <w:rPr>
          <w:rFonts w:ascii="Arial" w:eastAsia="Arial" w:hAnsi="Arial" w:cs="Arial"/>
        </w:rPr>
        <w:t xml:space="preserve">Dr </w:t>
      </w:r>
      <w:proofErr w:type="spellStart"/>
      <w:r>
        <w:rPr>
          <w:rFonts w:ascii="Arial" w:eastAsia="Arial" w:hAnsi="Arial" w:cs="Arial"/>
        </w:rPr>
        <w:t>Harkeerat</w:t>
      </w:r>
      <w:proofErr w:type="spellEnd"/>
      <w:r>
        <w:rPr>
          <w:rFonts w:ascii="Arial" w:eastAsia="Arial" w:hAnsi="Arial" w:cs="Arial"/>
        </w:rPr>
        <w:t xml:space="preserve"> and Dr </w:t>
      </w:r>
      <w:proofErr w:type="spellStart"/>
      <w:r>
        <w:rPr>
          <w:rFonts w:ascii="Arial" w:eastAsia="Arial" w:hAnsi="Arial" w:cs="Arial"/>
        </w:rPr>
        <w:t>Kishanraj</w:t>
      </w:r>
      <w:proofErr w:type="spellEnd"/>
      <w:r>
        <w:rPr>
          <w:rFonts w:ascii="Arial" w:eastAsia="Arial" w:hAnsi="Arial" w:cs="Arial"/>
        </w:rPr>
        <w:t xml:space="preserve"> assisted in designing the study, data collection and</w:t>
      </w:r>
      <w:r>
        <w:rPr>
          <w:rFonts w:ascii="Arial" w:eastAsia="Arial" w:hAnsi="Arial" w:cs="Arial"/>
          <w:color w:val="000000"/>
        </w:rPr>
        <w:t xml:space="preserve"> </w:t>
      </w:r>
      <w:r>
        <w:rPr>
          <w:rFonts w:ascii="Arial" w:eastAsia="Arial" w:hAnsi="Arial" w:cs="Arial"/>
        </w:rPr>
        <w:t>contributed to</w:t>
      </w:r>
      <w:r>
        <w:rPr>
          <w:rFonts w:ascii="Arial" w:eastAsia="Arial" w:hAnsi="Arial" w:cs="Arial"/>
          <w:color w:val="000000"/>
        </w:rPr>
        <w:t xml:space="preserve"> the analyses of the study. </w:t>
      </w:r>
      <w:r>
        <w:rPr>
          <w:rFonts w:ascii="Arial" w:eastAsia="Arial" w:hAnsi="Arial" w:cs="Arial"/>
        </w:rPr>
        <w:t xml:space="preserve">Author Dr </w:t>
      </w:r>
      <w:proofErr w:type="spellStart"/>
      <w:r>
        <w:rPr>
          <w:rFonts w:ascii="Arial" w:eastAsia="Arial" w:hAnsi="Arial" w:cs="Arial"/>
        </w:rPr>
        <w:t>Harkeerat</w:t>
      </w:r>
      <w:proofErr w:type="spellEnd"/>
      <w:r>
        <w:rPr>
          <w:rFonts w:ascii="Arial" w:eastAsia="Arial" w:hAnsi="Arial" w:cs="Arial"/>
        </w:rPr>
        <w:t xml:space="preserve"> assisted in collecting data and data analysis. </w:t>
      </w:r>
      <w:r>
        <w:rPr>
          <w:rFonts w:ascii="Arial" w:eastAsia="Arial" w:hAnsi="Arial" w:cs="Arial"/>
          <w:color w:val="000000"/>
        </w:rPr>
        <w:t>All authors read and approved the final manuscript.</w:t>
      </w:r>
    </w:p>
    <w:p w:rsidR="00311397" w:rsidRDefault="00311397">
      <w:pPr>
        <w:keepNext/>
        <w:pBdr>
          <w:top w:val="nil"/>
          <w:left w:val="nil"/>
          <w:bottom w:val="nil"/>
          <w:right w:val="nil"/>
          <w:between w:val="nil"/>
        </w:pBdr>
        <w:jc w:val="both"/>
        <w:rPr>
          <w:rFonts w:ascii="Arial" w:eastAsia="Arial" w:hAnsi="Arial" w:cs="Arial"/>
          <w:color w:val="000000"/>
        </w:rPr>
      </w:pPr>
    </w:p>
    <w:p w:rsidR="00311397" w:rsidRDefault="000E2E76">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Consent</w:t>
      </w:r>
    </w:p>
    <w:p w:rsidR="00311397" w:rsidRDefault="00311397">
      <w:pPr>
        <w:keepNext/>
        <w:pBdr>
          <w:top w:val="nil"/>
          <w:left w:val="nil"/>
          <w:bottom w:val="nil"/>
          <w:right w:val="nil"/>
          <w:between w:val="nil"/>
        </w:pBdr>
        <w:jc w:val="both"/>
        <w:rPr>
          <w:rFonts w:ascii="Arial" w:eastAsia="Arial" w:hAnsi="Arial" w:cs="Arial"/>
          <w:b/>
          <w:bCs/>
          <w:smallCaps/>
          <w:sz w:val="22"/>
          <w:szCs w:val="22"/>
        </w:rPr>
      </w:pPr>
    </w:p>
    <w:p w:rsidR="00311397" w:rsidRDefault="000E2E76">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rsidR="00311397" w:rsidRDefault="00311397">
      <w:pPr>
        <w:keepNext/>
        <w:pBdr>
          <w:top w:val="nil"/>
          <w:left w:val="nil"/>
          <w:bottom w:val="nil"/>
          <w:right w:val="nil"/>
          <w:between w:val="nil"/>
        </w:pBdr>
        <w:jc w:val="both"/>
        <w:rPr>
          <w:rFonts w:ascii="Arial" w:eastAsia="Arial" w:hAnsi="Arial" w:cs="Arial"/>
          <w:color w:val="000000"/>
        </w:rPr>
      </w:pPr>
    </w:p>
    <w:p w:rsidR="00311397" w:rsidRDefault="000E2E76">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Ethical approval</w:t>
      </w:r>
    </w:p>
    <w:p w:rsidR="00311397" w:rsidRDefault="00311397">
      <w:pPr>
        <w:keepNext/>
        <w:pBdr>
          <w:top w:val="nil"/>
          <w:left w:val="nil"/>
          <w:bottom w:val="nil"/>
          <w:right w:val="nil"/>
          <w:between w:val="nil"/>
        </w:pBdr>
        <w:jc w:val="both"/>
        <w:rPr>
          <w:rFonts w:ascii="Arial" w:eastAsia="Arial" w:hAnsi="Arial" w:cs="Arial"/>
          <w:b/>
          <w:bCs/>
          <w:smallCaps/>
          <w:sz w:val="22"/>
          <w:szCs w:val="22"/>
        </w:rPr>
      </w:pPr>
    </w:p>
    <w:p w:rsidR="00311397" w:rsidRDefault="000E2E76">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hereby declare that all experiments have been examined and approved by the appropriate ethics committee and have therefore been performed in accordance with the ethical standards laid down in the 1964 Declaration of Helsinki</w:t>
      </w:r>
      <w:r>
        <w:rPr>
          <w:rFonts w:ascii="Arial" w:eastAsia="Arial" w:hAnsi="Arial" w:cs="Arial"/>
        </w:rPr>
        <w:t>.</w:t>
      </w:r>
    </w:p>
    <w:p w:rsidR="00311397" w:rsidRDefault="00311397">
      <w:pPr>
        <w:keepNext/>
        <w:pBdr>
          <w:top w:val="nil"/>
          <w:left w:val="nil"/>
          <w:bottom w:val="nil"/>
          <w:right w:val="nil"/>
          <w:between w:val="nil"/>
        </w:pBdr>
        <w:jc w:val="both"/>
        <w:rPr>
          <w:rFonts w:ascii="Arial" w:eastAsia="Arial" w:hAnsi="Arial" w:cs="Arial"/>
          <w:b/>
          <w:bCs/>
          <w:smallCaps/>
          <w:color w:val="000000"/>
          <w:sz w:val="22"/>
          <w:szCs w:val="22"/>
        </w:rPr>
      </w:pPr>
    </w:p>
    <w:p w:rsidR="00311397" w:rsidRDefault="000E2E76">
      <w:pPr>
        <w:spacing w:after="200" w:line="276" w:lineRule="auto"/>
        <w:rPr>
          <w:rFonts w:ascii="Calibri" w:eastAsia="Calibri" w:hAnsi="Calibri" w:cs="Calibri"/>
          <w:b/>
          <w:bCs/>
          <w:sz w:val="22"/>
          <w:szCs w:val="22"/>
        </w:rPr>
      </w:pPr>
      <w:r>
        <w:rPr>
          <w:rFonts w:ascii="Calibri" w:eastAsia="Calibri" w:hAnsi="Calibri" w:cs="Calibri"/>
          <w:b/>
          <w:bCs/>
          <w:sz w:val="22"/>
          <w:szCs w:val="22"/>
        </w:rPr>
        <w:t>Disclaimer (Artificial intelligence)</w:t>
      </w:r>
    </w:p>
    <w:p w:rsidR="00311397" w:rsidRDefault="000E2E76">
      <w:pPr>
        <w:spacing w:after="200" w:line="276" w:lineRule="auto"/>
        <w:rPr>
          <w:rFonts w:ascii="Calibri" w:eastAsia="Calibri" w:hAnsi="Calibri" w:cs="Calibri"/>
          <w:sz w:val="22"/>
          <w:szCs w:val="22"/>
        </w:rPr>
      </w:pPr>
      <w:r>
        <w:rPr>
          <w:rFonts w:ascii="Calibri" w:eastAsia="Calibri" w:hAnsi="Calibri" w:cs="Calibri"/>
          <w:sz w:val="22"/>
          <w:szCs w:val="22"/>
        </w:rPr>
        <w:t>Author(s) hereby declare that NO generative AI technologies such as Large Language Models (</w:t>
      </w:r>
      <w:proofErr w:type="spellStart"/>
      <w:r>
        <w:rPr>
          <w:rFonts w:ascii="Calibri" w:eastAsia="Calibri" w:hAnsi="Calibri" w:cs="Calibri"/>
          <w:sz w:val="22"/>
          <w:szCs w:val="22"/>
        </w:rPr>
        <w:t>ChatGPT</w:t>
      </w:r>
      <w:proofErr w:type="spellEnd"/>
      <w:r>
        <w:rPr>
          <w:rFonts w:ascii="Calibri" w:eastAsia="Calibri" w:hAnsi="Calibri" w:cs="Calibri"/>
          <w:sz w:val="22"/>
          <w:szCs w:val="22"/>
        </w:rPr>
        <w:t xml:space="preserve">, COPILOT, etc.) and text-to-image generators have been used during the writing or editing of this manuscript. </w:t>
      </w:r>
    </w:p>
    <w:p w:rsidR="00311397" w:rsidRDefault="000E2E76">
      <w:pPr>
        <w:keepNext/>
        <w:jc w:val="both"/>
        <w:rPr>
          <w:rFonts w:ascii="Arial" w:eastAsia="Arial" w:hAnsi="Arial" w:cs="Arial"/>
        </w:rPr>
      </w:pPr>
      <w:r>
        <w:rPr>
          <w:rFonts w:ascii="Arial" w:eastAsia="Arial" w:hAnsi="Arial" w:cs="Arial"/>
          <w:b/>
          <w:bCs/>
          <w:smallCaps/>
          <w:sz w:val="22"/>
          <w:szCs w:val="22"/>
        </w:rPr>
        <w:t>References</w:t>
      </w:r>
    </w:p>
    <w:p w:rsidR="00311397" w:rsidRDefault="000E2E76">
      <w:pPr>
        <w:numPr>
          <w:ilvl w:val="0"/>
          <w:numId w:val="3"/>
        </w:numPr>
        <w:jc w:val="both"/>
        <w:rPr>
          <w:rFonts w:ascii="Calibri" w:eastAsia="Calibri" w:hAnsi="Calibri" w:cs="Calibri"/>
          <w:sz w:val="22"/>
          <w:szCs w:val="22"/>
        </w:rPr>
      </w:pPr>
      <w:proofErr w:type="spellStart"/>
      <w:r>
        <w:rPr>
          <w:rFonts w:ascii="Arial" w:eastAsia="Arial" w:hAnsi="Arial" w:cs="Arial"/>
        </w:rPr>
        <w:t>Nugraha</w:t>
      </w:r>
      <w:proofErr w:type="spellEnd"/>
      <w:r>
        <w:rPr>
          <w:rFonts w:ascii="Arial" w:eastAsia="Arial" w:hAnsi="Arial" w:cs="Arial"/>
        </w:rPr>
        <w:t xml:space="preserve">. (2025). Safety and therapeutic outcomes of cervical high-velocity low-amplitude manipulation in clinical practice: A review. </w:t>
      </w:r>
      <w:r>
        <w:rPr>
          <w:rFonts w:ascii="Arial" w:eastAsia="Arial" w:hAnsi="Arial" w:cs="Arial"/>
          <w:i/>
          <w:iCs/>
        </w:rPr>
        <w:t>Bulletin of Rehabilitation Medicine</w:t>
      </w:r>
      <w:r>
        <w:rPr>
          <w:rFonts w:ascii="Arial" w:eastAsia="Arial" w:hAnsi="Arial" w:cs="Arial"/>
        </w:rPr>
        <w:t>.</w:t>
      </w:r>
      <w:hyperlink r:id="rId18">
        <w:r>
          <w:rPr>
            <w:rFonts w:ascii="Arial" w:eastAsia="Arial" w:hAnsi="Arial" w:cs="Arial"/>
          </w:rPr>
          <w:t xml:space="preserve"> </w:t>
        </w:r>
      </w:hyperlink>
      <w:hyperlink r:id="rId19">
        <w:r>
          <w:rPr>
            <w:rFonts w:ascii="Arial" w:eastAsia="Arial" w:hAnsi="Arial" w:cs="Arial"/>
            <w:color w:val="1155CC"/>
            <w:u w:val="single"/>
          </w:rPr>
          <w:t>https://journals.eco-vector.com/2078-1962/article/view/667401</w:t>
        </w:r>
      </w:hyperlink>
      <w:r>
        <w:rPr>
          <w:rFonts w:ascii="Arial" w:eastAsia="Arial" w:hAnsi="Arial" w:cs="Arial"/>
        </w:rPr>
        <w:t>.</w:t>
      </w:r>
    </w:p>
    <w:p w:rsidR="00311397" w:rsidRDefault="000E2E76">
      <w:pPr>
        <w:numPr>
          <w:ilvl w:val="0"/>
          <w:numId w:val="3"/>
        </w:numPr>
        <w:jc w:val="both"/>
        <w:rPr>
          <w:rFonts w:ascii="Arial" w:eastAsia="Arial" w:hAnsi="Arial" w:cs="Arial"/>
        </w:rPr>
      </w:pPr>
      <w:r>
        <w:rPr>
          <w:rFonts w:ascii="Arial" w:eastAsia="Arial" w:hAnsi="Arial" w:cs="Arial"/>
        </w:rPr>
        <w:t xml:space="preserve">Effectiveness of musculoskeletal manipulations in patients with neck pain: a systematic review and network meta-analysis. (2026). </w:t>
      </w:r>
      <w:r>
        <w:rPr>
          <w:rFonts w:ascii="Arial" w:eastAsia="Arial" w:hAnsi="Arial" w:cs="Arial"/>
          <w:i/>
          <w:iCs/>
        </w:rPr>
        <w:t>BMJ Open</w:t>
      </w:r>
      <w:r>
        <w:rPr>
          <w:rFonts w:ascii="Arial" w:eastAsia="Arial" w:hAnsi="Arial" w:cs="Arial"/>
        </w:rPr>
        <w:t xml:space="preserve">, </w:t>
      </w:r>
      <w:r>
        <w:rPr>
          <w:rFonts w:ascii="Arial" w:eastAsia="Arial" w:hAnsi="Arial" w:cs="Arial"/>
          <w:i/>
          <w:iCs/>
        </w:rPr>
        <w:t>15</w:t>
      </w:r>
      <w:r>
        <w:rPr>
          <w:rFonts w:ascii="Arial" w:eastAsia="Arial" w:hAnsi="Arial" w:cs="Arial"/>
        </w:rPr>
        <w:t>(10), e098682.</w:t>
      </w:r>
      <w:hyperlink r:id="rId20">
        <w:r>
          <w:rPr>
            <w:rFonts w:ascii="Arial" w:eastAsia="Arial" w:hAnsi="Arial" w:cs="Arial"/>
          </w:rPr>
          <w:t xml:space="preserve"> </w:t>
        </w:r>
      </w:hyperlink>
      <w:hyperlink r:id="rId21">
        <w:r>
          <w:rPr>
            <w:rFonts w:ascii="Arial" w:eastAsia="Arial" w:hAnsi="Arial" w:cs="Arial"/>
            <w:color w:val="1155CC"/>
            <w:u w:val="single"/>
          </w:rPr>
          <w:t>https://doi.org/10.1136/bmjopen-2024-098682</w:t>
        </w:r>
      </w:hyperlink>
      <w:r>
        <w:rPr>
          <w:rFonts w:ascii="Arial" w:eastAsia="Arial" w:hAnsi="Arial" w:cs="Arial"/>
        </w:rPr>
        <w:t>.</w:t>
      </w:r>
    </w:p>
    <w:p w:rsidR="00311397" w:rsidRDefault="000E2E76">
      <w:pPr>
        <w:numPr>
          <w:ilvl w:val="0"/>
          <w:numId w:val="3"/>
        </w:numPr>
        <w:jc w:val="both"/>
        <w:rPr>
          <w:rFonts w:ascii="Arial" w:eastAsia="Arial" w:hAnsi="Arial" w:cs="Arial"/>
        </w:rPr>
      </w:pPr>
      <w:proofErr w:type="spellStart"/>
      <w:r>
        <w:rPr>
          <w:rFonts w:ascii="Arial" w:eastAsia="Arial" w:hAnsi="Arial" w:cs="Arial"/>
        </w:rPr>
        <w:t>Qaseem</w:t>
      </w:r>
      <w:proofErr w:type="spellEnd"/>
      <w:r>
        <w:rPr>
          <w:rFonts w:ascii="Arial" w:eastAsia="Arial" w:hAnsi="Arial" w:cs="Arial"/>
        </w:rPr>
        <w:t xml:space="preserve">, A., et al. (2017). Noninvasive Treatments for Acute, Subacute, and Chronic Low Back Pain: A Clinical Practice Guideline </w:t>
      </w:r>
      <w:proofErr w:type="gramStart"/>
      <w:r>
        <w:rPr>
          <w:rFonts w:ascii="Arial" w:eastAsia="Arial" w:hAnsi="Arial" w:cs="Arial"/>
        </w:rPr>
        <w:t>From</w:t>
      </w:r>
      <w:proofErr w:type="gramEnd"/>
      <w:r>
        <w:rPr>
          <w:rFonts w:ascii="Arial" w:eastAsia="Arial" w:hAnsi="Arial" w:cs="Arial"/>
        </w:rPr>
        <w:t xml:space="preserve"> the American College of Physicians. </w:t>
      </w:r>
      <w:r>
        <w:rPr>
          <w:rFonts w:ascii="Arial" w:eastAsia="Arial" w:hAnsi="Arial" w:cs="Arial"/>
          <w:i/>
          <w:iCs/>
        </w:rPr>
        <w:t>Annals of Internal Medicine</w:t>
      </w:r>
      <w:r>
        <w:rPr>
          <w:rFonts w:ascii="Arial" w:eastAsia="Arial" w:hAnsi="Arial" w:cs="Arial"/>
        </w:rPr>
        <w:t xml:space="preserve">. </w:t>
      </w:r>
    </w:p>
    <w:p w:rsidR="00311397" w:rsidRDefault="000E2E76">
      <w:pPr>
        <w:numPr>
          <w:ilvl w:val="0"/>
          <w:numId w:val="3"/>
        </w:numPr>
        <w:jc w:val="both"/>
        <w:rPr>
          <w:rFonts w:ascii="Arial" w:eastAsia="Arial" w:hAnsi="Arial" w:cs="Arial"/>
        </w:rPr>
      </w:pPr>
      <w:proofErr w:type="spellStart"/>
      <w:r>
        <w:rPr>
          <w:rFonts w:ascii="Arial" w:eastAsia="Arial" w:hAnsi="Arial" w:cs="Arial"/>
        </w:rPr>
        <w:t>Whedon</w:t>
      </w:r>
      <w:proofErr w:type="spellEnd"/>
      <w:r>
        <w:rPr>
          <w:rFonts w:ascii="Arial" w:eastAsia="Arial" w:hAnsi="Arial" w:cs="Arial"/>
        </w:rPr>
        <w:t xml:space="preserve">, J. M., Mackenzie, T. A., Phillips, R. B., &amp; Lurie, J. D. (2015). Risk of traumatic injury associated with chiropractic spinal manipulation in Medicare Part B beneficiaries aged 66–99. </w:t>
      </w:r>
      <w:r>
        <w:rPr>
          <w:rFonts w:ascii="Arial" w:eastAsia="Arial" w:hAnsi="Arial" w:cs="Arial"/>
          <w:i/>
          <w:iCs/>
        </w:rPr>
        <w:t>Spine</w:t>
      </w:r>
      <w:r>
        <w:rPr>
          <w:rFonts w:ascii="Arial" w:eastAsia="Arial" w:hAnsi="Arial" w:cs="Arial"/>
        </w:rPr>
        <w:t xml:space="preserve">, </w:t>
      </w:r>
      <w:r>
        <w:rPr>
          <w:rFonts w:ascii="Arial" w:eastAsia="Arial" w:hAnsi="Arial" w:cs="Arial"/>
          <w:i/>
          <w:iCs/>
        </w:rPr>
        <w:t>40</w:t>
      </w:r>
      <w:r>
        <w:rPr>
          <w:rFonts w:ascii="Arial" w:eastAsia="Arial" w:hAnsi="Arial" w:cs="Arial"/>
        </w:rPr>
        <w:t>(4), 264–270.</w:t>
      </w:r>
      <w:hyperlink r:id="rId22">
        <w:r>
          <w:rPr>
            <w:rFonts w:ascii="Arial" w:eastAsia="Arial" w:hAnsi="Arial" w:cs="Arial"/>
          </w:rPr>
          <w:t xml:space="preserve"> </w:t>
        </w:r>
      </w:hyperlink>
      <w:hyperlink r:id="rId23">
        <w:r>
          <w:rPr>
            <w:rFonts w:ascii="Arial" w:eastAsia="Arial" w:hAnsi="Arial" w:cs="Arial"/>
            <w:color w:val="1155CC"/>
            <w:u w:val="single"/>
          </w:rPr>
          <w:t>https://doi.org/10.1097/brs.0000000000000725</w:t>
        </w:r>
      </w:hyperlink>
      <w:r>
        <w:rPr>
          <w:rFonts w:ascii="Arial" w:eastAsia="Arial" w:hAnsi="Arial" w:cs="Arial"/>
        </w:rPr>
        <w:t>.</w:t>
      </w:r>
    </w:p>
    <w:p w:rsidR="00311397" w:rsidRDefault="000E2E76">
      <w:pPr>
        <w:numPr>
          <w:ilvl w:val="0"/>
          <w:numId w:val="3"/>
        </w:numPr>
        <w:jc w:val="both"/>
        <w:rPr>
          <w:rFonts w:ascii="Arial" w:eastAsia="Arial" w:hAnsi="Arial" w:cs="Arial"/>
        </w:rPr>
      </w:pPr>
      <w:r>
        <w:rPr>
          <w:rFonts w:ascii="Arial" w:eastAsia="Arial" w:hAnsi="Arial" w:cs="Arial"/>
        </w:rPr>
        <w:t xml:space="preserve">Cassidy, J. D., Boyle, E., </w:t>
      </w:r>
      <w:proofErr w:type="spellStart"/>
      <w:r>
        <w:rPr>
          <w:rFonts w:ascii="Arial" w:eastAsia="Arial" w:hAnsi="Arial" w:cs="Arial"/>
        </w:rPr>
        <w:t>Côté</w:t>
      </w:r>
      <w:proofErr w:type="spellEnd"/>
      <w:r>
        <w:rPr>
          <w:rFonts w:ascii="Arial" w:eastAsia="Arial" w:hAnsi="Arial" w:cs="Arial"/>
        </w:rPr>
        <w:t xml:space="preserve">, P., He, Y., Hogg-Johnson, S., Silver, F. L., &amp; </w:t>
      </w:r>
      <w:proofErr w:type="spellStart"/>
      <w:r>
        <w:rPr>
          <w:rFonts w:ascii="Arial" w:eastAsia="Arial" w:hAnsi="Arial" w:cs="Arial"/>
        </w:rPr>
        <w:t>Bondy</w:t>
      </w:r>
      <w:proofErr w:type="spellEnd"/>
      <w:r>
        <w:rPr>
          <w:rFonts w:ascii="Arial" w:eastAsia="Arial" w:hAnsi="Arial" w:cs="Arial"/>
        </w:rPr>
        <w:t xml:space="preserve">, S. J. (2008). Risk of vertebrobasilar stroke and chiropractic care: results of a population-based case-control and case-crossover study. Spine, 33(4 Suppl), S176–S183. </w:t>
      </w:r>
      <w:hyperlink r:id="rId24">
        <w:r>
          <w:rPr>
            <w:rFonts w:ascii="Arial" w:eastAsia="Arial" w:hAnsi="Arial" w:cs="Arial"/>
            <w:color w:val="1155CC"/>
            <w:u w:val="single"/>
          </w:rPr>
          <w:t>https://doi.org/10.1097/BRS.0b013e3181644600</w:t>
        </w:r>
      </w:hyperlink>
      <w:r>
        <w:rPr>
          <w:rFonts w:ascii="Arial" w:eastAsia="Arial" w:hAnsi="Arial" w:cs="Arial"/>
        </w:rPr>
        <w:t>.</w:t>
      </w:r>
    </w:p>
    <w:p w:rsidR="00311397" w:rsidRDefault="000E2E76">
      <w:pPr>
        <w:numPr>
          <w:ilvl w:val="0"/>
          <w:numId w:val="3"/>
        </w:numPr>
        <w:jc w:val="both"/>
        <w:rPr>
          <w:rFonts w:ascii="Arial" w:eastAsia="Arial" w:hAnsi="Arial" w:cs="Arial"/>
        </w:rPr>
      </w:pPr>
      <w:r>
        <w:rPr>
          <w:rFonts w:ascii="Arial" w:eastAsia="Arial" w:hAnsi="Arial" w:cs="Arial"/>
        </w:rPr>
        <w:t xml:space="preserve">Rupp R, </w:t>
      </w:r>
      <w:proofErr w:type="spellStart"/>
      <w:r>
        <w:rPr>
          <w:rFonts w:ascii="Arial" w:eastAsia="Arial" w:hAnsi="Arial" w:cs="Arial"/>
        </w:rPr>
        <w:t>Biering-Sørensen</w:t>
      </w:r>
      <w:proofErr w:type="spellEnd"/>
      <w:r>
        <w:rPr>
          <w:rFonts w:ascii="Arial" w:eastAsia="Arial" w:hAnsi="Arial" w:cs="Arial"/>
        </w:rPr>
        <w:t xml:space="preserve"> F, Burns SP, et al. International Standards for Neurological Classification of Spinal Cord Injury: Revised 2019. </w:t>
      </w:r>
      <w:r>
        <w:rPr>
          <w:rFonts w:ascii="Arial" w:eastAsia="Arial" w:hAnsi="Arial" w:cs="Arial"/>
          <w:i/>
          <w:iCs/>
        </w:rPr>
        <w:t xml:space="preserve">Top Spinal Cord </w:t>
      </w:r>
      <w:proofErr w:type="spellStart"/>
      <w:r>
        <w:rPr>
          <w:rFonts w:ascii="Arial" w:eastAsia="Arial" w:hAnsi="Arial" w:cs="Arial"/>
          <w:i/>
          <w:iCs/>
        </w:rPr>
        <w:t>Inj</w:t>
      </w:r>
      <w:proofErr w:type="spellEnd"/>
      <w:r>
        <w:rPr>
          <w:rFonts w:ascii="Arial" w:eastAsia="Arial" w:hAnsi="Arial" w:cs="Arial"/>
          <w:i/>
          <w:iCs/>
        </w:rPr>
        <w:t xml:space="preserve"> </w:t>
      </w:r>
      <w:proofErr w:type="spellStart"/>
      <w:r>
        <w:rPr>
          <w:rFonts w:ascii="Arial" w:eastAsia="Arial" w:hAnsi="Arial" w:cs="Arial"/>
          <w:i/>
          <w:iCs/>
        </w:rPr>
        <w:t>Rehabil</w:t>
      </w:r>
      <w:proofErr w:type="spellEnd"/>
      <w:r>
        <w:rPr>
          <w:rFonts w:ascii="Arial" w:eastAsia="Arial" w:hAnsi="Arial" w:cs="Arial"/>
        </w:rPr>
        <w:t>. 2021;27(2):1–22. doi:10.46292/sci2702-1.</w:t>
      </w:r>
    </w:p>
    <w:p w:rsidR="00311397" w:rsidRDefault="00311397">
      <w:pPr>
        <w:keepNext/>
        <w:pBdr>
          <w:top w:val="nil"/>
          <w:left w:val="nil"/>
          <w:bottom w:val="nil"/>
          <w:right w:val="nil"/>
          <w:between w:val="nil"/>
        </w:pBdr>
        <w:jc w:val="both"/>
        <w:rPr>
          <w:rFonts w:ascii="Arial" w:eastAsia="Arial" w:hAnsi="Arial" w:cs="Arial"/>
          <w:b/>
          <w:bCs/>
          <w:smallCaps/>
          <w:color w:val="000000"/>
          <w:sz w:val="22"/>
          <w:szCs w:val="22"/>
        </w:rPr>
      </w:pPr>
      <w:bookmarkStart w:id="1" w:name="_heading=h.ttjc72346jzx" w:colFirst="0" w:colLast="0"/>
      <w:bookmarkEnd w:id="1"/>
    </w:p>
    <w:p w:rsidR="00311397" w:rsidRDefault="00311397">
      <w:pPr>
        <w:keepNext/>
        <w:pBdr>
          <w:top w:val="nil"/>
          <w:left w:val="nil"/>
          <w:bottom w:val="nil"/>
          <w:right w:val="nil"/>
          <w:between w:val="nil"/>
        </w:pBdr>
        <w:jc w:val="both"/>
        <w:rPr>
          <w:rFonts w:ascii="Arial" w:eastAsia="Arial" w:hAnsi="Arial" w:cs="Arial"/>
          <w:b/>
          <w:bCs/>
          <w:smallCaps/>
          <w:color w:val="000000"/>
          <w:sz w:val="22"/>
          <w:szCs w:val="22"/>
        </w:rPr>
      </w:pPr>
    </w:p>
    <w:p w:rsidR="00311397" w:rsidRDefault="00311397">
      <w:pPr>
        <w:keepNext/>
        <w:pBdr>
          <w:top w:val="nil"/>
          <w:left w:val="nil"/>
          <w:bottom w:val="nil"/>
          <w:right w:val="nil"/>
          <w:between w:val="nil"/>
        </w:pBdr>
        <w:jc w:val="both"/>
        <w:rPr>
          <w:rFonts w:ascii="Arial" w:eastAsia="Arial" w:hAnsi="Arial" w:cs="Arial"/>
          <w:b/>
          <w:bCs/>
          <w:smallCaps/>
          <w:sz w:val="22"/>
          <w:szCs w:val="22"/>
        </w:rPr>
      </w:pPr>
    </w:p>
    <w:p w:rsidR="00311397" w:rsidRDefault="000E2E76">
      <w:pPr>
        <w:numPr>
          <w:ilvl w:val="0"/>
          <w:numId w:val="3"/>
        </w:numPr>
        <w:jc w:val="both"/>
        <w:rPr>
          <w:rFonts w:ascii="Arial" w:eastAsia="Arial" w:hAnsi="Arial" w:cs="Arial"/>
        </w:rPr>
      </w:pPr>
      <w:r>
        <w:rPr>
          <w:rFonts w:ascii="Arial" w:eastAsia="Arial" w:hAnsi="Arial" w:cs="Arial"/>
        </w:rPr>
        <w:t xml:space="preserve">7Langenfeld A, </w:t>
      </w:r>
      <w:proofErr w:type="spellStart"/>
      <w:r>
        <w:rPr>
          <w:rFonts w:ascii="Arial" w:eastAsia="Arial" w:hAnsi="Arial" w:cs="Arial"/>
        </w:rPr>
        <w:t>Baechler</w:t>
      </w:r>
      <w:proofErr w:type="spellEnd"/>
      <w:r>
        <w:rPr>
          <w:rFonts w:ascii="Arial" w:eastAsia="Arial" w:hAnsi="Arial" w:cs="Arial"/>
        </w:rPr>
        <w:t xml:space="preserve"> M, </w:t>
      </w:r>
      <w:proofErr w:type="spellStart"/>
      <w:r>
        <w:rPr>
          <w:rFonts w:ascii="Arial" w:eastAsia="Arial" w:hAnsi="Arial" w:cs="Arial"/>
        </w:rPr>
        <w:t>Swanenburg</w:t>
      </w:r>
      <w:proofErr w:type="spellEnd"/>
      <w:r>
        <w:rPr>
          <w:rFonts w:ascii="Arial" w:eastAsia="Arial" w:hAnsi="Arial" w:cs="Arial"/>
        </w:rPr>
        <w:t xml:space="preserve"> J, </w:t>
      </w:r>
      <w:proofErr w:type="spellStart"/>
      <w:r>
        <w:rPr>
          <w:rFonts w:ascii="Arial" w:eastAsia="Arial" w:hAnsi="Arial" w:cs="Arial"/>
        </w:rPr>
        <w:t>Mühlemann</w:t>
      </w:r>
      <w:proofErr w:type="spellEnd"/>
      <w:r>
        <w:rPr>
          <w:rFonts w:ascii="Arial" w:eastAsia="Arial" w:hAnsi="Arial" w:cs="Arial"/>
        </w:rPr>
        <w:t xml:space="preserve"> M, </w:t>
      </w:r>
      <w:proofErr w:type="spellStart"/>
      <w:r>
        <w:rPr>
          <w:rFonts w:ascii="Arial" w:eastAsia="Arial" w:hAnsi="Arial" w:cs="Arial"/>
        </w:rPr>
        <w:t>Nyirö</w:t>
      </w:r>
      <w:proofErr w:type="spellEnd"/>
      <w:r>
        <w:rPr>
          <w:rFonts w:ascii="Arial" w:eastAsia="Arial" w:hAnsi="Arial" w:cs="Arial"/>
        </w:rPr>
        <w:t xml:space="preserve"> L, </w:t>
      </w:r>
      <w:proofErr w:type="spellStart"/>
      <w:r>
        <w:rPr>
          <w:rFonts w:ascii="Arial" w:eastAsia="Arial" w:hAnsi="Arial" w:cs="Arial"/>
        </w:rPr>
        <w:t>Streuli</w:t>
      </w:r>
      <w:proofErr w:type="spellEnd"/>
      <w:r>
        <w:rPr>
          <w:rFonts w:ascii="Arial" w:eastAsia="Arial" w:hAnsi="Arial" w:cs="Arial"/>
        </w:rPr>
        <w:t xml:space="preserve"> D, et al. (2025). Systematic review on biomechanical effects of high-velocity, low amplitude spinal manipulation. </w:t>
      </w:r>
      <w:proofErr w:type="spellStart"/>
      <w:r>
        <w:rPr>
          <w:rFonts w:ascii="Arial" w:eastAsia="Arial" w:hAnsi="Arial" w:cs="Arial"/>
        </w:rPr>
        <w:t>PLoS</w:t>
      </w:r>
      <w:proofErr w:type="spellEnd"/>
      <w:r>
        <w:rPr>
          <w:rFonts w:ascii="Arial" w:eastAsia="Arial" w:hAnsi="Arial" w:cs="Arial"/>
        </w:rPr>
        <w:t xml:space="preserve"> One, 20(7), e0328048.</w:t>
      </w:r>
    </w:p>
    <w:p w:rsidR="00311397" w:rsidRDefault="000E2E76">
      <w:pPr>
        <w:numPr>
          <w:ilvl w:val="0"/>
          <w:numId w:val="3"/>
        </w:numPr>
        <w:jc w:val="both"/>
        <w:rPr>
          <w:rFonts w:ascii="Arial" w:eastAsia="Arial" w:hAnsi="Arial" w:cs="Arial"/>
        </w:rPr>
      </w:pPr>
      <w:r>
        <w:rPr>
          <w:rFonts w:ascii="Arial" w:eastAsia="Arial" w:hAnsi="Arial" w:cs="Arial"/>
        </w:rPr>
        <w:t xml:space="preserve">8Sharma A, </w:t>
      </w:r>
      <w:proofErr w:type="spellStart"/>
      <w:r>
        <w:rPr>
          <w:rFonts w:ascii="Arial" w:eastAsia="Arial" w:hAnsi="Arial" w:cs="Arial"/>
        </w:rPr>
        <w:t>Alahmari</w:t>
      </w:r>
      <w:proofErr w:type="spellEnd"/>
      <w:r>
        <w:rPr>
          <w:rFonts w:ascii="Arial" w:eastAsia="Arial" w:hAnsi="Arial" w:cs="Arial"/>
        </w:rPr>
        <w:t xml:space="preserve"> K &amp; Ahmed I. (2015). Efficacy of manual therapy versus conventional physical therapy in chronic low back pain due to lumbar spondylosis. A pilot </w:t>
      </w:r>
      <w:proofErr w:type="gramStart"/>
      <w:r>
        <w:rPr>
          <w:rFonts w:ascii="Arial" w:eastAsia="Arial" w:hAnsi="Arial" w:cs="Arial"/>
        </w:rPr>
        <w:t>study</w:t>
      </w:r>
      <w:proofErr w:type="gramEnd"/>
      <w:r>
        <w:rPr>
          <w:rFonts w:ascii="Arial" w:eastAsia="Arial" w:hAnsi="Arial" w:cs="Arial"/>
        </w:rPr>
        <w:t>. Medical Sciences, 3(3), 55-63.</w:t>
      </w:r>
    </w:p>
    <w:p w:rsidR="00311397" w:rsidRDefault="000E2E76">
      <w:pPr>
        <w:numPr>
          <w:ilvl w:val="0"/>
          <w:numId w:val="3"/>
        </w:numPr>
        <w:jc w:val="both"/>
        <w:rPr>
          <w:rFonts w:ascii="Arial" w:eastAsia="Arial" w:hAnsi="Arial" w:cs="Arial"/>
        </w:rPr>
      </w:pPr>
      <w:r>
        <w:rPr>
          <w:rFonts w:ascii="Arial" w:eastAsia="Arial" w:hAnsi="Arial" w:cs="Arial"/>
        </w:rPr>
        <w:t xml:space="preserve">9Maigne JY, &amp; </w:t>
      </w:r>
      <w:proofErr w:type="spellStart"/>
      <w:r>
        <w:rPr>
          <w:rFonts w:ascii="Arial" w:eastAsia="Arial" w:hAnsi="Arial" w:cs="Arial"/>
        </w:rPr>
        <w:t>Vautravers</w:t>
      </w:r>
      <w:proofErr w:type="spellEnd"/>
      <w:r>
        <w:rPr>
          <w:rFonts w:ascii="Arial" w:eastAsia="Arial" w:hAnsi="Arial" w:cs="Arial"/>
        </w:rPr>
        <w:t xml:space="preserve"> P. (2003). Mechanism of action of spinal manipulative therapy. Joint bone spine, 70(5), 336-341.</w:t>
      </w:r>
    </w:p>
    <w:p w:rsidR="00311397" w:rsidRDefault="000E2E76">
      <w:pPr>
        <w:numPr>
          <w:ilvl w:val="0"/>
          <w:numId w:val="3"/>
        </w:numPr>
        <w:jc w:val="both"/>
        <w:rPr>
          <w:rFonts w:ascii="Arial" w:eastAsia="Arial" w:hAnsi="Arial" w:cs="Arial"/>
        </w:rPr>
      </w:pPr>
      <w:r>
        <w:rPr>
          <w:rFonts w:ascii="Arial" w:eastAsia="Arial" w:hAnsi="Arial" w:cs="Arial"/>
        </w:rPr>
        <w:t xml:space="preserve">10Gyer G, Michael J, </w:t>
      </w:r>
      <w:proofErr w:type="spellStart"/>
      <w:r>
        <w:rPr>
          <w:rFonts w:ascii="Arial" w:eastAsia="Arial" w:hAnsi="Arial" w:cs="Arial"/>
        </w:rPr>
        <w:t>Inklebarger</w:t>
      </w:r>
      <w:proofErr w:type="spellEnd"/>
      <w:r>
        <w:rPr>
          <w:rFonts w:ascii="Arial" w:eastAsia="Arial" w:hAnsi="Arial" w:cs="Arial"/>
        </w:rPr>
        <w:t xml:space="preserve"> J, &amp; </w:t>
      </w:r>
      <w:proofErr w:type="spellStart"/>
      <w:r>
        <w:rPr>
          <w:rFonts w:ascii="Arial" w:eastAsia="Arial" w:hAnsi="Arial" w:cs="Arial"/>
        </w:rPr>
        <w:t>Tedla</w:t>
      </w:r>
      <w:proofErr w:type="spellEnd"/>
      <w:r>
        <w:rPr>
          <w:rFonts w:ascii="Arial" w:eastAsia="Arial" w:hAnsi="Arial" w:cs="Arial"/>
        </w:rPr>
        <w:t xml:space="preserve"> JS. (2019). Spinal manipulation therapy: Is it all about the brain? A current review of the neurophysiological effects of manipulation. Journal of integrative medicine, 17(5), 328-337.</w:t>
      </w:r>
    </w:p>
    <w:p w:rsidR="00311397" w:rsidRDefault="000E2E76">
      <w:pPr>
        <w:numPr>
          <w:ilvl w:val="0"/>
          <w:numId w:val="3"/>
        </w:numPr>
        <w:jc w:val="both"/>
        <w:rPr>
          <w:rFonts w:ascii="Arial" w:eastAsia="Arial" w:hAnsi="Arial" w:cs="Arial"/>
        </w:rPr>
      </w:pPr>
      <w:r>
        <w:rPr>
          <w:rFonts w:ascii="Arial" w:eastAsia="Arial" w:hAnsi="Arial" w:cs="Arial"/>
        </w:rPr>
        <w:t xml:space="preserve">11Puentedura EJ, March J, Anders J, Perez A, Lander MR, </w:t>
      </w:r>
      <w:proofErr w:type="spellStart"/>
      <w:r>
        <w:rPr>
          <w:rFonts w:ascii="Arial" w:eastAsia="Arial" w:hAnsi="Arial" w:cs="Arial"/>
        </w:rPr>
        <w:t>Wallmann</w:t>
      </w:r>
      <w:proofErr w:type="spellEnd"/>
      <w:r>
        <w:rPr>
          <w:rFonts w:ascii="Arial" w:eastAsia="Arial" w:hAnsi="Arial" w:cs="Arial"/>
        </w:rPr>
        <w:t xml:space="preserve"> HW, et al. (2012). Safety of cervical spine manipulation: are adverse events preventable and are manipulations being performed appropriately? A review of 134 case reports. Journal of Manual &amp; Manipulative Therapy, 20(2), 66-74.</w:t>
      </w:r>
    </w:p>
    <w:p w:rsidR="00311397" w:rsidRDefault="000E2E76">
      <w:pPr>
        <w:numPr>
          <w:ilvl w:val="0"/>
          <w:numId w:val="3"/>
        </w:numPr>
        <w:jc w:val="both"/>
        <w:rPr>
          <w:rFonts w:ascii="Arial" w:eastAsia="Arial" w:hAnsi="Arial" w:cs="Arial"/>
        </w:rPr>
      </w:pPr>
      <w:r>
        <w:rPr>
          <w:rFonts w:ascii="Arial" w:eastAsia="Arial" w:hAnsi="Arial" w:cs="Arial"/>
        </w:rPr>
        <w:t>12Ernst E. Adverse effects of spinal manipulation: a systematic review. Journal of the Royal Society of Medicine. 2007;100(7):330-338. doi:10.1177/014107680710000716</w:t>
      </w:r>
    </w:p>
    <w:p w:rsidR="00311397" w:rsidRDefault="000E2E76">
      <w:pPr>
        <w:numPr>
          <w:ilvl w:val="0"/>
          <w:numId w:val="3"/>
        </w:numPr>
        <w:jc w:val="both"/>
        <w:rPr>
          <w:rFonts w:ascii="Arial" w:eastAsia="Arial" w:hAnsi="Arial" w:cs="Arial"/>
        </w:rPr>
      </w:pPr>
      <w:r>
        <w:rPr>
          <w:rFonts w:ascii="Arial" w:eastAsia="Arial" w:hAnsi="Arial" w:cs="Arial"/>
        </w:rPr>
        <w:t xml:space="preserve">13Bronfort G, Haas M, Evans R, </w:t>
      </w:r>
      <w:proofErr w:type="spellStart"/>
      <w:r>
        <w:rPr>
          <w:rFonts w:ascii="Arial" w:eastAsia="Arial" w:hAnsi="Arial" w:cs="Arial"/>
        </w:rPr>
        <w:t>Kawchuk</w:t>
      </w:r>
      <w:proofErr w:type="spellEnd"/>
      <w:r>
        <w:rPr>
          <w:rFonts w:ascii="Arial" w:eastAsia="Arial" w:hAnsi="Arial" w:cs="Arial"/>
        </w:rPr>
        <w:t xml:space="preserve"> G, </w:t>
      </w:r>
      <w:proofErr w:type="spellStart"/>
      <w:r>
        <w:rPr>
          <w:rFonts w:ascii="Arial" w:eastAsia="Arial" w:hAnsi="Arial" w:cs="Arial"/>
        </w:rPr>
        <w:t>Dagenais</w:t>
      </w:r>
      <w:proofErr w:type="spellEnd"/>
      <w:r>
        <w:rPr>
          <w:rFonts w:ascii="Arial" w:eastAsia="Arial" w:hAnsi="Arial" w:cs="Arial"/>
        </w:rPr>
        <w:t>, S. (2008). Evidence-informed management of chronic low back pain with spinal manipulation and mobilization. The Spine Journal, 8(1), 213-225.</w:t>
      </w:r>
    </w:p>
    <w:p w:rsidR="00311397" w:rsidRDefault="000E2E76">
      <w:pPr>
        <w:numPr>
          <w:ilvl w:val="0"/>
          <w:numId w:val="3"/>
        </w:numPr>
        <w:jc w:val="both"/>
        <w:rPr>
          <w:rFonts w:ascii="Arial" w:eastAsia="Arial" w:hAnsi="Arial" w:cs="Arial"/>
        </w:rPr>
      </w:pPr>
      <w:r>
        <w:rPr>
          <w:rFonts w:ascii="Arial" w:eastAsia="Arial" w:hAnsi="Arial" w:cs="Arial"/>
        </w:rPr>
        <w:t>14Chung OM. (2002). MRI confirmed cervical cord injury caused by spinal manipulation in a Chinese patient. Spinal Cord, 40(4), 196-199.</w:t>
      </w:r>
    </w:p>
    <w:p w:rsidR="00311397" w:rsidRDefault="000E2E76">
      <w:pPr>
        <w:numPr>
          <w:ilvl w:val="0"/>
          <w:numId w:val="3"/>
        </w:numPr>
        <w:jc w:val="both"/>
        <w:rPr>
          <w:rFonts w:ascii="Arial" w:eastAsia="Arial" w:hAnsi="Arial" w:cs="Arial"/>
        </w:rPr>
      </w:pPr>
      <w:r>
        <w:rPr>
          <w:rFonts w:ascii="Arial" w:eastAsia="Arial" w:hAnsi="Arial" w:cs="Arial"/>
        </w:rPr>
        <w:t xml:space="preserve">15Chu ECP, Trager RJ, Lee LYK, &amp; </w:t>
      </w:r>
      <w:proofErr w:type="spellStart"/>
      <w:r>
        <w:rPr>
          <w:rFonts w:ascii="Arial" w:eastAsia="Arial" w:hAnsi="Arial" w:cs="Arial"/>
        </w:rPr>
        <w:t>Niazi</w:t>
      </w:r>
      <w:proofErr w:type="spellEnd"/>
      <w:r>
        <w:rPr>
          <w:rFonts w:ascii="Arial" w:eastAsia="Arial" w:hAnsi="Arial" w:cs="Arial"/>
        </w:rPr>
        <w:t xml:space="preserve"> IK. (2023). A retrospective analysis of the incidence of severe adverse events among recipients of chiropractic spinal manipulative therapy. Scientific reports, 13(1), 1254.</w:t>
      </w:r>
    </w:p>
    <w:p w:rsidR="00311397" w:rsidRDefault="000E2E76">
      <w:pPr>
        <w:numPr>
          <w:ilvl w:val="0"/>
          <w:numId w:val="3"/>
        </w:numPr>
        <w:jc w:val="both"/>
        <w:rPr>
          <w:rFonts w:ascii="Arial" w:eastAsia="Arial" w:hAnsi="Arial" w:cs="Arial"/>
        </w:rPr>
      </w:pPr>
      <w:r>
        <w:rPr>
          <w:rFonts w:ascii="Arial" w:eastAsia="Arial" w:hAnsi="Arial" w:cs="Arial"/>
        </w:rPr>
        <w:t xml:space="preserve">16Wilke HJ, </w:t>
      </w:r>
      <w:proofErr w:type="spellStart"/>
      <w:r>
        <w:rPr>
          <w:rFonts w:ascii="Arial" w:eastAsia="Arial" w:hAnsi="Arial" w:cs="Arial"/>
        </w:rPr>
        <w:t>Kienle</w:t>
      </w:r>
      <w:proofErr w:type="spellEnd"/>
      <w:r>
        <w:rPr>
          <w:rFonts w:ascii="Arial" w:eastAsia="Arial" w:hAnsi="Arial" w:cs="Arial"/>
        </w:rPr>
        <w:t xml:space="preserve"> A, Werner K, </w:t>
      </w:r>
      <w:proofErr w:type="spellStart"/>
      <w:r>
        <w:rPr>
          <w:rFonts w:ascii="Arial" w:eastAsia="Arial" w:hAnsi="Arial" w:cs="Arial"/>
        </w:rPr>
        <w:t>Liebsch</w:t>
      </w:r>
      <w:proofErr w:type="spellEnd"/>
      <w:r>
        <w:rPr>
          <w:rFonts w:ascii="Arial" w:eastAsia="Arial" w:hAnsi="Arial" w:cs="Arial"/>
        </w:rPr>
        <w:t xml:space="preserve"> C. (2025). Range of motion and neutral zone of all human spinal motion segments: A data collection of 30 years of in vitro experiments performed under standardized testing conditions. JOR spine, 8(1), e70052.</w:t>
      </w:r>
    </w:p>
    <w:p w:rsidR="00311397" w:rsidRDefault="000E2E76">
      <w:pPr>
        <w:numPr>
          <w:ilvl w:val="0"/>
          <w:numId w:val="3"/>
        </w:numPr>
        <w:jc w:val="both"/>
        <w:rPr>
          <w:rFonts w:ascii="Arial" w:eastAsia="Arial" w:hAnsi="Arial" w:cs="Arial"/>
        </w:rPr>
      </w:pPr>
      <w:r>
        <w:rPr>
          <w:rFonts w:ascii="Arial" w:eastAsia="Arial" w:hAnsi="Arial" w:cs="Arial"/>
        </w:rPr>
        <w:t xml:space="preserve">17Kirnaz S, </w:t>
      </w:r>
      <w:proofErr w:type="spellStart"/>
      <w:r>
        <w:rPr>
          <w:rFonts w:ascii="Arial" w:eastAsia="Arial" w:hAnsi="Arial" w:cs="Arial"/>
        </w:rPr>
        <w:t>Capadona</w:t>
      </w:r>
      <w:proofErr w:type="spellEnd"/>
      <w:r>
        <w:rPr>
          <w:rFonts w:ascii="Arial" w:eastAsia="Arial" w:hAnsi="Arial" w:cs="Arial"/>
        </w:rPr>
        <w:t xml:space="preserve"> C, </w:t>
      </w:r>
      <w:proofErr w:type="spellStart"/>
      <w:r>
        <w:rPr>
          <w:rFonts w:ascii="Arial" w:eastAsia="Arial" w:hAnsi="Arial" w:cs="Arial"/>
        </w:rPr>
        <w:t>Lintz</w:t>
      </w:r>
      <w:proofErr w:type="spellEnd"/>
      <w:r>
        <w:rPr>
          <w:rFonts w:ascii="Arial" w:eastAsia="Arial" w:hAnsi="Arial" w:cs="Arial"/>
        </w:rPr>
        <w:t xml:space="preserve"> M, Kim B, </w:t>
      </w:r>
      <w:proofErr w:type="spellStart"/>
      <w:r>
        <w:rPr>
          <w:rFonts w:ascii="Arial" w:eastAsia="Arial" w:hAnsi="Arial" w:cs="Arial"/>
        </w:rPr>
        <w:t>Yerden</w:t>
      </w:r>
      <w:proofErr w:type="spellEnd"/>
      <w:r>
        <w:rPr>
          <w:rFonts w:ascii="Arial" w:eastAsia="Arial" w:hAnsi="Arial" w:cs="Arial"/>
        </w:rPr>
        <w:t xml:space="preserve"> R, Goldberg JL, et al. (2021). </w:t>
      </w:r>
      <w:proofErr w:type="spellStart"/>
      <w:r>
        <w:rPr>
          <w:rFonts w:ascii="Arial" w:eastAsia="Arial" w:hAnsi="Arial" w:cs="Arial"/>
        </w:rPr>
        <w:t>Pathomechanism</w:t>
      </w:r>
      <w:proofErr w:type="spellEnd"/>
      <w:r>
        <w:rPr>
          <w:rFonts w:ascii="Arial" w:eastAsia="Arial" w:hAnsi="Arial" w:cs="Arial"/>
        </w:rPr>
        <w:t xml:space="preserve"> and biomechanics of degenerative disc disease: features of healthy and degenerated discs. International journal of spine surgery, 15(s1), 10-25.</w:t>
      </w:r>
    </w:p>
    <w:p w:rsidR="00311397" w:rsidRDefault="000E2E76">
      <w:pPr>
        <w:numPr>
          <w:ilvl w:val="0"/>
          <w:numId w:val="3"/>
        </w:numPr>
        <w:jc w:val="both"/>
        <w:rPr>
          <w:rFonts w:ascii="Arial" w:eastAsia="Arial" w:hAnsi="Arial" w:cs="Arial"/>
        </w:rPr>
      </w:pPr>
      <w:r>
        <w:rPr>
          <w:rFonts w:ascii="Arial" w:eastAsia="Arial" w:hAnsi="Arial" w:cs="Arial"/>
        </w:rPr>
        <w:t>18D’Aprile P, Tarantino A. (2021). Biomechanics of the Spine. In MRI of Degenerative Disease of the Spine: A Case-Based Atlas (pp. 3-9). Cham: Springer International Publishing.</w:t>
      </w:r>
    </w:p>
    <w:p w:rsidR="00311397" w:rsidRDefault="000E2E76">
      <w:pPr>
        <w:numPr>
          <w:ilvl w:val="0"/>
          <w:numId w:val="3"/>
        </w:numPr>
        <w:jc w:val="both"/>
        <w:rPr>
          <w:rFonts w:ascii="Arial" w:eastAsia="Arial" w:hAnsi="Arial" w:cs="Arial"/>
        </w:rPr>
      </w:pPr>
      <w:r>
        <w:rPr>
          <w:rFonts w:ascii="Arial" w:eastAsia="Arial" w:hAnsi="Arial" w:cs="Arial"/>
        </w:rPr>
        <w:t>19Xia G, Yu H, Jiang S, Peng X, Fu X, Chen Q, et al. (2024). Biomechanical characteristics of thoracic T10 bone tumor metastasis at different locations: three-dimensional finite element analysis. Chinese Journal of Tissue Engineering Research, 28(36), 5759.</w:t>
      </w:r>
    </w:p>
    <w:p w:rsidR="00311397" w:rsidRDefault="00311397">
      <w:pPr>
        <w:pBdr>
          <w:top w:val="nil"/>
          <w:left w:val="nil"/>
          <w:bottom w:val="nil"/>
          <w:right w:val="nil"/>
          <w:between w:val="nil"/>
        </w:pBdr>
        <w:ind w:left="360" w:hanging="360"/>
        <w:jc w:val="both"/>
        <w:rPr>
          <w:rFonts w:ascii="Arial" w:eastAsia="Arial" w:hAnsi="Arial" w:cs="Arial"/>
          <w:color w:val="000000"/>
        </w:rPr>
        <w:sectPr w:rsidR="00311397">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sectPr>
      </w:pPr>
    </w:p>
    <w:p w:rsidR="00311397" w:rsidRDefault="00311397">
      <w:pPr>
        <w:keepNext/>
        <w:pBdr>
          <w:top w:val="nil"/>
          <w:left w:val="nil"/>
          <w:bottom w:val="nil"/>
          <w:right w:val="nil"/>
          <w:between w:val="nil"/>
        </w:pBdr>
        <w:jc w:val="both"/>
        <w:rPr>
          <w:rFonts w:ascii="Arial" w:eastAsia="Arial" w:hAnsi="Arial" w:cs="Arial"/>
          <w:smallCaps/>
          <w:color w:val="000000"/>
          <w:sz w:val="22"/>
          <w:szCs w:val="22"/>
        </w:rPr>
      </w:pPr>
    </w:p>
    <w:sectPr w:rsidR="00311397">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2E76" w:rsidRDefault="000E2E76">
      <w:r>
        <w:separator/>
      </w:r>
    </w:p>
  </w:endnote>
  <w:endnote w:type="continuationSeparator" w:id="0">
    <w:p w:rsidR="000E2E76" w:rsidRDefault="000E2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3BC8C75E-4A7E-45E9-B8C4-C1C60F5E43D5}"/>
    <w:embedBold r:id="rId2" w:fontKey="{C3F72976-8624-4C23-BEDB-30205EA21107}"/>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3964D7A5-5E89-4114-8BA9-E481BFA729D5}"/>
    <w:embedBold r:id="rId4" w:fontKey="{0B2F1E6B-F22C-4CF3-822A-F74FC4414875}"/>
  </w:font>
  <w:font w:name="Helvetica">
    <w:panose1 w:val="020B0604020202020204"/>
    <w:charset w:val="00"/>
    <w:family w:val="swiss"/>
    <w:pitch w:val="variable"/>
    <w:sig w:usb0="E0002EFF" w:usb1="C000785B" w:usb2="00000009" w:usb3="00000000" w:csb0="000001FF" w:csb1="00000000"/>
    <w:embedRegular r:id="rId5" w:fontKey="{14440190-801C-4717-9EE8-F4C6164DB9CE}"/>
  </w:font>
  <w:font w:name="Tahoma">
    <w:panose1 w:val="020B0604030504040204"/>
    <w:charset w:val="00"/>
    <w:family w:val="swiss"/>
    <w:pitch w:val="variable"/>
    <w:sig w:usb0="E1002EFF" w:usb1="C000605B" w:usb2="00000029" w:usb3="00000000" w:csb0="000101FF" w:csb1="00000000"/>
    <w:embedRegular r:id="rId6" w:fontKey="{BCA7320F-334E-4BC6-9C6E-D3E5586A4BDC}"/>
  </w:font>
  <w:font w:name="Georgia">
    <w:panose1 w:val="02040502050405020303"/>
    <w:charset w:val="00"/>
    <w:family w:val="roman"/>
    <w:pitch w:val="variable"/>
    <w:sig w:usb0="00000287" w:usb1="00000000" w:usb2="00000000" w:usb3="00000000" w:csb0="0000009F" w:csb1="00000000"/>
    <w:embedItalic r:id="rId7" w:fontKey="{1F73008C-1C17-47B4-8EF9-72B68D2ED29D}"/>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E9D8DE05-7F19-4304-B827-A6CB1B6418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397" w:rsidRDefault="0031139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397" w:rsidRDefault="000E2E76">
    <w:pPr>
      <w:pBdr>
        <w:top w:val="nil"/>
        <w:left w:val="nil"/>
        <w:bottom w:val="nil"/>
        <w:right w:val="nil"/>
        <w:between w:val="nil"/>
      </w:pBdr>
      <w:tabs>
        <w:tab w:val="center" w:pos="4320"/>
        <w:tab w:val="right" w:pos="8640"/>
      </w:tabs>
      <w:rPr>
        <w:color w:val="000000"/>
      </w:rPr>
    </w:pPr>
    <w:r>
      <w:rPr>
        <w:color w:val="00000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397" w:rsidRDefault="00311397">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311397" w:rsidRDefault="000E2E76">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311397" w:rsidRDefault="00311397">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311397" w:rsidRDefault="000E2E76">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397" w:rsidRDefault="0031139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2E76" w:rsidRDefault="000E2E76">
      <w:r>
        <w:separator/>
      </w:r>
    </w:p>
  </w:footnote>
  <w:footnote w:type="continuationSeparator" w:id="0">
    <w:p w:rsidR="000E2E76" w:rsidRDefault="000E2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397" w:rsidRDefault="000E2E76">
    <w:pPr>
      <w:pBdr>
        <w:top w:val="nil"/>
        <w:left w:val="nil"/>
        <w:bottom w:val="nil"/>
        <w:right w:val="nil"/>
        <w:between w:val="nil"/>
      </w:pBdr>
      <w:tabs>
        <w:tab w:val="center" w:pos="4320"/>
        <w:tab w:val="right" w:pos="8640"/>
      </w:tabs>
      <w:rPr>
        <w:color w:val="000000"/>
      </w:rPr>
    </w:pPr>
    <w:r>
      <w:rPr>
        <w:noProof/>
      </w:rPr>
      <mc:AlternateContent>
        <mc:Choice Requires="wpg">
          <w:drawing>
            <wp:anchor distT="0" distB="0" distL="0" distR="0" simplePos="0" relativeHeight="251656192" behindDoc="1" locked="0" layoutInCell="1" hidden="0" allowOverlap="1">
              <wp:simplePos x="0" y="0"/>
              <wp:positionH relativeFrom="margin">
                <wp:align>center</wp:align>
              </wp:positionH>
              <wp:positionV relativeFrom="margin">
                <wp:align>center</wp:align>
              </wp:positionV>
              <wp:extent cx="7380106" cy="7380106"/>
              <wp:effectExtent l="0" t="0" r="0" b="0"/>
              <wp:wrapNone/>
              <wp:docPr id="19" name="Rectangle 19"/>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a:noFill/>
                      <a:ln>
                        <a:noFill/>
                      </a:ln>
                    </wps:spPr>
                    <wps:txbx>
                      <w:txbxContent>
                        <w:p w:rsidR="00311397" w:rsidRDefault="000E2E76">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7380106" cy="7380106"/>
              <wp:effectExtent b="0" l="0" r="0" t="0"/>
              <wp:wrapNone/>
              <wp:docPr id="19"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7380106" cy="7380106"/>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397" w:rsidRDefault="000E2E76">
    <w:pPr>
      <w:pBdr>
        <w:top w:val="nil"/>
        <w:left w:val="nil"/>
        <w:bottom w:val="nil"/>
        <w:right w:val="nil"/>
        <w:between w:val="nil"/>
      </w:pBdr>
      <w:tabs>
        <w:tab w:val="center" w:pos="4320"/>
        <w:tab w:val="right" w:pos="8640"/>
      </w:tabs>
      <w:rPr>
        <w:color w:val="000000"/>
      </w:rPr>
    </w:pPr>
    <w:r>
      <w:rPr>
        <w:noProof/>
      </w:rPr>
      <mc:AlternateContent>
        <mc:Choice Requires="wpg">
          <w:drawing>
            <wp:anchor distT="0" distB="0" distL="0" distR="0" simplePos="0" relativeHeight="251655168" behindDoc="1" locked="0" layoutInCell="1" hidden="0" allowOverlap="1">
              <wp:simplePos x="0" y="0"/>
              <wp:positionH relativeFrom="margin">
                <wp:align>center</wp:align>
              </wp:positionH>
              <wp:positionV relativeFrom="margin">
                <wp:align>center</wp:align>
              </wp:positionV>
              <wp:extent cx="7380106" cy="7380106"/>
              <wp:effectExtent l="0" t="0" r="0" b="0"/>
              <wp:wrapNone/>
              <wp:docPr id="18" name="Rectangle 18"/>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a:noFill/>
                      <a:ln>
                        <a:noFill/>
                      </a:ln>
                    </wps:spPr>
                    <wps:txbx>
                      <w:txbxContent>
                        <w:p w:rsidR="00311397" w:rsidRDefault="000E2E76">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7380106" cy="7380106"/>
              <wp:effectExtent b="0" l="0" r="0" t="0"/>
              <wp:wrapNone/>
              <wp:docPr id="18"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7380106" cy="7380106"/>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397" w:rsidRDefault="00763C03">
    <w:pPr>
      <w:ind w:left="2160"/>
      <w:jc w:val="center"/>
      <w:rPr>
        <w:rFonts w:ascii="Times New Roman" w:eastAsia="Times New Roman" w:hAnsi="Times New Roman" w:cs="Times New Roman"/>
        <w:i/>
        <w:iCs/>
        <w:sz w:val="18"/>
        <w:szCs w:val="1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519.9pt;height:58.6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311397" w:rsidRDefault="000E2E76">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311397" w:rsidRDefault="000E2E76">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311397" w:rsidRDefault="000E2E76">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311397" w:rsidRDefault="000E2E76">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311397" w:rsidRDefault="000E2E76">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311397" w:rsidRDefault="000E2E76">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397" w:rsidRDefault="000E2E76">
    <w:pPr>
      <w:pBdr>
        <w:top w:val="nil"/>
        <w:left w:val="nil"/>
        <w:bottom w:val="nil"/>
        <w:right w:val="nil"/>
        <w:between w:val="nil"/>
      </w:pBdr>
      <w:tabs>
        <w:tab w:val="center" w:pos="4320"/>
        <w:tab w:val="right" w:pos="8640"/>
      </w:tabs>
      <w:rPr>
        <w:color w:val="000000"/>
      </w:rPr>
    </w:pPr>
    <w:r>
      <w:rPr>
        <w:noProof/>
        <w:color w:val="000000"/>
      </w:rPr>
      <mc:AlternateContent>
        <mc:Choice Requires="wpg">
          <w:drawing>
            <wp:anchor distT="0" distB="0" distL="0" distR="0" simplePos="0" relativeHeight="251659264" behindDoc="1" locked="0" layoutInCell="1" hidden="0" allowOverlap="1">
              <wp:simplePos x="0" y="0"/>
              <wp:positionH relativeFrom="margin">
                <wp:align>center</wp:align>
              </wp:positionH>
              <wp:positionV relativeFrom="margin">
                <wp:align>center</wp:align>
              </wp:positionV>
              <wp:extent cx="7380106" cy="7380106"/>
              <wp:effectExtent l="0" t="0" r="0" b="0"/>
              <wp:wrapNone/>
              <wp:docPr id="16" name="Rectangle 16"/>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a:noFill/>
                      <a:ln>
                        <a:noFill/>
                      </a:ln>
                    </wps:spPr>
                    <wps:txbx>
                      <w:txbxContent>
                        <w:p w:rsidR="00311397" w:rsidRDefault="000E2E76">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7380106" cy="7380106"/>
              <wp:effectExtent b="0" l="0" r="0" t="0"/>
              <wp:wrapNone/>
              <wp:docPr id="16"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380106" cy="7380106"/>
                      </a:xfrm>
                      <a:prstGeom prst="rect"/>
                      <a:ln/>
                    </pic:spPr>
                  </pic:pic>
                </a:graphicData>
              </a:graphic>
            </wp:anchor>
          </w:drawing>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397" w:rsidRDefault="000E2E76">
    <w:pPr>
      <w:pBdr>
        <w:top w:val="nil"/>
        <w:left w:val="nil"/>
        <w:bottom w:val="nil"/>
        <w:right w:val="nil"/>
        <w:between w:val="nil"/>
      </w:pBdr>
      <w:tabs>
        <w:tab w:val="center" w:pos="4320"/>
        <w:tab w:val="right" w:pos="8640"/>
      </w:tabs>
      <w:rPr>
        <w:color w:val="000000"/>
      </w:rPr>
    </w:pPr>
    <w:r>
      <w:rPr>
        <w:noProof/>
        <w:color w:val="000000"/>
      </w:rPr>
      <mc:AlternateContent>
        <mc:Choice Requires="wpg">
          <w:drawing>
            <wp:anchor distT="0" distB="0" distL="0" distR="0" simplePos="0" relativeHeight="251657216" behindDoc="1" locked="0" layoutInCell="1" hidden="0" allowOverlap="1">
              <wp:simplePos x="0" y="0"/>
              <wp:positionH relativeFrom="margin">
                <wp:align>center</wp:align>
              </wp:positionH>
              <wp:positionV relativeFrom="margin">
                <wp:align>center</wp:align>
              </wp:positionV>
              <wp:extent cx="7380106" cy="7380106"/>
              <wp:effectExtent l="0" t="0" r="0" b="0"/>
              <wp:wrapNone/>
              <wp:docPr id="20" name="Rectangle 20"/>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a:noFill/>
                      <a:ln>
                        <a:noFill/>
                      </a:ln>
                    </wps:spPr>
                    <wps:txbx>
                      <w:txbxContent>
                        <w:p w:rsidR="00311397" w:rsidRDefault="000E2E76">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7380106" cy="7380106"/>
              <wp:effectExtent b="0" l="0" r="0" t="0"/>
              <wp:wrapNone/>
              <wp:docPr id="20"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7380106" cy="7380106"/>
                      </a:xfrm>
                      <a:prstGeom prst="rect"/>
                      <a:ln/>
                    </pic:spPr>
                  </pic:pic>
                </a:graphicData>
              </a:graphic>
            </wp:anchor>
          </w:drawing>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397" w:rsidRDefault="000E2E76">
    <w:pPr>
      <w:pBdr>
        <w:top w:val="nil"/>
        <w:left w:val="nil"/>
        <w:bottom w:val="nil"/>
        <w:right w:val="nil"/>
        <w:between w:val="nil"/>
      </w:pBdr>
      <w:tabs>
        <w:tab w:val="center" w:pos="4320"/>
        <w:tab w:val="right" w:pos="8640"/>
      </w:tabs>
      <w:rPr>
        <w:color w:val="000000"/>
      </w:rPr>
    </w:pPr>
    <w:r>
      <w:rPr>
        <w:noProof/>
        <w:color w:val="000000"/>
      </w:rPr>
      <mc:AlternateContent>
        <mc:Choice Requires="wpg">
          <w:drawing>
            <wp:anchor distT="0" distB="0" distL="0" distR="0" simplePos="0" relativeHeight="251658240" behindDoc="1" locked="0" layoutInCell="1" hidden="0" allowOverlap="1">
              <wp:simplePos x="0" y="0"/>
              <wp:positionH relativeFrom="margin">
                <wp:align>center</wp:align>
              </wp:positionH>
              <wp:positionV relativeFrom="margin">
                <wp:align>center</wp:align>
              </wp:positionV>
              <wp:extent cx="7380106" cy="7380106"/>
              <wp:effectExtent l="0" t="0" r="0" b="0"/>
              <wp:wrapNone/>
              <wp:docPr id="21" name="Rectangle 21"/>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a:noFill/>
                      <a:ln>
                        <a:noFill/>
                      </a:ln>
                    </wps:spPr>
                    <wps:txbx>
                      <w:txbxContent>
                        <w:p w:rsidR="00311397" w:rsidRDefault="000E2E76">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7380106" cy="7380106"/>
              <wp:effectExtent b="0" l="0" r="0" t="0"/>
              <wp:wrapNone/>
              <wp:docPr id="21"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7380106" cy="7380106"/>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563BA1"/>
    <w:multiLevelType w:val="multilevel"/>
    <w:tmpl w:val="93F6B47A"/>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E493990"/>
    <w:multiLevelType w:val="multilevel"/>
    <w:tmpl w:val="2912EC9A"/>
    <w:lvl w:ilvl="0">
      <w:start w:val="1"/>
      <w:numFmt w:val="decimal"/>
      <w:pStyle w:val="Reference"/>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893695B"/>
    <w:multiLevelType w:val="multilevel"/>
    <w:tmpl w:val="3C5289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hideGrammaticalError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0MDEwMTIwM7A0MzJV0lEKTi0uzszPAykwrAUAVWDi/ywAAAA="/>
  </w:docVars>
  <w:rsids>
    <w:rsidRoot w:val="00311397"/>
    <w:rsid w:val="000E2E76"/>
    <w:rsid w:val="00311397"/>
    <w:rsid w:val="00763C03"/>
    <w:rsid w:val="007851FF"/>
    <w:rsid w:val="009A6F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1A2866B"/>
  <w15:docId w15:val="{B6F6BF25-1B79-4C6E-8C9D-21B1E747C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journals.eco-vector.com/2078-1962/article/view/667401"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doi.org/10.1136/bmjopen-2024-09868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s://www.google.com/search?q=https://doi.org/10.1136/bmjopen-2024-09868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97/BRS.0b013e3181644600" TargetMode="Externa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https://doi.org/10.1097/brs.0000000000000725" TargetMode="Externa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journals.eco-vector.com/2078-1962/article/view/66740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yperlink" Target="https://www.google.com/search?q=https://doi.org/10.1097/brs.0000000000000725" TargetMode="External"/><Relationship Id="rId27" Type="http://schemas.openxmlformats.org/officeDocument/2006/relationships/footer" Target="foot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a95qIwUY2V3gZMgUUz3jYZN6A==">CgMxLjAaJwoBMBIiCiAIAhocChh1djF6SXNicGZTVzJLWnRkYitpU0N3PT0SABonCgExEiIKIAgCGhwKGG5ZMHRXckVyVVZHQ3BRWDFUYmYxT0E9PRIAGicKATISIgogCAIaHAoYZWoxR2lUdmFFVzlyVm5ZS21LcjJNUT09EgAaJwoBMxIiCiAIAhocChhmQmVuSXNISU5XTmd4aVpHWVdJZyt3PT0SABonCgE0EiIKIAgCGhwKGFVqSWoxc2IraDVqdzF3ODNiL3ladUE9PRIAGicKATUSIgogCAIaHAoYU1pRRjd2Y0lzcWpVNUhYV2J6QW1RZz09EgAaJwoBNhIiCiAIAhocChhURXJBYjlJZFl4OThJVE1QcUFKd0FnPT0SABonCgE3EiIKIAgCGhwKGHM4dFFubmhYVGNNMzYxYW5leVhKN0E9PRIAGicKATgSIgogCAIaHAoYeE1wQ09LQzVJNElOekZDYWIzV0Vtdz09EgAaJwoBORIiCiAIAhocChhjck1xSDNWTG9jQ2JOcFhneTJ6ZWZ3PT0SABooCgIxMBIiCiAIAhocChhhZklmZDlXWEhwTUZOS2hhU1FHZk93PT0SABooCgIxMRIiCiAIAhocChhBY2E1OUQzb3BIdFgvcUJtZlhQM0dRPT0SABooCgIxMhIiCiAIAhocChgrSXF4cjhXUXljT25vV014Y2hDTW1BPT0SABooCgIxMxIiCiAIAhocChhEV0g0Tnd5dEhVRXZnTGhORkQ0U1Z3PT0SABooCgIxNBIiCiAIAhocChh2d29vRmg0aVU2SjRJQW5vQ3lmeGF3PT0SABooCgIxNRIiCiAIAhocChhIMUNZeVJ0eWdSRGRyc2FKdkh5b2h3PT0SABooCgIxNhIiCiAIAhocChh5QjV5aloxTUwyTnZCbitKekJTR0xBPT0SABooCgIxNxIiCiAIAhocChhZMlRUOFBTVnRxdWR6NDA3WEc0TEFRPT0SABooCgIxOBIiCiAIAhocChhhZklmZDlXWEhwTUZOS2hhU1FHZk93PT0SABooCgIxORIiCiAIAhocChhBY2E1OUQzb3BIdFgvcUJtZlhQM0dRPT0SABooCgIyMBIiCiAIAhocChgrSXF4cjhXUXljT25vV014Y2hDTW1BPT0SABooCgIyMRIiCiAIAhocChg5aVBuV3ZNT1lydlhQVzMxdFF1M3RRPT0SABooCgIyMhIiCiAIAhocChhZRlVqWmhKRTRrMHFEaitVbVFydUdRPT0SABooCgIyMxIiCiAIAhocChhIMUNZeVJ0eWdSRGRyc2FKdkh5b2h3PT0SABooCgIyNBIiCiAIAhocChg3TXZJZmt0YzR2NG9NSS9aOHFlNjh3PT0SABooCgIyNRIiCiAIAhocChhHQ3ZneGMzTlVISzdHR1RON2swOWJnPT0SABooCgIyNhIiCiAIAhocChhPVmZ0dWNJTXJhVTJGM3NWWkpoTUt3PT0SABooCgIyNxIiCiAIAhocChhUYWkzNnl3L0lBZlBnamd6UkFIdlVRPT0SABooCgIyOBIiCiAIAhocChhkMzg2dDE5WlI5ckFqaVZFNjJKV1lnPT0SABooCgIyORIiCiAIAhocChg5aVBuV3ZNT1lydlhQVzMxdFF1M3RRPT0SABooCgIzMBIiCiAIAhocChhrUFRiS0trdDQxeXVjb2FPWWMwNW13PT0SABooCgIzMRIiCiAIAhocChgvUFhJdlBUNE5wZmVBY25GUXJhNS93PT0SABooCgIzMhIiCiAIAhocChhxSC8yZWFMejV4MlJnYVo3ZFVJU0xBPT0SABooCgIzMxIiCiAIAhocChh0VHM2UFdxNURPQW1naWtWSEp2ZUVRPT0SABooCgIzNBIiCiAIAhocChhRL3hWMWl0ajNCRTZtdVFIYlZOSmx3PT0SABooCgIzNRIiCiAIAhocChhkMTd0UDFHZWxra3VyREpiVThlSFFBPT0SABooCgIzNhIiCiAIAhocChhFL2hObFEyMG0wR0l3L1ZIZFpkcnl3PT0SABooCgIzNxIiCiAIAhocChg5aVBuV3ZNT1lydlhQVzMxdFF1M3RRPT0SABooCgIzOBIiCiAIAhocChhWakszS1pxdk1MQ3Nkdm5Wa045a213PT0SABooCgIzORIiCiAIAhocChhIMUNZeVJ0eWdSRGRyc2FKdkh5b2h3PT0SABooCgI0MBIiCiAIAhocChg1Tm83Zjd2T0kwWFhkeXNHZEtNWTFRPT0SABooCgI0MRIiCiAIAhocChhiMGtpOUZWb0ZocU0zMHJTS1o5dEl3PT0SABooCgI0MhIiCiAIAhocChhGUmtZOHArTzNoZWV0WWpFMGRaM1VnPT0SABooCgI0MxIiCiAIAhocChhhNGNTOTIzeEVsSWdsSzN1U0VyMkZnPT0SABooCgI0NBIiCiAIAhocChhUdHhwN0ZDN2hhSnhmdktZSWtMUWVBPT0SABooCgI0NRIiCiAIAhocChg5aVBuV3ZNT1lydlhQVzMxdFF1M3RRPT0SABooCgI0NhIiCiAIAhocChhFamJyaVJkNmNUNFM4d2ZlMDBkUVpnPT0SABooCgI0NxIiCiAIAhocChhIMUNZeVJ0eWdSRGRyc2FKdkh5b2h3PT0SABooCgI0OBIiCiAIAhocChhGbmtKSEZxSUQ2OXZ0ZVlJZnJHeTNBPT0SABooCgI0ORIiCiAIAhocChhGK1loWnZ5Rmh0K2swYndPRjBMQWl3PT0SABooCgI1MBIiCiAIAhocChhGUmtZOHArTzNoZWV0WWpFMGRaM1VnPT0SABooCgI1MRIiCiAIAhocChg1SzZRR3V4MktiL3llVHlOTVNIaW53PT0SABooCgI1MhIiCiAIAhocChhRY09pVGhRTzJzSFQ3SWl5cTBsaE9nPT0SABooCgI1MxIiCiAIAhocChhmOFZpY09lbkQ2Z2FXVFczTHF5K0tRPT0SABooCgI1NBIiCiAIAhocChhCdzJ1c01wU0FZNHV3d2xFZU0rLzhBPT0SABooCgI1NRIiCiAIAhocChhsOWlITSt5OXpZckhFSmdZNm8wMDN3PT0SABooCgI1NhIiCiAIAhocChhqeFRrWDg3cUZucGFOdDdkUytvbFF3PT0SABooCgI1NxIiCiAIAhocChhIRGc4MHd0OEtZcTFBcE90L3N0N0dBPT0SABooCgI1OBIiCiAIAhocChgzYkNJcnpvZlI0OUN3dlZPd2JKMjF3PT0SABooCgI1ORIiCiAIAhocChh0Znpubnh1MmlyYW5hdzJqVUpLTEd3PT0SABooCgI2MBIiCiAIAhocChhhNk9WaHF6YkcyU2dpMWc3MncxYlR3PT0SABooCgI2MRIiCiAIAhocChg5aVBuV3ZNT1lydlhQVzMxdFF1M3RRPT0SABooCgI2MhIiCiAIAhocChhWakszS1pxdk1MQ3Nkdm5Wa045a213PT0SABooCgI2MxIiCiAIAhocChhsOWlITSt5OXpZckhFSmdZNm8wMDN3PT0SABooCgI2NBIiCiAIAhocChh5ZkQ0bGZ1WXE1Rlo5Ui9RS1g0amJRPT0SABooCgI2NRIiCiAIAhocChgxa1dTRGpsZjdhMTd1KzBPeWovaTRBPT0SABooCgI2NhIiCiAIAhocChg5SDBlQkFQaFFCaTFWRjhEOXQxTW93PT0SABooCgI2NxIiCiAIAhocChhUYWkzNnl3L0lBZlBnamd6UkFIdlVRPT0SABooCgI2OBIiCiAIAhocChhxaGR6RFQva2JXekJsamZHcnR6bVJ3PT0SABooCgI2ORIiCiAIAhocChhmOFZpY09lbkQ2Z2FXVFczTHF5K0tRPT0SABooCgI3MBIiCiAIAhocChg5cEwrbldKRXNmbmtjVjNzTGFTbjJnPT0SABooCgI3MRIiCiAIAhocChhsOWlITSt5OXpZckhFSmdZNm8wMDN3PT0SABpZCgI3MhJTClEICVJNEiwxOUhDWGgtXy1ra3ZWVGw0Z1NXajd3d2ZqRE5UTjNqZExuU0s2RVlid08yOBoCEgAiGVtbbnVsbCxudWxsLCI2MDQ5NTE3NDkiXV0aJQoCNzMSHwodCAdCGQoFQXJpYWwSEEFyaWFsIFVuaWNvZGUgTVMyDmgudHRqYzcyMzQ2anp4OAByITFoUW1na1VjdEFFUVlmU3lOcE1JU1NQWWRlR25HQzZw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3505</Words>
  <Characters>19982</Characters>
  <Application>Microsoft Office Word</Application>
  <DocSecurity>0</DocSecurity>
  <Lines>166</Lines>
  <Paragraphs>46</Paragraphs>
  <ScaleCrop>false</ScaleCrop>
  <Company/>
  <LinksUpToDate>false</LinksUpToDate>
  <CharactersWithSpaces>23441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PC New 16</cp:lastModifiedBy>
  <cp:revision>4</cp:revision>
  <dcterms:created xsi:type="dcterms:W3CDTF">2014-10-25T14:34:00Z</dcterms:created>
  <dcterms:modified xsi:type="dcterms:W3CDTF">2026-03-04T13:25:00Z</dcterms:modified>
</cp:coreProperties>
</file>