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839F6" w14:textId="76518D97" w:rsidR="00754C9A" w:rsidRDefault="00B540BB" w:rsidP="00441B6F">
      <w:pPr>
        <w:pStyle w:val="Title"/>
        <w:spacing w:after="0"/>
        <w:jc w:val="both"/>
        <w:rPr>
          <w:rFonts w:ascii="Arial" w:hAnsi="Arial" w:cs="Arial"/>
          <w:u w:val="single"/>
        </w:rPr>
      </w:pPr>
      <w:r w:rsidRPr="00B540BB">
        <w:rPr>
          <w:rFonts w:ascii="Arial" w:hAnsi="Arial" w:cs="Arial"/>
          <w:u w:val="single"/>
        </w:rPr>
        <w:t>Original Research Article</w:t>
      </w:r>
    </w:p>
    <w:p w14:paraId="341A18CB" w14:textId="77777777" w:rsidR="009D1D25" w:rsidRPr="00B540BB" w:rsidRDefault="009D1D25" w:rsidP="00441B6F">
      <w:pPr>
        <w:pStyle w:val="Title"/>
        <w:spacing w:after="0"/>
        <w:jc w:val="both"/>
        <w:rPr>
          <w:rFonts w:ascii="Arial" w:hAnsi="Arial" w:cs="Arial"/>
          <w:u w:val="single"/>
        </w:rPr>
      </w:pPr>
    </w:p>
    <w:p w14:paraId="4C740D1D" w14:textId="77777777" w:rsidR="009D1D25" w:rsidRPr="009D1D25" w:rsidRDefault="009D1D25" w:rsidP="002725F7">
      <w:pPr>
        <w:pStyle w:val="Author"/>
        <w:spacing w:line="240" w:lineRule="auto"/>
        <w:jc w:val="center"/>
        <w:rPr>
          <w:rFonts w:ascii="Arial" w:hAnsi="Arial" w:cs="Arial"/>
          <w:sz w:val="36"/>
          <w:szCs w:val="28"/>
        </w:rPr>
      </w:pPr>
      <w:r w:rsidRPr="009D1D25">
        <w:rPr>
          <w:rFonts w:ascii="Arial" w:hAnsi="Arial" w:cs="Arial"/>
          <w:sz w:val="36"/>
          <w:szCs w:val="28"/>
        </w:rPr>
        <w:t>Histological and Histochemical Studies on the Hippocampus Induced with Lead acetate following Oral Administration of Ethanolic Cowpea Extract on Adult Male Wistar Rats</w:t>
      </w:r>
    </w:p>
    <w:p w14:paraId="6EA8B43A" w14:textId="77777777" w:rsidR="009D1D25" w:rsidRDefault="009D1D25" w:rsidP="002725F7">
      <w:pPr>
        <w:pStyle w:val="Author"/>
        <w:spacing w:line="240" w:lineRule="auto"/>
        <w:jc w:val="center"/>
        <w:rPr>
          <w:rFonts w:ascii="Arial" w:hAnsi="Arial" w:cs="Arial"/>
        </w:rPr>
      </w:pPr>
    </w:p>
    <w:p w14:paraId="5C4FE221" w14:textId="77777777" w:rsidR="00B540BB" w:rsidRDefault="00B540BB" w:rsidP="00636C5C">
      <w:pPr>
        <w:spacing w:before="240"/>
        <w:ind w:left="221"/>
        <w:jc w:val="center"/>
        <w:rPr>
          <w:rFonts w:ascii="Arial" w:hAnsi="Arial" w:cs="Arial"/>
          <w:bCs/>
        </w:rPr>
      </w:pPr>
    </w:p>
    <w:p w14:paraId="6A24EAC2" w14:textId="77777777" w:rsidR="00B540BB" w:rsidRPr="00636C5C" w:rsidRDefault="00B540BB" w:rsidP="00636C5C">
      <w:pPr>
        <w:spacing w:before="240"/>
        <w:ind w:left="221"/>
        <w:jc w:val="center"/>
        <w:rPr>
          <w:rFonts w:ascii="Arial" w:hAnsi="Arial" w:cs="Arial"/>
          <w:bCs/>
        </w:rPr>
      </w:pPr>
    </w:p>
    <w:p w14:paraId="7D30BFE6" w14:textId="77777777" w:rsidR="00B01FCD" w:rsidRPr="00FB3A86" w:rsidRDefault="00A85BE0" w:rsidP="00441B6F">
      <w:pPr>
        <w:pStyle w:val="Copyright"/>
        <w:spacing w:after="0" w:line="240" w:lineRule="auto"/>
        <w:jc w:val="both"/>
        <w:rPr>
          <w:rFonts w:ascii="Arial" w:hAnsi="Arial" w:cs="Arial"/>
        </w:rPr>
        <w:sectPr w:rsidR="00B01FCD" w:rsidRPr="00FB3A86" w:rsidSect="00DA55C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B3F035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3ECB8C" w14:textId="0C687F9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E1390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4B06C4D" w14:textId="77777777" w:rsidTr="001E44FE">
        <w:tc>
          <w:tcPr>
            <w:tcW w:w="9576" w:type="dxa"/>
            <w:shd w:val="clear" w:color="auto" w:fill="F2F2F2"/>
          </w:tcPr>
          <w:p w14:paraId="30664917" w14:textId="1F8D10D5" w:rsidR="00E03630" w:rsidRPr="00784252" w:rsidRDefault="00BA1B01" w:rsidP="00784252">
            <w:pPr>
              <w:pStyle w:val="Body"/>
              <w:spacing w:after="0"/>
              <w:rPr>
                <w:rFonts w:ascii="Arial" w:eastAsia="Calibri" w:hAnsi="Arial" w:cs="Arial"/>
              </w:rPr>
            </w:pPr>
            <w:r w:rsidRPr="00784252">
              <w:rPr>
                <w:rFonts w:ascii="Arial" w:eastAsia="Calibri" w:hAnsi="Arial" w:cs="Arial"/>
                <w:b/>
              </w:rPr>
              <w:t>Aim:</w:t>
            </w:r>
            <w:r w:rsidR="00315186" w:rsidRPr="00784252">
              <w:rPr>
                <w:rFonts w:ascii="Arial" w:eastAsia="Calibri" w:hAnsi="Arial" w:cs="Arial"/>
              </w:rPr>
              <w:t xml:space="preserve"> </w:t>
            </w:r>
            <w:r w:rsidR="007D6B6B">
              <w:t>This study aimed to ascertain</w:t>
            </w:r>
            <w:r w:rsidR="00CD05DB" w:rsidRPr="00784252">
              <w:t xml:space="preserve"> the neuroprotective effects of Vigna unguiculata on adult male </w:t>
            </w:r>
            <w:proofErr w:type="spellStart"/>
            <w:r w:rsidR="00CD05DB" w:rsidRPr="00784252">
              <w:t>wistar</w:t>
            </w:r>
            <w:proofErr w:type="spellEnd"/>
            <w:r w:rsidR="00CD05DB" w:rsidRPr="00784252">
              <w:t xml:space="preserve"> rats following lead induced neurotoxicity.</w:t>
            </w:r>
          </w:p>
          <w:p w14:paraId="69EDCF8C" w14:textId="4A6E07E6" w:rsidR="00BA1B01" w:rsidRPr="00784252" w:rsidRDefault="00BA1B01" w:rsidP="00784252">
            <w:pPr>
              <w:pStyle w:val="Body"/>
              <w:spacing w:after="0"/>
              <w:rPr>
                <w:rFonts w:ascii="Arial" w:eastAsia="Calibri" w:hAnsi="Arial" w:cs="Arial"/>
              </w:rPr>
            </w:pPr>
            <w:r w:rsidRPr="00784252">
              <w:rPr>
                <w:rFonts w:ascii="Arial" w:eastAsia="Calibri" w:hAnsi="Arial" w:cs="Arial"/>
                <w:b/>
              </w:rPr>
              <w:t>Study design:</w:t>
            </w:r>
            <w:r w:rsidR="0007222C" w:rsidRPr="00784252">
              <w:rPr>
                <w:rFonts w:ascii="Arial" w:eastAsia="Calibri" w:hAnsi="Arial" w:cs="Arial"/>
                <w:b/>
              </w:rPr>
              <w:t xml:space="preserve"> </w:t>
            </w:r>
            <w:r w:rsidR="00CD05DB" w:rsidRPr="00784252">
              <w:rPr>
                <w:rFonts w:ascii="Arial" w:eastAsia="Calibri" w:hAnsi="Arial" w:cs="Arial"/>
                <w:bCs/>
              </w:rPr>
              <w:t>2</w:t>
            </w:r>
            <w:r w:rsidR="007B249D" w:rsidRPr="00784252">
              <w:rPr>
                <w:rFonts w:ascii="Arial" w:eastAsia="Calibri" w:hAnsi="Arial" w:cs="Arial"/>
                <w:bCs/>
              </w:rPr>
              <w:t>5</w:t>
            </w:r>
            <w:r w:rsidR="00AE40A1" w:rsidRPr="00784252">
              <w:rPr>
                <w:rFonts w:ascii="Arial" w:hAnsi="Arial" w:cs="Arial"/>
                <w:bCs/>
              </w:rPr>
              <w:t xml:space="preserve"> </w:t>
            </w:r>
            <w:r w:rsidR="00AE40A1" w:rsidRPr="00784252">
              <w:rPr>
                <w:rFonts w:ascii="Arial" w:hAnsi="Arial" w:cs="Arial"/>
              </w:rPr>
              <w:t>rats were randomly assigned into five groups (n=</w:t>
            </w:r>
            <w:r w:rsidR="00CD05DB" w:rsidRPr="00784252">
              <w:rPr>
                <w:rFonts w:ascii="Arial" w:hAnsi="Arial" w:cs="Arial"/>
              </w:rPr>
              <w:t>5</w:t>
            </w:r>
            <w:r w:rsidR="00AE40A1" w:rsidRPr="00784252">
              <w:rPr>
                <w:rFonts w:ascii="Arial" w:hAnsi="Arial" w:cs="Arial"/>
              </w:rPr>
              <w:t>): Group A (control), Group B (</w:t>
            </w:r>
            <w:r w:rsidR="0079783A" w:rsidRPr="00784252">
              <w:rPr>
                <w:rFonts w:ascii="Arial" w:hAnsi="Arial" w:cs="Arial"/>
              </w:rPr>
              <w:t>15 mg/kg lead acetate</w:t>
            </w:r>
            <w:r w:rsidR="00AE40A1" w:rsidRPr="00784252">
              <w:rPr>
                <w:rFonts w:ascii="Arial" w:hAnsi="Arial" w:cs="Arial"/>
              </w:rPr>
              <w:t>), Group C (</w:t>
            </w:r>
            <w:r w:rsidR="0079783A" w:rsidRPr="00784252">
              <w:rPr>
                <w:rFonts w:ascii="Arial" w:hAnsi="Arial" w:cs="Arial"/>
              </w:rPr>
              <w:t>15mg/kg lead acetate+1</w:t>
            </w:r>
            <w:r w:rsidR="003F40F4">
              <w:rPr>
                <w:rFonts w:ascii="Arial" w:hAnsi="Arial" w:cs="Arial"/>
              </w:rPr>
              <w:t>0</w:t>
            </w:r>
            <w:r w:rsidR="0079783A" w:rsidRPr="00784252">
              <w:rPr>
                <w:rFonts w:ascii="Arial" w:hAnsi="Arial" w:cs="Arial"/>
              </w:rPr>
              <w:t>0 mg/kg cowpea extract</w:t>
            </w:r>
            <w:r w:rsidR="00AE40A1" w:rsidRPr="00784252">
              <w:rPr>
                <w:rFonts w:ascii="Arial" w:hAnsi="Arial" w:cs="Arial"/>
              </w:rPr>
              <w:t>), Group D (</w:t>
            </w:r>
            <w:r w:rsidR="003F40F4">
              <w:rPr>
                <w:rFonts w:ascii="Arial" w:hAnsi="Arial" w:cs="Arial"/>
              </w:rPr>
              <w:t>15mg/kg lead acetate+20</w:t>
            </w:r>
            <w:r w:rsidR="0079783A" w:rsidRPr="00784252">
              <w:rPr>
                <w:rFonts w:ascii="Arial" w:hAnsi="Arial" w:cs="Arial"/>
              </w:rPr>
              <w:t>0 mg/kg cowpea extract</w:t>
            </w:r>
            <w:r w:rsidR="00AE40A1" w:rsidRPr="00784252">
              <w:rPr>
                <w:rFonts w:ascii="Arial" w:hAnsi="Arial" w:cs="Arial"/>
              </w:rPr>
              <w:t>), and Group E (</w:t>
            </w:r>
            <w:r w:rsidR="003F40F4">
              <w:rPr>
                <w:rFonts w:ascii="Arial" w:hAnsi="Arial" w:cs="Arial"/>
              </w:rPr>
              <w:t>20</w:t>
            </w:r>
            <w:r w:rsidR="0079783A" w:rsidRPr="00784252">
              <w:rPr>
                <w:rFonts w:ascii="Arial" w:hAnsi="Arial" w:cs="Arial"/>
              </w:rPr>
              <w:t>0 mg/kg cowpea extract</w:t>
            </w:r>
            <w:r w:rsidR="00AE40A1" w:rsidRPr="00784252">
              <w:rPr>
                <w:rFonts w:ascii="Arial" w:hAnsi="Arial" w:cs="Arial"/>
              </w:rPr>
              <w:t>).</w:t>
            </w:r>
          </w:p>
          <w:p w14:paraId="634010D6" w14:textId="7B378259" w:rsidR="00BA1B01" w:rsidRPr="00784252" w:rsidRDefault="00BA1B01" w:rsidP="00784252">
            <w:pPr>
              <w:pStyle w:val="Body"/>
              <w:spacing w:after="0"/>
              <w:rPr>
                <w:rFonts w:ascii="Arial" w:eastAsia="Calibri" w:hAnsi="Arial" w:cs="Arial"/>
              </w:rPr>
            </w:pPr>
            <w:r w:rsidRPr="00784252">
              <w:rPr>
                <w:rFonts w:ascii="Arial" w:eastAsia="Calibri" w:hAnsi="Arial" w:cs="Arial"/>
                <w:b/>
              </w:rPr>
              <w:t>Place and Duration of Study:</w:t>
            </w:r>
            <w:r w:rsidRPr="00784252">
              <w:rPr>
                <w:rFonts w:ascii="Arial" w:eastAsia="Calibri" w:hAnsi="Arial" w:cs="Arial"/>
              </w:rPr>
              <w:t xml:space="preserve"> Department of </w:t>
            </w:r>
            <w:r w:rsidR="00105852" w:rsidRPr="00784252">
              <w:rPr>
                <w:rFonts w:ascii="Arial" w:eastAsia="Calibri" w:hAnsi="Arial" w:cs="Arial"/>
              </w:rPr>
              <w:t>Human Anatomy</w:t>
            </w:r>
            <w:r w:rsidRPr="00784252">
              <w:rPr>
                <w:rFonts w:ascii="Arial" w:eastAsia="Calibri" w:hAnsi="Arial" w:cs="Arial"/>
              </w:rPr>
              <w:t>,</w:t>
            </w:r>
            <w:r w:rsidR="00105852" w:rsidRPr="00784252">
              <w:rPr>
                <w:rFonts w:ascii="Arial" w:eastAsia="Calibri" w:hAnsi="Arial" w:cs="Arial"/>
              </w:rPr>
              <w:t xml:space="preserve"> Chukwuemeka </w:t>
            </w:r>
            <w:proofErr w:type="spellStart"/>
            <w:r w:rsidR="00105852" w:rsidRPr="00784252">
              <w:rPr>
                <w:rFonts w:ascii="Arial" w:eastAsia="Calibri" w:hAnsi="Arial" w:cs="Arial"/>
              </w:rPr>
              <w:t>Odumegwu</w:t>
            </w:r>
            <w:proofErr w:type="spellEnd"/>
            <w:r w:rsidR="00105852" w:rsidRPr="00784252">
              <w:rPr>
                <w:rFonts w:ascii="Arial" w:eastAsia="Calibri" w:hAnsi="Arial" w:cs="Arial"/>
              </w:rPr>
              <w:t xml:space="preserve"> Ojukwu University, Anambra State, Nigeria</w:t>
            </w:r>
            <w:r w:rsidRPr="00784252">
              <w:rPr>
                <w:rFonts w:ascii="Arial" w:eastAsia="Calibri" w:hAnsi="Arial" w:cs="Arial"/>
              </w:rPr>
              <w:t xml:space="preserve"> between </w:t>
            </w:r>
            <w:r w:rsidR="00B14A32" w:rsidRPr="00784252">
              <w:rPr>
                <w:rFonts w:ascii="Arial" w:eastAsia="Calibri" w:hAnsi="Arial" w:cs="Arial"/>
              </w:rPr>
              <w:t>September</w:t>
            </w:r>
            <w:r w:rsidRPr="00784252">
              <w:rPr>
                <w:rFonts w:ascii="Arial" w:eastAsia="Calibri" w:hAnsi="Arial" w:cs="Arial"/>
              </w:rPr>
              <w:t xml:space="preserve"> and </w:t>
            </w:r>
            <w:r w:rsidR="00B14A32" w:rsidRPr="00784252">
              <w:rPr>
                <w:rFonts w:ascii="Arial" w:eastAsia="Calibri" w:hAnsi="Arial" w:cs="Arial"/>
              </w:rPr>
              <w:t>October</w:t>
            </w:r>
            <w:r w:rsidRPr="00784252">
              <w:rPr>
                <w:rFonts w:ascii="Arial" w:eastAsia="Calibri" w:hAnsi="Arial" w:cs="Arial"/>
              </w:rPr>
              <w:t xml:space="preserve"> 20</w:t>
            </w:r>
            <w:r w:rsidR="00B14A32" w:rsidRPr="00784252">
              <w:rPr>
                <w:rFonts w:ascii="Arial" w:eastAsia="Calibri" w:hAnsi="Arial" w:cs="Arial"/>
              </w:rPr>
              <w:t>21</w:t>
            </w:r>
            <w:r w:rsidRPr="00784252">
              <w:rPr>
                <w:rFonts w:ascii="Arial" w:eastAsia="Calibri" w:hAnsi="Arial" w:cs="Arial"/>
              </w:rPr>
              <w:t>.</w:t>
            </w:r>
          </w:p>
          <w:p w14:paraId="2BD2DFEC" w14:textId="65EB958E" w:rsidR="00BA1B01" w:rsidRPr="00784252" w:rsidRDefault="00BA1B01" w:rsidP="00784252">
            <w:pPr>
              <w:pStyle w:val="Body"/>
              <w:spacing w:after="0"/>
              <w:rPr>
                <w:rFonts w:ascii="Arial" w:eastAsia="Calibri" w:hAnsi="Arial" w:cs="Arial"/>
              </w:rPr>
            </w:pPr>
            <w:r w:rsidRPr="00784252">
              <w:rPr>
                <w:rFonts w:ascii="Arial" w:eastAsia="Calibri" w:hAnsi="Arial" w:cs="Arial"/>
                <w:b/>
                <w:bCs/>
              </w:rPr>
              <w:t>Methodology:</w:t>
            </w:r>
            <w:r w:rsidRPr="00784252">
              <w:rPr>
                <w:rFonts w:ascii="Arial" w:eastAsia="Calibri" w:hAnsi="Arial" w:cs="Arial"/>
              </w:rPr>
              <w:t xml:space="preserve"> </w:t>
            </w:r>
            <w:r w:rsidR="00315186" w:rsidRPr="00784252">
              <w:rPr>
                <w:rFonts w:ascii="Arial" w:eastAsia="Calibri" w:hAnsi="Arial" w:cs="Arial"/>
              </w:rPr>
              <w:t>Sample:</w:t>
            </w:r>
            <w:r w:rsidR="0007222C" w:rsidRPr="00784252">
              <w:rPr>
                <w:rFonts w:ascii="Arial" w:eastAsia="Calibri" w:hAnsi="Arial" w:cs="Arial"/>
              </w:rPr>
              <w:t xml:space="preserve"> </w:t>
            </w:r>
            <w:r w:rsidR="00832902" w:rsidRPr="00784252">
              <w:rPr>
                <w:rFonts w:ascii="Arial" w:eastAsia="Calibri" w:hAnsi="Arial" w:cs="Arial"/>
              </w:rPr>
              <w:t>2</w:t>
            </w:r>
            <w:r w:rsidR="007B249D" w:rsidRPr="00784252">
              <w:rPr>
                <w:rFonts w:ascii="Arial" w:eastAsia="Calibri" w:hAnsi="Arial" w:cs="Arial"/>
              </w:rPr>
              <w:t>5</w:t>
            </w:r>
            <w:r w:rsidR="00105852" w:rsidRPr="00784252">
              <w:rPr>
                <w:rFonts w:ascii="Arial" w:hAnsi="Arial" w:cs="Arial"/>
              </w:rPr>
              <w:t xml:space="preserve"> male Wistar</w:t>
            </w:r>
            <w:r w:rsidR="00832902" w:rsidRPr="00784252">
              <w:rPr>
                <w:rFonts w:ascii="Arial" w:hAnsi="Arial" w:cs="Arial"/>
              </w:rPr>
              <w:t xml:space="preserve"> Rats weighing between 70-120</w:t>
            </w:r>
            <w:r w:rsidR="00105852" w:rsidRPr="00784252">
              <w:rPr>
                <w:rFonts w:ascii="Arial" w:hAnsi="Arial" w:cs="Arial"/>
              </w:rPr>
              <w:t xml:space="preserve">g were used for this study. </w:t>
            </w:r>
            <w:r w:rsidR="0027574F" w:rsidRPr="00784252">
              <w:rPr>
                <w:rFonts w:ascii="Arial" w:hAnsi="Arial" w:cs="Arial"/>
              </w:rPr>
              <w:t xml:space="preserve">Acclimatized for 7 days </w:t>
            </w:r>
            <w:r w:rsidR="00105852" w:rsidRPr="00784252">
              <w:rPr>
                <w:rFonts w:ascii="Arial" w:hAnsi="Arial" w:cs="Arial"/>
              </w:rPr>
              <w:t>a</w:t>
            </w:r>
            <w:r w:rsidR="0027574F" w:rsidRPr="00784252">
              <w:rPr>
                <w:rFonts w:ascii="Arial" w:hAnsi="Arial" w:cs="Arial"/>
              </w:rPr>
              <w:t>nd</w:t>
            </w:r>
            <w:r w:rsidR="00105852" w:rsidRPr="00784252">
              <w:rPr>
                <w:rFonts w:ascii="Arial" w:hAnsi="Arial" w:cs="Arial"/>
              </w:rPr>
              <w:t xml:space="preserve"> were randomly se</w:t>
            </w:r>
            <w:r w:rsidR="00832902" w:rsidRPr="00784252">
              <w:rPr>
                <w:rFonts w:ascii="Arial" w:hAnsi="Arial" w:cs="Arial"/>
              </w:rPr>
              <w:t>lected into five groups of five</w:t>
            </w:r>
            <w:r w:rsidR="00105852" w:rsidRPr="00784252">
              <w:rPr>
                <w:rFonts w:ascii="Arial" w:hAnsi="Arial" w:cs="Arial"/>
              </w:rPr>
              <w:t xml:space="preserve"> animals each (A to </w:t>
            </w:r>
            <w:r w:rsidR="0007222C" w:rsidRPr="00784252">
              <w:rPr>
                <w:rFonts w:ascii="Arial" w:hAnsi="Arial" w:cs="Arial"/>
              </w:rPr>
              <w:t>E)</w:t>
            </w:r>
            <w:r w:rsidR="00105852" w:rsidRPr="00784252">
              <w:rPr>
                <w:rFonts w:ascii="Arial" w:hAnsi="Arial" w:cs="Arial"/>
              </w:rPr>
              <w:t>.</w:t>
            </w:r>
            <w:r w:rsidR="00105852" w:rsidRPr="00784252">
              <w:rPr>
                <w:rFonts w:ascii="Times New Roman" w:hAnsi="Times New Roman"/>
              </w:rPr>
              <w:t xml:space="preserve"> </w:t>
            </w:r>
          </w:p>
          <w:p w14:paraId="1C9CD245" w14:textId="1458F618" w:rsidR="003D7A92" w:rsidRDefault="00BA1B01" w:rsidP="00784252">
            <w:pPr>
              <w:pStyle w:val="Default"/>
              <w:spacing w:after="303"/>
              <w:jc w:val="both"/>
              <w:rPr>
                <w:rFonts w:ascii="Arial" w:hAnsi="Arial" w:cs="Arial"/>
                <w:sz w:val="20"/>
                <w:szCs w:val="20"/>
              </w:rPr>
            </w:pPr>
            <w:r w:rsidRPr="00784252">
              <w:rPr>
                <w:rFonts w:ascii="Arial" w:eastAsia="Calibri" w:hAnsi="Arial" w:cs="Arial"/>
                <w:b/>
                <w:bCs/>
                <w:sz w:val="20"/>
                <w:szCs w:val="20"/>
              </w:rPr>
              <w:t>Results</w:t>
            </w:r>
            <w:r w:rsidR="00E27931" w:rsidRPr="00784252">
              <w:rPr>
                <w:rFonts w:ascii="Arial" w:hAnsi="Arial" w:cs="Arial"/>
                <w:sz w:val="20"/>
                <w:szCs w:val="20"/>
              </w:rPr>
              <w:t xml:space="preserve"> </w:t>
            </w:r>
            <w:r w:rsidR="00784252" w:rsidRPr="00784252">
              <w:rPr>
                <w:rFonts w:ascii="Arial" w:hAnsi="Arial" w:cs="Arial"/>
                <w:sz w:val="20"/>
                <w:szCs w:val="20"/>
              </w:rPr>
              <w:t>The present study</w:t>
            </w:r>
            <w:r w:rsidR="003D7A92">
              <w:rPr>
                <w:rFonts w:ascii="Arial" w:hAnsi="Arial" w:cs="Arial"/>
                <w:sz w:val="20"/>
                <w:szCs w:val="20"/>
              </w:rPr>
              <w:t xml:space="preserve"> observed that t</w:t>
            </w:r>
            <w:r w:rsidR="00784252" w:rsidRPr="00784252">
              <w:rPr>
                <w:rFonts w:ascii="Arial" w:hAnsi="Arial" w:cs="Arial"/>
                <w:sz w:val="20"/>
                <w:szCs w:val="20"/>
              </w:rPr>
              <w:t>here were histo</w:t>
            </w:r>
            <w:r w:rsidR="00784252">
              <w:rPr>
                <w:rFonts w:ascii="Arial" w:hAnsi="Arial" w:cs="Arial"/>
                <w:sz w:val="20"/>
                <w:szCs w:val="20"/>
              </w:rPr>
              <w:t>logical</w:t>
            </w:r>
            <w:r w:rsidR="007C7988">
              <w:rPr>
                <w:rFonts w:ascii="Arial" w:hAnsi="Arial" w:cs="Arial"/>
                <w:sz w:val="20"/>
                <w:szCs w:val="20"/>
              </w:rPr>
              <w:t xml:space="preserve"> </w:t>
            </w:r>
            <w:r w:rsidR="00784252">
              <w:rPr>
                <w:rFonts w:ascii="Arial" w:hAnsi="Arial" w:cs="Arial"/>
                <w:sz w:val="20"/>
                <w:szCs w:val="20"/>
              </w:rPr>
              <w:t>changes in hippocampus</w:t>
            </w:r>
            <w:r w:rsidR="00784252" w:rsidRPr="00784252">
              <w:rPr>
                <w:rFonts w:ascii="Arial" w:hAnsi="Arial" w:cs="Arial"/>
                <w:sz w:val="20"/>
                <w:szCs w:val="20"/>
              </w:rPr>
              <w:t xml:space="preserve"> of adult Wistar rats exposed to lead acetate.</w:t>
            </w:r>
            <w:r w:rsidR="00784252">
              <w:rPr>
                <w:rFonts w:ascii="Arial" w:hAnsi="Arial" w:cs="Arial"/>
                <w:sz w:val="20"/>
                <w:szCs w:val="20"/>
              </w:rPr>
              <w:t xml:space="preserve"> There was</w:t>
            </w:r>
            <w:r w:rsidR="00784252" w:rsidRPr="00784252">
              <w:rPr>
                <w:rFonts w:ascii="Arial" w:hAnsi="Arial" w:cs="Arial"/>
                <w:sz w:val="20"/>
                <w:szCs w:val="20"/>
              </w:rPr>
              <w:t xml:space="preserve"> restorative effect</w:t>
            </w:r>
            <w:r w:rsidR="008B531C">
              <w:rPr>
                <w:rFonts w:ascii="Arial" w:hAnsi="Arial" w:cs="Arial"/>
                <w:sz w:val="20"/>
                <w:szCs w:val="20"/>
              </w:rPr>
              <w:t xml:space="preserve"> in the groups treated with Vigna unguiculata</w:t>
            </w:r>
            <w:r w:rsidR="00784252" w:rsidRPr="00784252">
              <w:rPr>
                <w:rFonts w:ascii="Arial" w:hAnsi="Arial" w:cs="Arial"/>
                <w:sz w:val="20"/>
                <w:szCs w:val="20"/>
              </w:rPr>
              <w:t xml:space="preserve"> on the hippocampus by the changes induced by lead acetate</w:t>
            </w:r>
            <w:r w:rsidR="007C7988">
              <w:rPr>
                <w:rFonts w:ascii="Arial" w:hAnsi="Arial" w:cs="Arial"/>
                <w:sz w:val="20"/>
                <w:szCs w:val="20"/>
              </w:rPr>
              <w:t xml:space="preserve">. Histochemical results revealed that </w:t>
            </w:r>
            <w:r w:rsidR="007C7988">
              <w:rPr>
                <w:rStyle w:val="bzpyqfadein"/>
                <w:rFonts w:ascii="Arial" w:hAnsi="Arial" w:cs="Arial"/>
                <w:sz w:val="20"/>
                <w:szCs w:val="20"/>
              </w:rPr>
              <w:t>e</w:t>
            </w:r>
            <w:r w:rsidR="007C7988" w:rsidRPr="007C7988">
              <w:rPr>
                <w:rStyle w:val="bzpyqfadein"/>
                <w:rFonts w:ascii="Arial" w:hAnsi="Arial" w:cs="Arial"/>
                <w:sz w:val="20"/>
                <w:szCs w:val="20"/>
              </w:rPr>
              <w:t>xposure to 15 mg/kg of lead acetate resulted in densely packed neurons with reduced Nissl substance, indicative of cytoplasmic condensation and impaired protein synthesis associated with neurotoxicity. Co-administration of cowpea extract demonstrated a dose-dependent restorative effect</w:t>
            </w:r>
            <w:r w:rsidR="00226169">
              <w:rPr>
                <w:rStyle w:val="bzpyqfadein"/>
                <w:rFonts w:ascii="Arial" w:hAnsi="Arial" w:cs="Arial"/>
                <w:sz w:val="20"/>
                <w:szCs w:val="20"/>
              </w:rPr>
              <w:t>.</w:t>
            </w:r>
            <w:r w:rsidR="008B531C">
              <w:rPr>
                <w:rFonts w:ascii="Arial" w:hAnsi="Arial" w:cs="Arial"/>
                <w:sz w:val="20"/>
                <w:szCs w:val="20"/>
              </w:rPr>
              <w:t xml:space="preserve"> </w:t>
            </w:r>
            <w:r w:rsidR="00226169" w:rsidRPr="009D312A">
              <w:rPr>
                <w:rFonts w:ascii="Arial" w:hAnsi="Arial" w:cs="Arial"/>
                <w:sz w:val="20"/>
                <w:szCs w:val="20"/>
              </w:rPr>
              <w:t>Biochemical analysis in the present investigation further revealed alterations in oxidative stress markers in the brain tissues</w:t>
            </w:r>
            <w:r w:rsidR="00226169">
              <w:rPr>
                <w:rFonts w:ascii="Arial" w:hAnsi="Arial" w:cs="Arial"/>
                <w:sz w:val="20"/>
                <w:szCs w:val="20"/>
              </w:rPr>
              <w:t xml:space="preserve"> of the experimental animals.</w:t>
            </w:r>
          </w:p>
          <w:p w14:paraId="2B3A3FDB" w14:textId="473B5059" w:rsidR="00505F06" w:rsidRPr="00784252" w:rsidRDefault="00BA1B01" w:rsidP="00784252">
            <w:pPr>
              <w:pStyle w:val="Default"/>
              <w:spacing w:after="303"/>
              <w:jc w:val="both"/>
              <w:rPr>
                <w:rFonts w:ascii="Arial" w:hAnsi="Arial" w:cs="Arial"/>
                <w:sz w:val="20"/>
                <w:szCs w:val="20"/>
              </w:rPr>
            </w:pPr>
            <w:r w:rsidRPr="00784252">
              <w:rPr>
                <w:rFonts w:ascii="Arial" w:eastAsia="Calibri" w:hAnsi="Arial" w:cs="Arial"/>
                <w:b/>
                <w:bCs/>
                <w:sz w:val="20"/>
                <w:szCs w:val="20"/>
              </w:rPr>
              <w:t>Conclusion:</w:t>
            </w:r>
            <w:r w:rsidR="005B0722" w:rsidRPr="00784252">
              <w:rPr>
                <w:rFonts w:ascii="Arial" w:eastAsia="Calibri" w:hAnsi="Arial" w:cs="Arial"/>
                <w:b/>
                <w:bCs/>
                <w:sz w:val="20"/>
                <w:szCs w:val="20"/>
              </w:rPr>
              <w:t xml:space="preserve"> </w:t>
            </w:r>
            <w:r w:rsidR="00784252" w:rsidRPr="00784252">
              <w:rPr>
                <w:rFonts w:ascii="Arial" w:hAnsi="Arial" w:cs="Arial"/>
                <w:sz w:val="20"/>
                <w:szCs w:val="20"/>
              </w:rPr>
              <w:t xml:space="preserve">This present study has established that ethanolic extract of </w:t>
            </w:r>
            <w:proofErr w:type="gramStart"/>
            <w:r w:rsidR="00784252" w:rsidRPr="00784252">
              <w:rPr>
                <w:rFonts w:ascii="Arial" w:hAnsi="Arial" w:cs="Arial"/>
                <w:sz w:val="20"/>
                <w:szCs w:val="20"/>
              </w:rPr>
              <w:t>cowpea(</w:t>
            </w:r>
            <w:proofErr w:type="gramEnd"/>
            <w:r w:rsidR="00784252" w:rsidRPr="00784252">
              <w:rPr>
                <w:rFonts w:ascii="Arial" w:hAnsi="Arial" w:cs="Arial"/>
                <w:sz w:val="20"/>
                <w:szCs w:val="20"/>
              </w:rPr>
              <w:t>Vigna unguiculata) at appropriate doses was able to ameliorate the effect of lead on the hippocampus and may likely be beneficial to the population in areas exposed to lead poisoning.</w:t>
            </w:r>
          </w:p>
        </w:tc>
      </w:tr>
    </w:tbl>
    <w:p w14:paraId="6FEC91DB" w14:textId="4B89B521" w:rsidR="00262714" w:rsidRPr="0045682E" w:rsidRDefault="00A24E7E" w:rsidP="00262714">
      <w:pPr>
        <w:spacing w:before="100" w:beforeAutospacing="1" w:after="100" w:afterAutospacing="1"/>
        <w:rPr>
          <w:rFonts w:ascii="Arial" w:hAnsi="Arial" w:cs="Arial"/>
          <w:bCs/>
          <w:i/>
          <w:iCs/>
        </w:rPr>
      </w:pPr>
      <w:r>
        <w:rPr>
          <w:rFonts w:ascii="Arial" w:hAnsi="Arial" w:cs="Arial"/>
          <w:i/>
        </w:rPr>
        <w:t xml:space="preserve">Keywords: </w:t>
      </w:r>
      <w:r w:rsidR="00FC5F23">
        <w:rPr>
          <w:rFonts w:ascii="Arial" w:hAnsi="Arial" w:cs="Arial"/>
          <w:bCs/>
          <w:i/>
          <w:iCs/>
        </w:rPr>
        <w:t>Vigna unguiculata, histochemical</w:t>
      </w:r>
      <w:r w:rsidR="00784252">
        <w:rPr>
          <w:rFonts w:ascii="Arial" w:hAnsi="Arial" w:cs="Arial"/>
          <w:bCs/>
          <w:i/>
          <w:iCs/>
        </w:rPr>
        <w:t>, poisoning</w:t>
      </w:r>
      <w:r w:rsidR="0007222C" w:rsidRPr="0007222C">
        <w:rPr>
          <w:rFonts w:ascii="Arial" w:hAnsi="Arial" w:cs="Arial"/>
          <w:bCs/>
          <w:i/>
          <w:iCs/>
        </w:rPr>
        <w:t>, neurop</w:t>
      </w:r>
      <w:r w:rsidR="00784252">
        <w:rPr>
          <w:rFonts w:ascii="Arial" w:hAnsi="Arial" w:cs="Arial"/>
          <w:bCs/>
          <w:i/>
          <w:iCs/>
        </w:rPr>
        <w:t>rotection, hippocampus, Wistar rats</w:t>
      </w:r>
    </w:p>
    <w:p w14:paraId="32E238AD" w14:textId="3483464A"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16E644" w14:textId="1450E3C1" w:rsidR="00C47A7C" w:rsidRPr="0064396B" w:rsidRDefault="00C47A7C" w:rsidP="00C47A7C">
      <w:pPr>
        <w:spacing w:before="100" w:beforeAutospacing="1" w:after="100" w:afterAutospacing="1"/>
        <w:rPr>
          <w:rFonts w:ascii="Arial" w:hAnsi="Arial" w:cs="Arial"/>
        </w:rPr>
      </w:pPr>
      <w:r w:rsidRPr="0064396B">
        <w:rPr>
          <w:rFonts w:ascii="Arial" w:hAnsi="Arial" w:cs="Arial"/>
        </w:rPr>
        <w:t xml:space="preserve">Heavy metal pollution remains a persistent environmental and public health challenge worldwide. Rapid industrialization, mining activities, battery manufacturing, and improper waste disposal have significantly increased the release of toxic metals into the environment. Among these metals, lead (Pb) is particularly concerning due to its widespread distribution, persistence in ecosystems, and strong capacity for bioaccumulation in biological tissues. </w:t>
      </w:r>
      <w:r w:rsidR="00860C49">
        <w:t>Lead exposure continues to pose a significant global health burden due to its persistence and cumulative toxicity, with increasing evidence linking it to neurological impairments even at low exposure levels (</w:t>
      </w:r>
      <w:proofErr w:type="spellStart"/>
      <w:r w:rsidR="00860C49">
        <w:t>Lanphear</w:t>
      </w:r>
      <w:proofErr w:type="spellEnd"/>
      <w:r w:rsidR="00860C49">
        <w:t xml:space="preserve"> et al., 2018). </w:t>
      </w:r>
      <w:r w:rsidRPr="0064396B">
        <w:rPr>
          <w:rFonts w:ascii="Arial" w:hAnsi="Arial" w:cs="Arial"/>
        </w:rPr>
        <w:t xml:space="preserve">Human and animal exposure to lead </w:t>
      </w:r>
      <w:r w:rsidRPr="0064396B">
        <w:rPr>
          <w:rFonts w:ascii="Arial" w:hAnsi="Arial" w:cs="Arial"/>
        </w:rPr>
        <w:lastRenderedPageBreak/>
        <w:t>commonly occurs through contaminated air, water, food, and occupational activities. Once absorbed into the body, lead is distributed to various organs including the liver, kidneys, bones, and brain where it exerts toxic effects that may persist for long periods (Caito &amp; Aschner, 2017). Because of its ability to cross the blood–brain barrier and interfere with neuronal signaling, lead is widely recognized as a potent neurotoxin capable of disrupting central nervous system function.</w:t>
      </w:r>
    </w:p>
    <w:p w14:paraId="1DBFD3E8" w14:textId="3BE36826" w:rsidR="0097466A" w:rsidRPr="00AF5E01" w:rsidRDefault="0097466A" w:rsidP="0097466A">
      <w:pPr>
        <w:pStyle w:val="NormalWeb"/>
        <w:spacing w:before="240"/>
        <w:rPr>
          <w:rFonts w:ascii="Arial" w:hAnsi="Arial" w:cs="Arial"/>
          <w:sz w:val="20"/>
          <w:szCs w:val="20"/>
        </w:rPr>
      </w:pPr>
      <w:r w:rsidRPr="0064396B">
        <w:rPr>
          <w:rFonts w:ascii="Arial" w:hAnsi="Arial" w:cs="Arial"/>
          <w:sz w:val="20"/>
          <w:szCs w:val="20"/>
        </w:rPr>
        <w:t>The nervous system is particularly vulnerable to lead toxicity because neurons rely heavily on tightly regulated biochemical and ion</w:t>
      </w:r>
      <w:r>
        <w:rPr>
          <w:rFonts w:ascii="Arial" w:hAnsi="Arial" w:cs="Arial"/>
          <w:sz w:val="20"/>
          <w:szCs w:val="20"/>
        </w:rPr>
        <w:t>ic processes for proper function.</w:t>
      </w:r>
      <w:r w:rsidR="006F200F" w:rsidRPr="006F200F">
        <w:t xml:space="preserve"> </w:t>
      </w:r>
      <w:r w:rsidR="006F200F" w:rsidRPr="001A614E">
        <w:rPr>
          <w:rFonts w:ascii="Arial" w:hAnsi="Arial" w:cs="Arial"/>
          <w:sz w:val="20"/>
          <w:szCs w:val="20"/>
        </w:rPr>
        <w:t>Disruption of synaptic plasticity and neurotransmission has been identified as a key mechanism underlying lead-induced cognitive impairment and memory deficits in experiment</w:t>
      </w:r>
      <w:r w:rsidR="001A614E" w:rsidRPr="001A614E">
        <w:rPr>
          <w:rFonts w:ascii="Arial" w:hAnsi="Arial" w:cs="Arial"/>
          <w:sz w:val="20"/>
          <w:szCs w:val="20"/>
        </w:rPr>
        <w:t xml:space="preserve">al models (Neal &amp; </w:t>
      </w:r>
      <w:proofErr w:type="spellStart"/>
      <w:r w:rsidR="001A614E" w:rsidRPr="001A614E">
        <w:rPr>
          <w:rFonts w:ascii="Arial" w:hAnsi="Arial" w:cs="Arial"/>
          <w:sz w:val="20"/>
          <w:szCs w:val="20"/>
        </w:rPr>
        <w:t>Guilarte</w:t>
      </w:r>
      <w:proofErr w:type="spellEnd"/>
      <w:r w:rsidR="001A614E" w:rsidRPr="001A614E">
        <w:rPr>
          <w:rFonts w:ascii="Arial" w:hAnsi="Arial" w:cs="Arial"/>
          <w:sz w:val="20"/>
          <w:szCs w:val="20"/>
        </w:rPr>
        <w:t>, 2010).</w:t>
      </w:r>
      <w:r>
        <w:rPr>
          <w:rFonts w:ascii="Arial" w:hAnsi="Arial" w:cs="Arial"/>
          <w:sz w:val="20"/>
          <w:szCs w:val="20"/>
        </w:rPr>
        <w:t xml:space="preserve"> </w:t>
      </w:r>
      <w:r w:rsidRPr="00AF5E01">
        <w:rPr>
          <w:rFonts w:ascii="Arial" w:hAnsi="Arial" w:cs="Arial"/>
          <w:sz w:val="20"/>
          <w:szCs w:val="20"/>
        </w:rPr>
        <w:t>Lead has a high affinity for calcium-binding sites and is able to disrupt tightly regulated ionic and biochemical processes that are essential for normal neuronal function. By competing with calcium ions, lead alters calcium-dependent signaling pathways, impairs neurotransmitter release at synapses, and interferes with mechanisms of synaptic plasticity that underlie learning and memory. These disruptions contribute to structural and functional neuronal damage observed in experimental models, where lead exposure is associated with impaired synaptic communication, cognitive deficit</w:t>
      </w:r>
      <w:r w:rsidR="00E674A2">
        <w:rPr>
          <w:rFonts w:ascii="Arial" w:hAnsi="Arial" w:cs="Arial"/>
          <w:sz w:val="20"/>
          <w:szCs w:val="20"/>
        </w:rPr>
        <w:t xml:space="preserve">s, and behavioral </w:t>
      </w:r>
      <w:proofErr w:type="gramStart"/>
      <w:r w:rsidR="00E674A2">
        <w:rPr>
          <w:rFonts w:ascii="Arial" w:hAnsi="Arial" w:cs="Arial"/>
          <w:sz w:val="20"/>
          <w:szCs w:val="20"/>
        </w:rPr>
        <w:t>abnormalities</w:t>
      </w:r>
      <w:r w:rsidR="00E674A2" w:rsidRPr="00E674A2">
        <w:rPr>
          <w:rFonts w:ascii="Arial" w:hAnsi="Arial" w:cs="Arial"/>
          <w:sz w:val="20"/>
          <w:szCs w:val="20"/>
        </w:rPr>
        <w:t>(</w:t>
      </w:r>
      <w:proofErr w:type="gramEnd"/>
      <w:r w:rsidR="00E674A2" w:rsidRPr="00E674A2">
        <w:rPr>
          <w:rFonts w:ascii="Arial" w:hAnsi="Arial" w:cs="Arial"/>
          <w:sz w:val="20"/>
          <w:szCs w:val="20"/>
        </w:rPr>
        <w:t xml:space="preserve">Neal &amp; </w:t>
      </w:r>
      <w:proofErr w:type="spellStart"/>
      <w:r w:rsidR="00E674A2" w:rsidRPr="00E674A2">
        <w:rPr>
          <w:rFonts w:ascii="Arial" w:hAnsi="Arial" w:cs="Arial"/>
          <w:sz w:val="20"/>
          <w:szCs w:val="20"/>
        </w:rPr>
        <w:t>Guilarte</w:t>
      </w:r>
      <w:proofErr w:type="spellEnd"/>
      <w:r w:rsidR="00E674A2" w:rsidRPr="00E674A2">
        <w:rPr>
          <w:rFonts w:ascii="Arial" w:hAnsi="Arial" w:cs="Arial"/>
          <w:sz w:val="20"/>
          <w:szCs w:val="20"/>
        </w:rPr>
        <w:t>, 2010)</w:t>
      </w:r>
      <w:r w:rsidR="00E674A2">
        <w:rPr>
          <w:rFonts w:ascii="Arial" w:hAnsi="Arial" w:cs="Arial"/>
          <w:sz w:val="20"/>
          <w:szCs w:val="20"/>
        </w:rPr>
        <w:t>.</w:t>
      </w:r>
    </w:p>
    <w:p w14:paraId="21238E64"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Oxidative stress is widely recognized as one of the primary mechanisms underlying lead-induced neurotoxicity. Lead exposure promotes the formation of reactive oxygen species and simultaneously weakens endogenous antioxidant defenses such as superoxide dismutase, catalase, and glutathione peroxidase. This imbalance results in lipid peroxidation, protein oxidation, and DNA damage in neural tissues. Experimental studies using Wistar rats have shown that lead exposure significantly increases oxidative stress biomarkers while decreasing antioxidant enzyme activities in brain tissues, ultimately leading to neuronal degeneration and functional impairment (Oliveira et al., 2021). These biochemical alterations highlight the importance of oxidative damage in the pathogenesis of lead-induced neurological disorders.</w:t>
      </w:r>
    </w:p>
    <w:p w14:paraId="6C1A67AB"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The increasing burden of heavy metal toxicity has stimulated interest in identifying natural substances capable of protecting biological systems against oxidative damage. Plant-derived phytochemicals have gained considerable attention due to their antioxidant and therapeutic properties. Many medicinal plants contain polyphenols, flavonoids, carotenoids, and other bioactive compounds that can neutralize free radicals and enhance endogenous antioxidant defenses. These compounds have been widely studied for their protective roles against oxidative stress-related diseases, including neurodegenerative disorders and toxicological damage caused by environmental pollutants (Caito &amp; Aschner, 2017). Consequently, dietary plants with strong antioxidant properties are being investigated as potential therapeutic agents for mitigating heavy-metal-induced toxicity.</w:t>
      </w:r>
    </w:p>
    <w:p w14:paraId="4C08070D"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Cowpea (</w:t>
      </w:r>
      <w:r w:rsidRPr="00DB4894">
        <w:rPr>
          <w:rFonts w:ascii="Arial" w:hAnsi="Arial" w:cs="Arial"/>
          <w:i/>
          <w:iCs/>
        </w:rPr>
        <w:t>Vigna unguiculata</w:t>
      </w:r>
      <w:r w:rsidRPr="0064396B">
        <w:rPr>
          <w:rFonts w:ascii="Arial" w:hAnsi="Arial" w:cs="Arial"/>
        </w:rPr>
        <w:t>), an important leguminous crop widely cultivated in Africa, Asia, and parts of the Americas, has attracted increasing scientific interest because of its nutritional value and phytochemical composition. Cowpea is a major source of plant protein and contains essential nutrients such as vitamins, minerals, and dietary fiber. In addition to its nutritional importance, cowpea contains numerous bioactive compounds including phenolic acids, flavonoids, tannins, and carotenoids. These phytochemicals have been associated with significant antioxidant activity and health-promoting effects. Investigations into the phytochemical composition of different cowpea genotypes have demonstrated that the crop contains substantial levels of phenolic compounds capable of scavenging reactive oxygen species and inhibiting lipid peroxidation (</w:t>
      </w:r>
      <w:proofErr w:type="spellStart"/>
      <w:r w:rsidRPr="0064396B">
        <w:rPr>
          <w:rFonts w:ascii="Arial" w:hAnsi="Arial" w:cs="Arial"/>
        </w:rPr>
        <w:t>Sombié</w:t>
      </w:r>
      <w:proofErr w:type="spellEnd"/>
      <w:r w:rsidRPr="0064396B">
        <w:rPr>
          <w:rFonts w:ascii="Arial" w:hAnsi="Arial" w:cs="Arial"/>
        </w:rPr>
        <w:t xml:space="preserve"> et al., 2018).</w:t>
      </w:r>
    </w:p>
    <w:p w14:paraId="6B036858"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Several studies have further explored the antioxidant properties of cowpea and reported significant biological activity. For instance, Moloto et al. (2020) reported that cowpea leaves contain considerable amounts of phenolic compounds and carotenoids, which contribute to strong antioxidant capacity. These bioactive compounds are believed to play an important role in protecting cells from oxidative stress and maintaining physiological balance. Similarly, research investigating the phenolic profile of cowpea has demonstrated that the plant contains compounds with potent antioxidant potential, suggesting that it may serve as a functional food with therapeutic benefits (Avanza et al., 2021).</w:t>
      </w:r>
    </w:p>
    <w:p w14:paraId="7CC6E403"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Despite the well-documented nutritional and antioxidant properties of cowpea, limited research has investigated its potential protective effects against heavy-metal-induced neurotoxicity. Most previous studies have focused primarily on its phytochemical composition, antioxidant capacity, and nutritional value, with relatively little attention given to its possible neuroprotective roles in toxicological models. Considering that oxidative stress plays a central role in the mechanism of lead-induced neuronal damage, plant extracts rich in antioxidant phytochemicals may provide a promising strategy for mitigating the harmful effects of lead exposure.</w:t>
      </w:r>
    </w:p>
    <w:p w14:paraId="75264498"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 xml:space="preserve">Ethanolic extraction is widely employed in phytochemical research because ethanol efficiently dissolves and extracts phenolic compounds and flavonoids from plant materials. Extracts obtained through ethanol extraction often contain higher concentrations of bioactive compounds compared with aqueous extracts, resulting in stronger antioxidant activity. </w:t>
      </w:r>
      <w:r w:rsidRPr="0064396B">
        <w:rPr>
          <w:rFonts w:ascii="Arial" w:hAnsi="Arial" w:cs="Arial"/>
        </w:rPr>
        <w:lastRenderedPageBreak/>
        <w:t>Investigating ethanolic extracts of cowpea may therefore provide valuable insight into the potential neuroprotective mechanisms associated with its phytochemical constituents.</w:t>
      </w:r>
    </w:p>
    <w:p w14:paraId="58225EA6" w14:textId="2C4E2A03" w:rsidR="00C47A7C" w:rsidRPr="0064396B" w:rsidRDefault="00C47A7C" w:rsidP="00C47A7C">
      <w:pPr>
        <w:spacing w:before="100" w:beforeAutospacing="1" w:after="100" w:afterAutospacing="1"/>
        <w:rPr>
          <w:rFonts w:ascii="Arial" w:hAnsi="Arial" w:cs="Arial"/>
        </w:rPr>
      </w:pPr>
      <w:r w:rsidRPr="0064396B">
        <w:rPr>
          <w:rFonts w:ascii="Arial" w:hAnsi="Arial" w:cs="Arial"/>
        </w:rPr>
        <w:t xml:space="preserve">In view of the increasing environmental burden of lead contamination and the need for safer therapeutic interventions, exploring natural plant-based antioxidants has become increasingly important. This study was therefore designed to evaluate the effect of ethanolic cowpea extract on adult male Wistar rats induced with acute lead neurotoxicity. Using Wistar rats as an experimental model allows for controlled investigation </w:t>
      </w:r>
      <w:r>
        <w:rPr>
          <w:rFonts w:ascii="Arial" w:hAnsi="Arial" w:cs="Arial"/>
        </w:rPr>
        <w:t>of biochemical and structural</w:t>
      </w:r>
      <w:r w:rsidRPr="0064396B">
        <w:rPr>
          <w:rFonts w:ascii="Arial" w:hAnsi="Arial" w:cs="Arial"/>
        </w:rPr>
        <w:t xml:space="preserve"> alterations associated with lead toxicity, as well as the assessment of potential protective effects of plant-derived compounds.</w:t>
      </w:r>
    </w:p>
    <w:p w14:paraId="3995E1A5" w14:textId="5638A77B" w:rsidR="00C47A7C" w:rsidRPr="0064396B" w:rsidRDefault="00C47A7C" w:rsidP="00C47A7C">
      <w:pPr>
        <w:spacing w:before="100" w:beforeAutospacing="1" w:after="100" w:afterAutospacing="1"/>
        <w:rPr>
          <w:rFonts w:ascii="Arial" w:hAnsi="Arial" w:cs="Arial"/>
        </w:rPr>
      </w:pPr>
      <w:r w:rsidRPr="0064396B">
        <w:rPr>
          <w:rFonts w:ascii="Arial" w:hAnsi="Arial" w:cs="Arial"/>
        </w:rPr>
        <w:t>The scope of this study focuses on evaluating the neuroprotective potential of ethanolic cowpea extract against acute lead-induced neurotoxicity in adult male Wistar rats. Specifically, the study examines biochemical indicators of oxid</w:t>
      </w:r>
      <w:r>
        <w:rPr>
          <w:rFonts w:ascii="Arial" w:hAnsi="Arial" w:cs="Arial"/>
        </w:rPr>
        <w:t>ative stress and histological changes</w:t>
      </w:r>
      <w:r w:rsidR="00511E09">
        <w:rPr>
          <w:rFonts w:ascii="Arial" w:hAnsi="Arial" w:cs="Arial"/>
        </w:rPr>
        <w:t xml:space="preserve"> using Hematoxylin and Eosin stain, histochemical changes using </w:t>
      </w:r>
      <w:proofErr w:type="spellStart"/>
      <w:r w:rsidR="00511E09">
        <w:rPr>
          <w:rFonts w:ascii="Arial" w:hAnsi="Arial" w:cs="Arial"/>
        </w:rPr>
        <w:t>cresyl</w:t>
      </w:r>
      <w:proofErr w:type="spellEnd"/>
      <w:r w:rsidR="00511E09">
        <w:rPr>
          <w:rFonts w:ascii="Arial" w:hAnsi="Arial" w:cs="Arial"/>
        </w:rPr>
        <w:t xml:space="preserve"> violet(</w:t>
      </w:r>
      <w:proofErr w:type="spellStart"/>
      <w:r w:rsidR="00511E09">
        <w:rPr>
          <w:rFonts w:ascii="Arial" w:hAnsi="Arial" w:cs="Arial"/>
        </w:rPr>
        <w:t>nissyl</w:t>
      </w:r>
      <w:proofErr w:type="spellEnd"/>
      <w:r w:rsidR="00511E09">
        <w:rPr>
          <w:rFonts w:ascii="Arial" w:hAnsi="Arial" w:cs="Arial"/>
        </w:rPr>
        <w:t xml:space="preserve"> stain)</w:t>
      </w:r>
      <w:r w:rsidRPr="0064396B">
        <w:rPr>
          <w:rFonts w:ascii="Arial" w:hAnsi="Arial" w:cs="Arial"/>
        </w:rPr>
        <w:t xml:space="preserve"> in order to determine whether cowpea extract can attenuate the harmful effects associated with lead exposure.</w:t>
      </w:r>
    </w:p>
    <w:p w14:paraId="45FE3A87" w14:textId="77777777" w:rsidR="00C47A7C" w:rsidRPr="0064396B" w:rsidRDefault="00C47A7C" w:rsidP="00C47A7C">
      <w:pPr>
        <w:spacing w:before="100" w:beforeAutospacing="1" w:after="100" w:afterAutospacing="1"/>
        <w:rPr>
          <w:rFonts w:ascii="Arial" w:hAnsi="Arial" w:cs="Arial"/>
        </w:rPr>
      </w:pPr>
      <w:r w:rsidRPr="0064396B">
        <w:rPr>
          <w:rFonts w:ascii="Arial" w:hAnsi="Arial" w:cs="Arial"/>
        </w:rPr>
        <w:t>The justification for this research lies in the increasing prevalence of environmental heavy-metal contamination and the urgent need for accessible and cost-effective strategies to reduce its impact on human health. Since cowpea is widely cultivated and consumed in many developing c</w:t>
      </w:r>
      <w:r>
        <w:rPr>
          <w:rFonts w:ascii="Arial" w:hAnsi="Arial" w:cs="Arial"/>
        </w:rPr>
        <w:t>ountries, particularly in Nigeria</w:t>
      </w:r>
      <w:r w:rsidRPr="0064396B">
        <w:rPr>
          <w:rFonts w:ascii="Arial" w:hAnsi="Arial" w:cs="Arial"/>
        </w:rPr>
        <w:t>, understanding its potential neuroprotective properties could contribute to the development of nutritional and therapeutic approaches aimed at combating heavy-metal-induced oxidative damage.</w:t>
      </w:r>
    </w:p>
    <w:p w14:paraId="52868675" w14:textId="77777777" w:rsidR="00790ADA" w:rsidRPr="00FB3A86" w:rsidRDefault="00790ADA" w:rsidP="00441B6F">
      <w:pPr>
        <w:pStyle w:val="Body"/>
        <w:spacing w:after="0"/>
        <w:rPr>
          <w:rFonts w:ascii="Arial" w:hAnsi="Arial" w:cs="Arial"/>
        </w:rPr>
      </w:pPr>
    </w:p>
    <w:p w14:paraId="0E2E724A" w14:textId="2B397FE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0322F34" w14:textId="77777777"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2.1 Plant Collection  </w:t>
      </w:r>
    </w:p>
    <w:p w14:paraId="5049C691" w14:textId="262C2834" w:rsidR="00C16969" w:rsidRPr="00C16969" w:rsidRDefault="004D1C49" w:rsidP="00C16969">
      <w:pPr>
        <w:jc w:val="both"/>
        <w:rPr>
          <w:rFonts w:ascii="Arial" w:hAnsi="Arial" w:cs="Arial"/>
        </w:rPr>
      </w:pPr>
      <w:r>
        <w:rPr>
          <w:rFonts w:ascii="Arial" w:hAnsi="Arial" w:cs="Arial"/>
          <w:i/>
        </w:rPr>
        <w:t>Cowpea</w:t>
      </w:r>
      <w:r>
        <w:rPr>
          <w:rFonts w:ascii="Arial" w:hAnsi="Arial" w:cs="Arial"/>
        </w:rPr>
        <w:t xml:space="preserve"> wa</w:t>
      </w:r>
      <w:r w:rsidR="00642F3D">
        <w:rPr>
          <w:rFonts w:ascii="Arial" w:hAnsi="Arial" w:cs="Arial"/>
        </w:rPr>
        <w:t>s purchased from a local</w:t>
      </w:r>
      <w:r w:rsidR="00C16969" w:rsidRPr="00C16969">
        <w:rPr>
          <w:rFonts w:ascii="Arial" w:hAnsi="Arial" w:cs="Arial"/>
        </w:rPr>
        <w:t xml:space="preserve"> farm, at Uli, Anambra state. </w:t>
      </w:r>
      <w:r w:rsidR="00C16969" w:rsidRPr="00C16969">
        <w:rPr>
          <w:rFonts w:ascii="Arial" w:hAnsi="Arial" w:cs="Arial"/>
          <w:color w:val="000000"/>
        </w:rPr>
        <w:t>The botanical identification</w:t>
      </w:r>
      <w:r w:rsidR="006E48E8">
        <w:rPr>
          <w:rFonts w:ascii="Arial" w:hAnsi="Arial" w:cs="Arial"/>
          <w:color w:val="000000"/>
        </w:rPr>
        <w:t xml:space="preserve"> </w:t>
      </w:r>
      <w:r w:rsidR="00C16969" w:rsidRPr="00C16969">
        <w:rPr>
          <w:rFonts w:ascii="Arial" w:hAnsi="Arial" w:cs="Arial"/>
          <w:color w:val="000000"/>
        </w:rPr>
        <w:t xml:space="preserve">was confirmed in the herbarium </w:t>
      </w:r>
      <w:r w:rsidR="00A15DB5">
        <w:rPr>
          <w:rFonts w:ascii="Arial" w:hAnsi="Arial" w:cs="Arial"/>
          <w:color w:val="000000"/>
        </w:rPr>
        <w:t xml:space="preserve">unit </w:t>
      </w:r>
      <w:r w:rsidR="00C16969" w:rsidRPr="00C16969">
        <w:rPr>
          <w:rFonts w:ascii="Arial" w:hAnsi="Arial" w:cs="Arial"/>
          <w:color w:val="000000"/>
        </w:rPr>
        <w:t xml:space="preserve">of the Department of Biological Science, Chukwuemeka </w:t>
      </w:r>
      <w:proofErr w:type="spellStart"/>
      <w:r w:rsidR="00C16969" w:rsidRPr="00C16969">
        <w:rPr>
          <w:rFonts w:ascii="Arial" w:hAnsi="Arial" w:cs="Arial"/>
          <w:color w:val="000000"/>
        </w:rPr>
        <w:t>Odumegwu</w:t>
      </w:r>
      <w:proofErr w:type="spellEnd"/>
      <w:r w:rsidR="00C16969" w:rsidRPr="00C16969">
        <w:rPr>
          <w:rFonts w:ascii="Arial" w:hAnsi="Arial" w:cs="Arial"/>
          <w:color w:val="000000"/>
        </w:rPr>
        <w:t xml:space="preserve"> Ojukwu University, </w:t>
      </w:r>
      <w:proofErr w:type="spellStart"/>
      <w:r w:rsidR="00C16969" w:rsidRPr="00C16969">
        <w:rPr>
          <w:rFonts w:ascii="Arial" w:hAnsi="Arial" w:cs="Arial"/>
          <w:color w:val="000000"/>
        </w:rPr>
        <w:t>Uli</w:t>
      </w:r>
      <w:proofErr w:type="spellEnd"/>
      <w:r w:rsidR="00C16969" w:rsidRPr="00C16969">
        <w:rPr>
          <w:rFonts w:ascii="Arial" w:hAnsi="Arial" w:cs="Arial"/>
          <w:color w:val="000000"/>
        </w:rPr>
        <w:t xml:space="preserve"> Campus, Anambra State</w:t>
      </w:r>
      <w:r w:rsidR="00642F3D">
        <w:rPr>
          <w:rFonts w:ascii="Arial" w:hAnsi="Arial" w:cs="Arial"/>
          <w:color w:val="000000"/>
        </w:rPr>
        <w:t>.</w:t>
      </w:r>
      <w:r w:rsidR="00A15DB5">
        <w:rPr>
          <w:rFonts w:ascii="Arial" w:hAnsi="Arial" w:cs="Arial"/>
          <w:color w:val="000000"/>
        </w:rPr>
        <w:t xml:space="preserve"> </w:t>
      </w:r>
    </w:p>
    <w:p w14:paraId="58F908ED" w14:textId="33EA155A"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2.2 Preparation of </w:t>
      </w:r>
      <w:r w:rsidR="00CC0B01">
        <w:rPr>
          <w:rFonts w:ascii="Arial" w:hAnsi="Arial" w:cs="Arial"/>
          <w:b/>
          <w:bCs/>
          <w:i/>
          <w:sz w:val="22"/>
          <w:szCs w:val="22"/>
        </w:rPr>
        <w:t>Cowpea</w:t>
      </w:r>
      <w:r w:rsidRPr="00AA7544">
        <w:rPr>
          <w:rFonts w:ascii="Arial" w:hAnsi="Arial" w:cs="Arial"/>
          <w:b/>
          <w:bCs/>
          <w:sz w:val="22"/>
          <w:szCs w:val="22"/>
        </w:rPr>
        <w:t xml:space="preserve"> extract  </w:t>
      </w:r>
    </w:p>
    <w:p w14:paraId="2504317B" w14:textId="321F362D" w:rsidR="00C16969" w:rsidRDefault="00D210AC" w:rsidP="00C16969">
      <w:pPr>
        <w:jc w:val="both"/>
        <w:rPr>
          <w:rStyle w:val="bzpyqfadein"/>
        </w:rPr>
      </w:pPr>
      <w:r>
        <w:rPr>
          <w:rStyle w:val="bzpyqfadein"/>
        </w:rPr>
        <w:t>Fresh cowpea seeds were cleaned and air-dried at room temperature until a constant weight was obtained. The dried samples were then ground into fine powder using an electric grinder. A measured quantity of the powdered sample was macerated in 95% ethanol for 48 hours at room temperature with intermittent shaking to facilitate extraction of bioactive compounds. The mixture was subsequently filtered using Whatman No. 1 filter paper to obtain the crude filtrate. The filtrate was concentrated under reduced pressure using a digital rotary evaporator at 40 °C to remove the solvent and obtain a concentrated extract. The resulting extract was further dried in a laboratory oven at 40 °C until a semi-solid mass was obtained. The concentrated extract was then transferred into sterile airtight containers and stored in a refrigerator at 4 °C until required for experimental use.</w:t>
      </w:r>
    </w:p>
    <w:p w14:paraId="4E766A47" w14:textId="77777777" w:rsidR="00D210AC" w:rsidRPr="00AA7544" w:rsidRDefault="00D210AC" w:rsidP="00C16969">
      <w:pPr>
        <w:jc w:val="both"/>
        <w:rPr>
          <w:rFonts w:ascii="Arial" w:hAnsi="Arial" w:cs="Arial"/>
          <w:sz w:val="22"/>
          <w:szCs w:val="22"/>
        </w:rPr>
      </w:pPr>
    </w:p>
    <w:p w14:paraId="365AF7F9" w14:textId="7197BB03" w:rsidR="00C16969" w:rsidRPr="00AA7544" w:rsidRDefault="00C16969" w:rsidP="00C16969">
      <w:pPr>
        <w:jc w:val="both"/>
        <w:rPr>
          <w:rFonts w:ascii="Arial" w:hAnsi="Arial" w:cs="Arial"/>
          <w:b/>
          <w:bCs/>
          <w:sz w:val="22"/>
          <w:szCs w:val="22"/>
        </w:rPr>
      </w:pPr>
      <w:r w:rsidRPr="00AA7544">
        <w:rPr>
          <w:rFonts w:ascii="Arial" w:hAnsi="Arial" w:cs="Arial"/>
          <w:b/>
          <w:bCs/>
          <w:sz w:val="22"/>
          <w:szCs w:val="22"/>
        </w:rPr>
        <w:t>2.</w:t>
      </w:r>
      <w:r w:rsidR="00262714">
        <w:rPr>
          <w:rFonts w:ascii="Arial" w:hAnsi="Arial" w:cs="Arial"/>
          <w:b/>
          <w:bCs/>
          <w:sz w:val="22"/>
          <w:szCs w:val="22"/>
        </w:rPr>
        <w:t>3</w:t>
      </w:r>
      <w:r w:rsidRPr="00AA7544">
        <w:rPr>
          <w:rFonts w:ascii="Arial" w:hAnsi="Arial" w:cs="Arial"/>
          <w:b/>
          <w:bCs/>
          <w:sz w:val="22"/>
          <w:szCs w:val="22"/>
        </w:rPr>
        <w:t xml:space="preserve"> Declaration of Interest</w:t>
      </w:r>
    </w:p>
    <w:p w14:paraId="7EFA3AF5" w14:textId="77777777" w:rsidR="00C16969" w:rsidRPr="00C16969" w:rsidRDefault="00C16969" w:rsidP="00C16969">
      <w:pPr>
        <w:jc w:val="both"/>
        <w:rPr>
          <w:rFonts w:ascii="Arial" w:hAnsi="Arial" w:cs="Arial"/>
          <w:b/>
          <w:bCs/>
        </w:rPr>
      </w:pPr>
    </w:p>
    <w:p w14:paraId="5AE7CAFF" w14:textId="00A2D1C3" w:rsidR="00C16969" w:rsidRDefault="00C16969" w:rsidP="00C16969">
      <w:pPr>
        <w:jc w:val="both"/>
        <w:rPr>
          <w:rFonts w:ascii="Arial" w:hAnsi="Arial" w:cs="Arial"/>
        </w:rPr>
      </w:pPr>
      <w:r w:rsidRPr="00C16969">
        <w:rPr>
          <w:rFonts w:ascii="Arial" w:hAnsi="Arial" w:cs="Arial"/>
        </w:rPr>
        <w:t>None</w:t>
      </w:r>
    </w:p>
    <w:p w14:paraId="0155CAEF" w14:textId="77777777" w:rsidR="00C16969" w:rsidRPr="00C16969" w:rsidRDefault="00C16969" w:rsidP="00C16969">
      <w:pPr>
        <w:jc w:val="both"/>
        <w:rPr>
          <w:rFonts w:ascii="Arial" w:hAnsi="Arial" w:cs="Arial"/>
        </w:rPr>
      </w:pPr>
    </w:p>
    <w:p w14:paraId="096373AE" w14:textId="682A0281" w:rsidR="00C16969" w:rsidRPr="00AA7544" w:rsidRDefault="00C16969" w:rsidP="00C16969">
      <w:pPr>
        <w:jc w:val="both"/>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4</w:t>
      </w:r>
      <w:r w:rsidRPr="00AA7544">
        <w:rPr>
          <w:rFonts w:ascii="Arial" w:hAnsi="Arial" w:cs="Arial"/>
          <w:b/>
          <w:bCs/>
          <w:sz w:val="22"/>
          <w:szCs w:val="22"/>
        </w:rPr>
        <w:t xml:space="preserve"> Funding Source</w:t>
      </w:r>
    </w:p>
    <w:p w14:paraId="475981EC" w14:textId="77777777" w:rsidR="00C16969" w:rsidRPr="00C16969" w:rsidRDefault="00C16969" w:rsidP="00C16969">
      <w:pPr>
        <w:spacing w:before="240" w:after="240"/>
        <w:rPr>
          <w:rFonts w:ascii="Arial" w:hAnsi="Arial" w:cs="Arial"/>
        </w:rPr>
      </w:pPr>
      <w:r w:rsidRPr="00C16969">
        <w:rPr>
          <w:rFonts w:ascii="Arial" w:hAnsi="Arial" w:cs="Arial"/>
        </w:rPr>
        <w:t>This research did not receive any specific grant from funding agencies in the public, commercial, or non-profit sectors.</w:t>
      </w:r>
    </w:p>
    <w:p w14:paraId="4FDA1EEA" w14:textId="745133A3"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5</w:t>
      </w:r>
      <w:r w:rsidRPr="00AA7544">
        <w:rPr>
          <w:rFonts w:ascii="Arial" w:hAnsi="Arial" w:cs="Arial"/>
          <w:b/>
          <w:bCs/>
          <w:sz w:val="22"/>
          <w:szCs w:val="22"/>
        </w:rPr>
        <w:t xml:space="preserve"> Experimental Design </w:t>
      </w:r>
    </w:p>
    <w:p w14:paraId="7DE0CB39" w14:textId="39C652EF" w:rsidR="00C16969" w:rsidRPr="00C16969" w:rsidRDefault="00B911AF" w:rsidP="00C16969">
      <w:pPr>
        <w:jc w:val="both"/>
        <w:rPr>
          <w:rFonts w:ascii="Arial" w:hAnsi="Arial" w:cs="Arial"/>
        </w:rPr>
      </w:pPr>
      <w:r>
        <w:rPr>
          <w:rFonts w:ascii="Arial" w:hAnsi="Arial" w:cs="Arial"/>
        </w:rPr>
        <w:t>Twenty-five (2</w:t>
      </w:r>
      <w:r w:rsidR="00C16969" w:rsidRPr="00C16969">
        <w:rPr>
          <w:rFonts w:ascii="Arial" w:hAnsi="Arial" w:cs="Arial"/>
        </w:rPr>
        <w:t xml:space="preserve">5) male </w:t>
      </w:r>
      <w:r>
        <w:rPr>
          <w:rFonts w:ascii="Arial" w:hAnsi="Arial" w:cs="Arial"/>
        </w:rPr>
        <w:t>Wistar Rats weighing between 70-120</w:t>
      </w:r>
      <w:r w:rsidR="00C16969" w:rsidRPr="00C16969">
        <w:rPr>
          <w:rFonts w:ascii="Arial" w:hAnsi="Arial" w:cs="Arial"/>
        </w:rPr>
        <w:t>g were used for this study. The animals were allowed to a</w:t>
      </w:r>
      <w:r>
        <w:rPr>
          <w:rFonts w:ascii="Arial" w:hAnsi="Arial" w:cs="Arial"/>
        </w:rPr>
        <w:t>cclimatize for a period of fourteen</w:t>
      </w:r>
      <w:r w:rsidR="00C16969" w:rsidRPr="00C16969">
        <w:rPr>
          <w:rFonts w:ascii="Arial" w:hAnsi="Arial" w:cs="Arial"/>
        </w:rPr>
        <w:t xml:space="preserve"> days with full access to feed and water, after which were randomly se</w:t>
      </w:r>
      <w:r>
        <w:rPr>
          <w:rFonts w:ascii="Arial" w:hAnsi="Arial" w:cs="Arial"/>
        </w:rPr>
        <w:t>lected into five groups of five</w:t>
      </w:r>
      <w:r w:rsidR="00C16969" w:rsidRPr="00C16969">
        <w:rPr>
          <w:rFonts w:ascii="Arial" w:hAnsi="Arial" w:cs="Arial"/>
        </w:rPr>
        <w:t xml:space="preserve"> animals each (A to E). The grouping was as follows:</w:t>
      </w:r>
    </w:p>
    <w:p w14:paraId="33E15034" w14:textId="36045F70" w:rsidR="00C16969" w:rsidRPr="00C16969" w:rsidRDefault="00C16969" w:rsidP="00C16969">
      <w:pPr>
        <w:jc w:val="both"/>
        <w:rPr>
          <w:rFonts w:ascii="Arial" w:hAnsi="Arial" w:cs="Arial"/>
        </w:rPr>
      </w:pPr>
      <w:r w:rsidRPr="00C16969">
        <w:rPr>
          <w:rFonts w:ascii="Arial" w:hAnsi="Arial" w:cs="Arial"/>
        </w:rPr>
        <w:t xml:space="preserve">Group A (Control </w:t>
      </w:r>
      <w:r w:rsidR="00A41504">
        <w:rPr>
          <w:rFonts w:ascii="Arial" w:hAnsi="Arial" w:cs="Arial"/>
        </w:rPr>
        <w:t>Group): animals received</w:t>
      </w:r>
      <w:r w:rsidRPr="00C16969">
        <w:rPr>
          <w:rFonts w:ascii="Arial" w:hAnsi="Arial" w:cs="Arial"/>
        </w:rPr>
        <w:t xml:space="preserve"> distilled water and laboratory chow</w:t>
      </w:r>
    </w:p>
    <w:p w14:paraId="65CEB687" w14:textId="3247B9DF" w:rsidR="00C16969" w:rsidRPr="00C16969" w:rsidRDefault="00A41504" w:rsidP="00C16969">
      <w:pPr>
        <w:jc w:val="both"/>
        <w:rPr>
          <w:rFonts w:ascii="Arial" w:hAnsi="Arial" w:cs="Arial"/>
        </w:rPr>
      </w:pPr>
      <w:r>
        <w:rPr>
          <w:rFonts w:ascii="Arial" w:hAnsi="Arial" w:cs="Arial"/>
        </w:rPr>
        <w:t>Group B (Lead acetate</w:t>
      </w:r>
      <w:r w:rsidR="00C16969" w:rsidRPr="00C16969">
        <w:rPr>
          <w:rFonts w:ascii="Arial" w:hAnsi="Arial" w:cs="Arial"/>
        </w:rPr>
        <w:t xml:space="preserve"> group): received </w:t>
      </w:r>
      <w:r>
        <w:rPr>
          <w:rFonts w:ascii="Arial" w:hAnsi="Arial" w:cs="Arial"/>
        </w:rPr>
        <w:t>1</w:t>
      </w:r>
      <w:r w:rsidR="00C16969" w:rsidRPr="00C16969">
        <w:rPr>
          <w:rFonts w:ascii="Arial" w:hAnsi="Arial" w:cs="Arial"/>
        </w:rPr>
        <w:t>5mg/kg of</w:t>
      </w:r>
      <w:r>
        <w:rPr>
          <w:rFonts w:ascii="Arial" w:hAnsi="Arial" w:cs="Arial"/>
        </w:rPr>
        <w:t xml:space="preserve"> lead</w:t>
      </w:r>
      <w:r w:rsidR="00C16969" w:rsidRPr="00C16969">
        <w:rPr>
          <w:rFonts w:ascii="Arial" w:hAnsi="Arial" w:cs="Arial"/>
        </w:rPr>
        <w:t xml:space="preserve"> only.</w:t>
      </w:r>
    </w:p>
    <w:p w14:paraId="463D3880" w14:textId="5327C47D" w:rsidR="00C16969" w:rsidRPr="00C16969" w:rsidRDefault="00A41504" w:rsidP="00C16969">
      <w:pPr>
        <w:jc w:val="both"/>
        <w:rPr>
          <w:rFonts w:ascii="Arial" w:hAnsi="Arial" w:cs="Arial"/>
        </w:rPr>
      </w:pPr>
      <w:r>
        <w:rPr>
          <w:rFonts w:ascii="Arial" w:hAnsi="Arial" w:cs="Arial"/>
        </w:rPr>
        <w:t>Group C</w:t>
      </w:r>
      <w:r w:rsidR="001E0A22">
        <w:rPr>
          <w:rFonts w:ascii="Arial" w:hAnsi="Arial" w:cs="Arial"/>
        </w:rPr>
        <w:t xml:space="preserve"> </w:t>
      </w:r>
      <w:r w:rsidR="00C16969" w:rsidRPr="00C16969">
        <w:rPr>
          <w:rFonts w:ascii="Arial" w:hAnsi="Arial" w:cs="Arial"/>
        </w:rPr>
        <w:t>(</w:t>
      </w:r>
      <w:proofErr w:type="spellStart"/>
      <w:r>
        <w:rPr>
          <w:rFonts w:ascii="Arial" w:hAnsi="Arial" w:cs="Arial"/>
          <w:i/>
        </w:rPr>
        <w:t>lead+low</w:t>
      </w:r>
      <w:proofErr w:type="spellEnd"/>
      <w:r>
        <w:rPr>
          <w:rFonts w:ascii="Arial" w:hAnsi="Arial" w:cs="Arial"/>
          <w:i/>
        </w:rPr>
        <w:t xml:space="preserve"> dose cowpea extract</w:t>
      </w:r>
      <w:r w:rsidR="00C16969" w:rsidRPr="00C16969">
        <w:rPr>
          <w:rFonts w:ascii="Arial" w:hAnsi="Arial" w:cs="Arial"/>
        </w:rPr>
        <w:t xml:space="preserve">): received </w:t>
      </w:r>
      <w:r w:rsidRPr="00A41504">
        <w:rPr>
          <w:rFonts w:ascii="Arial" w:hAnsi="Arial" w:cs="Arial"/>
        </w:rPr>
        <w:t>Lead acetate + 1</w:t>
      </w:r>
      <w:r w:rsidR="00AC25A7">
        <w:rPr>
          <w:rFonts w:ascii="Arial" w:hAnsi="Arial" w:cs="Arial"/>
        </w:rPr>
        <w:t>0</w:t>
      </w:r>
      <w:r w:rsidRPr="00A41504">
        <w:rPr>
          <w:rFonts w:ascii="Arial" w:hAnsi="Arial" w:cs="Arial"/>
        </w:rPr>
        <w:t>0mg/kg of cowpea extract</w:t>
      </w:r>
      <w:r w:rsidR="00C16969" w:rsidRPr="00A41504">
        <w:rPr>
          <w:rFonts w:ascii="Arial" w:hAnsi="Arial" w:cs="Arial"/>
        </w:rPr>
        <w:t>.</w:t>
      </w:r>
    </w:p>
    <w:p w14:paraId="000B0A8F" w14:textId="7A4A423B" w:rsidR="001E0A22" w:rsidRPr="00C16969" w:rsidRDefault="00A41504" w:rsidP="001E0A22">
      <w:pPr>
        <w:jc w:val="both"/>
        <w:rPr>
          <w:rFonts w:ascii="Arial" w:hAnsi="Arial" w:cs="Arial"/>
        </w:rPr>
      </w:pPr>
      <w:r>
        <w:rPr>
          <w:rFonts w:ascii="Arial" w:hAnsi="Arial" w:cs="Arial"/>
        </w:rPr>
        <w:t>Group D (lead+ high dose cowpea extract</w:t>
      </w:r>
      <w:r w:rsidR="00C16969" w:rsidRPr="00C16969">
        <w:rPr>
          <w:rFonts w:ascii="Arial" w:hAnsi="Arial" w:cs="Arial"/>
        </w:rPr>
        <w:t xml:space="preserve">): </w:t>
      </w:r>
      <w:r w:rsidR="001E0A22" w:rsidRPr="00C16969">
        <w:rPr>
          <w:rFonts w:ascii="Arial" w:hAnsi="Arial" w:cs="Arial"/>
        </w:rPr>
        <w:t xml:space="preserve">received </w:t>
      </w:r>
      <w:r w:rsidR="00AC25A7">
        <w:rPr>
          <w:rFonts w:ascii="Arial" w:hAnsi="Arial" w:cs="Arial"/>
        </w:rPr>
        <w:t>Lead acetate + 20</w:t>
      </w:r>
      <w:r w:rsidR="001E0A22" w:rsidRPr="00A41504">
        <w:rPr>
          <w:rFonts w:ascii="Arial" w:hAnsi="Arial" w:cs="Arial"/>
        </w:rPr>
        <w:t>0mg/kg of cowpea extract.</w:t>
      </w:r>
    </w:p>
    <w:p w14:paraId="7A570448" w14:textId="7096F807" w:rsidR="001E0A22" w:rsidRDefault="001E0A22" w:rsidP="001E0A22">
      <w:pPr>
        <w:jc w:val="both"/>
        <w:rPr>
          <w:rFonts w:ascii="Arial" w:hAnsi="Arial" w:cs="Arial"/>
        </w:rPr>
      </w:pPr>
      <w:r>
        <w:rPr>
          <w:rFonts w:ascii="Arial" w:hAnsi="Arial" w:cs="Arial"/>
        </w:rPr>
        <w:t>Group E (Cowpea group</w:t>
      </w:r>
      <w:r w:rsidR="00C16969" w:rsidRPr="00C16969">
        <w:rPr>
          <w:rFonts w:ascii="Arial" w:hAnsi="Arial" w:cs="Arial"/>
        </w:rPr>
        <w:t xml:space="preserve">): received </w:t>
      </w:r>
      <w:r w:rsidR="00706C89">
        <w:rPr>
          <w:rFonts w:ascii="Arial" w:hAnsi="Arial" w:cs="Arial"/>
        </w:rPr>
        <w:t>2</w:t>
      </w:r>
      <w:r w:rsidR="00AC25A7">
        <w:rPr>
          <w:rFonts w:ascii="Arial" w:hAnsi="Arial" w:cs="Arial"/>
        </w:rPr>
        <w:t>0</w:t>
      </w:r>
      <w:r w:rsidRPr="00A41504">
        <w:rPr>
          <w:rFonts w:ascii="Arial" w:hAnsi="Arial" w:cs="Arial"/>
        </w:rPr>
        <w:t>0mg/kg of cowpea extract.</w:t>
      </w:r>
    </w:p>
    <w:p w14:paraId="3CB8FC72" w14:textId="77777777" w:rsidR="001E0A22" w:rsidRPr="00C16969" w:rsidRDefault="001E0A22" w:rsidP="001E0A22">
      <w:pPr>
        <w:jc w:val="both"/>
        <w:rPr>
          <w:rFonts w:ascii="Arial" w:hAnsi="Arial" w:cs="Arial"/>
        </w:rPr>
      </w:pPr>
    </w:p>
    <w:p w14:paraId="04C1493A" w14:textId="10E618F6" w:rsidR="00C16969" w:rsidRPr="00C16969" w:rsidRDefault="00C16969" w:rsidP="001E0A22">
      <w:pPr>
        <w:jc w:val="both"/>
        <w:rPr>
          <w:rFonts w:ascii="Arial" w:hAnsi="Arial" w:cs="Arial"/>
        </w:rPr>
      </w:pPr>
      <w:r w:rsidRPr="001E0A22">
        <w:rPr>
          <w:rFonts w:ascii="Arial" w:hAnsi="Arial" w:cs="Arial"/>
        </w:rPr>
        <w:t xml:space="preserve">The administration was done orally using oral canula within the period of 6am to 8am every day. </w:t>
      </w:r>
      <w:r w:rsidR="001E0A22" w:rsidRPr="001E0A22">
        <w:rPr>
          <w:rFonts w:ascii="Arial" w:hAnsi="Arial" w:cs="Arial"/>
        </w:rPr>
        <w:t xml:space="preserve">The experimental animals were administered with lead acetate for 7 days and ethanolic extract of Vigna </w:t>
      </w:r>
      <w:r w:rsidR="0022696B">
        <w:rPr>
          <w:rFonts w:ascii="Arial" w:hAnsi="Arial" w:cs="Arial"/>
        </w:rPr>
        <w:t>unguiculata for 21 days orally.</w:t>
      </w:r>
      <w:r w:rsidRPr="00C16969">
        <w:rPr>
          <w:rFonts w:ascii="Arial" w:hAnsi="Arial" w:cs="Arial"/>
        </w:rPr>
        <w:t xml:space="preserve"> </w:t>
      </w:r>
      <w:r w:rsidR="0022696B" w:rsidRPr="005D1952">
        <w:rPr>
          <w:rFonts w:ascii="Arial" w:hAnsi="Arial" w:cs="Arial"/>
        </w:rPr>
        <w:t>Before dissection, an ocular puncture was carried out and blood was released into blood containers. After this,</w:t>
      </w:r>
      <w:r w:rsidR="004B1305">
        <w:rPr>
          <w:rFonts w:ascii="Arial" w:hAnsi="Arial" w:cs="Arial"/>
        </w:rPr>
        <w:t xml:space="preserve"> </w:t>
      </w:r>
      <w:r w:rsidR="0022696B" w:rsidRPr="005D1952">
        <w:rPr>
          <w:rFonts w:ascii="Arial" w:hAnsi="Arial" w:cs="Arial"/>
        </w:rPr>
        <w:t>a cervical dislocation was carried out to further reduce the movement of</w:t>
      </w:r>
      <w:r w:rsidR="004B1305">
        <w:rPr>
          <w:rFonts w:ascii="Arial" w:hAnsi="Arial" w:cs="Arial"/>
        </w:rPr>
        <w:t xml:space="preserve"> the animals during dissection </w:t>
      </w:r>
      <w:r w:rsidRPr="00C16969">
        <w:rPr>
          <w:rFonts w:ascii="Arial" w:hAnsi="Arial" w:cs="Arial"/>
        </w:rPr>
        <w:t xml:space="preserve">and thereafter anaesthetized with 50mg/kg ketamine. The brain was perfused fixed in 10% buffered formalin, dissected and processed for histological studies using H&amp;E technique as described by </w:t>
      </w:r>
      <w:proofErr w:type="spellStart"/>
      <w:r w:rsidRPr="00C16969">
        <w:rPr>
          <w:rFonts w:ascii="Arial" w:hAnsi="Arial" w:cs="Arial"/>
        </w:rPr>
        <w:t>Kieman</w:t>
      </w:r>
      <w:proofErr w:type="spellEnd"/>
      <w:r w:rsidRPr="00C16969">
        <w:rPr>
          <w:rFonts w:ascii="Arial" w:hAnsi="Arial" w:cs="Arial"/>
        </w:rPr>
        <w:t xml:space="preserve"> (2008)</w:t>
      </w:r>
    </w:p>
    <w:p w14:paraId="0622DFE2" w14:textId="3521C0CB"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6</w:t>
      </w:r>
      <w:r w:rsidRPr="00AA7544">
        <w:rPr>
          <w:rFonts w:ascii="Arial" w:hAnsi="Arial" w:cs="Arial"/>
          <w:b/>
          <w:bCs/>
          <w:sz w:val="22"/>
          <w:szCs w:val="22"/>
        </w:rPr>
        <w:t xml:space="preserve"> Statistical Analysis</w:t>
      </w:r>
    </w:p>
    <w:p w14:paraId="4538A45D" w14:textId="4CE2903F" w:rsidR="00C16969" w:rsidRPr="00C16969" w:rsidRDefault="00C16969" w:rsidP="003A1B18">
      <w:pPr>
        <w:jc w:val="both"/>
        <w:rPr>
          <w:rFonts w:ascii="Arial" w:hAnsi="Arial" w:cs="Arial"/>
        </w:rPr>
      </w:pPr>
      <w:r w:rsidRPr="00C16969">
        <w:rPr>
          <w:rFonts w:ascii="Arial" w:hAnsi="Arial" w:cs="Arial"/>
          <w:color w:val="000000"/>
        </w:rPr>
        <w:t>Research objectives and hypothesis of the study was considered before analyzing data. The results were statistically an</w:t>
      </w:r>
      <w:r w:rsidR="00B82610">
        <w:rPr>
          <w:rFonts w:ascii="Arial" w:hAnsi="Arial" w:cs="Arial"/>
          <w:color w:val="000000"/>
        </w:rPr>
        <w:t>alyzed using the SPSS</w:t>
      </w:r>
      <w:r w:rsidRPr="00C16969">
        <w:rPr>
          <w:rFonts w:ascii="Arial" w:hAnsi="Arial" w:cs="Arial"/>
          <w:color w:val="000000"/>
        </w:rPr>
        <w:t xml:space="preserve"> software. </w:t>
      </w:r>
      <w:r w:rsidRPr="00C16969">
        <w:rPr>
          <w:rFonts w:ascii="Arial" w:hAnsi="Arial" w:cs="Arial"/>
        </w:rPr>
        <w:t xml:space="preserve">Two principal statistical tests were used i.e.  Dependent t-test and One-way ANOVA served explicit purposes in examining various sorts of data gathered during the study.  The results were expressed as mean± S.E.M. </w:t>
      </w:r>
      <w:r w:rsidRPr="00C16969">
        <w:rPr>
          <w:rFonts w:ascii="Arial" w:hAnsi="Arial" w:cs="Arial"/>
          <w:color w:val="000000"/>
        </w:rPr>
        <w:t>Statistical differences between the experimental and control groups were determined using ANOVA and values were considered significant at p ≤ .05.</w:t>
      </w:r>
    </w:p>
    <w:p w14:paraId="636E6D9D" w14:textId="77777777" w:rsidR="00790ADA" w:rsidRPr="00FB3A86" w:rsidRDefault="00790ADA" w:rsidP="00441B6F">
      <w:pPr>
        <w:pStyle w:val="Body"/>
        <w:spacing w:after="0"/>
        <w:rPr>
          <w:rFonts w:ascii="Arial" w:hAnsi="Arial" w:cs="Arial"/>
        </w:rPr>
      </w:pPr>
    </w:p>
    <w:p w14:paraId="1E6FFEE6" w14:textId="69BC430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926F62" w14:textId="77777777" w:rsidR="00790ADA" w:rsidRPr="00FB3A86" w:rsidRDefault="00790ADA" w:rsidP="00441B6F">
      <w:pPr>
        <w:pStyle w:val="Head1"/>
        <w:spacing w:after="0"/>
        <w:jc w:val="both"/>
        <w:rPr>
          <w:rFonts w:ascii="Arial" w:hAnsi="Arial" w:cs="Arial"/>
        </w:rPr>
      </w:pPr>
    </w:p>
    <w:p w14:paraId="645F1E45" w14:textId="0FC384B7" w:rsidR="00FD5BE4" w:rsidRDefault="00FD5BE4" w:rsidP="00FD5BE4">
      <w:pPr>
        <w:rPr>
          <w:rFonts w:ascii="Arial" w:hAnsi="Arial" w:cs="Arial"/>
          <w:b/>
        </w:rPr>
      </w:pPr>
      <w:r w:rsidRPr="00FD5BE4">
        <w:rPr>
          <w:rFonts w:ascii="Arial" w:hAnsi="Arial" w:cs="Arial"/>
          <w:b/>
          <w:bCs/>
        </w:rPr>
        <w:t xml:space="preserve">Table 1: </w:t>
      </w:r>
      <w:r w:rsidR="0045682E" w:rsidRPr="0045682E">
        <w:rPr>
          <w:rFonts w:ascii="Arial" w:hAnsi="Arial" w:cs="Arial"/>
          <w:b/>
        </w:rPr>
        <w:t>Descriptive table of stress markers of the brain</w:t>
      </w:r>
    </w:p>
    <w:p w14:paraId="3BC643F4" w14:textId="77777777" w:rsidR="0045682E" w:rsidRPr="00FD5BE4" w:rsidRDefault="0045682E" w:rsidP="00FD5BE4">
      <w:pPr>
        <w:rPr>
          <w:rFonts w:ascii="Arial" w:hAnsi="Arial" w:cs="Arial"/>
          <w:b/>
          <w:bCs/>
        </w:rPr>
      </w:pPr>
    </w:p>
    <w:tbl>
      <w:tblPr>
        <w:tblW w:w="6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00" w:firstRow="0" w:lastRow="0" w:firstColumn="0" w:lastColumn="0" w:noHBand="0" w:noVBand="1"/>
      </w:tblPr>
      <w:tblGrid>
        <w:gridCol w:w="1376"/>
        <w:gridCol w:w="1239"/>
        <w:gridCol w:w="1025"/>
        <w:gridCol w:w="1438"/>
        <w:gridCol w:w="1025"/>
      </w:tblGrid>
      <w:tr w:rsidR="008D2613" w:rsidRPr="007A1C4F" w14:paraId="243411BB" w14:textId="77777777" w:rsidTr="00AD22A3">
        <w:trPr>
          <w:cantSplit/>
        </w:trPr>
        <w:tc>
          <w:tcPr>
            <w:tcW w:w="6103" w:type="dxa"/>
            <w:gridSpan w:val="5"/>
            <w:tcBorders>
              <w:top w:val="nil"/>
              <w:left w:val="nil"/>
              <w:bottom w:val="nil"/>
              <w:right w:val="nil"/>
            </w:tcBorders>
            <w:shd w:val="clear" w:color="auto" w:fill="FFFFFF"/>
            <w:vAlign w:val="center"/>
            <w:hideMark/>
          </w:tcPr>
          <w:p w14:paraId="4845434F"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b/>
                <w:bCs/>
                <w:color w:val="000000"/>
              </w:rPr>
              <w:t>Descriptive Statistics</w:t>
            </w:r>
          </w:p>
        </w:tc>
      </w:tr>
      <w:tr w:rsidR="008D2613" w:rsidRPr="007A1C4F" w14:paraId="139D9B5C" w14:textId="77777777" w:rsidTr="00AD22A3">
        <w:trPr>
          <w:cantSplit/>
        </w:trPr>
        <w:tc>
          <w:tcPr>
            <w:tcW w:w="6103" w:type="dxa"/>
            <w:gridSpan w:val="5"/>
            <w:tcBorders>
              <w:top w:val="nil"/>
              <w:left w:val="nil"/>
              <w:bottom w:val="nil"/>
              <w:right w:val="nil"/>
            </w:tcBorders>
            <w:shd w:val="clear" w:color="auto" w:fill="FFFFFF"/>
            <w:vAlign w:val="bottom"/>
            <w:hideMark/>
          </w:tcPr>
          <w:p w14:paraId="7C98F937" w14:textId="77777777" w:rsidR="008D2613" w:rsidRPr="007A1C4F" w:rsidRDefault="008D2613" w:rsidP="00AD22A3">
            <w:pPr>
              <w:autoSpaceDE w:val="0"/>
              <w:autoSpaceDN w:val="0"/>
              <w:adjustRightInd w:val="0"/>
              <w:spacing w:line="360" w:lineRule="auto"/>
              <w:rPr>
                <w:rFonts w:ascii="Arial" w:hAnsi="Arial" w:cs="Arial"/>
              </w:rPr>
            </w:pPr>
            <w:r w:rsidRPr="007A1C4F">
              <w:rPr>
                <w:rFonts w:ascii="Arial" w:hAnsi="Arial" w:cs="Arial"/>
                <w:color w:val="000000"/>
                <w:shd w:val="clear" w:color="auto" w:fill="FFFFFF"/>
              </w:rPr>
              <w:t>Dependent Variable:   STRESSMARKERS</w:t>
            </w:r>
          </w:p>
        </w:tc>
      </w:tr>
      <w:tr w:rsidR="008D2613" w:rsidRPr="007A1C4F" w14:paraId="27DA49A0" w14:textId="77777777" w:rsidTr="00AD22A3">
        <w:trPr>
          <w:cantSplit/>
        </w:trPr>
        <w:tc>
          <w:tcPr>
            <w:tcW w:w="1376" w:type="dxa"/>
            <w:tcBorders>
              <w:top w:val="single" w:sz="18" w:space="0" w:color="000000"/>
              <w:left w:val="single" w:sz="18" w:space="0" w:color="000000"/>
              <w:bottom w:val="single" w:sz="18" w:space="0" w:color="000000"/>
              <w:right w:val="nil"/>
            </w:tcBorders>
            <w:shd w:val="clear" w:color="auto" w:fill="FFFFFF"/>
            <w:vAlign w:val="bottom"/>
            <w:hideMark/>
          </w:tcPr>
          <w:p w14:paraId="205DCCF3"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Parameters</w:t>
            </w:r>
          </w:p>
        </w:tc>
        <w:tc>
          <w:tcPr>
            <w:tcW w:w="1239" w:type="dxa"/>
            <w:tcBorders>
              <w:top w:val="single" w:sz="18" w:space="0" w:color="000000"/>
              <w:left w:val="nil"/>
              <w:bottom w:val="single" w:sz="18" w:space="0" w:color="000000"/>
              <w:right w:val="single" w:sz="18" w:space="0" w:color="000000"/>
            </w:tcBorders>
            <w:shd w:val="clear" w:color="auto" w:fill="FFFFFF"/>
            <w:vAlign w:val="bottom"/>
            <w:hideMark/>
          </w:tcPr>
          <w:p w14:paraId="498C466A"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Experiment</w:t>
            </w:r>
          </w:p>
        </w:tc>
        <w:tc>
          <w:tcPr>
            <w:tcW w:w="102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5763CEE"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Mean</w:t>
            </w:r>
          </w:p>
        </w:tc>
        <w:tc>
          <w:tcPr>
            <w:tcW w:w="143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40C49EE"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Std. Deviation</w:t>
            </w:r>
          </w:p>
        </w:tc>
        <w:tc>
          <w:tcPr>
            <w:tcW w:w="1025"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67D16A4" w14:textId="77777777" w:rsidR="008D2613" w:rsidRPr="007A1C4F" w:rsidRDefault="008D2613"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N</w:t>
            </w:r>
          </w:p>
        </w:tc>
      </w:tr>
      <w:tr w:rsidR="008D2613" w:rsidRPr="007A1C4F" w14:paraId="4B15502E" w14:textId="77777777" w:rsidTr="00AD22A3">
        <w:trPr>
          <w:cantSplit/>
        </w:trPr>
        <w:tc>
          <w:tcPr>
            <w:tcW w:w="1376" w:type="dxa"/>
            <w:vMerge w:val="restart"/>
            <w:tcBorders>
              <w:top w:val="single" w:sz="18" w:space="0" w:color="000000"/>
              <w:left w:val="single" w:sz="18" w:space="0" w:color="000000"/>
              <w:bottom w:val="single" w:sz="8" w:space="0" w:color="000000"/>
              <w:right w:val="nil"/>
            </w:tcBorders>
            <w:shd w:val="clear" w:color="auto" w:fill="FFFFFF"/>
            <w:hideMark/>
          </w:tcPr>
          <w:p w14:paraId="7C4753DE"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GLUTA</w:t>
            </w:r>
          </w:p>
        </w:tc>
        <w:tc>
          <w:tcPr>
            <w:tcW w:w="1239" w:type="dxa"/>
            <w:tcBorders>
              <w:top w:val="single" w:sz="18" w:space="0" w:color="000000"/>
              <w:left w:val="nil"/>
              <w:bottom w:val="nil"/>
              <w:right w:val="single" w:sz="18" w:space="0" w:color="000000"/>
            </w:tcBorders>
            <w:shd w:val="clear" w:color="auto" w:fill="FFFFFF"/>
            <w:hideMark/>
          </w:tcPr>
          <w:p w14:paraId="57695632"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025" w:type="dxa"/>
            <w:tcBorders>
              <w:top w:val="single" w:sz="18" w:space="0" w:color="000000"/>
              <w:left w:val="single" w:sz="18" w:space="0" w:color="000000"/>
              <w:bottom w:val="nil"/>
              <w:right w:val="single" w:sz="8" w:space="0" w:color="000000"/>
            </w:tcBorders>
            <w:shd w:val="clear" w:color="auto" w:fill="FFFFFF"/>
            <w:vAlign w:val="center"/>
            <w:hideMark/>
          </w:tcPr>
          <w:p w14:paraId="7F1CA163"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72.1067</w:t>
            </w:r>
          </w:p>
        </w:tc>
        <w:tc>
          <w:tcPr>
            <w:tcW w:w="1438" w:type="dxa"/>
            <w:tcBorders>
              <w:top w:val="single" w:sz="18" w:space="0" w:color="000000"/>
              <w:left w:val="single" w:sz="8" w:space="0" w:color="000000"/>
              <w:bottom w:val="nil"/>
              <w:right w:val="single" w:sz="8" w:space="0" w:color="000000"/>
            </w:tcBorders>
            <w:shd w:val="clear" w:color="auto" w:fill="FFFFFF"/>
            <w:vAlign w:val="center"/>
            <w:hideMark/>
          </w:tcPr>
          <w:p w14:paraId="0868626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1.08011</w:t>
            </w:r>
          </w:p>
        </w:tc>
        <w:tc>
          <w:tcPr>
            <w:tcW w:w="1025" w:type="dxa"/>
            <w:tcBorders>
              <w:top w:val="single" w:sz="18" w:space="0" w:color="000000"/>
              <w:left w:val="single" w:sz="8" w:space="0" w:color="000000"/>
              <w:bottom w:val="nil"/>
              <w:right w:val="single" w:sz="18" w:space="0" w:color="000000"/>
            </w:tcBorders>
            <w:shd w:val="clear" w:color="auto" w:fill="FFFFFF"/>
            <w:vAlign w:val="center"/>
            <w:hideMark/>
          </w:tcPr>
          <w:p w14:paraId="2792F03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48FED46"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0BB1E063"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41F9EA1D"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025" w:type="dxa"/>
            <w:tcBorders>
              <w:top w:val="nil"/>
              <w:left w:val="single" w:sz="18" w:space="0" w:color="000000"/>
              <w:bottom w:val="nil"/>
              <w:right w:val="single" w:sz="8" w:space="0" w:color="000000"/>
            </w:tcBorders>
            <w:shd w:val="clear" w:color="auto" w:fill="FFFFFF"/>
            <w:vAlign w:val="center"/>
            <w:hideMark/>
          </w:tcPr>
          <w:p w14:paraId="2B97448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97.9500</w:t>
            </w:r>
          </w:p>
        </w:tc>
        <w:tc>
          <w:tcPr>
            <w:tcW w:w="1438" w:type="dxa"/>
            <w:tcBorders>
              <w:top w:val="nil"/>
              <w:left w:val="single" w:sz="8" w:space="0" w:color="000000"/>
              <w:bottom w:val="nil"/>
              <w:right w:val="single" w:sz="8" w:space="0" w:color="000000"/>
            </w:tcBorders>
            <w:shd w:val="clear" w:color="auto" w:fill="FFFFFF"/>
            <w:vAlign w:val="center"/>
            <w:hideMark/>
          </w:tcPr>
          <w:p w14:paraId="652DFC9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1.09891</w:t>
            </w:r>
          </w:p>
        </w:tc>
        <w:tc>
          <w:tcPr>
            <w:tcW w:w="1025" w:type="dxa"/>
            <w:tcBorders>
              <w:top w:val="nil"/>
              <w:left w:val="single" w:sz="8" w:space="0" w:color="000000"/>
              <w:bottom w:val="nil"/>
              <w:right w:val="single" w:sz="18" w:space="0" w:color="000000"/>
            </w:tcBorders>
            <w:shd w:val="clear" w:color="auto" w:fill="FFFFFF"/>
            <w:vAlign w:val="center"/>
            <w:hideMark/>
          </w:tcPr>
          <w:p w14:paraId="3040E4A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7A06E50"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608E68C6"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525665AC"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025" w:type="dxa"/>
            <w:tcBorders>
              <w:top w:val="nil"/>
              <w:left w:val="single" w:sz="18" w:space="0" w:color="000000"/>
              <w:bottom w:val="nil"/>
              <w:right w:val="single" w:sz="8" w:space="0" w:color="000000"/>
            </w:tcBorders>
            <w:shd w:val="clear" w:color="auto" w:fill="FFFFFF"/>
            <w:vAlign w:val="center"/>
            <w:hideMark/>
          </w:tcPr>
          <w:p w14:paraId="578746F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42.7400</w:t>
            </w:r>
          </w:p>
        </w:tc>
        <w:tc>
          <w:tcPr>
            <w:tcW w:w="1438" w:type="dxa"/>
            <w:tcBorders>
              <w:top w:val="nil"/>
              <w:left w:val="single" w:sz="8" w:space="0" w:color="000000"/>
              <w:bottom w:val="nil"/>
              <w:right w:val="single" w:sz="8" w:space="0" w:color="000000"/>
            </w:tcBorders>
            <w:shd w:val="clear" w:color="auto" w:fill="FFFFFF"/>
            <w:vAlign w:val="center"/>
            <w:hideMark/>
          </w:tcPr>
          <w:p w14:paraId="7BBB00A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1.28946</w:t>
            </w:r>
          </w:p>
        </w:tc>
        <w:tc>
          <w:tcPr>
            <w:tcW w:w="1025" w:type="dxa"/>
            <w:tcBorders>
              <w:top w:val="nil"/>
              <w:left w:val="single" w:sz="8" w:space="0" w:color="000000"/>
              <w:bottom w:val="nil"/>
              <w:right w:val="single" w:sz="18" w:space="0" w:color="000000"/>
            </w:tcBorders>
            <w:shd w:val="clear" w:color="auto" w:fill="FFFFFF"/>
            <w:vAlign w:val="center"/>
            <w:hideMark/>
          </w:tcPr>
          <w:p w14:paraId="5015992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1E3D8C0"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10B4DF69"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5EB8BA6"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025" w:type="dxa"/>
            <w:tcBorders>
              <w:top w:val="nil"/>
              <w:left w:val="single" w:sz="18" w:space="0" w:color="000000"/>
              <w:bottom w:val="nil"/>
              <w:right w:val="single" w:sz="8" w:space="0" w:color="000000"/>
            </w:tcBorders>
            <w:shd w:val="clear" w:color="auto" w:fill="FFFFFF"/>
            <w:vAlign w:val="center"/>
            <w:hideMark/>
          </w:tcPr>
          <w:p w14:paraId="3859243D"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58.6067</w:t>
            </w:r>
          </w:p>
        </w:tc>
        <w:tc>
          <w:tcPr>
            <w:tcW w:w="1438" w:type="dxa"/>
            <w:tcBorders>
              <w:top w:val="nil"/>
              <w:left w:val="single" w:sz="8" w:space="0" w:color="000000"/>
              <w:bottom w:val="nil"/>
              <w:right w:val="single" w:sz="8" w:space="0" w:color="000000"/>
            </w:tcBorders>
            <w:shd w:val="clear" w:color="auto" w:fill="FFFFFF"/>
            <w:vAlign w:val="center"/>
            <w:hideMark/>
          </w:tcPr>
          <w:p w14:paraId="4ED0163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.52272</w:t>
            </w:r>
          </w:p>
        </w:tc>
        <w:tc>
          <w:tcPr>
            <w:tcW w:w="1025" w:type="dxa"/>
            <w:tcBorders>
              <w:top w:val="nil"/>
              <w:left w:val="single" w:sz="8" w:space="0" w:color="000000"/>
              <w:bottom w:val="nil"/>
              <w:right w:val="single" w:sz="18" w:space="0" w:color="000000"/>
            </w:tcBorders>
            <w:shd w:val="clear" w:color="auto" w:fill="FFFFFF"/>
            <w:vAlign w:val="center"/>
            <w:hideMark/>
          </w:tcPr>
          <w:p w14:paraId="1FF0546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27B4AB4F"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7CFF20F4"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62A01D5C"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025" w:type="dxa"/>
            <w:tcBorders>
              <w:top w:val="nil"/>
              <w:left w:val="single" w:sz="18" w:space="0" w:color="000000"/>
              <w:bottom w:val="nil"/>
              <w:right w:val="single" w:sz="8" w:space="0" w:color="000000"/>
            </w:tcBorders>
            <w:shd w:val="clear" w:color="auto" w:fill="FFFFFF"/>
            <w:vAlign w:val="center"/>
            <w:hideMark/>
          </w:tcPr>
          <w:p w14:paraId="339341D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68.1600</w:t>
            </w:r>
          </w:p>
        </w:tc>
        <w:tc>
          <w:tcPr>
            <w:tcW w:w="1438" w:type="dxa"/>
            <w:tcBorders>
              <w:top w:val="nil"/>
              <w:left w:val="single" w:sz="8" w:space="0" w:color="000000"/>
              <w:bottom w:val="nil"/>
              <w:right w:val="single" w:sz="8" w:space="0" w:color="000000"/>
            </w:tcBorders>
            <w:shd w:val="clear" w:color="auto" w:fill="FFFFFF"/>
            <w:vAlign w:val="center"/>
            <w:hideMark/>
          </w:tcPr>
          <w:p w14:paraId="3351B2C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.98000</w:t>
            </w:r>
          </w:p>
        </w:tc>
        <w:tc>
          <w:tcPr>
            <w:tcW w:w="1025" w:type="dxa"/>
            <w:tcBorders>
              <w:top w:val="nil"/>
              <w:left w:val="single" w:sz="8" w:space="0" w:color="000000"/>
              <w:bottom w:val="nil"/>
              <w:right w:val="single" w:sz="18" w:space="0" w:color="000000"/>
            </w:tcBorders>
            <w:shd w:val="clear" w:color="auto" w:fill="FFFFFF"/>
            <w:vAlign w:val="center"/>
            <w:hideMark/>
          </w:tcPr>
          <w:p w14:paraId="6043E4FD"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1AA9C250"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591CB0AB"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single" w:sz="8" w:space="0" w:color="000000"/>
              <w:right w:val="single" w:sz="18" w:space="0" w:color="000000"/>
            </w:tcBorders>
            <w:shd w:val="clear" w:color="auto" w:fill="FFFFFF"/>
            <w:hideMark/>
          </w:tcPr>
          <w:p w14:paraId="3CB26816"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Total</w:t>
            </w:r>
          </w:p>
        </w:tc>
        <w:tc>
          <w:tcPr>
            <w:tcW w:w="1025" w:type="dxa"/>
            <w:tcBorders>
              <w:top w:val="nil"/>
              <w:left w:val="single" w:sz="18" w:space="0" w:color="000000"/>
              <w:bottom w:val="single" w:sz="8" w:space="0" w:color="000000"/>
              <w:right w:val="single" w:sz="8" w:space="0" w:color="000000"/>
            </w:tcBorders>
            <w:shd w:val="clear" w:color="auto" w:fill="FFFFFF"/>
            <w:vAlign w:val="center"/>
            <w:hideMark/>
          </w:tcPr>
          <w:p w14:paraId="234FF746"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67.9127</w:t>
            </w:r>
          </w:p>
        </w:tc>
        <w:tc>
          <w:tcPr>
            <w:tcW w:w="1438" w:type="dxa"/>
            <w:tcBorders>
              <w:top w:val="nil"/>
              <w:left w:val="single" w:sz="8" w:space="0" w:color="000000"/>
              <w:bottom w:val="single" w:sz="8" w:space="0" w:color="000000"/>
              <w:right w:val="single" w:sz="8" w:space="0" w:color="000000"/>
            </w:tcBorders>
            <w:shd w:val="clear" w:color="auto" w:fill="FFFFFF"/>
            <w:vAlign w:val="center"/>
            <w:hideMark/>
          </w:tcPr>
          <w:p w14:paraId="4DCE05C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18.76740</w:t>
            </w:r>
          </w:p>
        </w:tc>
        <w:tc>
          <w:tcPr>
            <w:tcW w:w="1025" w:type="dxa"/>
            <w:tcBorders>
              <w:top w:val="nil"/>
              <w:left w:val="single" w:sz="8" w:space="0" w:color="000000"/>
              <w:bottom w:val="single" w:sz="8" w:space="0" w:color="000000"/>
              <w:right w:val="single" w:sz="18" w:space="0" w:color="000000"/>
            </w:tcBorders>
            <w:shd w:val="clear" w:color="auto" w:fill="FFFFFF"/>
            <w:vAlign w:val="center"/>
            <w:hideMark/>
          </w:tcPr>
          <w:p w14:paraId="73BFA855"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w:t>
            </w:r>
          </w:p>
        </w:tc>
      </w:tr>
      <w:tr w:rsidR="008D2613" w:rsidRPr="007A1C4F" w14:paraId="23D6B7CD" w14:textId="77777777" w:rsidTr="00AD22A3">
        <w:trPr>
          <w:cantSplit/>
        </w:trPr>
        <w:tc>
          <w:tcPr>
            <w:tcW w:w="1376" w:type="dxa"/>
            <w:vMerge w:val="restart"/>
            <w:tcBorders>
              <w:top w:val="nil"/>
              <w:left w:val="single" w:sz="18" w:space="0" w:color="000000"/>
              <w:bottom w:val="single" w:sz="8" w:space="0" w:color="000000"/>
              <w:right w:val="nil"/>
            </w:tcBorders>
            <w:shd w:val="clear" w:color="auto" w:fill="FFFFFF"/>
            <w:hideMark/>
          </w:tcPr>
          <w:p w14:paraId="7D902D3B"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SEROTONIN</w:t>
            </w:r>
          </w:p>
        </w:tc>
        <w:tc>
          <w:tcPr>
            <w:tcW w:w="1239" w:type="dxa"/>
            <w:tcBorders>
              <w:top w:val="nil"/>
              <w:left w:val="nil"/>
              <w:bottom w:val="nil"/>
              <w:right w:val="single" w:sz="18" w:space="0" w:color="000000"/>
            </w:tcBorders>
            <w:shd w:val="clear" w:color="auto" w:fill="FFFFFF"/>
            <w:hideMark/>
          </w:tcPr>
          <w:p w14:paraId="1F243D27"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025" w:type="dxa"/>
            <w:tcBorders>
              <w:top w:val="nil"/>
              <w:left w:val="single" w:sz="18" w:space="0" w:color="000000"/>
              <w:bottom w:val="nil"/>
              <w:right w:val="single" w:sz="8" w:space="0" w:color="000000"/>
            </w:tcBorders>
            <w:shd w:val="clear" w:color="auto" w:fill="FFFFFF"/>
            <w:vAlign w:val="center"/>
            <w:hideMark/>
          </w:tcPr>
          <w:p w14:paraId="4C4AB970"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88.7033</w:t>
            </w:r>
          </w:p>
        </w:tc>
        <w:tc>
          <w:tcPr>
            <w:tcW w:w="1438" w:type="dxa"/>
            <w:tcBorders>
              <w:top w:val="nil"/>
              <w:left w:val="single" w:sz="8" w:space="0" w:color="000000"/>
              <w:bottom w:val="nil"/>
              <w:right w:val="single" w:sz="8" w:space="0" w:color="000000"/>
            </w:tcBorders>
            <w:shd w:val="clear" w:color="auto" w:fill="FFFFFF"/>
            <w:vAlign w:val="center"/>
            <w:hideMark/>
          </w:tcPr>
          <w:p w14:paraId="69B8E756"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.79463</w:t>
            </w:r>
          </w:p>
        </w:tc>
        <w:tc>
          <w:tcPr>
            <w:tcW w:w="1025" w:type="dxa"/>
            <w:tcBorders>
              <w:top w:val="nil"/>
              <w:left w:val="single" w:sz="8" w:space="0" w:color="000000"/>
              <w:bottom w:val="nil"/>
              <w:right w:val="single" w:sz="18" w:space="0" w:color="000000"/>
            </w:tcBorders>
            <w:shd w:val="clear" w:color="auto" w:fill="FFFFFF"/>
            <w:vAlign w:val="center"/>
            <w:hideMark/>
          </w:tcPr>
          <w:p w14:paraId="758FAC6D"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342FFD1"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F560404"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21E517C6"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025" w:type="dxa"/>
            <w:tcBorders>
              <w:top w:val="nil"/>
              <w:left w:val="single" w:sz="18" w:space="0" w:color="000000"/>
              <w:bottom w:val="nil"/>
              <w:right w:val="single" w:sz="8" w:space="0" w:color="000000"/>
            </w:tcBorders>
            <w:shd w:val="clear" w:color="auto" w:fill="FFFFFF"/>
            <w:vAlign w:val="center"/>
            <w:hideMark/>
          </w:tcPr>
          <w:p w14:paraId="6CCDC66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43.8700</w:t>
            </w:r>
          </w:p>
        </w:tc>
        <w:tc>
          <w:tcPr>
            <w:tcW w:w="1438" w:type="dxa"/>
            <w:tcBorders>
              <w:top w:val="nil"/>
              <w:left w:val="single" w:sz="8" w:space="0" w:color="000000"/>
              <w:bottom w:val="nil"/>
              <w:right w:val="single" w:sz="8" w:space="0" w:color="000000"/>
            </w:tcBorders>
            <w:shd w:val="clear" w:color="auto" w:fill="FFFFFF"/>
            <w:vAlign w:val="center"/>
            <w:hideMark/>
          </w:tcPr>
          <w:p w14:paraId="2D40E4C3"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1.01129</w:t>
            </w:r>
          </w:p>
        </w:tc>
        <w:tc>
          <w:tcPr>
            <w:tcW w:w="1025" w:type="dxa"/>
            <w:tcBorders>
              <w:top w:val="nil"/>
              <w:left w:val="single" w:sz="8" w:space="0" w:color="000000"/>
              <w:bottom w:val="nil"/>
              <w:right w:val="single" w:sz="18" w:space="0" w:color="000000"/>
            </w:tcBorders>
            <w:shd w:val="clear" w:color="auto" w:fill="FFFFFF"/>
            <w:vAlign w:val="center"/>
            <w:hideMark/>
          </w:tcPr>
          <w:p w14:paraId="2D94DF30"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D373F5E"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C5CC46C"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DE858BA"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025" w:type="dxa"/>
            <w:tcBorders>
              <w:top w:val="nil"/>
              <w:left w:val="single" w:sz="18" w:space="0" w:color="000000"/>
              <w:bottom w:val="nil"/>
              <w:right w:val="single" w:sz="8" w:space="0" w:color="000000"/>
            </w:tcBorders>
            <w:shd w:val="clear" w:color="auto" w:fill="FFFFFF"/>
            <w:vAlign w:val="center"/>
            <w:hideMark/>
          </w:tcPr>
          <w:p w14:paraId="25A083D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27.8133</w:t>
            </w:r>
          </w:p>
        </w:tc>
        <w:tc>
          <w:tcPr>
            <w:tcW w:w="1438" w:type="dxa"/>
            <w:tcBorders>
              <w:top w:val="nil"/>
              <w:left w:val="single" w:sz="8" w:space="0" w:color="000000"/>
              <w:bottom w:val="nil"/>
              <w:right w:val="single" w:sz="8" w:space="0" w:color="000000"/>
            </w:tcBorders>
            <w:shd w:val="clear" w:color="auto" w:fill="FFFFFF"/>
            <w:vAlign w:val="center"/>
            <w:hideMark/>
          </w:tcPr>
          <w:p w14:paraId="19EF2973"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1.04882</w:t>
            </w:r>
          </w:p>
        </w:tc>
        <w:tc>
          <w:tcPr>
            <w:tcW w:w="1025" w:type="dxa"/>
            <w:tcBorders>
              <w:top w:val="nil"/>
              <w:left w:val="single" w:sz="8" w:space="0" w:color="000000"/>
              <w:bottom w:val="nil"/>
              <w:right w:val="single" w:sz="18" w:space="0" w:color="000000"/>
            </w:tcBorders>
            <w:shd w:val="clear" w:color="auto" w:fill="FFFFFF"/>
            <w:vAlign w:val="center"/>
            <w:hideMark/>
          </w:tcPr>
          <w:p w14:paraId="0715DFC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67D07F8D"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B86E411"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0E8682D"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025" w:type="dxa"/>
            <w:tcBorders>
              <w:top w:val="nil"/>
              <w:left w:val="single" w:sz="18" w:space="0" w:color="000000"/>
              <w:bottom w:val="nil"/>
              <w:right w:val="single" w:sz="8" w:space="0" w:color="000000"/>
            </w:tcBorders>
            <w:shd w:val="clear" w:color="auto" w:fill="FFFFFF"/>
            <w:vAlign w:val="center"/>
            <w:hideMark/>
          </w:tcPr>
          <w:p w14:paraId="6EF12D8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30.9367</w:t>
            </w:r>
          </w:p>
        </w:tc>
        <w:tc>
          <w:tcPr>
            <w:tcW w:w="1438" w:type="dxa"/>
            <w:tcBorders>
              <w:top w:val="nil"/>
              <w:left w:val="single" w:sz="8" w:space="0" w:color="000000"/>
              <w:bottom w:val="nil"/>
              <w:right w:val="single" w:sz="8" w:space="0" w:color="000000"/>
            </w:tcBorders>
            <w:shd w:val="clear" w:color="auto" w:fill="FFFFFF"/>
            <w:vAlign w:val="center"/>
            <w:hideMark/>
          </w:tcPr>
          <w:p w14:paraId="356CBA89"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.88500</w:t>
            </w:r>
          </w:p>
        </w:tc>
        <w:tc>
          <w:tcPr>
            <w:tcW w:w="1025" w:type="dxa"/>
            <w:tcBorders>
              <w:top w:val="nil"/>
              <w:left w:val="single" w:sz="8" w:space="0" w:color="000000"/>
              <w:bottom w:val="nil"/>
              <w:right w:val="single" w:sz="18" w:space="0" w:color="000000"/>
            </w:tcBorders>
            <w:shd w:val="clear" w:color="auto" w:fill="FFFFFF"/>
            <w:vAlign w:val="center"/>
            <w:hideMark/>
          </w:tcPr>
          <w:p w14:paraId="273CF00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182CE0E6"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44BA239B"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33F4D3EA"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025" w:type="dxa"/>
            <w:tcBorders>
              <w:top w:val="nil"/>
              <w:left w:val="single" w:sz="18" w:space="0" w:color="000000"/>
              <w:bottom w:val="nil"/>
              <w:right w:val="single" w:sz="8" w:space="0" w:color="000000"/>
            </w:tcBorders>
            <w:shd w:val="clear" w:color="auto" w:fill="FFFFFF"/>
            <w:vAlign w:val="center"/>
            <w:hideMark/>
          </w:tcPr>
          <w:p w14:paraId="5272935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68.6300</w:t>
            </w:r>
          </w:p>
        </w:tc>
        <w:tc>
          <w:tcPr>
            <w:tcW w:w="1438" w:type="dxa"/>
            <w:tcBorders>
              <w:top w:val="nil"/>
              <w:left w:val="single" w:sz="8" w:space="0" w:color="000000"/>
              <w:bottom w:val="nil"/>
              <w:right w:val="single" w:sz="8" w:space="0" w:color="000000"/>
            </w:tcBorders>
            <w:shd w:val="clear" w:color="auto" w:fill="FFFFFF"/>
            <w:vAlign w:val="center"/>
            <w:hideMark/>
          </w:tcPr>
          <w:p w14:paraId="108B80E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.75319</w:t>
            </w:r>
          </w:p>
        </w:tc>
        <w:tc>
          <w:tcPr>
            <w:tcW w:w="1025" w:type="dxa"/>
            <w:tcBorders>
              <w:top w:val="nil"/>
              <w:left w:val="single" w:sz="8" w:space="0" w:color="000000"/>
              <w:bottom w:val="nil"/>
              <w:right w:val="single" w:sz="18" w:space="0" w:color="000000"/>
            </w:tcBorders>
            <w:shd w:val="clear" w:color="auto" w:fill="FFFFFF"/>
            <w:vAlign w:val="center"/>
            <w:hideMark/>
          </w:tcPr>
          <w:p w14:paraId="52DD8B1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3BE75D25"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CBC833E"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single" w:sz="8" w:space="0" w:color="000000"/>
              <w:right w:val="single" w:sz="18" w:space="0" w:color="000000"/>
            </w:tcBorders>
            <w:shd w:val="clear" w:color="auto" w:fill="FFFFFF"/>
            <w:hideMark/>
          </w:tcPr>
          <w:p w14:paraId="37039107"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Total</w:t>
            </w:r>
          </w:p>
        </w:tc>
        <w:tc>
          <w:tcPr>
            <w:tcW w:w="1025" w:type="dxa"/>
            <w:tcBorders>
              <w:top w:val="nil"/>
              <w:left w:val="single" w:sz="18" w:space="0" w:color="000000"/>
              <w:bottom w:val="single" w:sz="8" w:space="0" w:color="000000"/>
              <w:right w:val="single" w:sz="8" w:space="0" w:color="000000"/>
            </w:tcBorders>
            <w:shd w:val="clear" w:color="auto" w:fill="FFFFFF"/>
            <w:vAlign w:val="center"/>
            <w:hideMark/>
          </w:tcPr>
          <w:p w14:paraId="1EDF998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51.9907</w:t>
            </w:r>
          </w:p>
        </w:tc>
        <w:tc>
          <w:tcPr>
            <w:tcW w:w="1438" w:type="dxa"/>
            <w:tcBorders>
              <w:top w:val="nil"/>
              <w:left w:val="single" w:sz="8" w:space="0" w:color="000000"/>
              <w:bottom w:val="single" w:sz="8" w:space="0" w:color="000000"/>
              <w:right w:val="single" w:sz="8" w:space="0" w:color="000000"/>
            </w:tcBorders>
            <w:shd w:val="clear" w:color="auto" w:fill="FFFFFF"/>
            <w:vAlign w:val="center"/>
            <w:hideMark/>
          </w:tcPr>
          <w:p w14:paraId="03119DA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24.14769</w:t>
            </w:r>
          </w:p>
        </w:tc>
        <w:tc>
          <w:tcPr>
            <w:tcW w:w="1025" w:type="dxa"/>
            <w:tcBorders>
              <w:top w:val="nil"/>
              <w:left w:val="single" w:sz="8" w:space="0" w:color="000000"/>
              <w:bottom w:val="single" w:sz="8" w:space="0" w:color="000000"/>
              <w:right w:val="single" w:sz="18" w:space="0" w:color="000000"/>
            </w:tcBorders>
            <w:shd w:val="clear" w:color="auto" w:fill="FFFFFF"/>
            <w:vAlign w:val="center"/>
            <w:hideMark/>
          </w:tcPr>
          <w:p w14:paraId="55DA89DA"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w:t>
            </w:r>
          </w:p>
        </w:tc>
      </w:tr>
      <w:tr w:rsidR="008D2613" w:rsidRPr="007A1C4F" w14:paraId="008B36CB" w14:textId="77777777" w:rsidTr="00AD22A3">
        <w:trPr>
          <w:cantSplit/>
        </w:trPr>
        <w:tc>
          <w:tcPr>
            <w:tcW w:w="1376" w:type="dxa"/>
            <w:vMerge w:val="restart"/>
            <w:tcBorders>
              <w:top w:val="nil"/>
              <w:left w:val="single" w:sz="18" w:space="0" w:color="000000"/>
              <w:bottom w:val="single" w:sz="8" w:space="0" w:color="000000"/>
              <w:right w:val="nil"/>
            </w:tcBorders>
            <w:shd w:val="clear" w:color="auto" w:fill="FFFFFF"/>
            <w:hideMark/>
          </w:tcPr>
          <w:p w14:paraId="35ED22F8"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MDA</w:t>
            </w:r>
          </w:p>
        </w:tc>
        <w:tc>
          <w:tcPr>
            <w:tcW w:w="1239" w:type="dxa"/>
            <w:tcBorders>
              <w:top w:val="nil"/>
              <w:left w:val="nil"/>
              <w:bottom w:val="nil"/>
              <w:right w:val="single" w:sz="18" w:space="0" w:color="000000"/>
            </w:tcBorders>
            <w:shd w:val="clear" w:color="auto" w:fill="FFFFFF"/>
            <w:hideMark/>
          </w:tcPr>
          <w:p w14:paraId="6563455B"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025" w:type="dxa"/>
            <w:tcBorders>
              <w:top w:val="nil"/>
              <w:left w:val="single" w:sz="18" w:space="0" w:color="000000"/>
              <w:bottom w:val="nil"/>
              <w:right w:val="single" w:sz="8" w:space="0" w:color="000000"/>
            </w:tcBorders>
            <w:shd w:val="clear" w:color="auto" w:fill="FFFFFF"/>
            <w:vAlign w:val="center"/>
            <w:hideMark/>
          </w:tcPr>
          <w:p w14:paraId="2C6895EB"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41.2800</w:t>
            </w:r>
          </w:p>
        </w:tc>
        <w:tc>
          <w:tcPr>
            <w:tcW w:w="1438" w:type="dxa"/>
            <w:tcBorders>
              <w:top w:val="nil"/>
              <w:left w:val="single" w:sz="8" w:space="0" w:color="000000"/>
              <w:bottom w:val="nil"/>
              <w:right w:val="single" w:sz="8" w:space="0" w:color="000000"/>
            </w:tcBorders>
            <w:shd w:val="clear" w:color="auto" w:fill="FFFFFF"/>
            <w:vAlign w:val="center"/>
            <w:hideMark/>
          </w:tcPr>
          <w:p w14:paraId="434C146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1.01237</w:t>
            </w:r>
          </w:p>
        </w:tc>
        <w:tc>
          <w:tcPr>
            <w:tcW w:w="1025" w:type="dxa"/>
            <w:tcBorders>
              <w:top w:val="nil"/>
              <w:left w:val="single" w:sz="8" w:space="0" w:color="000000"/>
              <w:bottom w:val="nil"/>
              <w:right w:val="single" w:sz="18" w:space="0" w:color="000000"/>
            </w:tcBorders>
            <w:shd w:val="clear" w:color="auto" w:fill="FFFFFF"/>
            <w:vAlign w:val="center"/>
            <w:hideMark/>
          </w:tcPr>
          <w:p w14:paraId="58B706C2"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28E1345B"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7C1B5F3"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5D6E31EC"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025" w:type="dxa"/>
            <w:tcBorders>
              <w:top w:val="nil"/>
              <w:left w:val="single" w:sz="18" w:space="0" w:color="000000"/>
              <w:bottom w:val="nil"/>
              <w:right w:val="single" w:sz="8" w:space="0" w:color="000000"/>
            </w:tcBorders>
            <w:shd w:val="clear" w:color="auto" w:fill="FFFFFF"/>
            <w:vAlign w:val="center"/>
            <w:hideMark/>
          </w:tcPr>
          <w:p w14:paraId="677E1FD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26.9400</w:t>
            </w:r>
          </w:p>
        </w:tc>
        <w:tc>
          <w:tcPr>
            <w:tcW w:w="1438" w:type="dxa"/>
            <w:tcBorders>
              <w:top w:val="nil"/>
              <w:left w:val="single" w:sz="8" w:space="0" w:color="000000"/>
              <w:bottom w:val="nil"/>
              <w:right w:val="single" w:sz="8" w:space="0" w:color="000000"/>
            </w:tcBorders>
            <w:shd w:val="clear" w:color="auto" w:fill="FFFFFF"/>
            <w:vAlign w:val="center"/>
            <w:hideMark/>
          </w:tcPr>
          <w:p w14:paraId="6C989DF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.52202</w:t>
            </w:r>
          </w:p>
        </w:tc>
        <w:tc>
          <w:tcPr>
            <w:tcW w:w="1025" w:type="dxa"/>
            <w:tcBorders>
              <w:top w:val="nil"/>
              <w:left w:val="single" w:sz="8" w:space="0" w:color="000000"/>
              <w:bottom w:val="nil"/>
              <w:right w:val="single" w:sz="18" w:space="0" w:color="000000"/>
            </w:tcBorders>
            <w:shd w:val="clear" w:color="auto" w:fill="FFFFFF"/>
            <w:vAlign w:val="center"/>
            <w:hideMark/>
          </w:tcPr>
          <w:p w14:paraId="35F23B7E"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5C8A55A8"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62A249E5"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06F9B0EF"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025" w:type="dxa"/>
            <w:tcBorders>
              <w:top w:val="nil"/>
              <w:left w:val="single" w:sz="18" w:space="0" w:color="000000"/>
              <w:bottom w:val="nil"/>
              <w:right w:val="single" w:sz="8" w:space="0" w:color="000000"/>
            </w:tcBorders>
            <w:shd w:val="clear" w:color="auto" w:fill="FFFFFF"/>
            <w:vAlign w:val="center"/>
            <w:hideMark/>
          </w:tcPr>
          <w:p w14:paraId="3405730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29.9900</w:t>
            </w:r>
          </w:p>
        </w:tc>
        <w:tc>
          <w:tcPr>
            <w:tcW w:w="1438" w:type="dxa"/>
            <w:tcBorders>
              <w:top w:val="nil"/>
              <w:left w:val="single" w:sz="8" w:space="0" w:color="000000"/>
              <w:bottom w:val="nil"/>
              <w:right w:val="single" w:sz="8" w:space="0" w:color="000000"/>
            </w:tcBorders>
            <w:shd w:val="clear" w:color="auto" w:fill="FFFFFF"/>
            <w:vAlign w:val="center"/>
            <w:hideMark/>
          </w:tcPr>
          <w:p w14:paraId="501AA1D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.19079</w:t>
            </w:r>
          </w:p>
        </w:tc>
        <w:tc>
          <w:tcPr>
            <w:tcW w:w="1025" w:type="dxa"/>
            <w:tcBorders>
              <w:top w:val="nil"/>
              <w:left w:val="single" w:sz="8" w:space="0" w:color="000000"/>
              <w:bottom w:val="nil"/>
              <w:right w:val="single" w:sz="18" w:space="0" w:color="000000"/>
            </w:tcBorders>
            <w:shd w:val="clear" w:color="auto" w:fill="FFFFFF"/>
            <w:vAlign w:val="center"/>
            <w:hideMark/>
          </w:tcPr>
          <w:p w14:paraId="28BFAE31"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E4C4231"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4204EF4A"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525CBAE1"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025" w:type="dxa"/>
            <w:tcBorders>
              <w:top w:val="nil"/>
              <w:left w:val="single" w:sz="18" w:space="0" w:color="000000"/>
              <w:bottom w:val="nil"/>
              <w:right w:val="single" w:sz="8" w:space="0" w:color="000000"/>
            </w:tcBorders>
            <w:shd w:val="clear" w:color="auto" w:fill="FFFFFF"/>
            <w:vAlign w:val="center"/>
            <w:hideMark/>
          </w:tcPr>
          <w:p w14:paraId="4A7A3124"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32.0500</w:t>
            </w:r>
          </w:p>
        </w:tc>
        <w:tc>
          <w:tcPr>
            <w:tcW w:w="1438" w:type="dxa"/>
            <w:tcBorders>
              <w:top w:val="nil"/>
              <w:left w:val="single" w:sz="8" w:space="0" w:color="000000"/>
              <w:bottom w:val="nil"/>
              <w:right w:val="single" w:sz="8" w:space="0" w:color="000000"/>
            </w:tcBorders>
            <w:shd w:val="clear" w:color="auto" w:fill="FFFFFF"/>
            <w:vAlign w:val="center"/>
            <w:hideMark/>
          </w:tcPr>
          <w:p w14:paraId="4CBBFF0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.67506</w:t>
            </w:r>
          </w:p>
        </w:tc>
        <w:tc>
          <w:tcPr>
            <w:tcW w:w="1025" w:type="dxa"/>
            <w:tcBorders>
              <w:top w:val="nil"/>
              <w:left w:val="single" w:sz="8" w:space="0" w:color="000000"/>
              <w:bottom w:val="nil"/>
              <w:right w:val="single" w:sz="18" w:space="0" w:color="000000"/>
            </w:tcBorders>
            <w:shd w:val="clear" w:color="auto" w:fill="FFFFFF"/>
            <w:vAlign w:val="center"/>
            <w:hideMark/>
          </w:tcPr>
          <w:p w14:paraId="63339E49"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7231F9C5"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5E942C50"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nil"/>
              <w:right w:val="single" w:sz="18" w:space="0" w:color="000000"/>
            </w:tcBorders>
            <w:shd w:val="clear" w:color="auto" w:fill="FFFFFF"/>
            <w:hideMark/>
          </w:tcPr>
          <w:p w14:paraId="7574E315"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025" w:type="dxa"/>
            <w:tcBorders>
              <w:top w:val="nil"/>
              <w:left w:val="single" w:sz="18" w:space="0" w:color="000000"/>
              <w:bottom w:val="nil"/>
              <w:right w:val="single" w:sz="8" w:space="0" w:color="000000"/>
            </w:tcBorders>
            <w:shd w:val="clear" w:color="auto" w:fill="FFFFFF"/>
            <w:vAlign w:val="center"/>
            <w:hideMark/>
          </w:tcPr>
          <w:p w14:paraId="20389DA8"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37.0933</w:t>
            </w:r>
          </w:p>
        </w:tc>
        <w:tc>
          <w:tcPr>
            <w:tcW w:w="1438" w:type="dxa"/>
            <w:tcBorders>
              <w:top w:val="nil"/>
              <w:left w:val="single" w:sz="8" w:space="0" w:color="000000"/>
              <w:bottom w:val="nil"/>
              <w:right w:val="single" w:sz="8" w:space="0" w:color="000000"/>
            </w:tcBorders>
            <w:shd w:val="clear" w:color="auto" w:fill="FFFFFF"/>
            <w:vAlign w:val="center"/>
            <w:hideMark/>
          </w:tcPr>
          <w:p w14:paraId="370507C7"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.50954</w:t>
            </w:r>
          </w:p>
        </w:tc>
        <w:tc>
          <w:tcPr>
            <w:tcW w:w="1025" w:type="dxa"/>
            <w:tcBorders>
              <w:top w:val="nil"/>
              <w:left w:val="single" w:sz="8" w:space="0" w:color="000000"/>
              <w:bottom w:val="nil"/>
              <w:right w:val="single" w:sz="18" w:space="0" w:color="000000"/>
            </w:tcBorders>
            <w:shd w:val="clear" w:color="auto" w:fill="FFFFFF"/>
            <w:vAlign w:val="center"/>
            <w:hideMark/>
          </w:tcPr>
          <w:p w14:paraId="57083DA6"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w:t>
            </w:r>
          </w:p>
        </w:tc>
      </w:tr>
      <w:tr w:rsidR="008D2613" w:rsidRPr="007A1C4F" w14:paraId="4A64F1F0"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247ED10" w14:textId="77777777" w:rsidR="008D2613" w:rsidRPr="007A1C4F" w:rsidRDefault="008D2613" w:rsidP="00AD22A3">
            <w:pPr>
              <w:spacing w:line="276" w:lineRule="auto"/>
              <w:rPr>
                <w:rFonts w:ascii="Arial" w:hAnsi="Arial" w:cs="Arial"/>
                <w:color w:val="000000"/>
              </w:rPr>
            </w:pPr>
          </w:p>
        </w:tc>
        <w:tc>
          <w:tcPr>
            <w:tcW w:w="1239" w:type="dxa"/>
            <w:tcBorders>
              <w:top w:val="nil"/>
              <w:left w:val="nil"/>
              <w:bottom w:val="single" w:sz="8" w:space="0" w:color="000000"/>
              <w:right w:val="single" w:sz="18" w:space="0" w:color="000000"/>
            </w:tcBorders>
            <w:shd w:val="clear" w:color="auto" w:fill="FFFFFF"/>
            <w:hideMark/>
          </w:tcPr>
          <w:p w14:paraId="1C5E20E8" w14:textId="77777777" w:rsidR="008D2613" w:rsidRPr="007A1C4F" w:rsidRDefault="008D2613"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Total</w:t>
            </w:r>
          </w:p>
        </w:tc>
        <w:tc>
          <w:tcPr>
            <w:tcW w:w="1025" w:type="dxa"/>
            <w:tcBorders>
              <w:top w:val="nil"/>
              <w:left w:val="single" w:sz="18" w:space="0" w:color="000000"/>
              <w:bottom w:val="single" w:sz="8" w:space="0" w:color="000000"/>
              <w:right w:val="single" w:sz="8" w:space="0" w:color="000000"/>
            </w:tcBorders>
            <w:shd w:val="clear" w:color="auto" w:fill="FFFFFF"/>
            <w:vAlign w:val="center"/>
            <w:hideMark/>
          </w:tcPr>
          <w:p w14:paraId="6221308F"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33.4707</w:t>
            </w:r>
          </w:p>
        </w:tc>
        <w:tc>
          <w:tcPr>
            <w:tcW w:w="1438" w:type="dxa"/>
            <w:tcBorders>
              <w:top w:val="nil"/>
              <w:left w:val="single" w:sz="8" w:space="0" w:color="000000"/>
              <w:bottom w:val="single" w:sz="8" w:space="0" w:color="000000"/>
              <w:right w:val="single" w:sz="8" w:space="0" w:color="000000"/>
            </w:tcBorders>
            <w:shd w:val="clear" w:color="auto" w:fill="FFFFFF"/>
            <w:vAlign w:val="center"/>
            <w:hideMark/>
          </w:tcPr>
          <w:p w14:paraId="2E50CB59"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5.32364</w:t>
            </w:r>
          </w:p>
        </w:tc>
        <w:tc>
          <w:tcPr>
            <w:tcW w:w="1025" w:type="dxa"/>
            <w:tcBorders>
              <w:top w:val="nil"/>
              <w:left w:val="single" w:sz="8" w:space="0" w:color="000000"/>
              <w:bottom w:val="single" w:sz="8" w:space="0" w:color="000000"/>
              <w:right w:val="single" w:sz="18" w:space="0" w:color="000000"/>
            </w:tcBorders>
            <w:shd w:val="clear" w:color="auto" w:fill="FFFFFF"/>
            <w:vAlign w:val="center"/>
            <w:hideMark/>
          </w:tcPr>
          <w:p w14:paraId="6C95D04C" w14:textId="77777777" w:rsidR="008D2613" w:rsidRPr="007A1C4F" w:rsidRDefault="008D2613"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w:t>
            </w:r>
          </w:p>
        </w:tc>
      </w:tr>
    </w:tbl>
    <w:p w14:paraId="53B8F1EA" w14:textId="1E36A446" w:rsidR="00FD5BE4" w:rsidRPr="00FD5BE4" w:rsidRDefault="00FD5BE4" w:rsidP="00FD5BE4">
      <w:pPr>
        <w:spacing w:line="480" w:lineRule="auto"/>
        <w:ind w:left="221"/>
        <w:rPr>
          <w:rFonts w:ascii="Arial" w:hAnsi="Arial" w:cs="Arial"/>
        </w:rPr>
      </w:pPr>
    </w:p>
    <w:p w14:paraId="79257DD7" w14:textId="5E1959AD" w:rsidR="00FD5BE4" w:rsidRDefault="008D2613" w:rsidP="00FD5BE4">
      <w:pPr>
        <w:jc w:val="both"/>
        <w:rPr>
          <w:rFonts w:ascii="Arial" w:hAnsi="Arial" w:cs="Arial"/>
        </w:rPr>
      </w:pPr>
      <w:r>
        <w:rPr>
          <w:rFonts w:ascii="Arial" w:hAnsi="Arial" w:cs="Arial"/>
        </w:rPr>
        <w:t>MDA: malondialdehyde</w:t>
      </w:r>
      <w:r w:rsidR="00FD5BE4" w:rsidRPr="00FD5BE4">
        <w:rPr>
          <w:rFonts w:ascii="Arial" w:hAnsi="Arial" w:cs="Arial"/>
        </w:rPr>
        <w:t xml:space="preserve">, </w:t>
      </w:r>
      <w:r>
        <w:rPr>
          <w:rFonts w:ascii="Arial" w:hAnsi="Arial" w:cs="Arial"/>
        </w:rPr>
        <w:t>GLUTA: glutathione,</w:t>
      </w:r>
      <w:r w:rsidR="00755C1E">
        <w:rPr>
          <w:rFonts w:ascii="Arial" w:hAnsi="Arial" w:cs="Arial"/>
        </w:rPr>
        <w:t xml:space="preserve"> </w:t>
      </w:r>
      <w:r w:rsidR="00FD5BE4" w:rsidRPr="00FD5BE4">
        <w:rPr>
          <w:rFonts w:ascii="Arial" w:hAnsi="Arial" w:cs="Arial"/>
        </w:rPr>
        <w:t xml:space="preserve">significance is indicated at </w:t>
      </w:r>
      <w:r w:rsidR="00FD5BE4" w:rsidRPr="00FD5BE4">
        <w:rPr>
          <w:rFonts w:ascii="Arial" w:hAnsi="Arial" w:cs="Arial"/>
          <w:i/>
        </w:rPr>
        <w:t>p≤0.05</w:t>
      </w:r>
      <w:r w:rsidR="00FD5BE4" w:rsidRPr="00FD5BE4">
        <w:rPr>
          <w:rFonts w:ascii="Arial" w:hAnsi="Arial" w:cs="Arial"/>
        </w:rPr>
        <w:t>.</w:t>
      </w:r>
    </w:p>
    <w:p w14:paraId="64B8A781" w14:textId="016C71D4" w:rsidR="00FD5BE4" w:rsidRDefault="00FD5BE4" w:rsidP="00FD5BE4">
      <w:pPr>
        <w:jc w:val="both"/>
        <w:rPr>
          <w:rFonts w:ascii="Arial" w:hAnsi="Arial" w:cs="Arial"/>
        </w:rPr>
      </w:pPr>
    </w:p>
    <w:p w14:paraId="309A024F" w14:textId="77777777" w:rsidR="00836E33" w:rsidRDefault="00836E33" w:rsidP="00FD5BE4">
      <w:pPr>
        <w:jc w:val="both"/>
        <w:rPr>
          <w:rFonts w:ascii="Arial" w:hAnsi="Arial" w:cs="Arial"/>
        </w:rPr>
      </w:pPr>
    </w:p>
    <w:p w14:paraId="174F483B" w14:textId="77777777" w:rsidR="00836E33" w:rsidRDefault="00836E33" w:rsidP="00FD5BE4">
      <w:pPr>
        <w:jc w:val="both"/>
        <w:rPr>
          <w:rFonts w:ascii="Arial" w:hAnsi="Arial" w:cs="Arial"/>
        </w:rPr>
      </w:pPr>
    </w:p>
    <w:p w14:paraId="60847539" w14:textId="77777777" w:rsidR="00836E33" w:rsidRDefault="00836E33" w:rsidP="00FD5BE4">
      <w:pPr>
        <w:jc w:val="both"/>
        <w:rPr>
          <w:rFonts w:ascii="Arial" w:hAnsi="Arial" w:cs="Arial"/>
        </w:rPr>
      </w:pPr>
    </w:p>
    <w:p w14:paraId="3DF510F2" w14:textId="77777777" w:rsidR="00836E33" w:rsidRDefault="00836E33" w:rsidP="00FD5BE4">
      <w:pPr>
        <w:jc w:val="both"/>
        <w:rPr>
          <w:rFonts w:ascii="Arial" w:hAnsi="Arial" w:cs="Arial"/>
        </w:rPr>
      </w:pPr>
    </w:p>
    <w:p w14:paraId="374D9B41" w14:textId="77777777" w:rsidR="00836E33" w:rsidRDefault="00836E33" w:rsidP="00FD5BE4">
      <w:pPr>
        <w:jc w:val="both"/>
        <w:rPr>
          <w:rFonts w:ascii="Arial" w:hAnsi="Arial" w:cs="Arial"/>
        </w:rPr>
      </w:pPr>
    </w:p>
    <w:p w14:paraId="4AB7F5E6" w14:textId="77777777" w:rsidR="00836E33" w:rsidRDefault="00836E33" w:rsidP="00FD5BE4">
      <w:pPr>
        <w:jc w:val="both"/>
        <w:rPr>
          <w:rFonts w:ascii="Arial" w:hAnsi="Arial" w:cs="Arial"/>
        </w:rPr>
      </w:pPr>
    </w:p>
    <w:p w14:paraId="488AACAE" w14:textId="2934757B" w:rsidR="006B7B70" w:rsidRDefault="006B7B70" w:rsidP="006B7B70">
      <w:pPr>
        <w:rPr>
          <w:rFonts w:ascii="Arial" w:hAnsi="Arial" w:cs="Arial"/>
          <w:b/>
        </w:rPr>
      </w:pPr>
      <w:r>
        <w:rPr>
          <w:rFonts w:ascii="Arial" w:hAnsi="Arial" w:cs="Arial"/>
          <w:b/>
          <w:bCs/>
        </w:rPr>
        <w:t>Table 2</w:t>
      </w:r>
      <w:r w:rsidRPr="00FD5BE4">
        <w:rPr>
          <w:rFonts w:ascii="Arial" w:hAnsi="Arial" w:cs="Arial"/>
          <w:b/>
          <w:bCs/>
        </w:rPr>
        <w:t xml:space="preserve">: </w:t>
      </w:r>
      <w:r>
        <w:rPr>
          <w:rFonts w:ascii="Arial" w:hAnsi="Arial" w:cs="Arial"/>
          <w:b/>
        </w:rPr>
        <w:t xml:space="preserve">ANOVA results for the </w:t>
      </w:r>
      <w:r w:rsidRPr="0045682E">
        <w:rPr>
          <w:rFonts w:ascii="Arial" w:hAnsi="Arial" w:cs="Arial"/>
          <w:b/>
        </w:rPr>
        <w:t>stress markers of the brain</w:t>
      </w:r>
    </w:p>
    <w:tbl>
      <w:tblPr>
        <w:tblW w:w="65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00" w:firstRow="0" w:lastRow="0" w:firstColumn="0" w:lastColumn="0" w:noHBand="0" w:noVBand="1"/>
      </w:tblPr>
      <w:tblGrid>
        <w:gridCol w:w="1454"/>
        <w:gridCol w:w="1500"/>
        <w:gridCol w:w="1469"/>
        <w:gridCol w:w="1070"/>
        <w:gridCol w:w="1024"/>
      </w:tblGrid>
      <w:tr w:rsidR="006B7B70" w:rsidRPr="007A1C4F" w14:paraId="14974DC1" w14:textId="77777777" w:rsidTr="00AD22A3">
        <w:trPr>
          <w:cantSplit/>
          <w:trHeight w:val="483"/>
        </w:trPr>
        <w:tc>
          <w:tcPr>
            <w:tcW w:w="1454" w:type="dxa"/>
            <w:vMerge w:val="restart"/>
            <w:tcBorders>
              <w:top w:val="single" w:sz="18" w:space="0" w:color="000000"/>
              <w:left w:val="single" w:sz="18" w:space="0" w:color="000000"/>
              <w:bottom w:val="nil"/>
              <w:right w:val="nil"/>
            </w:tcBorders>
            <w:shd w:val="clear" w:color="auto" w:fill="FFFFFF"/>
            <w:vAlign w:val="bottom"/>
            <w:hideMark/>
          </w:tcPr>
          <w:p w14:paraId="70C79E2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(I) Experiment</w:t>
            </w:r>
          </w:p>
        </w:tc>
        <w:tc>
          <w:tcPr>
            <w:tcW w:w="1500" w:type="dxa"/>
            <w:vMerge w:val="restart"/>
            <w:tcBorders>
              <w:top w:val="single" w:sz="18" w:space="0" w:color="000000"/>
              <w:left w:val="nil"/>
              <w:bottom w:val="nil"/>
              <w:right w:val="single" w:sz="18" w:space="0" w:color="000000"/>
            </w:tcBorders>
            <w:shd w:val="clear" w:color="auto" w:fill="FFFFFF"/>
            <w:vAlign w:val="bottom"/>
            <w:hideMark/>
          </w:tcPr>
          <w:p w14:paraId="350A4349"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(J) Experiment</w:t>
            </w:r>
          </w:p>
        </w:tc>
        <w:tc>
          <w:tcPr>
            <w:tcW w:w="1469" w:type="dxa"/>
            <w:vMerge w:val="restart"/>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65C4258D" w14:textId="77777777" w:rsidR="006B7B70" w:rsidRPr="007A1C4F" w:rsidRDefault="006B7B70"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Mean Difference (I-J)</w:t>
            </w:r>
          </w:p>
        </w:tc>
        <w:tc>
          <w:tcPr>
            <w:tcW w:w="1070"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30E190DA" w14:textId="77777777" w:rsidR="006B7B70" w:rsidRPr="007A1C4F" w:rsidRDefault="006B7B70"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Std. Error</w:t>
            </w:r>
          </w:p>
        </w:tc>
        <w:tc>
          <w:tcPr>
            <w:tcW w:w="1024"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87ED3FC" w14:textId="77777777" w:rsidR="006B7B70" w:rsidRPr="007A1C4F" w:rsidRDefault="006B7B70" w:rsidP="00AD22A3">
            <w:pPr>
              <w:autoSpaceDE w:val="0"/>
              <w:autoSpaceDN w:val="0"/>
              <w:adjustRightInd w:val="0"/>
              <w:spacing w:line="360" w:lineRule="auto"/>
              <w:ind w:left="60" w:right="60"/>
              <w:jc w:val="center"/>
              <w:rPr>
                <w:rFonts w:ascii="Arial" w:hAnsi="Arial" w:cs="Arial"/>
                <w:color w:val="000000"/>
              </w:rPr>
            </w:pPr>
            <w:r w:rsidRPr="007A1C4F">
              <w:rPr>
                <w:rFonts w:ascii="Arial" w:hAnsi="Arial" w:cs="Arial"/>
                <w:color w:val="000000"/>
              </w:rPr>
              <w:t>Sig.</w:t>
            </w:r>
          </w:p>
        </w:tc>
      </w:tr>
      <w:tr w:rsidR="006B7B70" w:rsidRPr="007A1C4F" w14:paraId="0900631D" w14:textId="77777777" w:rsidTr="00AD22A3">
        <w:trPr>
          <w:cantSplit/>
          <w:trHeight w:val="483"/>
        </w:trPr>
        <w:tc>
          <w:tcPr>
            <w:tcW w:w="0" w:type="auto"/>
            <w:vMerge/>
            <w:tcBorders>
              <w:top w:val="single" w:sz="18" w:space="0" w:color="000000"/>
              <w:left w:val="single" w:sz="18" w:space="0" w:color="000000"/>
              <w:bottom w:val="nil"/>
              <w:right w:val="nil"/>
            </w:tcBorders>
            <w:vAlign w:val="center"/>
            <w:hideMark/>
          </w:tcPr>
          <w:p w14:paraId="0B8EAB79"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nil"/>
              <w:bottom w:val="nil"/>
              <w:right w:val="single" w:sz="18" w:space="0" w:color="000000"/>
            </w:tcBorders>
            <w:vAlign w:val="center"/>
            <w:hideMark/>
          </w:tcPr>
          <w:p w14:paraId="7B5509EF"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single" w:sz="18" w:space="0" w:color="000000"/>
              <w:bottom w:val="single" w:sz="8" w:space="0" w:color="000000"/>
              <w:right w:val="single" w:sz="8" w:space="0" w:color="000000"/>
            </w:tcBorders>
            <w:vAlign w:val="center"/>
            <w:hideMark/>
          </w:tcPr>
          <w:p w14:paraId="086B12E2"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0EC021BA" w14:textId="77777777" w:rsidR="006B7B70" w:rsidRPr="007A1C4F" w:rsidRDefault="006B7B70" w:rsidP="00AD22A3">
            <w:pPr>
              <w:spacing w:line="276" w:lineRule="auto"/>
              <w:rPr>
                <w:rFonts w:ascii="Arial" w:hAnsi="Arial" w:cs="Arial"/>
                <w:color w:val="000000"/>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7BDA83D4" w14:textId="77777777" w:rsidR="006B7B70" w:rsidRPr="007A1C4F" w:rsidRDefault="006B7B70" w:rsidP="00AD22A3">
            <w:pPr>
              <w:spacing w:line="276" w:lineRule="auto"/>
              <w:rPr>
                <w:rFonts w:ascii="Arial" w:hAnsi="Arial" w:cs="Arial"/>
                <w:color w:val="000000"/>
              </w:rPr>
            </w:pPr>
          </w:p>
        </w:tc>
      </w:tr>
      <w:tr w:rsidR="006B7B70" w:rsidRPr="007A1C4F" w14:paraId="6B557B3C" w14:textId="77777777" w:rsidTr="00AD22A3">
        <w:trPr>
          <w:cantSplit/>
        </w:trPr>
        <w:tc>
          <w:tcPr>
            <w:tcW w:w="1454" w:type="dxa"/>
            <w:vMerge w:val="restart"/>
            <w:tcBorders>
              <w:top w:val="single" w:sz="18" w:space="0" w:color="000000"/>
              <w:left w:val="single" w:sz="18" w:space="0" w:color="000000"/>
              <w:bottom w:val="single" w:sz="8" w:space="0" w:color="000000"/>
              <w:right w:val="nil"/>
            </w:tcBorders>
            <w:shd w:val="clear" w:color="auto" w:fill="FFFFFF"/>
            <w:hideMark/>
          </w:tcPr>
          <w:p w14:paraId="6EE7163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500" w:type="dxa"/>
            <w:tcBorders>
              <w:top w:val="single" w:sz="18" w:space="0" w:color="000000"/>
              <w:left w:val="nil"/>
              <w:bottom w:val="nil"/>
              <w:right w:val="single" w:sz="18" w:space="0" w:color="000000"/>
            </w:tcBorders>
            <w:shd w:val="clear" w:color="auto" w:fill="FFFFFF"/>
            <w:hideMark/>
          </w:tcPr>
          <w:p w14:paraId="324B3AA8"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single" w:sz="18" w:space="0" w:color="000000"/>
              <w:left w:val="single" w:sz="18" w:space="0" w:color="000000"/>
              <w:bottom w:val="nil"/>
              <w:right w:val="single" w:sz="8" w:space="0" w:color="000000"/>
            </w:tcBorders>
            <w:shd w:val="clear" w:color="auto" w:fill="FFFFFF"/>
            <w:vAlign w:val="center"/>
            <w:hideMark/>
          </w:tcPr>
          <w:p w14:paraId="0B16056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11.1100</w:t>
            </w:r>
            <w:r w:rsidRPr="007A1C4F">
              <w:rPr>
                <w:rFonts w:ascii="Arial" w:hAnsi="Arial" w:cs="Arial"/>
                <w:color w:val="000000"/>
                <w:vertAlign w:val="superscript"/>
              </w:rPr>
              <w:t>*</w:t>
            </w:r>
          </w:p>
        </w:tc>
        <w:tc>
          <w:tcPr>
            <w:tcW w:w="1070" w:type="dxa"/>
            <w:tcBorders>
              <w:top w:val="single" w:sz="18" w:space="0" w:color="000000"/>
              <w:left w:val="single" w:sz="8" w:space="0" w:color="000000"/>
              <w:bottom w:val="nil"/>
              <w:right w:val="single" w:sz="8" w:space="0" w:color="000000"/>
            </w:tcBorders>
            <w:shd w:val="clear" w:color="auto" w:fill="FFFFFF"/>
            <w:vAlign w:val="center"/>
            <w:hideMark/>
          </w:tcPr>
          <w:p w14:paraId="66D9964E"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44682B6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1E70D53"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496599D1"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59CACBD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53FB5DB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33.8489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6D47D295"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77667D6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283C1F0B"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07F708B1"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2B15121E"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nil"/>
              <w:right w:val="single" w:sz="8" w:space="0" w:color="000000"/>
            </w:tcBorders>
            <w:shd w:val="clear" w:color="auto" w:fill="FFFFFF"/>
            <w:vAlign w:val="center"/>
            <w:hideMark/>
          </w:tcPr>
          <w:p w14:paraId="6264DBFE"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26.8322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525889F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29B1E21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659A602C" w14:textId="77777777" w:rsidTr="00AD22A3">
        <w:trPr>
          <w:cantSplit/>
        </w:trPr>
        <w:tc>
          <w:tcPr>
            <w:tcW w:w="0" w:type="auto"/>
            <w:vMerge/>
            <w:tcBorders>
              <w:top w:val="single" w:sz="18" w:space="0" w:color="000000"/>
              <w:left w:val="single" w:sz="18" w:space="0" w:color="000000"/>
              <w:bottom w:val="single" w:sz="8" w:space="0" w:color="000000"/>
              <w:right w:val="nil"/>
            </w:tcBorders>
            <w:vAlign w:val="center"/>
            <w:hideMark/>
          </w:tcPr>
          <w:p w14:paraId="257FBECA"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30C72466"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62CC2EC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9.4022</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4E2C4ED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14D90B7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16E277A2" w14:textId="77777777" w:rsidTr="00AD22A3">
        <w:trPr>
          <w:cantSplit/>
        </w:trPr>
        <w:tc>
          <w:tcPr>
            <w:tcW w:w="1454" w:type="dxa"/>
            <w:vMerge w:val="restart"/>
            <w:tcBorders>
              <w:top w:val="nil"/>
              <w:left w:val="single" w:sz="18" w:space="0" w:color="000000"/>
              <w:bottom w:val="single" w:sz="8" w:space="0" w:color="000000"/>
              <w:right w:val="nil"/>
            </w:tcBorders>
            <w:shd w:val="clear" w:color="auto" w:fill="FFFFFF"/>
            <w:hideMark/>
          </w:tcPr>
          <w:p w14:paraId="6E6866CD"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500" w:type="dxa"/>
            <w:tcBorders>
              <w:top w:val="nil"/>
              <w:left w:val="nil"/>
              <w:bottom w:val="nil"/>
              <w:right w:val="single" w:sz="18" w:space="0" w:color="000000"/>
            </w:tcBorders>
            <w:shd w:val="clear" w:color="auto" w:fill="FFFFFF"/>
            <w:hideMark/>
          </w:tcPr>
          <w:p w14:paraId="363CB91D"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5296641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-11.1100</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6E8A253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44C3640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795D7540"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9142FB6"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667712E3"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011C6A0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22.7389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A1C6709"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6EA98B9A"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798CA0B2"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1167FE15"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5D8B1969"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nil"/>
              <w:right w:val="single" w:sz="8" w:space="0" w:color="000000"/>
            </w:tcBorders>
            <w:shd w:val="clear" w:color="auto" w:fill="FFFFFF"/>
            <w:vAlign w:val="center"/>
            <w:hideMark/>
          </w:tcPr>
          <w:p w14:paraId="3C5AAA4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15.7222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7D44786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46CB1FB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54D1C3F6"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22FDB81D"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7A8CF64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0CD17936"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-1.7078</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5B23B7B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044B38E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.002</w:t>
            </w:r>
          </w:p>
        </w:tc>
      </w:tr>
      <w:tr w:rsidR="006B7B70" w:rsidRPr="007A1C4F" w14:paraId="71512A07" w14:textId="77777777" w:rsidTr="00AD22A3">
        <w:trPr>
          <w:cantSplit/>
        </w:trPr>
        <w:tc>
          <w:tcPr>
            <w:tcW w:w="1454" w:type="dxa"/>
            <w:vMerge w:val="restart"/>
            <w:tcBorders>
              <w:top w:val="nil"/>
              <w:left w:val="single" w:sz="18" w:space="0" w:color="000000"/>
              <w:bottom w:val="single" w:sz="8" w:space="0" w:color="000000"/>
              <w:right w:val="nil"/>
            </w:tcBorders>
            <w:shd w:val="clear" w:color="auto" w:fill="FFFFFF"/>
            <w:hideMark/>
          </w:tcPr>
          <w:p w14:paraId="0E57A55D"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500" w:type="dxa"/>
            <w:tcBorders>
              <w:top w:val="nil"/>
              <w:left w:val="nil"/>
              <w:bottom w:val="nil"/>
              <w:right w:val="single" w:sz="18" w:space="0" w:color="000000"/>
            </w:tcBorders>
            <w:shd w:val="clear" w:color="auto" w:fill="FFFFFF"/>
            <w:hideMark/>
          </w:tcPr>
          <w:p w14:paraId="536F90F7"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7A1925B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-33.8489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1C8394B"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694AB00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00C7EB58"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51C6550A"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40B93C45"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nil"/>
              <w:left w:val="single" w:sz="18" w:space="0" w:color="000000"/>
              <w:bottom w:val="nil"/>
              <w:right w:val="single" w:sz="8" w:space="0" w:color="000000"/>
            </w:tcBorders>
            <w:shd w:val="clear" w:color="auto" w:fill="FFFFFF"/>
            <w:vAlign w:val="center"/>
            <w:hideMark/>
          </w:tcPr>
          <w:p w14:paraId="1D4A0287"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-22.7389</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B4FB84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7C5C6CD4"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58910897"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109C38DB"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543DF1A4"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nil"/>
              <w:right w:val="single" w:sz="8" w:space="0" w:color="000000"/>
            </w:tcBorders>
            <w:shd w:val="clear" w:color="auto" w:fill="FFFFFF"/>
            <w:vAlign w:val="center"/>
            <w:hideMark/>
          </w:tcPr>
          <w:p w14:paraId="676BFBE0"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-7.0167</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4AABA0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14B0AAB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7CCA918"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4F035CD9"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4F0DE26C"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62B43128"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-24.4467</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35CEC94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590BE13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561E655" w14:textId="77777777" w:rsidTr="00AD22A3">
        <w:trPr>
          <w:cantSplit/>
        </w:trPr>
        <w:tc>
          <w:tcPr>
            <w:tcW w:w="1454" w:type="dxa"/>
            <w:vMerge w:val="restart"/>
            <w:tcBorders>
              <w:top w:val="nil"/>
              <w:left w:val="single" w:sz="18" w:space="0" w:color="000000"/>
              <w:bottom w:val="single" w:sz="8" w:space="0" w:color="000000"/>
              <w:right w:val="nil"/>
            </w:tcBorders>
            <w:shd w:val="clear" w:color="auto" w:fill="FFFFFF"/>
            <w:hideMark/>
          </w:tcPr>
          <w:p w14:paraId="417FBF95"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500" w:type="dxa"/>
            <w:tcBorders>
              <w:top w:val="nil"/>
              <w:left w:val="nil"/>
              <w:bottom w:val="nil"/>
              <w:right w:val="single" w:sz="18" w:space="0" w:color="000000"/>
            </w:tcBorders>
            <w:shd w:val="clear" w:color="auto" w:fill="FFFFFF"/>
            <w:hideMark/>
          </w:tcPr>
          <w:p w14:paraId="5CE5840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6C06022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-26.8322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D8CE882"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61C09D5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3CF4027E"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07CE13CA"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07D9D5BF"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nil"/>
              <w:left w:val="single" w:sz="18" w:space="0" w:color="000000"/>
              <w:bottom w:val="nil"/>
              <w:right w:val="single" w:sz="8" w:space="0" w:color="000000"/>
            </w:tcBorders>
            <w:shd w:val="clear" w:color="auto" w:fill="FFFFFF"/>
            <w:vAlign w:val="center"/>
            <w:hideMark/>
          </w:tcPr>
          <w:p w14:paraId="4AE9BE0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-15.7222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042CE55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49682F86"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6DA2A0A5"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78107B4E"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2B574FE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4FA03DF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7.0167</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5176BED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538342B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40891E6C" w14:textId="77777777" w:rsidTr="00AD22A3">
        <w:trPr>
          <w:cantSplit/>
        </w:trPr>
        <w:tc>
          <w:tcPr>
            <w:tcW w:w="0" w:type="auto"/>
            <w:vMerge/>
            <w:tcBorders>
              <w:top w:val="nil"/>
              <w:left w:val="single" w:sz="18" w:space="0" w:color="000000"/>
              <w:bottom w:val="single" w:sz="8" w:space="0" w:color="000000"/>
              <w:right w:val="nil"/>
            </w:tcBorders>
            <w:vAlign w:val="center"/>
            <w:hideMark/>
          </w:tcPr>
          <w:p w14:paraId="12F9CF0F"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8" w:space="0" w:color="000000"/>
              <w:right w:val="single" w:sz="18" w:space="0" w:color="000000"/>
            </w:tcBorders>
            <w:shd w:val="clear" w:color="auto" w:fill="FFFFFF"/>
            <w:hideMark/>
          </w:tcPr>
          <w:p w14:paraId="14892255"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469" w:type="dxa"/>
            <w:tcBorders>
              <w:top w:val="nil"/>
              <w:left w:val="single" w:sz="18" w:space="0" w:color="000000"/>
              <w:bottom w:val="single" w:sz="8" w:space="0" w:color="000000"/>
              <w:right w:val="single" w:sz="8" w:space="0" w:color="000000"/>
            </w:tcBorders>
            <w:shd w:val="clear" w:color="auto" w:fill="FFFFFF"/>
            <w:vAlign w:val="center"/>
            <w:hideMark/>
          </w:tcPr>
          <w:p w14:paraId="6BF6CCFA"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-17.4300</w:t>
            </w:r>
            <w:r w:rsidRPr="007A1C4F">
              <w:rPr>
                <w:rFonts w:ascii="Arial" w:hAnsi="Arial" w:cs="Arial"/>
                <w:color w:val="000000"/>
                <w:vertAlign w:val="superscript"/>
              </w:rPr>
              <w:t>*</w:t>
            </w:r>
          </w:p>
        </w:tc>
        <w:tc>
          <w:tcPr>
            <w:tcW w:w="1070" w:type="dxa"/>
            <w:tcBorders>
              <w:top w:val="nil"/>
              <w:left w:val="single" w:sz="8" w:space="0" w:color="000000"/>
              <w:bottom w:val="single" w:sz="8" w:space="0" w:color="000000"/>
              <w:right w:val="single" w:sz="8" w:space="0" w:color="000000"/>
            </w:tcBorders>
            <w:shd w:val="clear" w:color="auto" w:fill="FFFFFF"/>
            <w:vAlign w:val="center"/>
            <w:hideMark/>
          </w:tcPr>
          <w:p w14:paraId="7622723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8" w:space="0" w:color="000000"/>
              <w:right w:val="single" w:sz="8" w:space="0" w:color="000000"/>
            </w:tcBorders>
            <w:shd w:val="clear" w:color="auto" w:fill="FFFFFF"/>
            <w:vAlign w:val="center"/>
            <w:hideMark/>
          </w:tcPr>
          <w:p w14:paraId="2284179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541F8CD3" w14:textId="77777777" w:rsidTr="00AD22A3">
        <w:trPr>
          <w:cantSplit/>
        </w:trPr>
        <w:tc>
          <w:tcPr>
            <w:tcW w:w="1454" w:type="dxa"/>
            <w:vMerge w:val="restart"/>
            <w:tcBorders>
              <w:top w:val="nil"/>
              <w:left w:val="single" w:sz="18" w:space="0" w:color="000000"/>
              <w:bottom w:val="single" w:sz="18" w:space="0" w:color="000000"/>
              <w:right w:val="nil"/>
            </w:tcBorders>
            <w:shd w:val="clear" w:color="auto" w:fill="FFFFFF"/>
            <w:hideMark/>
          </w:tcPr>
          <w:p w14:paraId="6760DBA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E</w:t>
            </w:r>
          </w:p>
        </w:tc>
        <w:tc>
          <w:tcPr>
            <w:tcW w:w="1500" w:type="dxa"/>
            <w:tcBorders>
              <w:top w:val="nil"/>
              <w:left w:val="nil"/>
              <w:bottom w:val="nil"/>
              <w:right w:val="single" w:sz="18" w:space="0" w:color="000000"/>
            </w:tcBorders>
            <w:shd w:val="clear" w:color="auto" w:fill="FFFFFF"/>
            <w:hideMark/>
          </w:tcPr>
          <w:p w14:paraId="09D7FF13"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A</w:t>
            </w:r>
          </w:p>
        </w:tc>
        <w:tc>
          <w:tcPr>
            <w:tcW w:w="1469" w:type="dxa"/>
            <w:tcBorders>
              <w:top w:val="nil"/>
              <w:left w:val="single" w:sz="18" w:space="0" w:color="000000"/>
              <w:bottom w:val="nil"/>
              <w:right w:val="single" w:sz="8" w:space="0" w:color="000000"/>
            </w:tcBorders>
            <w:shd w:val="clear" w:color="auto" w:fill="FFFFFF"/>
            <w:vAlign w:val="center"/>
            <w:hideMark/>
          </w:tcPr>
          <w:p w14:paraId="3E61281C"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-9.4022</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04C9A75"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05CE3DA5"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6C56A34F" w14:textId="77777777" w:rsidTr="00AD22A3">
        <w:trPr>
          <w:cantSplit/>
        </w:trPr>
        <w:tc>
          <w:tcPr>
            <w:tcW w:w="0" w:type="auto"/>
            <w:vMerge/>
            <w:tcBorders>
              <w:top w:val="nil"/>
              <w:left w:val="single" w:sz="18" w:space="0" w:color="000000"/>
              <w:bottom w:val="single" w:sz="18" w:space="0" w:color="000000"/>
              <w:right w:val="nil"/>
            </w:tcBorders>
            <w:vAlign w:val="center"/>
            <w:hideMark/>
          </w:tcPr>
          <w:p w14:paraId="596A6918"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624EB3E1"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B</w:t>
            </w:r>
          </w:p>
        </w:tc>
        <w:tc>
          <w:tcPr>
            <w:tcW w:w="1469" w:type="dxa"/>
            <w:tcBorders>
              <w:top w:val="nil"/>
              <w:left w:val="single" w:sz="18" w:space="0" w:color="000000"/>
              <w:bottom w:val="nil"/>
              <w:right w:val="single" w:sz="8" w:space="0" w:color="000000"/>
            </w:tcBorders>
            <w:shd w:val="clear" w:color="auto" w:fill="FFFFFF"/>
            <w:vAlign w:val="center"/>
            <w:hideMark/>
          </w:tcPr>
          <w:p w14:paraId="0057A9BD"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1.7078</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3E1779D3"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25A9560B"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.002</w:t>
            </w:r>
          </w:p>
        </w:tc>
      </w:tr>
      <w:tr w:rsidR="006B7B70" w:rsidRPr="007A1C4F" w14:paraId="3005BB78" w14:textId="77777777" w:rsidTr="00AD22A3">
        <w:trPr>
          <w:cantSplit/>
        </w:trPr>
        <w:tc>
          <w:tcPr>
            <w:tcW w:w="0" w:type="auto"/>
            <w:vMerge/>
            <w:tcBorders>
              <w:top w:val="nil"/>
              <w:left w:val="single" w:sz="18" w:space="0" w:color="000000"/>
              <w:bottom w:val="single" w:sz="18" w:space="0" w:color="000000"/>
              <w:right w:val="nil"/>
            </w:tcBorders>
            <w:vAlign w:val="center"/>
            <w:hideMark/>
          </w:tcPr>
          <w:p w14:paraId="52C3FA32"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nil"/>
              <w:right w:val="single" w:sz="18" w:space="0" w:color="000000"/>
            </w:tcBorders>
            <w:shd w:val="clear" w:color="auto" w:fill="FFFFFF"/>
            <w:hideMark/>
          </w:tcPr>
          <w:p w14:paraId="43622A9A"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C</w:t>
            </w:r>
          </w:p>
        </w:tc>
        <w:tc>
          <w:tcPr>
            <w:tcW w:w="1469" w:type="dxa"/>
            <w:tcBorders>
              <w:top w:val="nil"/>
              <w:left w:val="single" w:sz="18" w:space="0" w:color="000000"/>
              <w:bottom w:val="nil"/>
              <w:right w:val="single" w:sz="8" w:space="0" w:color="000000"/>
            </w:tcBorders>
            <w:shd w:val="clear" w:color="auto" w:fill="FFFFFF"/>
            <w:vAlign w:val="center"/>
            <w:hideMark/>
          </w:tcPr>
          <w:p w14:paraId="28093901"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24.4467</w:t>
            </w:r>
            <w:r w:rsidRPr="007A1C4F">
              <w:rPr>
                <w:rFonts w:ascii="Arial" w:hAnsi="Arial" w:cs="Arial"/>
                <w:color w:val="000000"/>
                <w:vertAlign w:val="superscript"/>
              </w:rPr>
              <w:t>*</w:t>
            </w:r>
          </w:p>
        </w:tc>
        <w:tc>
          <w:tcPr>
            <w:tcW w:w="1070" w:type="dxa"/>
            <w:tcBorders>
              <w:top w:val="nil"/>
              <w:left w:val="single" w:sz="8" w:space="0" w:color="000000"/>
              <w:bottom w:val="nil"/>
              <w:right w:val="single" w:sz="8" w:space="0" w:color="000000"/>
            </w:tcBorders>
            <w:shd w:val="clear" w:color="auto" w:fill="FFFFFF"/>
            <w:vAlign w:val="center"/>
            <w:hideMark/>
          </w:tcPr>
          <w:p w14:paraId="04DC93CA"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nil"/>
              <w:right w:val="single" w:sz="8" w:space="0" w:color="000000"/>
            </w:tcBorders>
            <w:shd w:val="clear" w:color="auto" w:fill="FFFFFF"/>
            <w:vAlign w:val="center"/>
            <w:hideMark/>
          </w:tcPr>
          <w:p w14:paraId="1D1E573F"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r w:rsidR="006B7B70" w:rsidRPr="007A1C4F" w14:paraId="0EF8404D" w14:textId="77777777" w:rsidTr="00AD22A3">
        <w:trPr>
          <w:cantSplit/>
        </w:trPr>
        <w:tc>
          <w:tcPr>
            <w:tcW w:w="0" w:type="auto"/>
            <w:vMerge/>
            <w:tcBorders>
              <w:top w:val="nil"/>
              <w:left w:val="single" w:sz="18" w:space="0" w:color="000000"/>
              <w:bottom w:val="single" w:sz="18" w:space="0" w:color="000000"/>
              <w:right w:val="nil"/>
            </w:tcBorders>
            <w:vAlign w:val="center"/>
            <w:hideMark/>
          </w:tcPr>
          <w:p w14:paraId="66F5AB2E" w14:textId="77777777" w:rsidR="006B7B70" w:rsidRPr="007A1C4F" w:rsidRDefault="006B7B70" w:rsidP="00AD22A3">
            <w:pPr>
              <w:spacing w:line="276" w:lineRule="auto"/>
              <w:rPr>
                <w:rFonts w:ascii="Arial" w:hAnsi="Arial" w:cs="Arial"/>
                <w:color w:val="000000"/>
              </w:rPr>
            </w:pPr>
          </w:p>
        </w:tc>
        <w:tc>
          <w:tcPr>
            <w:tcW w:w="1500" w:type="dxa"/>
            <w:tcBorders>
              <w:top w:val="nil"/>
              <w:left w:val="nil"/>
              <w:bottom w:val="single" w:sz="18" w:space="0" w:color="000000"/>
              <w:right w:val="single" w:sz="18" w:space="0" w:color="000000"/>
            </w:tcBorders>
            <w:shd w:val="clear" w:color="auto" w:fill="FFFFFF"/>
            <w:hideMark/>
          </w:tcPr>
          <w:p w14:paraId="79B4F393" w14:textId="77777777" w:rsidR="006B7B70" w:rsidRPr="007A1C4F" w:rsidRDefault="006B7B70" w:rsidP="00AD22A3">
            <w:pPr>
              <w:autoSpaceDE w:val="0"/>
              <w:autoSpaceDN w:val="0"/>
              <w:adjustRightInd w:val="0"/>
              <w:spacing w:line="360" w:lineRule="auto"/>
              <w:ind w:left="60" w:right="60"/>
              <w:rPr>
                <w:rFonts w:ascii="Arial" w:hAnsi="Arial" w:cs="Arial"/>
                <w:color w:val="000000"/>
              </w:rPr>
            </w:pPr>
            <w:r w:rsidRPr="007A1C4F">
              <w:rPr>
                <w:rFonts w:ascii="Arial" w:hAnsi="Arial" w:cs="Arial"/>
                <w:color w:val="000000"/>
              </w:rPr>
              <w:t>Group D</w:t>
            </w:r>
          </w:p>
        </w:tc>
        <w:tc>
          <w:tcPr>
            <w:tcW w:w="1469" w:type="dxa"/>
            <w:tcBorders>
              <w:top w:val="nil"/>
              <w:left w:val="single" w:sz="18" w:space="0" w:color="000000"/>
              <w:bottom w:val="single" w:sz="18" w:space="0" w:color="000000"/>
              <w:right w:val="single" w:sz="8" w:space="0" w:color="000000"/>
            </w:tcBorders>
            <w:shd w:val="clear" w:color="auto" w:fill="FFFFFF"/>
            <w:vAlign w:val="center"/>
            <w:hideMark/>
          </w:tcPr>
          <w:p w14:paraId="2DF155E0"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17.4300</w:t>
            </w:r>
            <w:r w:rsidRPr="007A1C4F">
              <w:rPr>
                <w:rFonts w:ascii="Arial" w:hAnsi="Arial" w:cs="Arial"/>
                <w:color w:val="000000"/>
                <w:vertAlign w:val="superscript"/>
              </w:rPr>
              <w:t>*</w:t>
            </w:r>
          </w:p>
        </w:tc>
        <w:tc>
          <w:tcPr>
            <w:tcW w:w="1070" w:type="dxa"/>
            <w:tcBorders>
              <w:top w:val="nil"/>
              <w:left w:val="single" w:sz="8" w:space="0" w:color="000000"/>
              <w:bottom w:val="single" w:sz="18" w:space="0" w:color="000000"/>
              <w:right w:val="single" w:sz="8" w:space="0" w:color="000000"/>
            </w:tcBorders>
            <w:shd w:val="clear" w:color="auto" w:fill="FFFFFF"/>
            <w:vAlign w:val="center"/>
            <w:hideMark/>
          </w:tcPr>
          <w:p w14:paraId="1E783570"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.41140</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04A6D2F9" w14:textId="77777777" w:rsidR="006B7B70" w:rsidRPr="007A1C4F" w:rsidRDefault="006B7B70" w:rsidP="00AD22A3">
            <w:pPr>
              <w:autoSpaceDE w:val="0"/>
              <w:autoSpaceDN w:val="0"/>
              <w:adjustRightInd w:val="0"/>
              <w:spacing w:line="360" w:lineRule="auto"/>
              <w:ind w:left="60" w:right="60"/>
              <w:jc w:val="right"/>
              <w:rPr>
                <w:rFonts w:ascii="Arial" w:hAnsi="Arial" w:cs="Arial"/>
                <w:color w:val="000000"/>
              </w:rPr>
            </w:pPr>
            <w:r w:rsidRPr="007A1C4F">
              <w:rPr>
                <w:rFonts w:ascii="Arial" w:hAnsi="Arial" w:cs="Arial"/>
                <w:color w:val="000000"/>
              </w:rPr>
              <w:t>.000</w:t>
            </w:r>
          </w:p>
        </w:tc>
      </w:tr>
    </w:tbl>
    <w:p w14:paraId="0C38C585" w14:textId="2E0A234A" w:rsidR="00FD5BE4" w:rsidRDefault="007452EC" w:rsidP="00FD5BE4">
      <w:pPr>
        <w:jc w:val="both"/>
        <w:rPr>
          <w:rFonts w:ascii="Arial" w:hAnsi="Arial" w:cs="Arial"/>
        </w:rPr>
      </w:pPr>
      <w:r w:rsidRPr="007A1C4F">
        <w:rPr>
          <w:rFonts w:ascii="Arial" w:hAnsi="Arial" w:cs="Arial"/>
        </w:rPr>
        <w:t>Values are significant at (p &lt; 0.05).</w:t>
      </w:r>
    </w:p>
    <w:p w14:paraId="6FB167AF" w14:textId="77777777" w:rsidR="008C0C5B" w:rsidRDefault="008C0C5B" w:rsidP="00FD5BE4">
      <w:pPr>
        <w:jc w:val="both"/>
        <w:rPr>
          <w:rFonts w:ascii="Arial" w:hAnsi="Arial" w:cs="Arial"/>
        </w:rPr>
      </w:pPr>
    </w:p>
    <w:p w14:paraId="5AE35BA8" w14:textId="41231CFE" w:rsidR="00586CF2" w:rsidRPr="001A49A1" w:rsidRDefault="00D73B84" w:rsidP="001A49A1">
      <w:pPr>
        <w:jc w:val="both"/>
        <w:rPr>
          <w:rFonts w:ascii="Arial" w:hAnsi="Arial" w:cs="Arial"/>
        </w:rPr>
      </w:pPr>
      <w:r w:rsidRPr="007A1C4F">
        <w:rPr>
          <w:rFonts w:ascii="Arial" w:hAnsi="Arial" w:cs="Arial"/>
          <w:noProof/>
        </w:rPr>
        <w:lastRenderedPageBreak/>
        <w:drawing>
          <wp:inline distT="0" distB="0" distL="0" distR="0" wp14:anchorId="41175E35" wp14:editId="67109753">
            <wp:extent cx="4943475" cy="279590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3971D8" w14:textId="77777777" w:rsidR="00D73B84" w:rsidRDefault="00D73B84" w:rsidP="00586CF2">
      <w:pPr>
        <w:rPr>
          <w:rFonts w:ascii="Arial" w:hAnsi="Arial" w:cs="Arial"/>
          <w:bCs/>
        </w:rPr>
      </w:pPr>
    </w:p>
    <w:p w14:paraId="273C4D4E" w14:textId="4E172A00" w:rsidR="00586CF2" w:rsidRPr="00586CF2" w:rsidRDefault="00D73B84" w:rsidP="00586CF2">
      <w:pPr>
        <w:rPr>
          <w:rFonts w:ascii="Arial" w:hAnsi="Arial" w:cs="Arial"/>
          <w:bCs/>
        </w:rPr>
      </w:pPr>
      <w:r>
        <w:rPr>
          <w:rFonts w:ascii="Arial" w:hAnsi="Arial" w:cs="Arial"/>
          <w:bCs/>
        </w:rPr>
        <w:t>Figure 1: Effect of</w:t>
      </w:r>
      <w:r w:rsidR="00586CF2" w:rsidRPr="00586CF2">
        <w:rPr>
          <w:rFonts w:ascii="Arial" w:hAnsi="Arial" w:cs="Arial"/>
          <w:bCs/>
        </w:rPr>
        <w:t xml:space="preserve"> extract of </w:t>
      </w:r>
      <w:r>
        <w:rPr>
          <w:rFonts w:ascii="Arial" w:hAnsi="Arial" w:cs="Arial"/>
          <w:bCs/>
          <w:i/>
        </w:rPr>
        <w:t xml:space="preserve">cowpea </w:t>
      </w:r>
      <w:r w:rsidRPr="006E5AB9">
        <w:rPr>
          <w:rFonts w:ascii="Arial" w:hAnsi="Arial" w:cs="Arial"/>
          <w:bCs/>
        </w:rPr>
        <w:t>across the groups</w:t>
      </w:r>
      <w:r w:rsidR="006E5AB9">
        <w:rPr>
          <w:rFonts w:ascii="Arial" w:hAnsi="Arial" w:cs="Arial"/>
          <w:bCs/>
        </w:rPr>
        <w:t xml:space="preserve"> following lead</w:t>
      </w:r>
      <w:r w:rsidR="00586CF2" w:rsidRPr="00586CF2">
        <w:rPr>
          <w:rFonts w:ascii="Arial" w:hAnsi="Arial" w:cs="Arial"/>
          <w:bCs/>
        </w:rPr>
        <w:t xml:space="preserve"> exposure </w:t>
      </w:r>
    </w:p>
    <w:p w14:paraId="76E7A9D7" w14:textId="5A8DF9D1" w:rsidR="00586CF2" w:rsidRDefault="00586CF2" w:rsidP="00586CF2">
      <w:pPr>
        <w:jc w:val="both"/>
        <w:rPr>
          <w:rFonts w:ascii="Arial" w:hAnsi="Arial" w:cs="Arial"/>
        </w:rPr>
      </w:pPr>
    </w:p>
    <w:p w14:paraId="016FFDA4" w14:textId="4E7D5AA6" w:rsidR="00D17CBE" w:rsidRDefault="008C0C5B" w:rsidP="00586CF2">
      <w:pPr>
        <w:jc w:val="both"/>
        <w:rPr>
          <w:rFonts w:ascii="Arial" w:hAnsi="Arial" w:cs="Arial"/>
        </w:rPr>
      </w:pPr>
      <w:r>
        <w:rPr>
          <w:noProof/>
        </w:rPr>
        <w:drawing>
          <wp:inline distT="0" distB="0" distL="0" distR="0" wp14:anchorId="5B6CB2C7" wp14:editId="122158EC">
            <wp:extent cx="2428875" cy="2095500"/>
            <wp:effectExtent l="0" t="0" r="0" b="0"/>
            <wp:docPr id="3" name="Image1"/>
            <wp:cNvGraphicFramePr/>
            <a:graphic xmlns:a="http://schemas.openxmlformats.org/drawingml/2006/main">
              <a:graphicData uri="http://schemas.openxmlformats.org/drawingml/2006/picture">
                <pic:pic xmlns:pic="http://schemas.openxmlformats.org/drawingml/2006/picture">
                  <pic:nvPicPr>
                    <pic:cNvPr id="1033" name="Image1"/>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2428875" cy="2095500"/>
                    </a:xfrm>
                    <a:prstGeom prst="rect">
                      <a:avLst/>
                    </a:prstGeom>
                  </pic:spPr>
                </pic:pic>
              </a:graphicData>
            </a:graphic>
          </wp:inline>
        </w:drawing>
      </w:r>
      <w:r w:rsidRPr="008C0C5B">
        <w:rPr>
          <w:noProof/>
        </w:rPr>
        <w:t xml:space="preserve"> </w:t>
      </w:r>
      <w:r>
        <w:rPr>
          <w:noProof/>
        </w:rPr>
        <w:drawing>
          <wp:inline distT="0" distB="0" distL="0" distR="0" wp14:anchorId="60331DB4" wp14:editId="04D9BA91">
            <wp:extent cx="2724150" cy="2076450"/>
            <wp:effectExtent l="0" t="0" r="0" b="0"/>
            <wp:docPr id="4" name="Image1"/>
            <wp:cNvGraphicFramePr/>
            <a:graphic xmlns:a="http://schemas.openxmlformats.org/drawingml/2006/main">
              <a:graphicData uri="http://schemas.openxmlformats.org/drawingml/2006/picture">
                <pic:pic xmlns:pic="http://schemas.openxmlformats.org/drawingml/2006/picture">
                  <pic:nvPicPr>
                    <pic:cNvPr id="1034" name="Image1"/>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2724150" cy="2076450"/>
                    </a:xfrm>
                    <a:prstGeom prst="rect">
                      <a:avLst/>
                    </a:prstGeom>
                  </pic:spPr>
                </pic:pic>
              </a:graphicData>
            </a:graphic>
          </wp:inline>
        </w:drawing>
      </w:r>
    </w:p>
    <w:p w14:paraId="6966C07F" w14:textId="1E1D4C64" w:rsidR="00D17CBE" w:rsidRDefault="00D17CBE" w:rsidP="00D17CBE">
      <w:pPr>
        <w:pStyle w:val="ListParagraph"/>
        <w:numPr>
          <w:ilvl w:val="0"/>
          <w:numId w:val="33"/>
        </w:numPr>
        <w:jc w:val="both"/>
        <w:rPr>
          <w:rFonts w:ascii="Arial" w:hAnsi="Arial" w:cs="Arial"/>
        </w:rPr>
      </w:pPr>
      <w:r>
        <w:rPr>
          <w:rFonts w:ascii="Arial" w:hAnsi="Arial" w:cs="Arial"/>
        </w:rPr>
        <w:t xml:space="preserve">                                                                   (B)</w:t>
      </w:r>
    </w:p>
    <w:p w14:paraId="65085EAF" w14:textId="2BB03825" w:rsidR="00D17CBE" w:rsidRPr="00D17CBE" w:rsidRDefault="008C0C5B" w:rsidP="00D17CBE">
      <w:pPr>
        <w:jc w:val="both"/>
        <w:rPr>
          <w:rFonts w:ascii="Arial" w:hAnsi="Arial" w:cs="Arial"/>
        </w:rPr>
      </w:pPr>
      <w:r>
        <w:rPr>
          <w:noProof/>
        </w:rPr>
        <w:drawing>
          <wp:inline distT="0" distB="0" distL="0" distR="0" wp14:anchorId="1A5E5A63" wp14:editId="45B3574A">
            <wp:extent cx="2400300" cy="2190750"/>
            <wp:effectExtent l="0" t="0" r="0" b="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2400300" cy="2190750"/>
                    </a:xfrm>
                    <a:prstGeom prst="rect">
                      <a:avLst/>
                    </a:prstGeom>
                  </pic:spPr>
                </pic:pic>
              </a:graphicData>
            </a:graphic>
          </wp:inline>
        </w:drawing>
      </w:r>
      <w:r w:rsidRPr="008C0C5B">
        <w:rPr>
          <w:noProof/>
        </w:rPr>
        <w:t xml:space="preserve"> </w:t>
      </w:r>
      <w:r>
        <w:rPr>
          <w:noProof/>
        </w:rPr>
        <w:drawing>
          <wp:inline distT="0" distB="0" distL="0" distR="0" wp14:anchorId="1991E229" wp14:editId="75A49E9A">
            <wp:extent cx="2695575" cy="2190750"/>
            <wp:effectExtent l="0" t="0" r="0" b="0"/>
            <wp:docPr id="5" name="Image1"/>
            <wp:cNvGraphicFramePr/>
            <a:graphic xmlns:a="http://schemas.openxmlformats.org/drawingml/2006/main">
              <a:graphicData uri="http://schemas.openxmlformats.org/drawingml/2006/picture">
                <pic:pic xmlns:pic="http://schemas.openxmlformats.org/drawingml/2006/picture">
                  <pic:nvPicPr>
                    <pic:cNvPr id="1036" name="Image1"/>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2695575" cy="2190750"/>
                    </a:xfrm>
                    <a:prstGeom prst="rect">
                      <a:avLst/>
                    </a:prstGeom>
                  </pic:spPr>
                </pic:pic>
              </a:graphicData>
            </a:graphic>
          </wp:inline>
        </w:drawing>
      </w:r>
    </w:p>
    <w:p w14:paraId="3970539A" w14:textId="0FDD9835" w:rsidR="00D17CBE" w:rsidRPr="00993081" w:rsidRDefault="00993081" w:rsidP="00993081">
      <w:pPr>
        <w:jc w:val="both"/>
        <w:rPr>
          <w:rFonts w:ascii="Arial" w:hAnsi="Arial" w:cs="Arial"/>
        </w:rPr>
      </w:pPr>
      <w:r>
        <w:rPr>
          <w:rFonts w:ascii="Arial" w:hAnsi="Arial" w:cs="Arial"/>
        </w:rPr>
        <w:t xml:space="preserve">                         (C)</w:t>
      </w:r>
      <w:r w:rsidRPr="00993081">
        <w:rPr>
          <w:rFonts w:ascii="Arial" w:hAnsi="Arial" w:cs="Arial"/>
        </w:rPr>
        <w:t xml:space="preserve">                                                             </w:t>
      </w:r>
      <w:r>
        <w:rPr>
          <w:rFonts w:ascii="Arial" w:hAnsi="Arial" w:cs="Arial"/>
        </w:rPr>
        <w:t xml:space="preserve">      </w:t>
      </w:r>
      <w:r w:rsidRPr="00993081">
        <w:rPr>
          <w:rFonts w:ascii="Arial" w:hAnsi="Arial" w:cs="Arial"/>
        </w:rPr>
        <w:t xml:space="preserve"> </w:t>
      </w:r>
      <w:r w:rsidR="001A49A1">
        <w:rPr>
          <w:rFonts w:ascii="Arial" w:hAnsi="Arial" w:cs="Arial"/>
        </w:rPr>
        <w:t xml:space="preserve">          </w:t>
      </w:r>
      <w:r w:rsidRPr="00993081">
        <w:rPr>
          <w:rFonts w:ascii="Arial" w:hAnsi="Arial" w:cs="Arial"/>
        </w:rPr>
        <w:t>(D)</w:t>
      </w:r>
    </w:p>
    <w:p w14:paraId="0CA5CD21" w14:textId="1CCDF916" w:rsidR="00D17CBE" w:rsidRDefault="00D17CBE" w:rsidP="00586CF2">
      <w:pPr>
        <w:jc w:val="both"/>
        <w:rPr>
          <w:rFonts w:ascii="Arial" w:hAnsi="Arial" w:cs="Arial"/>
        </w:rPr>
      </w:pPr>
    </w:p>
    <w:p w14:paraId="26F02221" w14:textId="4AA11CAD" w:rsidR="00171642" w:rsidRDefault="008C0C5B" w:rsidP="00586CF2">
      <w:pPr>
        <w:jc w:val="both"/>
        <w:rPr>
          <w:rFonts w:ascii="Arial" w:hAnsi="Arial" w:cs="Arial"/>
        </w:rPr>
      </w:pPr>
      <w:r>
        <w:rPr>
          <w:noProof/>
        </w:rPr>
        <w:lastRenderedPageBreak/>
        <w:drawing>
          <wp:inline distT="0" distB="0" distL="0" distR="0" wp14:anchorId="21D6001A" wp14:editId="559F3A3C">
            <wp:extent cx="2390775" cy="2143125"/>
            <wp:effectExtent l="0" t="0" r="0" b="0"/>
            <wp:docPr id="6" name="Image1"/>
            <wp:cNvGraphicFramePr/>
            <a:graphic xmlns:a="http://schemas.openxmlformats.org/drawingml/2006/main">
              <a:graphicData uri="http://schemas.openxmlformats.org/drawingml/2006/picture">
                <pic:pic xmlns:pic="http://schemas.openxmlformats.org/drawingml/2006/picture">
                  <pic:nvPicPr>
                    <pic:cNvPr id="1037" name="Image1"/>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2390775" cy="2143125"/>
                    </a:xfrm>
                    <a:prstGeom prst="rect">
                      <a:avLst/>
                    </a:prstGeom>
                  </pic:spPr>
                </pic:pic>
              </a:graphicData>
            </a:graphic>
          </wp:inline>
        </w:drawing>
      </w:r>
    </w:p>
    <w:p w14:paraId="38E7AB66" w14:textId="2D18B78F" w:rsidR="00171642" w:rsidRDefault="00171642" w:rsidP="00586CF2">
      <w:pPr>
        <w:jc w:val="both"/>
        <w:rPr>
          <w:rFonts w:ascii="Arial" w:hAnsi="Arial" w:cs="Arial"/>
        </w:rPr>
      </w:pPr>
      <w:r>
        <w:rPr>
          <w:rFonts w:ascii="Arial" w:hAnsi="Arial" w:cs="Arial"/>
        </w:rPr>
        <w:t xml:space="preserve">                              (E)</w:t>
      </w:r>
    </w:p>
    <w:p w14:paraId="2AAEB215" w14:textId="77777777" w:rsidR="00D17CBE" w:rsidRDefault="00D17CBE" w:rsidP="00586CF2">
      <w:pPr>
        <w:jc w:val="both"/>
        <w:rPr>
          <w:rFonts w:ascii="Arial" w:hAnsi="Arial" w:cs="Arial"/>
        </w:rPr>
      </w:pPr>
    </w:p>
    <w:p w14:paraId="28341644" w14:textId="3F47A12A" w:rsidR="00BB5863" w:rsidRPr="00BB5863" w:rsidRDefault="00171642" w:rsidP="00BB5863">
      <w:pPr>
        <w:rPr>
          <w:rFonts w:ascii="Arial" w:hAnsi="Arial" w:cs="Arial"/>
          <w:noProof/>
        </w:rPr>
      </w:pPr>
      <w:r w:rsidRPr="00171642">
        <w:rPr>
          <w:rFonts w:ascii="Arial" w:hAnsi="Arial" w:cs="Arial"/>
          <w:b/>
        </w:rPr>
        <w:t>Fi</w:t>
      </w:r>
      <w:r w:rsidR="00F65923">
        <w:rPr>
          <w:rFonts w:ascii="Arial" w:hAnsi="Arial" w:cs="Arial"/>
          <w:b/>
        </w:rPr>
        <w:t>g 2: Photomicrograph of the hippocampus</w:t>
      </w:r>
      <w:r w:rsidRPr="00171642">
        <w:rPr>
          <w:rFonts w:ascii="Arial" w:hAnsi="Arial" w:cs="Arial"/>
          <w:b/>
        </w:rPr>
        <w:t xml:space="preserve"> of (A) control rats</w:t>
      </w:r>
      <w:r w:rsidRPr="00171642">
        <w:rPr>
          <w:rFonts w:ascii="Arial" w:hAnsi="Arial" w:cs="Arial"/>
        </w:rPr>
        <w:t xml:space="preserve"> showing</w:t>
      </w:r>
      <w:r w:rsidR="00D122C8">
        <w:rPr>
          <w:rFonts w:ascii="Times New Roman" w:hAnsi="Times New Roman"/>
          <w:noProof/>
          <w:sz w:val="28"/>
          <w:szCs w:val="28"/>
        </w:rPr>
        <w:t xml:space="preserve"> </w:t>
      </w:r>
      <w:r w:rsidR="00D122C8" w:rsidRPr="00D122C8">
        <w:rPr>
          <w:rFonts w:ascii="Arial" w:hAnsi="Arial" w:cs="Arial"/>
          <w:noProof/>
        </w:rPr>
        <w:t>normal morphology of the hippocampus. The molecular layer (M), Pyramidal layer (Py), and the Polymorphic layer (Pm)</w:t>
      </w:r>
      <w:r w:rsidRPr="00171642">
        <w:rPr>
          <w:rFonts w:ascii="Arial" w:hAnsi="Arial" w:cs="Arial"/>
        </w:rPr>
        <w:t xml:space="preserve"> </w:t>
      </w:r>
      <w:r w:rsidRPr="00171642">
        <w:rPr>
          <w:rFonts w:ascii="Arial" w:hAnsi="Arial" w:cs="Arial"/>
          <w:b/>
        </w:rPr>
        <w:t xml:space="preserve">(B) </w:t>
      </w:r>
      <w:r w:rsidR="00204265">
        <w:rPr>
          <w:rFonts w:ascii="Arial" w:hAnsi="Arial" w:cs="Arial"/>
          <w:b/>
        </w:rPr>
        <w:t>15mg/kg of lead-acetat</w:t>
      </w:r>
      <w:r w:rsidRPr="00171642">
        <w:rPr>
          <w:rFonts w:ascii="Arial" w:hAnsi="Arial" w:cs="Arial"/>
          <w:b/>
        </w:rPr>
        <w:t>e</w:t>
      </w:r>
      <w:r w:rsidRPr="00171642">
        <w:rPr>
          <w:rFonts w:ascii="Arial" w:hAnsi="Arial" w:cs="Arial"/>
        </w:rPr>
        <w:t xml:space="preserve"> </w:t>
      </w:r>
      <w:r w:rsidR="00BB5863" w:rsidRPr="00BB5863">
        <w:rPr>
          <w:rFonts w:ascii="Arial" w:hAnsi="Arial" w:cs="Arial"/>
          <w:noProof/>
        </w:rPr>
        <w:t xml:space="preserve">showing necrosis of pyramidal cells (n) with vacoulization. However, there are sparse appearance of cells in the molecular layer (arrow). </w:t>
      </w:r>
    </w:p>
    <w:p w14:paraId="21F139B4" w14:textId="748AB492" w:rsidR="008B6338" w:rsidRPr="008B6338" w:rsidRDefault="00171642" w:rsidP="008B6338">
      <w:pPr>
        <w:rPr>
          <w:rFonts w:ascii="Arial" w:hAnsi="Arial" w:cs="Arial"/>
          <w:noProof/>
        </w:rPr>
      </w:pPr>
      <w:r w:rsidRPr="00171642">
        <w:rPr>
          <w:rFonts w:ascii="Arial" w:hAnsi="Arial" w:cs="Arial"/>
          <w:b/>
        </w:rPr>
        <w:t xml:space="preserve">  (C) </w:t>
      </w:r>
      <w:r w:rsidR="00CA1215">
        <w:rPr>
          <w:rFonts w:ascii="Arial" w:hAnsi="Arial" w:cs="Arial"/>
          <w:b/>
        </w:rPr>
        <w:t>15mg/kg of lead-acetat</w:t>
      </w:r>
      <w:r w:rsidR="00CA1215" w:rsidRPr="00171642">
        <w:rPr>
          <w:rFonts w:ascii="Arial" w:hAnsi="Arial" w:cs="Arial"/>
          <w:b/>
        </w:rPr>
        <w:t>e</w:t>
      </w:r>
      <w:r w:rsidR="00CA1215">
        <w:rPr>
          <w:rFonts w:ascii="Arial" w:hAnsi="Arial" w:cs="Arial"/>
          <w:b/>
        </w:rPr>
        <w:t>+1</w:t>
      </w:r>
      <w:r w:rsidR="00F65923">
        <w:rPr>
          <w:rFonts w:ascii="Arial" w:hAnsi="Arial" w:cs="Arial"/>
          <w:b/>
        </w:rPr>
        <w:t>0</w:t>
      </w:r>
      <w:r w:rsidR="00CA1215">
        <w:rPr>
          <w:rFonts w:ascii="Arial" w:hAnsi="Arial" w:cs="Arial"/>
          <w:b/>
        </w:rPr>
        <w:t xml:space="preserve">0mg/kg of cowpea extract </w:t>
      </w:r>
      <w:r w:rsidR="00CA1215" w:rsidRPr="00CA1215">
        <w:rPr>
          <w:rFonts w:ascii="Arial" w:hAnsi="Arial" w:cs="Arial"/>
          <w:noProof/>
        </w:rPr>
        <w:t>showing sparse degeneration of appearance of cells in the molecular layer.</w:t>
      </w:r>
      <w:r w:rsidRPr="00171642">
        <w:rPr>
          <w:rFonts w:ascii="Arial" w:hAnsi="Arial" w:cs="Arial"/>
          <w:bCs/>
        </w:rPr>
        <w:t xml:space="preserve"> </w:t>
      </w:r>
      <w:r w:rsidRPr="00171642">
        <w:rPr>
          <w:rFonts w:ascii="Arial" w:hAnsi="Arial" w:cs="Arial"/>
          <w:b/>
        </w:rPr>
        <w:t xml:space="preserve">(D) </w:t>
      </w:r>
      <w:r w:rsidR="00214528">
        <w:rPr>
          <w:rFonts w:ascii="Arial" w:hAnsi="Arial" w:cs="Arial"/>
          <w:b/>
        </w:rPr>
        <w:t>15mg/kg of lead-acetat</w:t>
      </w:r>
      <w:r w:rsidR="00214528" w:rsidRPr="00171642">
        <w:rPr>
          <w:rFonts w:ascii="Arial" w:hAnsi="Arial" w:cs="Arial"/>
          <w:b/>
        </w:rPr>
        <w:t>e</w:t>
      </w:r>
      <w:r w:rsidR="00214528">
        <w:rPr>
          <w:rFonts w:ascii="Arial" w:hAnsi="Arial" w:cs="Arial"/>
          <w:b/>
        </w:rPr>
        <w:t>+2</w:t>
      </w:r>
      <w:r w:rsidR="00F65923">
        <w:rPr>
          <w:rFonts w:ascii="Arial" w:hAnsi="Arial" w:cs="Arial"/>
          <w:b/>
        </w:rPr>
        <w:t>0</w:t>
      </w:r>
      <w:r w:rsidR="00214528">
        <w:rPr>
          <w:rFonts w:ascii="Arial" w:hAnsi="Arial" w:cs="Arial"/>
          <w:b/>
        </w:rPr>
        <w:t xml:space="preserve">0mg/kg of cowpea extract </w:t>
      </w:r>
      <w:r w:rsidR="00214528" w:rsidRPr="00214528">
        <w:rPr>
          <w:rFonts w:ascii="Arial" w:hAnsi="Arial" w:cs="Arial"/>
          <w:noProof/>
        </w:rPr>
        <w:t xml:space="preserve">showing pyknosis of pyramidal neuron, few vacoulization with reduced appearance of </w:t>
      </w:r>
      <w:r w:rsidR="00214528">
        <w:rPr>
          <w:rFonts w:ascii="Arial" w:hAnsi="Arial" w:cs="Arial"/>
          <w:noProof/>
        </w:rPr>
        <w:t>cells in the polymorphic layer.</w:t>
      </w:r>
      <w:r w:rsidRPr="00171642">
        <w:rPr>
          <w:rFonts w:ascii="Arial" w:hAnsi="Arial" w:cs="Arial"/>
        </w:rPr>
        <w:t xml:space="preserve">  </w:t>
      </w:r>
      <w:r w:rsidR="008B6338">
        <w:rPr>
          <w:rFonts w:ascii="Arial" w:hAnsi="Arial" w:cs="Arial"/>
          <w:b/>
          <w:bCs/>
        </w:rPr>
        <w:t>(E) 2</w:t>
      </w:r>
      <w:r w:rsidR="00F65923">
        <w:rPr>
          <w:rFonts w:ascii="Arial" w:hAnsi="Arial" w:cs="Arial"/>
          <w:b/>
          <w:bCs/>
        </w:rPr>
        <w:t>0</w:t>
      </w:r>
      <w:r w:rsidR="008B6338">
        <w:rPr>
          <w:rFonts w:ascii="Arial" w:hAnsi="Arial" w:cs="Arial"/>
          <w:b/>
          <w:bCs/>
        </w:rPr>
        <w:t xml:space="preserve">0mg/kg of </w:t>
      </w:r>
      <w:r w:rsidR="008B6338">
        <w:rPr>
          <w:rFonts w:ascii="Arial" w:hAnsi="Arial" w:cs="Arial"/>
          <w:b/>
          <w:bCs/>
          <w:i/>
        </w:rPr>
        <w:t>cowpe</w:t>
      </w:r>
      <w:r w:rsidRPr="00171642">
        <w:rPr>
          <w:rFonts w:ascii="Arial" w:hAnsi="Arial" w:cs="Arial"/>
          <w:b/>
          <w:bCs/>
          <w:i/>
        </w:rPr>
        <w:t>a</w:t>
      </w:r>
      <w:r w:rsidRPr="00171642">
        <w:rPr>
          <w:rFonts w:ascii="Arial" w:hAnsi="Arial" w:cs="Arial"/>
          <w:b/>
          <w:bCs/>
        </w:rPr>
        <w:t xml:space="preserve"> extract</w:t>
      </w:r>
      <w:r w:rsidRPr="00171642">
        <w:rPr>
          <w:rFonts w:ascii="Arial" w:hAnsi="Arial" w:cs="Arial"/>
          <w:bCs/>
        </w:rPr>
        <w:t xml:space="preserve"> showing </w:t>
      </w:r>
      <w:r w:rsidR="008B6338" w:rsidRPr="008B6338">
        <w:rPr>
          <w:rFonts w:ascii="Arial" w:hAnsi="Arial" w:cs="Arial"/>
          <w:noProof/>
        </w:rPr>
        <w:t xml:space="preserve">mild degeneration of pyramidal neuron (d), few vacoulization with reduced appearance of cells in the polymorphic layer (arrow). </w:t>
      </w:r>
    </w:p>
    <w:p w14:paraId="2BC9B35D" w14:textId="2D86A83F" w:rsidR="00171642" w:rsidRDefault="00171642" w:rsidP="00171642">
      <w:pPr>
        <w:rPr>
          <w:rFonts w:ascii="Arial" w:hAnsi="Arial" w:cs="Arial"/>
        </w:rPr>
      </w:pPr>
    </w:p>
    <w:p w14:paraId="4D58BC73" w14:textId="77777777" w:rsidR="00171642" w:rsidRPr="00171642" w:rsidRDefault="00171642" w:rsidP="00171642">
      <w:pPr>
        <w:rPr>
          <w:rFonts w:ascii="Arial" w:hAnsi="Arial" w:cs="Arial"/>
          <w:b/>
        </w:rPr>
      </w:pPr>
    </w:p>
    <w:p w14:paraId="4B5ABA5E" w14:textId="06C65246" w:rsidR="00095A41" w:rsidRDefault="00095A41" w:rsidP="00586CF2">
      <w:pPr>
        <w:jc w:val="both"/>
        <w:rPr>
          <w:rFonts w:ascii="Arial" w:hAnsi="Arial" w:cs="Arial"/>
        </w:rPr>
      </w:pPr>
    </w:p>
    <w:p w14:paraId="014F09D2" w14:textId="77233929" w:rsidR="00095A41" w:rsidRDefault="00095A41" w:rsidP="00586CF2">
      <w:pPr>
        <w:jc w:val="both"/>
        <w:rPr>
          <w:rFonts w:ascii="Arial" w:hAnsi="Arial" w:cs="Arial"/>
        </w:rPr>
      </w:pPr>
    </w:p>
    <w:p w14:paraId="48F777CE" w14:textId="1B4B4163" w:rsidR="00095A41" w:rsidRDefault="00095A41" w:rsidP="00586CF2">
      <w:pPr>
        <w:jc w:val="both"/>
        <w:rPr>
          <w:rFonts w:ascii="Arial" w:hAnsi="Arial" w:cs="Arial"/>
        </w:rPr>
      </w:pPr>
      <w:r>
        <w:rPr>
          <w:rFonts w:ascii="Arial" w:hAnsi="Arial" w:cs="Arial"/>
        </w:rPr>
        <w:t xml:space="preserve">   </w:t>
      </w:r>
      <w:r w:rsidR="002D3998">
        <w:rPr>
          <w:noProof/>
        </w:rPr>
        <w:drawing>
          <wp:inline distT="0" distB="0" distL="0" distR="0" wp14:anchorId="1A89C937" wp14:editId="1C3A064F">
            <wp:extent cx="2486025" cy="1971675"/>
            <wp:effectExtent l="0" t="0" r="0" b="0"/>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2486025" cy="1971675"/>
                    </a:xfrm>
                    <a:prstGeom prst="rect">
                      <a:avLst/>
                    </a:prstGeom>
                  </pic:spPr>
                </pic:pic>
              </a:graphicData>
            </a:graphic>
          </wp:inline>
        </w:drawing>
      </w:r>
      <w:r w:rsidR="002D3998">
        <w:rPr>
          <w:rFonts w:ascii="Arial" w:hAnsi="Arial" w:cs="Arial"/>
          <w:noProof/>
        </w:rPr>
        <w:t xml:space="preserve"> </w:t>
      </w:r>
      <w:r w:rsidR="002D3998">
        <w:rPr>
          <w:noProof/>
        </w:rPr>
        <w:drawing>
          <wp:inline distT="0" distB="0" distL="0" distR="0" wp14:anchorId="3118205F" wp14:editId="6D49C490">
            <wp:extent cx="2381250" cy="1981200"/>
            <wp:effectExtent l="0" t="0" r="0" b="0"/>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2381250" cy="1981200"/>
                    </a:xfrm>
                    <a:prstGeom prst="rect">
                      <a:avLst/>
                    </a:prstGeom>
                  </pic:spPr>
                </pic:pic>
              </a:graphicData>
            </a:graphic>
          </wp:inline>
        </w:drawing>
      </w:r>
    </w:p>
    <w:p w14:paraId="341BD511" w14:textId="03A21575" w:rsidR="00095A41" w:rsidRDefault="00826B0C" w:rsidP="00826B0C">
      <w:pPr>
        <w:pStyle w:val="ListParagraph"/>
        <w:numPr>
          <w:ilvl w:val="0"/>
          <w:numId w:val="34"/>
        </w:numPr>
        <w:jc w:val="both"/>
        <w:rPr>
          <w:rFonts w:ascii="Arial" w:hAnsi="Arial" w:cs="Arial"/>
        </w:rPr>
      </w:pPr>
      <w:r>
        <w:rPr>
          <w:rFonts w:ascii="Arial" w:hAnsi="Arial" w:cs="Arial"/>
        </w:rPr>
        <w:t xml:space="preserve">                                                             </w:t>
      </w:r>
      <w:r w:rsidR="008A6955">
        <w:rPr>
          <w:rFonts w:ascii="Arial" w:hAnsi="Arial" w:cs="Arial"/>
        </w:rPr>
        <w:t xml:space="preserve">    </w:t>
      </w:r>
      <w:r>
        <w:rPr>
          <w:rFonts w:ascii="Arial" w:hAnsi="Arial" w:cs="Arial"/>
        </w:rPr>
        <w:t>(B)</w:t>
      </w:r>
    </w:p>
    <w:p w14:paraId="2D1B872A" w14:textId="4F7A961A" w:rsidR="00826B0C" w:rsidRDefault="002D3998" w:rsidP="00826B0C">
      <w:pPr>
        <w:jc w:val="both"/>
        <w:rPr>
          <w:rFonts w:ascii="Arial" w:hAnsi="Arial" w:cs="Arial"/>
        </w:rPr>
      </w:pPr>
      <w:r>
        <w:rPr>
          <w:noProof/>
        </w:rPr>
        <w:drawing>
          <wp:inline distT="0" distB="0" distL="0" distR="0" wp14:anchorId="1ABAAA0D" wp14:editId="62EC8055">
            <wp:extent cx="2590800" cy="2247900"/>
            <wp:effectExtent l="0" t="0" r="0" b="0"/>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2590800" cy="2247900"/>
                    </a:xfrm>
                    <a:prstGeom prst="rect">
                      <a:avLst/>
                    </a:prstGeom>
                  </pic:spPr>
                </pic:pic>
              </a:graphicData>
            </a:graphic>
          </wp:inline>
        </w:drawing>
      </w:r>
      <w:r w:rsidRPr="00CC6DA2">
        <w:rPr>
          <w:rFonts w:ascii="Times New Roman" w:hAnsi="Times New Roman"/>
          <w:noProof/>
          <w:sz w:val="24"/>
          <w:szCs w:val="24"/>
        </w:rPr>
        <w:t xml:space="preserve"> </w:t>
      </w:r>
      <w:r>
        <w:rPr>
          <w:noProof/>
        </w:rPr>
        <w:drawing>
          <wp:inline distT="0" distB="0" distL="0" distR="0" wp14:anchorId="2CDD3724" wp14:editId="2C681C62">
            <wp:extent cx="2419350" cy="2266950"/>
            <wp:effectExtent l="0" t="0" r="0" b="0"/>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2419350" cy="2266950"/>
                    </a:xfrm>
                    <a:prstGeom prst="rect">
                      <a:avLst/>
                    </a:prstGeom>
                  </pic:spPr>
                </pic:pic>
              </a:graphicData>
            </a:graphic>
          </wp:inline>
        </w:drawing>
      </w:r>
    </w:p>
    <w:p w14:paraId="0E6301BF" w14:textId="47504109" w:rsidR="0068150A" w:rsidRPr="00A65354" w:rsidRDefault="00A65354" w:rsidP="00A65354">
      <w:pPr>
        <w:ind w:left="1785"/>
        <w:jc w:val="both"/>
        <w:rPr>
          <w:rFonts w:ascii="Arial" w:hAnsi="Arial" w:cs="Arial"/>
        </w:rPr>
      </w:pPr>
      <w:r>
        <w:rPr>
          <w:rFonts w:ascii="Arial" w:hAnsi="Arial" w:cs="Arial"/>
        </w:rPr>
        <w:t>(C)</w:t>
      </w:r>
      <w:r w:rsidR="0068150A" w:rsidRPr="00A65354">
        <w:rPr>
          <w:rFonts w:ascii="Arial" w:hAnsi="Arial" w:cs="Arial"/>
        </w:rPr>
        <w:t xml:space="preserve">                                                                 (D)</w:t>
      </w:r>
    </w:p>
    <w:p w14:paraId="5D46A475" w14:textId="77777777" w:rsidR="0068150A" w:rsidRPr="0068150A" w:rsidRDefault="0068150A" w:rsidP="0068150A">
      <w:pPr>
        <w:jc w:val="both"/>
        <w:rPr>
          <w:rFonts w:ascii="Arial" w:hAnsi="Arial" w:cs="Arial"/>
        </w:rPr>
      </w:pPr>
    </w:p>
    <w:p w14:paraId="77DFE634" w14:textId="091DF289" w:rsidR="00826B0C" w:rsidRDefault="002D3998" w:rsidP="00826B0C">
      <w:pPr>
        <w:jc w:val="both"/>
        <w:rPr>
          <w:rFonts w:ascii="Arial" w:hAnsi="Arial" w:cs="Arial"/>
        </w:rPr>
      </w:pPr>
      <w:r>
        <w:rPr>
          <w:noProof/>
        </w:rPr>
        <w:drawing>
          <wp:inline distT="0" distB="0" distL="0" distR="0" wp14:anchorId="5CEE18BB" wp14:editId="554543D0">
            <wp:extent cx="2790825" cy="222885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2790825" cy="2228850"/>
                    </a:xfrm>
                    <a:prstGeom prst="rect">
                      <a:avLst/>
                    </a:prstGeom>
                  </pic:spPr>
                </pic:pic>
              </a:graphicData>
            </a:graphic>
          </wp:inline>
        </w:drawing>
      </w:r>
    </w:p>
    <w:p w14:paraId="4C1EA872" w14:textId="49C72B57" w:rsidR="0068150A" w:rsidRDefault="0068150A" w:rsidP="00826B0C">
      <w:pPr>
        <w:jc w:val="both"/>
        <w:rPr>
          <w:rFonts w:ascii="Arial" w:hAnsi="Arial" w:cs="Arial"/>
        </w:rPr>
      </w:pPr>
      <w:r>
        <w:rPr>
          <w:rFonts w:ascii="Arial" w:hAnsi="Arial" w:cs="Arial"/>
        </w:rPr>
        <w:t xml:space="preserve">                                 (E)</w:t>
      </w:r>
    </w:p>
    <w:p w14:paraId="78D67960" w14:textId="3BCEB98B" w:rsidR="0068150A" w:rsidRDefault="0068150A" w:rsidP="00826B0C">
      <w:pPr>
        <w:jc w:val="both"/>
        <w:rPr>
          <w:rFonts w:ascii="Arial" w:hAnsi="Arial" w:cs="Arial"/>
        </w:rPr>
      </w:pPr>
    </w:p>
    <w:p w14:paraId="1FF62212" w14:textId="5283089A" w:rsidR="00E85DEA" w:rsidRDefault="00C23631" w:rsidP="00E85DEA">
      <w:pPr>
        <w:spacing w:line="360" w:lineRule="auto"/>
        <w:jc w:val="center"/>
        <w:rPr>
          <w:rFonts w:ascii="Arial" w:hAnsi="Arial" w:cs="Arial"/>
          <w:b/>
        </w:rPr>
      </w:pPr>
      <w:r w:rsidRPr="00C23631">
        <w:rPr>
          <w:rFonts w:ascii="Arial" w:hAnsi="Arial" w:cs="Arial"/>
          <w:b/>
        </w:rPr>
        <w:t xml:space="preserve">Fig </w:t>
      </w:r>
      <w:r w:rsidR="00AF01B0">
        <w:rPr>
          <w:rFonts w:ascii="Arial" w:hAnsi="Arial" w:cs="Arial"/>
          <w:b/>
        </w:rPr>
        <w:t>3</w:t>
      </w:r>
      <w:r w:rsidRPr="00C23631">
        <w:rPr>
          <w:rFonts w:ascii="Arial" w:hAnsi="Arial" w:cs="Arial"/>
          <w:b/>
        </w:rPr>
        <w:t xml:space="preserve">: Photomicrograph of hippocampus </w:t>
      </w:r>
      <w:r w:rsidR="00313A2F" w:rsidRPr="00313A2F">
        <w:rPr>
          <w:rFonts w:ascii="Arial" w:hAnsi="Arial" w:cs="Arial"/>
        </w:rPr>
        <w:t>stained with Cresyl Violet</w:t>
      </w:r>
      <w:r w:rsidR="00875C49">
        <w:rPr>
          <w:rFonts w:ascii="Arial" w:hAnsi="Arial" w:cs="Arial"/>
        </w:rPr>
        <w:t xml:space="preserve"> </w:t>
      </w:r>
      <w:r w:rsidR="00313A2F" w:rsidRPr="00313A2F">
        <w:rPr>
          <w:rFonts w:ascii="Arial" w:hAnsi="Arial" w:cs="Arial"/>
        </w:rPr>
        <w:t>(Nissl stain)</w:t>
      </w:r>
      <w:r w:rsidR="00313A2F">
        <w:rPr>
          <w:rFonts w:ascii="Times New Roman" w:hAnsi="Times New Roman"/>
          <w:sz w:val="28"/>
          <w:szCs w:val="28"/>
        </w:rPr>
        <w:t xml:space="preserve"> </w:t>
      </w:r>
      <w:r w:rsidRPr="00C23631">
        <w:rPr>
          <w:rFonts w:ascii="Arial" w:hAnsi="Arial" w:cs="Arial"/>
          <w:b/>
        </w:rPr>
        <w:t xml:space="preserve">of (A) control rats </w:t>
      </w:r>
      <w:r w:rsidR="00E85DEA">
        <w:rPr>
          <w:rFonts w:ascii="Arial" w:hAnsi="Arial" w:cs="Arial"/>
          <w:bCs/>
        </w:rPr>
        <w:t>showing</w:t>
      </w:r>
      <w:r w:rsidR="00E85DEA" w:rsidRPr="00E85DEA">
        <w:rPr>
          <w:rFonts w:ascii="Arial" w:hAnsi="Arial" w:cs="Arial"/>
        </w:rPr>
        <w:t xml:space="preserve"> numer</w:t>
      </w:r>
      <w:r w:rsidR="00E85DEA">
        <w:rPr>
          <w:rFonts w:ascii="Arial" w:hAnsi="Arial" w:cs="Arial"/>
        </w:rPr>
        <w:t>ous neurons with Nissl substance</w:t>
      </w:r>
      <w:r w:rsidRPr="00C23631">
        <w:rPr>
          <w:rFonts w:ascii="Arial" w:hAnsi="Arial" w:cs="Arial"/>
        </w:rPr>
        <w:t>.</w:t>
      </w:r>
      <w:r w:rsidRPr="00C23631">
        <w:rPr>
          <w:rFonts w:ascii="Arial" w:hAnsi="Arial" w:cs="Arial"/>
          <w:b/>
        </w:rPr>
        <w:t xml:space="preserve"> (B) </w:t>
      </w:r>
      <w:r w:rsidR="00E85DEA">
        <w:rPr>
          <w:rFonts w:ascii="Arial" w:hAnsi="Arial" w:cs="Arial"/>
          <w:b/>
        </w:rPr>
        <w:t>15mg/kg of lead-acetate</w:t>
      </w:r>
      <w:r w:rsidR="00E85DEA">
        <w:rPr>
          <w:rFonts w:ascii="Arial" w:hAnsi="Arial" w:cs="Arial"/>
        </w:rPr>
        <w:t xml:space="preserve"> chloride</w:t>
      </w:r>
      <w:r w:rsidRPr="00C23631">
        <w:rPr>
          <w:rFonts w:ascii="Arial" w:hAnsi="Arial" w:cs="Arial"/>
        </w:rPr>
        <w:t xml:space="preserve"> </w:t>
      </w:r>
      <w:r w:rsidR="00E85DEA" w:rsidRPr="00E85DEA">
        <w:rPr>
          <w:rFonts w:ascii="Arial" w:hAnsi="Arial" w:cs="Arial"/>
        </w:rPr>
        <w:t>showing densely packed neurons within the pyramidal cell layer</w:t>
      </w:r>
      <w:r w:rsidR="00D51ADB" w:rsidRPr="00E85DEA">
        <w:rPr>
          <w:rFonts w:ascii="Arial" w:hAnsi="Arial" w:cs="Arial"/>
        </w:rPr>
        <w:t>.</w:t>
      </w:r>
      <w:r w:rsidRPr="00C23631">
        <w:rPr>
          <w:rFonts w:ascii="Arial" w:hAnsi="Arial" w:cs="Arial"/>
        </w:rPr>
        <w:t xml:space="preserve"> </w:t>
      </w:r>
      <w:r w:rsidRPr="00C23631">
        <w:rPr>
          <w:rFonts w:ascii="Arial" w:hAnsi="Arial" w:cs="Arial"/>
          <w:b/>
        </w:rPr>
        <w:t xml:space="preserve"> (C</w:t>
      </w:r>
      <w:r w:rsidR="00E85DEA" w:rsidRPr="00171642">
        <w:rPr>
          <w:rFonts w:ascii="Arial" w:hAnsi="Arial" w:cs="Arial"/>
          <w:b/>
        </w:rPr>
        <w:t xml:space="preserve">) </w:t>
      </w:r>
      <w:r w:rsidR="00E85DEA">
        <w:rPr>
          <w:rFonts w:ascii="Arial" w:hAnsi="Arial" w:cs="Arial"/>
          <w:b/>
        </w:rPr>
        <w:t>15mg/kg of lead-acetat</w:t>
      </w:r>
      <w:r w:rsidR="00E85DEA" w:rsidRPr="00171642">
        <w:rPr>
          <w:rFonts w:ascii="Arial" w:hAnsi="Arial" w:cs="Arial"/>
          <w:b/>
        </w:rPr>
        <w:t>e</w:t>
      </w:r>
      <w:r w:rsidR="00E85DEA">
        <w:rPr>
          <w:rFonts w:ascii="Arial" w:hAnsi="Arial" w:cs="Arial"/>
          <w:b/>
        </w:rPr>
        <w:t>+1</w:t>
      </w:r>
      <w:r w:rsidR="00F65923">
        <w:rPr>
          <w:rFonts w:ascii="Arial" w:hAnsi="Arial" w:cs="Arial"/>
          <w:b/>
        </w:rPr>
        <w:t>0</w:t>
      </w:r>
      <w:r w:rsidR="00E85DEA">
        <w:rPr>
          <w:rFonts w:ascii="Arial" w:hAnsi="Arial" w:cs="Arial"/>
          <w:b/>
        </w:rPr>
        <w:t xml:space="preserve">0mg/kg of cowpea extract </w:t>
      </w:r>
      <w:r w:rsidRPr="00C23631">
        <w:rPr>
          <w:rFonts w:ascii="Arial" w:hAnsi="Arial" w:cs="Arial"/>
        </w:rPr>
        <w:t xml:space="preserve">showing </w:t>
      </w:r>
      <w:r w:rsidR="00E85DEA" w:rsidRPr="00E85DEA">
        <w:rPr>
          <w:rFonts w:ascii="Arial" w:hAnsi="Arial" w:cs="Arial"/>
        </w:rPr>
        <w:t>few</w:t>
      </w:r>
      <w:r w:rsidR="00E85DEA">
        <w:rPr>
          <w:rFonts w:ascii="Arial" w:hAnsi="Arial" w:cs="Arial"/>
        </w:rPr>
        <w:t xml:space="preserve">er pyramidal neurons with </w:t>
      </w:r>
      <w:proofErr w:type="spellStart"/>
      <w:r w:rsidR="00E85DEA">
        <w:rPr>
          <w:rFonts w:ascii="Arial" w:hAnsi="Arial" w:cs="Arial"/>
        </w:rPr>
        <w:t>nissl</w:t>
      </w:r>
      <w:proofErr w:type="spellEnd"/>
      <w:r w:rsidR="00E85DEA">
        <w:rPr>
          <w:rFonts w:ascii="Arial" w:hAnsi="Arial" w:cs="Arial"/>
        </w:rPr>
        <w:t xml:space="preserve"> </w:t>
      </w:r>
      <w:r w:rsidR="00E85DEA" w:rsidRPr="00E85DEA">
        <w:rPr>
          <w:rFonts w:ascii="Arial" w:hAnsi="Arial" w:cs="Arial"/>
        </w:rPr>
        <w:t>substance.</w:t>
      </w:r>
      <w:r w:rsidR="00E85DEA" w:rsidRPr="00C23631">
        <w:rPr>
          <w:rFonts w:ascii="Arial" w:hAnsi="Arial" w:cs="Arial"/>
          <w:b/>
        </w:rPr>
        <w:t xml:space="preserve"> </w:t>
      </w:r>
      <w:r w:rsidRPr="00C23631">
        <w:rPr>
          <w:rFonts w:ascii="Arial" w:hAnsi="Arial" w:cs="Arial"/>
          <w:b/>
        </w:rPr>
        <w:t xml:space="preserve">(D) </w:t>
      </w:r>
      <w:r w:rsidR="00E85DEA">
        <w:rPr>
          <w:rFonts w:ascii="Arial" w:hAnsi="Arial" w:cs="Arial"/>
          <w:b/>
        </w:rPr>
        <w:t>15mg/kg of lead-acetat</w:t>
      </w:r>
      <w:r w:rsidR="00E85DEA" w:rsidRPr="00171642">
        <w:rPr>
          <w:rFonts w:ascii="Arial" w:hAnsi="Arial" w:cs="Arial"/>
          <w:b/>
        </w:rPr>
        <w:t>e</w:t>
      </w:r>
      <w:r w:rsidR="00E85DEA">
        <w:rPr>
          <w:rFonts w:ascii="Arial" w:hAnsi="Arial" w:cs="Arial"/>
          <w:b/>
        </w:rPr>
        <w:t>+2</w:t>
      </w:r>
      <w:r w:rsidR="00F65923">
        <w:rPr>
          <w:rFonts w:ascii="Arial" w:hAnsi="Arial" w:cs="Arial"/>
          <w:b/>
        </w:rPr>
        <w:t>0</w:t>
      </w:r>
      <w:r w:rsidR="00E85DEA">
        <w:rPr>
          <w:rFonts w:ascii="Arial" w:hAnsi="Arial" w:cs="Arial"/>
          <w:b/>
        </w:rPr>
        <w:t xml:space="preserve">0mg/kg of cowpea extract </w:t>
      </w:r>
      <w:r w:rsidRPr="00C23631">
        <w:rPr>
          <w:rFonts w:ascii="Arial" w:hAnsi="Arial" w:cs="Arial"/>
        </w:rPr>
        <w:t>show</w:t>
      </w:r>
      <w:r w:rsidR="003D5869">
        <w:rPr>
          <w:rFonts w:ascii="Arial" w:hAnsi="Arial" w:cs="Arial"/>
        </w:rPr>
        <w:t xml:space="preserve">ing densely packed pyramidal </w:t>
      </w:r>
      <w:r w:rsidRPr="00C23631">
        <w:rPr>
          <w:rFonts w:ascii="Arial" w:hAnsi="Arial" w:cs="Arial"/>
        </w:rPr>
        <w:t xml:space="preserve">neurons(P). </w:t>
      </w:r>
      <w:r w:rsidRPr="00C23631">
        <w:rPr>
          <w:rFonts w:ascii="Arial" w:hAnsi="Arial" w:cs="Arial"/>
          <w:b/>
          <w:bCs/>
        </w:rPr>
        <w:t xml:space="preserve">(E) </w:t>
      </w:r>
      <w:r w:rsidR="00E85DEA">
        <w:rPr>
          <w:rFonts w:ascii="Arial" w:hAnsi="Arial" w:cs="Arial"/>
          <w:b/>
          <w:bCs/>
        </w:rPr>
        <w:t>2</w:t>
      </w:r>
      <w:r w:rsidR="00F65923">
        <w:rPr>
          <w:rFonts w:ascii="Arial" w:hAnsi="Arial" w:cs="Arial"/>
          <w:b/>
          <w:bCs/>
        </w:rPr>
        <w:t>0</w:t>
      </w:r>
      <w:r w:rsidR="00E85DEA">
        <w:rPr>
          <w:rFonts w:ascii="Arial" w:hAnsi="Arial" w:cs="Arial"/>
          <w:b/>
          <w:bCs/>
        </w:rPr>
        <w:t xml:space="preserve">0mg/kg of </w:t>
      </w:r>
      <w:r w:rsidR="00E85DEA">
        <w:rPr>
          <w:rFonts w:ascii="Arial" w:hAnsi="Arial" w:cs="Arial"/>
          <w:b/>
          <w:bCs/>
          <w:i/>
        </w:rPr>
        <w:t>cowpe</w:t>
      </w:r>
      <w:r w:rsidR="00E85DEA" w:rsidRPr="00171642">
        <w:rPr>
          <w:rFonts w:ascii="Arial" w:hAnsi="Arial" w:cs="Arial"/>
          <w:b/>
          <w:bCs/>
          <w:i/>
        </w:rPr>
        <w:t>a</w:t>
      </w:r>
      <w:r w:rsidR="00E85DEA" w:rsidRPr="00171642">
        <w:rPr>
          <w:rFonts w:ascii="Arial" w:hAnsi="Arial" w:cs="Arial"/>
          <w:b/>
          <w:bCs/>
        </w:rPr>
        <w:t xml:space="preserve"> extract</w:t>
      </w:r>
      <w:r w:rsidR="00E85DEA" w:rsidRPr="00171642">
        <w:rPr>
          <w:rFonts w:ascii="Arial" w:hAnsi="Arial" w:cs="Arial"/>
          <w:bCs/>
        </w:rPr>
        <w:t xml:space="preserve"> </w:t>
      </w:r>
      <w:r w:rsidR="00E85DEA" w:rsidRPr="00E85DEA">
        <w:rPr>
          <w:rFonts w:ascii="Arial" w:hAnsi="Arial" w:cs="Arial"/>
        </w:rPr>
        <w:t xml:space="preserve">showing densely packed pyramidal neuron with </w:t>
      </w:r>
      <w:proofErr w:type="spellStart"/>
      <w:r w:rsidR="00E85DEA" w:rsidRPr="00E85DEA">
        <w:rPr>
          <w:rFonts w:ascii="Arial" w:hAnsi="Arial" w:cs="Arial"/>
        </w:rPr>
        <w:t>nissl</w:t>
      </w:r>
      <w:proofErr w:type="spellEnd"/>
      <w:r w:rsidR="00E85DEA" w:rsidRPr="00E85DEA">
        <w:rPr>
          <w:rFonts w:ascii="Arial" w:hAnsi="Arial" w:cs="Arial"/>
        </w:rPr>
        <w:t xml:space="preserve"> substance</w:t>
      </w:r>
      <w:r w:rsidR="00E85DEA" w:rsidRPr="00E85DEA">
        <w:rPr>
          <w:rFonts w:ascii="Arial" w:hAnsi="Arial" w:cs="Arial"/>
          <w:b/>
        </w:rPr>
        <w:t xml:space="preserve"> </w:t>
      </w:r>
    </w:p>
    <w:p w14:paraId="4555B34E" w14:textId="77777777" w:rsidR="00A779B5" w:rsidRPr="00A779B5" w:rsidRDefault="00A779B5" w:rsidP="00A779B5">
      <w:pPr>
        <w:spacing w:after="160" w:line="259" w:lineRule="auto"/>
        <w:rPr>
          <w:rFonts w:ascii="Arial" w:eastAsia="Calibri" w:hAnsi="Arial" w:cs="Arial"/>
        </w:rPr>
      </w:pPr>
    </w:p>
    <w:p w14:paraId="47887060" w14:textId="4C1A30D7" w:rsidR="002B095F" w:rsidRPr="002B095F" w:rsidRDefault="002B095F" w:rsidP="002B095F">
      <w:pPr>
        <w:tabs>
          <w:tab w:val="left" w:pos="1029"/>
        </w:tabs>
        <w:spacing w:before="240"/>
        <w:jc w:val="both"/>
        <w:rPr>
          <w:rFonts w:ascii="Arial" w:eastAsia="Calibri" w:hAnsi="Arial" w:cs="Arial"/>
          <w:b/>
          <w:sz w:val="22"/>
          <w:szCs w:val="22"/>
        </w:rPr>
      </w:pPr>
    </w:p>
    <w:p w14:paraId="778EC281" w14:textId="77777777" w:rsidR="003D5869" w:rsidRPr="008F245A" w:rsidRDefault="003D5869" w:rsidP="003D5869">
      <w:pPr>
        <w:spacing w:before="100" w:beforeAutospacing="1" w:after="100" w:afterAutospacing="1"/>
        <w:rPr>
          <w:rFonts w:ascii="Arial" w:hAnsi="Arial" w:cs="Arial"/>
        </w:rPr>
      </w:pPr>
      <w:r w:rsidRPr="009D312A">
        <w:rPr>
          <w:rFonts w:ascii="Arial" w:hAnsi="Arial" w:cs="Arial"/>
        </w:rPr>
        <w:t xml:space="preserve">The results of this investigation indicate that exposure to lead acetate induced noticeable neurodegenerative alterations in the brain tissues of the experimental rats. However, treatment with </w:t>
      </w:r>
      <w:r w:rsidRPr="009D312A">
        <w:rPr>
          <w:rFonts w:ascii="Arial" w:hAnsi="Arial" w:cs="Arial"/>
          <w:i/>
          <w:iCs/>
        </w:rPr>
        <w:t>Vigna unguiculata</w:t>
      </w:r>
      <w:r w:rsidRPr="009D312A">
        <w:rPr>
          <w:rFonts w:ascii="Arial" w:hAnsi="Arial" w:cs="Arial"/>
        </w:rPr>
        <w:t xml:space="preserve"> extract appeared to lessen the severity of these pathological changes, suggesting a possible neuroprotective effect. Lead is recognized as a highly toxic environmental contaminant that can accumulate in neural tissues and disrupt normal cellular processes within the central nervous system. Because of its capacity to cross the blood–brain barrier, lead interferes with neurotransmitter systems, promotes oxidative stress, and alters neuronal signaling pathways. Both acute and chronic exposure to this heavy metal have been associated with structural and functional damage in several brain regions, particularly the cerebral cortex, hippocampus, and cerebellum, which are important for cognitive processing, learning, memory, and motor coordination (Flora et al., 2017).</w:t>
      </w:r>
    </w:p>
    <w:p w14:paraId="3AC8D164"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Histological examination in this study revealed neuronal degeneration within the hippocampus and a reduction in the number of Purkinje cells within the cerebellar cortex of lead-exposed animals. Purkinje neurons represent the primary output neurons of the cerebellar cortex and play a crucial role in the integration of motor coordination and balance. Damage or loss of these neurons has been widely associated with impairments in motor control and postural stability. Experimental investigations have shown that exposure to heavy metals such as lead can result in degeneration of cerebellar Purkinje cells, which may ultimately lead to deficits in coordination, muscle tone regulation, and locomotor performance (Oliveira et al., 2021). The decrease in Purkinje cell density observed in the present investigation may therefore contribute to disturbances in motor activity such as reduced movement coordination and compromised equilibrium.</w:t>
      </w:r>
    </w:p>
    <w:p w14:paraId="4515ACFD"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One of the important mechanisms underlying neuronal degeneration during lead exposure is mitochondrial dysfunction. Mitochondria are responsible for energy production in neurons and play a key role in maintaining cellular survival. Toxic metals such as lead can interfere with mitochondrial respiratory processes, leading to decreased ATP production and increased generation of reactive oxygen species (ROS). Structural alterations in mitochondria, including swelling and disruption of cristae architecture, have been reported in neurons exposed to lead, indicating impaired oxidative phosphorylation and cellular energy metabolism (Flora et al., 2017). Such disturbances can compromise neuronal viability and may contribute to the progressive degeneration of brain cells observed in lead toxicity.</w:t>
      </w:r>
    </w:p>
    <w:p w14:paraId="6B9A4092"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lastRenderedPageBreak/>
        <w:t>In addition to neuronal damage, alterations in myelin integrity have been implicated in lead-induced neurotoxicity. Myelin sheaths surrounding neuronal axons are essential for rapid conduction of electrical impulses along nerve fibers. Damage to myelin or oligodendrocytes can therefore disrupt neuronal communication and impair cognitive and motor functions. Previous research has demonstrated that exposure to heavy metals can induce structural abnormalities in myelin and reduce oligodendrocyte function, which may lead to impaired neural transmission and decreased functional connectivity within neuronal networks (Caito &amp; Aschner, 2017). Disruption of myelin integrity may consequently contribute to deficits in motor coordination and cognitive performance.</w:t>
      </w:r>
    </w:p>
    <w:p w14:paraId="17AC1901"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The study also demonstrated histological alterations within the hippocampus in lead-exposed groups, including nuclear pyknosis and a reduction in pyramidal and stellate neuronal populations. Pyramidal neurons represent the principal excitatory neurons of the brain and are critically involved in processes such as voluntary motor control, sensory perception, and higher cognitive functions including learning and memory. Degeneration of these neurons can therefore lead to substantial neurological dysfunction. Evidence from experimental studies suggests that lead exposure may trigger neuronal apoptosis and DNA fragmentation in multiple brain regions, including the cortex and hippocampus, thereby contributing to cognitive impairment and behavioral disturbances (Liu et al., 2018). Treatment with cowpea extract helped restore the hippocampal architecture to normalcy.</w:t>
      </w:r>
    </w:p>
    <w:p w14:paraId="4047E77F" w14:textId="49CF9B9D" w:rsidR="003D5869" w:rsidRPr="009D312A" w:rsidRDefault="003D5869" w:rsidP="003D5869">
      <w:pPr>
        <w:spacing w:before="100" w:beforeAutospacing="1" w:after="100" w:afterAutospacing="1"/>
        <w:rPr>
          <w:rFonts w:ascii="Arial" w:hAnsi="Arial" w:cs="Arial"/>
        </w:rPr>
      </w:pPr>
      <w:r w:rsidRPr="009D312A">
        <w:rPr>
          <w:rStyle w:val="bzpyqfadein"/>
          <w:rFonts w:ascii="Arial" w:hAnsi="Arial" w:cs="Arial"/>
        </w:rPr>
        <w:t xml:space="preserve">Histochemical analysis of the hippocampus stained with Cresyl Violet revealed clear structural differences between experimental groups, highlighting the neuroprotective effects of </w:t>
      </w:r>
      <w:r w:rsidRPr="009D312A">
        <w:rPr>
          <w:rStyle w:val="bzpyqfadein"/>
          <w:rFonts w:ascii="Arial" w:hAnsi="Arial" w:cs="Arial"/>
          <w:i/>
          <w:iCs/>
        </w:rPr>
        <w:t>Vigna unguiculata</w:t>
      </w:r>
      <w:r w:rsidRPr="009D312A">
        <w:rPr>
          <w:rStyle w:val="bzpyqfadein"/>
          <w:rFonts w:ascii="Arial" w:hAnsi="Arial" w:cs="Arial"/>
        </w:rPr>
        <w:t xml:space="preserve"> extract against lead-induced damage. In control rats, the pyramidal cell layer displayed numerous neurons with prominent Nissl substance, reflecting healthy and metabolically active neurons. Exposure to 15 mg/kg of lead acetate resulted in densely packed neurons with reduced Nissl substance, indicative of cytoplasmic condensation and impaired protein synthesis associated with neurotoxicity. Co-administration of cowpea extract demonstrated a dose-dependent restorative effect: at 1</w:t>
      </w:r>
      <w:r w:rsidR="003B5066">
        <w:rPr>
          <w:rStyle w:val="bzpyqfadein"/>
          <w:rFonts w:ascii="Arial" w:hAnsi="Arial" w:cs="Arial"/>
        </w:rPr>
        <w:t>0</w:t>
      </w:r>
      <w:r w:rsidRPr="009D312A">
        <w:rPr>
          <w:rStyle w:val="bzpyqfadein"/>
          <w:rFonts w:ascii="Arial" w:hAnsi="Arial" w:cs="Arial"/>
        </w:rPr>
        <w:t>0 mg/kg, partial recovery of pyramidal neurons was observed, while at 2</w:t>
      </w:r>
      <w:r w:rsidR="003B5066">
        <w:rPr>
          <w:rStyle w:val="bzpyqfadein"/>
          <w:rFonts w:ascii="Arial" w:hAnsi="Arial" w:cs="Arial"/>
        </w:rPr>
        <w:t>0</w:t>
      </w:r>
      <w:r w:rsidRPr="009D312A">
        <w:rPr>
          <w:rStyle w:val="bzpyqfadein"/>
          <w:rFonts w:ascii="Arial" w:hAnsi="Arial" w:cs="Arial"/>
        </w:rPr>
        <w:t>0 mg/kg, the neurons were densely packed with abundant Nissl bodies, suggesting significant preservation of neuronal integrity and functional protein synthesis. Notably, rats treated with 2</w:t>
      </w:r>
      <w:r w:rsidR="003B5066">
        <w:rPr>
          <w:rStyle w:val="bzpyqfadein"/>
          <w:rFonts w:ascii="Arial" w:hAnsi="Arial" w:cs="Arial"/>
        </w:rPr>
        <w:t>0</w:t>
      </w:r>
      <w:r w:rsidRPr="009D312A">
        <w:rPr>
          <w:rStyle w:val="bzpyqfadein"/>
          <w:rFonts w:ascii="Arial" w:hAnsi="Arial" w:cs="Arial"/>
        </w:rPr>
        <w:t>0 mg/kg of cowpea extract alone maintained dense pyramidal neurons with well-defined Nissl substance, comparable to controls, emphasizing the extract’s inherent neuroprotective potential. These observations are consistent with evidence that plant-derived antioxidants can protect hippocampal neurons from oxidative stress and apoptosis induced by heavy metals, likely by preserving cytoplasmic structure and supporting neuronal metabolism (Sharma et al., 2020).</w:t>
      </w:r>
    </w:p>
    <w:p w14:paraId="2188CC74" w14:textId="77777777" w:rsidR="003D5869" w:rsidRPr="009D312A" w:rsidRDefault="003D5869" w:rsidP="003D5869">
      <w:pPr>
        <w:pStyle w:val="NormalWeb"/>
        <w:rPr>
          <w:rFonts w:ascii="Arial" w:hAnsi="Arial" w:cs="Arial"/>
          <w:sz w:val="20"/>
          <w:szCs w:val="20"/>
        </w:rPr>
      </w:pPr>
      <w:r w:rsidRPr="009D312A">
        <w:rPr>
          <w:rFonts w:ascii="Arial" w:hAnsi="Arial" w:cs="Arial"/>
          <w:sz w:val="20"/>
          <w:szCs w:val="20"/>
        </w:rPr>
        <w:t>Biochemical analysis in the present investigation further revealed alterations in oxidative stress markers in the brain tissues of experimental animals. Oxidative stress plays a central role in the pathogenesis of lead toxicity. Exposure to lead is known to disturb the redox equilibrium within biological systems by promoting the excessive production of reactive oxygen species while simultaneously weakening endogenous antioxidant defenses. This imbalance results in oxidative injury to essential cellular components such as membrane lipids, structural proteins, and genetic material. Glutathione plays a critical role as a major intracellular antioxidant responsible for neutralizing reactive oxygen species and maintaining cellular redox stability. Variations in glutathione concentration observed in the present study may therefore represent a protective physiological response aimed at counteracting the oxidative stress triggered by lead toxicity (Flora et al., 2017).</w:t>
      </w:r>
    </w:p>
    <w:p w14:paraId="18184566" w14:textId="615623F6" w:rsidR="003D5869" w:rsidRPr="009D312A" w:rsidRDefault="003D5869" w:rsidP="003D5869">
      <w:pPr>
        <w:spacing w:before="100" w:beforeAutospacing="1" w:after="100" w:afterAutospacing="1"/>
        <w:rPr>
          <w:rFonts w:ascii="Arial" w:hAnsi="Arial" w:cs="Arial"/>
        </w:rPr>
      </w:pPr>
      <w:r w:rsidRPr="009D312A">
        <w:rPr>
          <w:rFonts w:ascii="Arial" w:hAnsi="Arial" w:cs="Arial"/>
        </w:rPr>
        <w:t xml:space="preserve">Malondialdehyde (MDA), a widely recognized biomarker of lipid peroxidation, is commonly used to evaluate oxidative damage within biological systems. Elevated MDA levels indicate increased degradation of membrane lipids resulting from excessive reactive oxygen species activity. </w:t>
      </w:r>
      <w:r w:rsidRPr="009D312A">
        <w:rPr>
          <w:rStyle w:val="bzpyqfadein"/>
          <w:rFonts w:ascii="Arial" w:hAnsi="Arial" w:cs="Arial"/>
        </w:rPr>
        <w:t>Elevated levels of lipid peroxidation are a hallmark of lead-induced neurotoxicity and are widely recognized as a major factor contributing to the disruption of neuronal membrane integrity and compromised cellular function. Experimental studies have consistently demonstrated that lead exposure enhances oxidative degradation of membrane lipids, thereby impairing neuronal signaling and overall brain function (Liu et al., 2020).</w:t>
      </w:r>
      <w:r w:rsidRPr="009D312A">
        <w:rPr>
          <w:rFonts w:ascii="Arial" w:hAnsi="Arial" w:cs="Arial"/>
        </w:rPr>
        <w:t>Oxidative damage to neuronal membranes can compromise cellular integrity and disrupt synaptic signaling processes.</w:t>
      </w:r>
      <w:r w:rsidR="00C94141">
        <w:rPr>
          <w:rFonts w:ascii="Arial" w:hAnsi="Arial" w:cs="Arial"/>
        </w:rPr>
        <w:t xml:space="preserve"> </w:t>
      </w:r>
      <w:r w:rsidR="00C94141">
        <w:t xml:space="preserve">This observation is consistent with the findings of Patra et al. (2017), who reported significantly elevated MDA levels and increased lipid peroxidation in brain tissues following lead exposure, indicating pronounced oxidative stress. Similarly, </w:t>
      </w:r>
      <w:proofErr w:type="spellStart"/>
      <w:r w:rsidR="00C94141">
        <w:t>Balali</w:t>
      </w:r>
      <w:proofErr w:type="spellEnd"/>
      <w:r w:rsidR="00C94141">
        <w:t>-Mood et al. (2021) highlighted that lead toxicity promotes oxidative damage to cellular membranes through lipid peroxidation, which in turn compromises neuronal integrity and synaptic function. Such oxidative damage to neuronal membranes may ultimately disrupt cellular homeostasis and impair synaptic transmission processes.</w:t>
      </w:r>
    </w:p>
    <w:p w14:paraId="762B29ED" w14:textId="6F1BE8B5" w:rsidR="003D5869" w:rsidRPr="009D312A" w:rsidRDefault="003D5869" w:rsidP="003D5869">
      <w:pPr>
        <w:spacing w:before="100" w:beforeAutospacing="1" w:after="100" w:afterAutospacing="1"/>
        <w:rPr>
          <w:rFonts w:ascii="Arial" w:hAnsi="Arial" w:cs="Arial"/>
        </w:rPr>
      </w:pPr>
      <w:r w:rsidRPr="009D312A">
        <w:rPr>
          <w:rFonts w:ascii="Arial" w:hAnsi="Arial" w:cs="Arial"/>
        </w:rPr>
        <w:t xml:space="preserve">Treatment with </w:t>
      </w:r>
      <w:r w:rsidRPr="009D312A">
        <w:rPr>
          <w:rFonts w:ascii="Arial" w:hAnsi="Arial" w:cs="Arial"/>
          <w:i/>
          <w:iCs/>
        </w:rPr>
        <w:t>Vigna unguiculata</w:t>
      </w:r>
      <w:r w:rsidRPr="009D312A">
        <w:rPr>
          <w:rFonts w:ascii="Arial" w:hAnsi="Arial" w:cs="Arial"/>
        </w:rPr>
        <w:t xml:space="preserve"> extract in this study appeared to mitigate several of the structural and biochemical alterations induced by lead acetate. The improvement observed in histological features of the cerebellum, cerebrum, and hippocampus following extract administration suggests a potential neuroprotective effect of the plant. Cowpea is known to contain several biologically active compounds including phenolic acids, flavonoids, and carotenoids that possess strong antioxidant properties. These compounds have the ability to neutralize free radicals, inhibit lipid peroxidation, and enhance endogenous antioxidant defense systems (Moloto et al., 2020).</w:t>
      </w:r>
      <w:r w:rsidR="009766E1" w:rsidRPr="009766E1">
        <w:t xml:space="preserve"> </w:t>
      </w:r>
      <w:r w:rsidR="009766E1">
        <w:t>This observation supports the findings of Zia-Ul-</w:t>
      </w:r>
      <w:proofErr w:type="spellStart"/>
      <w:r w:rsidR="009766E1">
        <w:lastRenderedPageBreak/>
        <w:t>Haq</w:t>
      </w:r>
      <w:proofErr w:type="spellEnd"/>
      <w:r w:rsidR="009766E1">
        <w:t xml:space="preserve"> et al. (2013), who reported that cowpea extracts exhibit significant free radical scavenging and anti-lipid peroxidation activities due to their rich phenolic content. Similarly, this aligns with the report of Xu et al. (2017), who demonstrated that flavonoid-rich plant extracts significantly attenuate oxidative stress and neuronal damage by enhancing endogenous antioxidant systems and reducing lipid peroxidation.</w:t>
      </w:r>
    </w:p>
    <w:p w14:paraId="70F45B10" w14:textId="52C3D68C" w:rsidR="003D5869" w:rsidRPr="009D312A" w:rsidRDefault="003D5869" w:rsidP="003D5869">
      <w:pPr>
        <w:spacing w:before="100" w:beforeAutospacing="1" w:after="100" w:afterAutospacing="1"/>
        <w:rPr>
          <w:rFonts w:ascii="Arial" w:hAnsi="Arial" w:cs="Arial"/>
        </w:rPr>
      </w:pPr>
      <w:r w:rsidRPr="009D312A">
        <w:rPr>
          <w:rFonts w:ascii="Arial" w:hAnsi="Arial" w:cs="Arial"/>
        </w:rPr>
        <w:t>Furthermore, increasing doses of the extract appeared to produce progressive improvements in oxidative stress markers, suggesting a dose-dependent protective effect. The antioxidant phytochemicals present in cowpea may therefore contribute to the attenuation of oxidative damage caused by lead exposure. Plant-derived antioxidants have been widely reported to exert protective effects against heavy-metal-induced toxicity by reducing oxidative stress, stabilizing cellular membranes, and improving neuronal survival (Caito &amp; Aschner, 2017).</w:t>
      </w:r>
      <w:r w:rsidR="001E0737" w:rsidRPr="001E0737">
        <w:t xml:space="preserve"> </w:t>
      </w:r>
      <w:r w:rsidR="001E0737">
        <w:t xml:space="preserve">The protective effects observed with </w:t>
      </w:r>
      <w:r w:rsidR="001E0737">
        <w:rPr>
          <w:rStyle w:val="Emphasis"/>
        </w:rPr>
        <w:t xml:space="preserve">Vigna </w:t>
      </w:r>
      <w:proofErr w:type="spellStart"/>
      <w:r w:rsidR="001E0737">
        <w:rPr>
          <w:rStyle w:val="Emphasis"/>
        </w:rPr>
        <w:t>unguiculata</w:t>
      </w:r>
      <w:proofErr w:type="spellEnd"/>
      <w:r w:rsidR="001E0737">
        <w:t xml:space="preserve"> extract are consistent with findings that plant-derived antioxidants can mitigate heavy metal-induced neurotoxicity by reducing oxidative stress and preserving neuronal integrity (</w:t>
      </w:r>
      <w:proofErr w:type="spellStart"/>
      <w:r w:rsidR="001E0737">
        <w:t>Briffa</w:t>
      </w:r>
      <w:proofErr w:type="spellEnd"/>
      <w:r w:rsidR="001E0737">
        <w:t xml:space="preserve"> et al., 2020).</w:t>
      </w:r>
    </w:p>
    <w:p w14:paraId="6956594A" w14:textId="77777777" w:rsidR="003D5869" w:rsidRPr="009D312A" w:rsidRDefault="003D5869" w:rsidP="003D5869">
      <w:pPr>
        <w:spacing w:before="100" w:beforeAutospacing="1" w:after="100" w:afterAutospacing="1"/>
        <w:rPr>
          <w:rFonts w:ascii="Arial" w:hAnsi="Arial" w:cs="Arial"/>
        </w:rPr>
      </w:pPr>
      <w:r w:rsidRPr="009D312A">
        <w:rPr>
          <w:rFonts w:ascii="Arial" w:hAnsi="Arial" w:cs="Arial"/>
        </w:rPr>
        <w:t xml:space="preserve">Overall, the findings of the present study suggest that </w:t>
      </w:r>
      <w:r w:rsidRPr="009D312A">
        <w:rPr>
          <w:rFonts w:ascii="Arial" w:hAnsi="Arial" w:cs="Arial"/>
          <w:i/>
          <w:iCs/>
        </w:rPr>
        <w:t>Vigna unguiculata</w:t>
      </w:r>
      <w:r w:rsidRPr="009D312A">
        <w:rPr>
          <w:rFonts w:ascii="Arial" w:hAnsi="Arial" w:cs="Arial"/>
        </w:rPr>
        <w:t xml:space="preserve"> extract possesses neuroprotective properties capable of reducing lead-induced neuronal degeneration. The observed restoration of neuronal structures and improvement in oxidative stress parameters indicate that the extract may help protect brain tissues from the damaging effects of lead toxicity. These results highlight the potential therapeutic value of cowpea-derived phytochemicals as natural antioxidants in the management of heavy-metal-induced neurotoxicity.</w:t>
      </w:r>
    </w:p>
    <w:p w14:paraId="431AA63B" w14:textId="30172189" w:rsidR="00790ADA" w:rsidRDefault="00790ADA" w:rsidP="00441B6F">
      <w:pPr>
        <w:pStyle w:val="Body"/>
        <w:spacing w:after="0"/>
        <w:rPr>
          <w:rFonts w:ascii="Arial" w:hAnsi="Arial" w:cs="Arial"/>
        </w:rPr>
      </w:pPr>
    </w:p>
    <w:p w14:paraId="026E4BF5" w14:textId="77777777" w:rsidR="00A333DE" w:rsidRPr="00FB3A86" w:rsidRDefault="00A333DE" w:rsidP="00441B6F">
      <w:pPr>
        <w:pStyle w:val="Body"/>
        <w:spacing w:after="0"/>
        <w:rPr>
          <w:rFonts w:ascii="Arial" w:hAnsi="Arial" w:cs="Arial"/>
        </w:rPr>
      </w:pPr>
    </w:p>
    <w:p w14:paraId="70680A8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2681EB3" w14:textId="77777777" w:rsidR="00790ADA" w:rsidRPr="00FB3A86" w:rsidRDefault="00790ADA" w:rsidP="00441B6F">
      <w:pPr>
        <w:pStyle w:val="ConcHead"/>
        <w:spacing w:after="0"/>
        <w:jc w:val="both"/>
        <w:rPr>
          <w:rFonts w:ascii="Arial" w:hAnsi="Arial" w:cs="Arial"/>
        </w:rPr>
      </w:pPr>
    </w:p>
    <w:p w14:paraId="07907281" w14:textId="1838689B" w:rsidR="002B095F" w:rsidRPr="00C7595C" w:rsidRDefault="00F9293C" w:rsidP="00C7595C">
      <w:pPr>
        <w:pStyle w:val="Default"/>
        <w:spacing w:after="303"/>
        <w:jc w:val="both"/>
        <w:rPr>
          <w:rStyle w:val="bzpyqfadein"/>
          <w:rFonts w:ascii="Arial" w:hAnsi="Arial" w:cs="Arial"/>
          <w:sz w:val="20"/>
          <w:szCs w:val="20"/>
        </w:rPr>
      </w:pPr>
      <w:r w:rsidRPr="00C7595C">
        <w:rPr>
          <w:rFonts w:ascii="Arial" w:eastAsia="Calibri" w:hAnsi="Arial" w:cs="Arial"/>
          <w:sz w:val="20"/>
          <w:szCs w:val="20"/>
        </w:rPr>
        <w:t>This study show</w:t>
      </w:r>
      <w:r w:rsidR="002B095F" w:rsidRPr="00C7595C">
        <w:rPr>
          <w:rFonts w:ascii="Arial" w:eastAsia="Calibri" w:hAnsi="Arial" w:cs="Arial"/>
          <w:sz w:val="20"/>
          <w:szCs w:val="20"/>
        </w:rPr>
        <w:t xml:space="preserve">ed that oral administration of ethanolic extract of </w:t>
      </w:r>
      <w:r w:rsidRPr="00C7595C">
        <w:rPr>
          <w:rFonts w:ascii="Arial" w:eastAsia="Calibri" w:hAnsi="Arial" w:cs="Arial"/>
          <w:i/>
          <w:iCs/>
          <w:sz w:val="20"/>
          <w:szCs w:val="20"/>
        </w:rPr>
        <w:t>cowpea</w:t>
      </w:r>
      <w:r w:rsidRPr="00C7595C">
        <w:rPr>
          <w:rFonts w:ascii="Arial" w:eastAsia="Calibri" w:hAnsi="Arial" w:cs="Arial"/>
          <w:sz w:val="20"/>
          <w:szCs w:val="20"/>
        </w:rPr>
        <w:t xml:space="preserve"> </w:t>
      </w:r>
      <w:r w:rsidR="002B095F" w:rsidRPr="00C7595C">
        <w:rPr>
          <w:rFonts w:ascii="Arial" w:eastAsia="Calibri" w:hAnsi="Arial" w:cs="Arial"/>
          <w:sz w:val="20"/>
          <w:szCs w:val="20"/>
        </w:rPr>
        <w:t>signific</w:t>
      </w:r>
      <w:r w:rsidRPr="00C7595C">
        <w:rPr>
          <w:rFonts w:ascii="Arial" w:eastAsia="Calibri" w:hAnsi="Arial" w:cs="Arial"/>
          <w:sz w:val="20"/>
          <w:szCs w:val="20"/>
        </w:rPr>
        <w:t>antly mitigates lead</w:t>
      </w:r>
      <w:r w:rsidR="002B095F" w:rsidRPr="00C7595C">
        <w:rPr>
          <w:rFonts w:ascii="Arial" w:eastAsia="Calibri" w:hAnsi="Arial" w:cs="Arial"/>
          <w:sz w:val="20"/>
          <w:szCs w:val="20"/>
        </w:rPr>
        <w:t>-induced neurotoxicity</w:t>
      </w:r>
      <w:r w:rsidRPr="00C7595C">
        <w:rPr>
          <w:rFonts w:ascii="Arial" w:eastAsia="Calibri" w:hAnsi="Arial" w:cs="Arial"/>
          <w:sz w:val="20"/>
          <w:szCs w:val="20"/>
        </w:rPr>
        <w:t xml:space="preserve"> in the hippocampus</w:t>
      </w:r>
      <w:r w:rsidR="00EE24AF">
        <w:rPr>
          <w:rFonts w:ascii="Arial" w:eastAsia="Calibri" w:hAnsi="Arial" w:cs="Arial"/>
          <w:sz w:val="20"/>
          <w:szCs w:val="20"/>
        </w:rPr>
        <w:t xml:space="preserve"> of adult male </w:t>
      </w:r>
      <w:proofErr w:type="spellStart"/>
      <w:r w:rsidR="00EE24AF">
        <w:rPr>
          <w:rFonts w:ascii="Arial" w:eastAsia="Calibri" w:hAnsi="Arial" w:cs="Arial"/>
          <w:sz w:val="20"/>
          <w:szCs w:val="20"/>
        </w:rPr>
        <w:t>w</w:t>
      </w:r>
      <w:r w:rsidR="002B095F" w:rsidRPr="00C7595C">
        <w:rPr>
          <w:rFonts w:ascii="Arial" w:eastAsia="Calibri" w:hAnsi="Arial" w:cs="Arial"/>
          <w:sz w:val="20"/>
          <w:szCs w:val="20"/>
        </w:rPr>
        <w:t>istar</w:t>
      </w:r>
      <w:proofErr w:type="spellEnd"/>
      <w:r w:rsidR="002B095F" w:rsidRPr="00C7595C">
        <w:rPr>
          <w:rFonts w:ascii="Arial" w:eastAsia="Calibri" w:hAnsi="Arial" w:cs="Arial"/>
          <w:sz w:val="20"/>
          <w:szCs w:val="20"/>
        </w:rPr>
        <w:t xml:space="preserve"> rats. </w:t>
      </w:r>
      <w:r w:rsidRPr="00C7595C">
        <w:rPr>
          <w:rFonts w:ascii="Arial" w:eastAsia="Calibri" w:hAnsi="Arial" w:cs="Arial"/>
          <w:sz w:val="20"/>
          <w:szCs w:val="20"/>
        </w:rPr>
        <w:t xml:space="preserve"> The study also revealed</w:t>
      </w:r>
      <w:r w:rsidRPr="00C7595C">
        <w:rPr>
          <w:rFonts w:ascii="Arial" w:hAnsi="Arial" w:cs="Arial"/>
          <w:sz w:val="20"/>
          <w:szCs w:val="20"/>
        </w:rPr>
        <w:t xml:space="preserve"> histological changes on the hippocampus </w:t>
      </w:r>
      <w:r w:rsidR="00EE24AF">
        <w:rPr>
          <w:rFonts w:ascii="Arial" w:hAnsi="Arial" w:cs="Arial"/>
          <w:sz w:val="20"/>
          <w:szCs w:val="20"/>
        </w:rPr>
        <w:t xml:space="preserve">of adult </w:t>
      </w:r>
      <w:proofErr w:type="spellStart"/>
      <w:r w:rsidR="00EE24AF">
        <w:rPr>
          <w:rFonts w:ascii="Arial" w:hAnsi="Arial" w:cs="Arial"/>
          <w:sz w:val="20"/>
          <w:szCs w:val="20"/>
        </w:rPr>
        <w:t>w</w:t>
      </w:r>
      <w:r w:rsidRPr="00C7595C">
        <w:rPr>
          <w:rFonts w:ascii="Arial" w:hAnsi="Arial" w:cs="Arial"/>
          <w:sz w:val="20"/>
          <w:szCs w:val="20"/>
        </w:rPr>
        <w:t>istar</w:t>
      </w:r>
      <w:proofErr w:type="spellEnd"/>
      <w:r w:rsidRPr="00C7595C">
        <w:rPr>
          <w:rFonts w:ascii="Arial" w:hAnsi="Arial" w:cs="Arial"/>
          <w:sz w:val="20"/>
          <w:szCs w:val="20"/>
        </w:rPr>
        <w:t xml:space="preserve"> rats exposed to lead acetate which was ameliorated in cowpea treated groups.</w:t>
      </w:r>
      <w:r w:rsidR="00C7595C">
        <w:rPr>
          <w:rFonts w:ascii="Arial" w:hAnsi="Arial" w:cs="Arial"/>
          <w:sz w:val="20"/>
          <w:szCs w:val="20"/>
        </w:rPr>
        <w:t xml:space="preserve"> </w:t>
      </w:r>
      <w:r w:rsidR="002B095F" w:rsidRPr="00C7595C">
        <w:rPr>
          <w:rFonts w:ascii="Arial" w:eastAsia="Calibri" w:hAnsi="Arial" w:cs="Arial"/>
          <w:sz w:val="20"/>
          <w:szCs w:val="20"/>
        </w:rPr>
        <w:t xml:space="preserve">Based on these findings, </w:t>
      </w:r>
      <w:r w:rsidR="00C7595C" w:rsidRPr="00C7595C">
        <w:rPr>
          <w:rStyle w:val="bzpyqfadein"/>
          <w:rFonts w:ascii="Arial" w:hAnsi="Arial" w:cs="Arial"/>
          <w:sz w:val="20"/>
          <w:szCs w:val="20"/>
        </w:rPr>
        <w:t xml:space="preserve">it is recommended that subsequent studies should assess the long-term functional outcomes of </w:t>
      </w:r>
      <w:r w:rsidR="00C7595C" w:rsidRPr="00C7595C">
        <w:rPr>
          <w:rStyle w:val="bzpyqfadein"/>
          <w:rFonts w:ascii="Arial" w:hAnsi="Arial" w:cs="Arial"/>
          <w:i/>
          <w:iCs/>
          <w:sz w:val="20"/>
          <w:szCs w:val="20"/>
        </w:rPr>
        <w:t>Vigna unguiculata</w:t>
      </w:r>
      <w:r w:rsidR="00C7595C" w:rsidRPr="00C7595C">
        <w:rPr>
          <w:rStyle w:val="bzpyqfadein"/>
          <w:rFonts w:ascii="Arial" w:hAnsi="Arial" w:cs="Arial"/>
          <w:sz w:val="20"/>
          <w:szCs w:val="20"/>
        </w:rPr>
        <w:t xml:space="preserve"> treatment in lead-exposed rats, including learning, memory, and motor coordination. Correlating histological and biochemical improvements with behavioral performance would provide stronger evidence for the extract’s neuroprotective efficacy and potential translational application.</w:t>
      </w:r>
    </w:p>
    <w:p w14:paraId="3F5DDFC0" w14:textId="77777777" w:rsidR="00C7595C" w:rsidRDefault="00C7595C" w:rsidP="00C7595C">
      <w:pPr>
        <w:spacing w:before="240"/>
        <w:jc w:val="both"/>
        <w:rPr>
          <w:rFonts w:ascii="Arial" w:hAnsi="Arial" w:cs="Arial"/>
        </w:rPr>
      </w:pPr>
    </w:p>
    <w:p w14:paraId="06A5A9BE" w14:textId="77777777" w:rsidR="005C784C" w:rsidRDefault="005C784C" w:rsidP="00441B6F">
      <w:pPr>
        <w:pStyle w:val="ReferHead"/>
        <w:spacing w:after="0"/>
        <w:jc w:val="both"/>
        <w:rPr>
          <w:rFonts w:ascii="Arial" w:hAnsi="Arial" w:cs="Arial"/>
          <w:b w:val="0"/>
          <w:caps w:val="0"/>
          <w:sz w:val="20"/>
        </w:rPr>
      </w:pPr>
    </w:p>
    <w:p w14:paraId="1C6D8C55" w14:textId="436B081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1AD5619" w14:textId="77777777" w:rsidR="005C784C" w:rsidRPr="002B685A" w:rsidRDefault="005C784C" w:rsidP="00441B6F">
      <w:pPr>
        <w:pStyle w:val="ReferHead"/>
        <w:spacing w:after="0"/>
        <w:jc w:val="both"/>
        <w:rPr>
          <w:rFonts w:ascii="Arial" w:hAnsi="Arial" w:cs="Arial"/>
          <w:bCs/>
        </w:rPr>
      </w:pPr>
    </w:p>
    <w:p w14:paraId="58E89648" w14:textId="74FAD217" w:rsidR="007530E6" w:rsidRDefault="007530E6" w:rsidP="007530E6">
      <w:pPr>
        <w:jc w:val="both"/>
        <w:rPr>
          <w:rFonts w:ascii="Arial" w:hAnsi="Arial" w:cs="Arial"/>
        </w:rPr>
      </w:pPr>
      <w:r w:rsidRPr="00C16969">
        <w:rPr>
          <w:rFonts w:ascii="Arial" w:hAnsi="Arial" w:cs="Arial"/>
        </w:rPr>
        <w:t xml:space="preserve">This was obtained from the ethical committee, faculty of basic medical sciences Chukwuemeka </w:t>
      </w:r>
      <w:proofErr w:type="spellStart"/>
      <w:r w:rsidRPr="00C16969">
        <w:rPr>
          <w:rFonts w:ascii="Arial" w:hAnsi="Arial" w:cs="Arial"/>
        </w:rPr>
        <w:t>Odumegwu</w:t>
      </w:r>
      <w:proofErr w:type="spellEnd"/>
      <w:r w:rsidRPr="00C16969">
        <w:rPr>
          <w:rFonts w:ascii="Arial" w:hAnsi="Arial" w:cs="Arial"/>
        </w:rPr>
        <w:t xml:space="preserve"> Ojukwu University, </w:t>
      </w:r>
      <w:proofErr w:type="spellStart"/>
      <w:r w:rsidRPr="00C16969">
        <w:rPr>
          <w:rFonts w:ascii="Arial" w:hAnsi="Arial" w:cs="Arial"/>
        </w:rPr>
        <w:t>Uli</w:t>
      </w:r>
      <w:proofErr w:type="spellEnd"/>
      <w:r w:rsidRPr="00C16969">
        <w:rPr>
          <w:rFonts w:ascii="Arial" w:hAnsi="Arial" w:cs="Arial"/>
        </w:rPr>
        <w:t xml:space="preserve"> campus in compliance with the relevant laws </w:t>
      </w:r>
      <w:r w:rsidR="000A244D">
        <w:rPr>
          <w:rFonts w:ascii="Arial" w:hAnsi="Arial" w:cs="Arial"/>
        </w:rPr>
        <w:t>and institution’s guidelines.</w:t>
      </w:r>
    </w:p>
    <w:p w14:paraId="63A67316" w14:textId="395DA751" w:rsidR="0041027F" w:rsidRDefault="008671C6" w:rsidP="007530E6">
      <w:pPr>
        <w:jc w:val="both"/>
        <w:rPr>
          <w:rFonts w:ascii="Arial" w:hAnsi="Arial" w:cs="Arial"/>
          <w:b/>
          <w:caps/>
        </w:rPr>
      </w:pPr>
      <w:r w:rsidRPr="007530E6">
        <w:rPr>
          <w:rFonts w:ascii="Arial" w:hAnsi="Arial" w:cs="Arial"/>
        </w:rPr>
        <w:t xml:space="preserve">All authors hereby declare that </w:t>
      </w:r>
      <w:r w:rsidR="0041027F" w:rsidRPr="007530E6">
        <w:rPr>
          <w:rFonts w:ascii="Arial" w:hAnsi="Arial" w:cs="Arial"/>
        </w:rPr>
        <w:t>"Principles of laboratory animal care" (NIH publication No. 85-23, revised 1985) were followed, as well as specific national laws where applicable.</w:t>
      </w:r>
      <w:r w:rsidRPr="007530E6">
        <w:rPr>
          <w:rFonts w:ascii="Arial" w:hAnsi="Arial" w:cs="Arial"/>
        </w:rPr>
        <w:t xml:space="preserve"> All experiments have been examined and approved by the appropriate ethics committee</w:t>
      </w:r>
      <w:r w:rsidR="007530E6" w:rsidRPr="007530E6">
        <w:rPr>
          <w:rFonts w:ascii="Arial" w:hAnsi="Arial" w:cs="Arial"/>
          <w:b/>
          <w:caps/>
        </w:rPr>
        <w:t>.</w:t>
      </w:r>
    </w:p>
    <w:p w14:paraId="6584D32C" w14:textId="77777777" w:rsidR="00CD61BD" w:rsidRDefault="00CD61BD" w:rsidP="007530E6">
      <w:pPr>
        <w:jc w:val="both"/>
        <w:rPr>
          <w:rFonts w:ascii="Arial" w:hAnsi="Arial" w:cs="Arial"/>
          <w:b/>
          <w:caps/>
        </w:rPr>
      </w:pPr>
    </w:p>
    <w:p w14:paraId="29A7A350" w14:textId="77777777" w:rsidR="00CD61BD" w:rsidRPr="009766E1" w:rsidRDefault="00CD61BD" w:rsidP="00CD61BD">
      <w:pPr>
        <w:jc w:val="both"/>
        <w:rPr>
          <w:rFonts w:ascii="Arial" w:hAnsi="Arial" w:cs="Arial"/>
          <w:b/>
        </w:rPr>
      </w:pPr>
      <w:r w:rsidRPr="009766E1">
        <w:rPr>
          <w:rFonts w:ascii="Arial" w:hAnsi="Arial" w:cs="Arial"/>
          <w:b/>
        </w:rPr>
        <w:t>COMPETING INTERESTS DISCLAIMER:</w:t>
      </w:r>
    </w:p>
    <w:p w14:paraId="51FFBF4E" w14:textId="1F3106B6" w:rsidR="00CD61BD" w:rsidRDefault="00CD61BD" w:rsidP="00CD61BD">
      <w:pPr>
        <w:jc w:val="both"/>
        <w:rPr>
          <w:rFonts w:ascii="Arial" w:hAnsi="Arial" w:cs="Arial"/>
        </w:rPr>
      </w:pPr>
      <w:r w:rsidRPr="00CD61BD">
        <w:rPr>
          <w:rFonts w:ascii="Arial" w:hAnsi="Arial" w:cs="Arial"/>
        </w:rPr>
        <w:t>Authors have declared that they have no known competing financial interests OR non-financial interests OR personal relationships that could have appeared to influence the work reported in this paper.</w:t>
      </w:r>
    </w:p>
    <w:p w14:paraId="64B8F7F2" w14:textId="77777777" w:rsidR="00CD61BD" w:rsidRPr="007530E6" w:rsidRDefault="00CD61BD" w:rsidP="00CD61BD">
      <w:pPr>
        <w:jc w:val="both"/>
        <w:rPr>
          <w:rFonts w:ascii="Arial" w:hAnsi="Arial" w:cs="Arial"/>
        </w:rPr>
      </w:pPr>
    </w:p>
    <w:p w14:paraId="039A0137" w14:textId="77777777" w:rsidR="00CD6856" w:rsidRDefault="00CD6856" w:rsidP="00441B6F">
      <w:pPr>
        <w:pStyle w:val="ReferHead"/>
        <w:spacing w:after="0"/>
        <w:jc w:val="both"/>
        <w:rPr>
          <w:rFonts w:ascii="Arial" w:hAnsi="Arial" w:cs="Arial"/>
          <w:b w:val="0"/>
          <w:caps w:val="0"/>
          <w:sz w:val="20"/>
        </w:rPr>
      </w:pPr>
    </w:p>
    <w:p w14:paraId="5B0BC279" w14:textId="77777777" w:rsidR="00474DFB" w:rsidRPr="009510C0" w:rsidRDefault="00474DFB" w:rsidP="00474DFB">
      <w:pPr>
        <w:pStyle w:val="NoSpacing"/>
        <w:rPr>
          <w:rFonts w:ascii="Arial" w:hAnsi="Arial" w:cs="Arial"/>
          <w:b/>
        </w:rPr>
      </w:pPr>
      <w:bookmarkStart w:id="0" w:name="_Hlk219284361"/>
      <w:bookmarkStart w:id="1" w:name="_Hlk198031404"/>
      <w:r w:rsidRPr="009510C0">
        <w:rPr>
          <w:rFonts w:ascii="Arial" w:hAnsi="Arial" w:cs="Arial"/>
          <w:b/>
        </w:rPr>
        <w:t>Disclaimer (Artificial intelligence)</w:t>
      </w:r>
    </w:p>
    <w:p w14:paraId="6D30714C" w14:textId="77777777" w:rsidR="00474DFB" w:rsidRPr="009510C0" w:rsidRDefault="00474DFB" w:rsidP="00474DFB">
      <w:pPr>
        <w:pStyle w:val="NoSpacing"/>
        <w:rPr>
          <w:rFonts w:ascii="Arial" w:hAnsi="Arial" w:cs="Arial"/>
        </w:rPr>
      </w:pPr>
    </w:p>
    <w:p w14:paraId="76776C8A" w14:textId="77777777" w:rsidR="00474DFB" w:rsidRPr="009510C0" w:rsidRDefault="00474DFB" w:rsidP="00474DFB">
      <w:pPr>
        <w:pStyle w:val="NoSpacing"/>
        <w:rPr>
          <w:rFonts w:ascii="Arial" w:hAnsi="Arial" w:cs="Arial"/>
        </w:rPr>
      </w:pPr>
      <w:r w:rsidRPr="009510C0">
        <w:rPr>
          <w:rFonts w:ascii="Arial" w:hAnsi="Arial" w:cs="Arial"/>
        </w:rPr>
        <w:t>Author(s) hereby declare that NO generative AI technologies such as Large Language Models (</w:t>
      </w:r>
      <w:proofErr w:type="spellStart"/>
      <w:r w:rsidRPr="009510C0">
        <w:rPr>
          <w:rFonts w:ascii="Arial" w:hAnsi="Arial" w:cs="Arial"/>
        </w:rPr>
        <w:t>ChatGPT</w:t>
      </w:r>
      <w:proofErr w:type="spellEnd"/>
      <w:r w:rsidRPr="009510C0">
        <w:rPr>
          <w:rFonts w:ascii="Arial" w:hAnsi="Arial" w:cs="Arial"/>
        </w:rPr>
        <w:t>, COPILOT, etc.) and text-to-image generators have been used during the writing or editing of this manuscript</w:t>
      </w:r>
      <w:bookmarkEnd w:id="0"/>
      <w:r w:rsidRPr="009510C0">
        <w:rPr>
          <w:rFonts w:ascii="Arial" w:hAnsi="Arial" w:cs="Arial"/>
        </w:rPr>
        <w:t xml:space="preserve">. </w:t>
      </w:r>
    </w:p>
    <w:bookmarkEnd w:id="1"/>
    <w:p w14:paraId="074D2FF7" w14:textId="77777777" w:rsidR="00860000" w:rsidRDefault="00860000" w:rsidP="00441B6F">
      <w:pPr>
        <w:pStyle w:val="ReferHead"/>
        <w:spacing w:after="0"/>
        <w:jc w:val="both"/>
        <w:rPr>
          <w:rFonts w:ascii="Arial" w:hAnsi="Arial" w:cs="Arial"/>
        </w:rPr>
      </w:pPr>
    </w:p>
    <w:p w14:paraId="3735B8C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FD6310" w14:textId="77777777" w:rsidR="00790ADA" w:rsidRPr="00FB3A86" w:rsidRDefault="00790ADA" w:rsidP="00441B6F">
      <w:pPr>
        <w:pStyle w:val="ReferHead"/>
        <w:spacing w:after="0"/>
        <w:jc w:val="both"/>
        <w:rPr>
          <w:rFonts w:ascii="Arial" w:hAnsi="Arial" w:cs="Arial"/>
        </w:rPr>
      </w:pPr>
    </w:p>
    <w:p w14:paraId="42E33087" w14:textId="77777777" w:rsidR="00BA0A99" w:rsidRDefault="00AF010F" w:rsidP="005F3878">
      <w:pPr>
        <w:pStyle w:val="ListParagraph"/>
        <w:numPr>
          <w:ilvl w:val="0"/>
          <w:numId w:val="36"/>
        </w:numPr>
        <w:spacing w:before="240"/>
        <w:jc w:val="both"/>
        <w:rPr>
          <w:rFonts w:ascii="Arial" w:hAnsi="Arial" w:cs="Arial"/>
        </w:rPr>
      </w:pPr>
      <w:r w:rsidRPr="005F3878">
        <w:rPr>
          <w:rFonts w:ascii="Arial" w:hAnsi="Arial" w:cs="Arial"/>
        </w:rPr>
        <w:t>Avanza, M. V., Álvarez-Rivera, G., Cifuentes, A., Mendiola, J. A., &amp; Ibáñez, E. (2021). Phytochemical and functional characterization of phenolic compounds from cowpea (</w:t>
      </w:r>
      <w:r w:rsidRPr="005F3878">
        <w:rPr>
          <w:rFonts w:ascii="Arial" w:hAnsi="Arial" w:cs="Arial"/>
          <w:i/>
          <w:iCs/>
        </w:rPr>
        <w:t>Vigna unguiculata</w:t>
      </w:r>
      <w:r w:rsidRPr="005F3878">
        <w:rPr>
          <w:rFonts w:ascii="Arial" w:hAnsi="Arial" w:cs="Arial"/>
        </w:rPr>
        <w:t xml:space="preserve"> (L.) Walp.) obtained by green extraction technologies. </w:t>
      </w:r>
      <w:r w:rsidRPr="005F3878">
        <w:rPr>
          <w:rFonts w:ascii="Arial" w:hAnsi="Arial" w:cs="Arial"/>
          <w:i/>
          <w:iCs/>
        </w:rPr>
        <w:t>Agronomy, 11</w:t>
      </w:r>
      <w:r w:rsidRPr="005F3878">
        <w:rPr>
          <w:rFonts w:ascii="Arial" w:hAnsi="Arial" w:cs="Arial"/>
        </w:rPr>
        <w:t>(1), 162.</w:t>
      </w:r>
    </w:p>
    <w:p w14:paraId="6B398659" w14:textId="167C8ABD" w:rsidR="009A550E" w:rsidRPr="005F3878" w:rsidRDefault="009A550E" w:rsidP="005F3878">
      <w:pPr>
        <w:pStyle w:val="ListParagraph"/>
        <w:numPr>
          <w:ilvl w:val="0"/>
          <w:numId w:val="36"/>
        </w:numPr>
        <w:spacing w:before="240"/>
        <w:jc w:val="both"/>
        <w:rPr>
          <w:rFonts w:ascii="Arial" w:hAnsi="Arial" w:cs="Arial"/>
        </w:rPr>
      </w:pPr>
      <w:bookmarkStart w:id="2" w:name="_GoBack"/>
      <w:bookmarkEnd w:id="2"/>
      <w:r w:rsidRPr="005F3878">
        <w:rPr>
          <w:rFonts w:ascii="Arial" w:hAnsi="Arial" w:cs="Arial"/>
        </w:rPr>
        <w:lastRenderedPageBreak/>
        <w:t xml:space="preserve">Almeida, J. R. G. S., Oliveira, A. P., Araújo, A. A. S., &amp; Silva, M. S. (2022). Pharmacological and pharmacokinetic properties of steroidal sapogenins: Neuroprotective and therapeutic perspectives. </w:t>
      </w:r>
      <w:r w:rsidRPr="005F3878">
        <w:rPr>
          <w:rFonts w:ascii="Arial" w:hAnsi="Arial" w:cs="Arial"/>
          <w:i/>
          <w:iCs/>
        </w:rPr>
        <w:t>Frontiers in Neuroscience, 16</w:t>
      </w:r>
      <w:r w:rsidRPr="005F3878">
        <w:rPr>
          <w:rFonts w:ascii="Arial" w:hAnsi="Arial" w:cs="Arial"/>
        </w:rPr>
        <w:t>, 853214.</w:t>
      </w:r>
    </w:p>
    <w:p w14:paraId="6527AE4A" w14:textId="4789F890" w:rsidR="003020BB" w:rsidRPr="005F3878" w:rsidRDefault="003020BB" w:rsidP="005F3878">
      <w:pPr>
        <w:pStyle w:val="ListParagraph"/>
        <w:numPr>
          <w:ilvl w:val="0"/>
          <w:numId w:val="36"/>
        </w:numPr>
        <w:spacing w:before="240"/>
        <w:jc w:val="both"/>
        <w:rPr>
          <w:rFonts w:ascii="Arial" w:hAnsi="Arial" w:cs="Arial"/>
        </w:rPr>
      </w:pPr>
      <w:proofErr w:type="spellStart"/>
      <w:r>
        <w:t>Balali</w:t>
      </w:r>
      <w:proofErr w:type="spellEnd"/>
      <w:r>
        <w:t xml:space="preserve">-Mood, M., </w:t>
      </w:r>
      <w:proofErr w:type="spellStart"/>
      <w:r>
        <w:t>Naseri</w:t>
      </w:r>
      <w:proofErr w:type="spellEnd"/>
      <w:r>
        <w:t xml:space="preserve">, K., </w:t>
      </w:r>
      <w:proofErr w:type="spellStart"/>
      <w:r>
        <w:t>Tahergorabi</w:t>
      </w:r>
      <w:proofErr w:type="spellEnd"/>
      <w:r>
        <w:t xml:space="preserve">, Z., </w:t>
      </w:r>
      <w:proofErr w:type="spellStart"/>
      <w:r>
        <w:t>Khazdair</w:t>
      </w:r>
      <w:proofErr w:type="spellEnd"/>
      <w:r>
        <w:t xml:space="preserve">, M. R., &amp; Sadeghi, M. (2021). Toxic mechanisms of five heavy metals: Mercury, lead, chromium, cadmium, and arsenic. </w:t>
      </w:r>
      <w:r>
        <w:rPr>
          <w:rStyle w:val="Emphasis"/>
        </w:rPr>
        <w:t>Frontiers in Pharmacology, 12</w:t>
      </w:r>
      <w:r>
        <w:t>, 643972.</w:t>
      </w:r>
    </w:p>
    <w:p w14:paraId="56656FFB" w14:textId="7BAFB3DB" w:rsidR="002458ED" w:rsidRPr="005F3878" w:rsidRDefault="002458ED" w:rsidP="005F3878">
      <w:pPr>
        <w:pStyle w:val="ListParagraph"/>
        <w:numPr>
          <w:ilvl w:val="0"/>
          <w:numId w:val="36"/>
        </w:numPr>
        <w:spacing w:before="240"/>
        <w:jc w:val="both"/>
        <w:rPr>
          <w:rFonts w:ascii="Arial" w:hAnsi="Arial" w:cs="Arial"/>
        </w:rPr>
      </w:pPr>
      <w:proofErr w:type="spellStart"/>
      <w:r>
        <w:t>Briffa</w:t>
      </w:r>
      <w:proofErr w:type="spellEnd"/>
      <w:r>
        <w:t xml:space="preserve">, J., </w:t>
      </w:r>
      <w:proofErr w:type="spellStart"/>
      <w:r>
        <w:t>Sinagra</w:t>
      </w:r>
      <w:proofErr w:type="spellEnd"/>
      <w:r>
        <w:t xml:space="preserve">, E., &amp; Blundell, R. (2020). Heavy metal pollution in the environment and their toxicological effects on humans. </w:t>
      </w:r>
      <w:proofErr w:type="spellStart"/>
      <w:r>
        <w:rPr>
          <w:rStyle w:val="Emphasis"/>
        </w:rPr>
        <w:t>Heliyon</w:t>
      </w:r>
      <w:proofErr w:type="spellEnd"/>
      <w:r>
        <w:rPr>
          <w:rStyle w:val="Emphasis"/>
        </w:rPr>
        <w:t>, 6</w:t>
      </w:r>
      <w:r>
        <w:t>(9), e04691.</w:t>
      </w:r>
    </w:p>
    <w:p w14:paraId="614DDDB1" w14:textId="77777777" w:rsidR="00AF010F" w:rsidRPr="005F3878" w:rsidRDefault="00AF010F" w:rsidP="005F3878">
      <w:pPr>
        <w:pStyle w:val="ListParagraph"/>
        <w:numPr>
          <w:ilvl w:val="0"/>
          <w:numId w:val="36"/>
        </w:numPr>
        <w:spacing w:before="240"/>
        <w:jc w:val="both"/>
        <w:rPr>
          <w:rFonts w:ascii="Arial" w:hAnsi="Arial" w:cs="Arial"/>
        </w:rPr>
      </w:pPr>
      <w:r w:rsidRPr="005F3878">
        <w:rPr>
          <w:rFonts w:ascii="Arial" w:hAnsi="Arial" w:cs="Arial"/>
        </w:rPr>
        <w:t xml:space="preserve">Caito, S., &amp; Aschner, M. (2017). Neurotoxicity of metals. </w:t>
      </w:r>
      <w:r w:rsidRPr="005F3878">
        <w:rPr>
          <w:rFonts w:ascii="Arial" w:hAnsi="Arial" w:cs="Arial"/>
          <w:i/>
          <w:iCs/>
        </w:rPr>
        <w:t>Current Opinion in Toxicology, 1</w:t>
      </w:r>
      <w:r w:rsidRPr="005F3878">
        <w:rPr>
          <w:rFonts w:ascii="Arial" w:hAnsi="Arial" w:cs="Arial"/>
        </w:rPr>
        <w:t>, 21–27.</w:t>
      </w:r>
    </w:p>
    <w:p w14:paraId="79F7227B" w14:textId="61177BA3" w:rsidR="009A550E" w:rsidRPr="005F3878" w:rsidRDefault="00AF010F" w:rsidP="005F3878">
      <w:pPr>
        <w:pStyle w:val="ListParagraph"/>
        <w:numPr>
          <w:ilvl w:val="0"/>
          <w:numId w:val="36"/>
        </w:numPr>
        <w:spacing w:before="240"/>
        <w:jc w:val="both"/>
        <w:rPr>
          <w:rFonts w:ascii="Arial" w:hAnsi="Arial" w:cs="Arial"/>
        </w:rPr>
      </w:pPr>
      <w:r w:rsidRPr="005F3878">
        <w:rPr>
          <w:rFonts w:ascii="Arial" w:hAnsi="Arial" w:cs="Arial"/>
        </w:rPr>
        <w:t xml:space="preserve">Caito, S., &amp; Aschner, M. (2017). Neurotoxicity of metals. </w:t>
      </w:r>
      <w:r w:rsidRPr="005F3878">
        <w:rPr>
          <w:rFonts w:ascii="Arial" w:hAnsi="Arial" w:cs="Arial"/>
          <w:i/>
          <w:iCs/>
        </w:rPr>
        <w:t>Handbook of Clinical Neurology, 131</w:t>
      </w:r>
      <w:r w:rsidRPr="005F3878">
        <w:rPr>
          <w:rFonts w:ascii="Arial" w:hAnsi="Arial" w:cs="Arial"/>
        </w:rPr>
        <w:t>, 169–189.</w:t>
      </w:r>
    </w:p>
    <w:p w14:paraId="0C209D6A" w14:textId="77777777" w:rsidR="00D3174D" w:rsidRPr="005F3878" w:rsidRDefault="00AF010F" w:rsidP="005F3878">
      <w:pPr>
        <w:pStyle w:val="ListParagraph"/>
        <w:numPr>
          <w:ilvl w:val="0"/>
          <w:numId w:val="36"/>
        </w:numPr>
        <w:spacing w:before="240"/>
        <w:jc w:val="both"/>
        <w:rPr>
          <w:rFonts w:ascii="Arial" w:hAnsi="Arial" w:cs="Arial"/>
        </w:rPr>
      </w:pPr>
      <w:r w:rsidRPr="005F3878">
        <w:rPr>
          <w:rFonts w:ascii="Arial" w:hAnsi="Arial" w:cs="Arial"/>
        </w:rPr>
        <w:t xml:space="preserve">Flora, G., Gupta, D., &amp; Tiwari, A. (2017). Toxicity of lead: A review with recent updates. </w:t>
      </w:r>
      <w:r w:rsidRPr="005F3878">
        <w:rPr>
          <w:rFonts w:ascii="Arial" w:hAnsi="Arial" w:cs="Arial"/>
          <w:i/>
          <w:iCs/>
        </w:rPr>
        <w:t>Interdisciplinary Toxicology, 10</w:t>
      </w:r>
      <w:r w:rsidRPr="005F3878">
        <w:rPr>
          <w:rFonts w:ascii="Arial" w:hAnsi="Arial" w:cs="Arial"/>
        </w:rPr>
        <w:t>(2), 77–87.</w:t>
      </w:r>
    </w:p>
    <w:p w14:paraId="328A9C8C" w14:textId="3BA96B70" w:rsidR="00AF010F" w:rsidRPr="005F3878" w:rsidRDefault="00D3174D" w:rsidP="005F3878">
      <w:pPr>
        <w:pStyle w:val="ListParagraph"/>
        <w:numPr>
          <w:ilvl w:val="0"/>
          <w:numId w:val="36"/>
        </w:numPr>
        <w:spacing w:before="240"/>
        <w:jc w:val="both"/>
        <w:rPr>
          <w:rFonts w:ascii="Arial" w:hAnsi="Arial" w:cs="Arial"/>
        </w:rPr>
      </w:pPr>
      <w:proofErr w:type="spellStart"/>
      <w:r>
        <w:t>Lanphear</w:t>
      </w:r>
      <w:proofErr w:type="spellEnd"/>
      <w:r>
        <w:t xml:space="preserve">, B. P., Rauch, S., </w:t>
      </w:r>
      <w:proofErr w:type="spellStart"/>
      <w:r>
        <w:t>Auinger</w:t>
      </w:r>
      <w:proofErr w:type="spellEnd"/>
      <w:r>
        <w:t xml:space="preserve">, P., Allen, R. W., &amp; Hornung, R. W. (2018). Low-level lead exposure and mortality in US adults: A population-based cohort study. </w:t>
      </w:r>
      <w:r>
        <w:rPr>
          <w:rStyle w:val="Emphasis"/>
        </w:rPr>
        <w:t>The Lancet Public Health, 3</w:t>
      </w:r>
      <w:r>
        <w:t>(4), e177–e184.</w:t>
      </w:r>
      <w:r w:rsidR="00AF010F" w:rsidRPr="005F3878">
        <w:rPr>
          <w:rFonts w:ascii="Arial" w:hAnsi="Arial" w:cs="Arial"/>
        </w:rPr>
        <w:br/>
      </w:r>
    </w:p>
    <w:p w14:paraId="018B8149" w14:textId="77777777" w:rsidR="00AF010F" w:rsidRPr="005F3878" w:rsidRDefault="00AF010F" w:rsidP="005F3878">
      <w:pPr>
        <w:pStyle w:val="ListParagraph"/>
        <w:numPr>
          <w:ilvl w:val="0"/>
          <w:numId w:val="36"/>
        </w:numPr>
        <w:spacing w:before="240"/>
        <w:jc w:val="both"/>
        <w:rPr>
          <w:rFonts w:ascii="Arial" w:hAnsi="Arial" w:cs="Arial"/>
        </w:rPr>
      </w:pPr>
      <w:r w:rsidRPr="005F3878">
        <w:rPr>
          <w:rFonts w:ascii="Arial" w:hAnsi="Arial" w:cs="Arial"/>
        </w:rPr>
        <w:t xml:space="preserve">Liu, C. M., Ma, J. Q., &amp; Sun, Y. Z. (2018). Quercetin protects the rat kidney against oxidative stress-mediated DNA damage induced by lead. </w:t>
      </w:r>
      <w:r w:rsidRPr="005F3878">
        <w:rPr>
          <w:rFonts w:ascii="Arial" w:hAnsi="Arial" w:cs="Arial"/>
          <w:i/>
          <w:iCs/>
        </w:rPr>
        <w:t>Environmental Toxicology and Pharmacology, 36</w:t>
      </w:r>
      <w:r w:rsidRPr="005F3878">
        <w:rPr>
          <w:rFonts w:ascii="Arial" w:hAnsi="Arial" w:cs="Arial"/>
        </w:rPr>
        <w:t>(2), 572–578.</w:t>
      </w:r>
    </w:p>
    <w:p w14:paraId="768D1F38" w14:textId="77777777" w:rsidR="00AF010F" w:rsidRPr="005F3878" w:rsidRDefault="00AF010F" w:rsidP="005F3878">
      <w:pPr>
        <w:pStyle w:val="ListParagraph"/>
        <w:numPr>
          <w:ilvl w:val="0"/>
          <w:numId w:val="36"/>
        </w:numPr>
        <w:spacing w:before="240"/>
        <w:jc w:val="both"/>
        <w:rPr>
          <w:rFonts w:ascii="Arial" w:hAnsi="Arial" w:cs="Arial"/>
        </w:rPr>
      </w:pPr>
      <w:r w:rsidRPr="005F3878">
        <w:rPr>
          <w:rStyle w:val="bzpyqfadein"/>
          <w:rFonts w:ascii="Arial" w:hAnsi="Arial" w:cs="Arial"/>
        </w:rPr>
        <w:t xml:space="preserve">Liu, Y., Wang, Q., Zhang, H., &amp; Li, X. (2020). Lead exposure induces oxidative stress and neurodegeneration in rat brain: Protective effects of antioxidant treatment. </w:t>
      </w:r>
      <w:r w:rsidRPr="005F3878">
        <w:rPr>
          <w:rStyle w:val="bzpyqfadein"/>
          <w:rFonts w:ascii="Arial" w:hAnsi="Arial" w:cs="Arial"/>
          <w:i/>
          <w:iCs/>
        </w:rPr>
        <w:t>Neurotoxicology, 78</w:t>
      </w:r>
      <w:r w:rsidRPr="005F3878">
        <w:rPr>
          <w:rStyle w:val="bzpyqfadein"/>
          <w:rFonts w:ascii="Arial" w:hAnsi="Arial" w:cs="Arial"/>
        </w:rPr>
        <w:t>, 79–87.</w:t>
      </w:r>
    </w:p>
    <w:p w14:paraId="15920706" w14:textId="77777777" w:rsidR="00AF010F" w:rsidRPr="005F3878" w:rsidRDefault="00AF010F" w:rsidP="005F3878">
      <w:pPr>
        <w:pStyle w:val="ListParagraph"/>
        <w:numPr>
          <w:ilvl w:val="0"/>
          <w:numId w:val="36"/>
        </w:numPr>
        <w:spacing w:before="240"/>
        <w:jc w:val="both"/>
        <w:rPr>
          <w:rFonts w:ascii="Arial" w:hAnsi="Arial" w:cs="Arial"/>
        </w:rPr>
      </w:pPr>
      <w:r w:rsidRPr="005F3878">
        <w:rPr>
          <w:rFonts w:ascii="Arial" w:hAnsi="Arial" w:cs="Arial"/>
        </w:rPr>
        <w:t xml:space="preserve">Moloto, M. R., Phan, A. D. T., Shai, J. L., </w:t>
      </w:r>
      <w:proofErr w:type="spellStart"/>
      <w:r w:rsidRPr="005F3878">
        <w:rPr>
          <w:rFonts w:ascii="Arial" w:hAnsi="Arial" w:cs="Arial"/>
        </w:rPr>
        <w:t>Sultanbawa</w:t>
      </w:r>
      <w:proofErr w:type="spellEnd"/>
      <w:r w:rsidRPr="005F3878">
        <w:rPr>
          <w:rFonts w:ascii="Arial" w:hAnsi="Arial" w:cs="Arial"/>
        </w:rPr>
        <w:t>, Y., &amp; Sivakumar, D. (2020). Comparison of phenolic compounds, carotenoids, amino acid composition and antioxidant activities in leaves of cowpea (</w:t>
      </w:r>
      <w:r w:rsidRPr="005F3878">
        <w:rPr>
          <w:rFonts w:ascii="Arial" w:hAnsi="Arial" w:cs="Arial"/>
          <w:i/>
          <w:iCs/>
        </w:rPr>
        <w:t>Vigna unguiculata</w:t>
      </w:r>
      <w:r w:rsidRPr="005F3878">
        <w:rPr>
          <w:rFonts w:ascii="Arial" w:hAnsi="Arial" w:cs="Arial"/>
        </w:rPr>
        <w:t xml:space="preserve">) cultivars. </w:t>
      </w:r>
      <w:r w:rsidRPr="005F3878">
        <w:rPr>
          <w:rFonts w:ascii="Arial" w:hAnsi="Arial" w:cs="Arial"/>
          <w:i/>
          <w:iCs/>
        </w:rPr>
        <w:t>Foods, 9</w:t>
      </w:r>
      <w:r w:rsidRPr="005F3878">
        <w:rPr>
          <w:rFonts w:ascii="Arial" w:hAnsi="Arial" w:cs="Arial"/>
        </w:rPr>
        <w:t>(9), 1285.</w:t>
      </w:r>
    </w:p>
    <w:p w14:paraId="536D7745" w14:textId="76BC5F03" w:rsidR="00B97A76" w:rsidRPr="005F3878" w:rsidRDefault="00B97A76" w:rsidP="005F3878">
      <w:pPr>
        <w:pStyle w:val="ListParagraph"/>
        <w:numPr>
          <w:ilvl w:val="0"/>
          <w:numId w:val="36"/>
        </w:numPr>
        <w:spacing w:before="240"/>
        <w:jc w:val="both"/>
        <w:rPr>
          <w:rFonts w:ascii="Arial" w:hAnsi="Arial" w:cs="Arial"/>
        </w:rPr>
      </w:pPr>
      <w:r>
        <w:t xml:space="preserve">Neal, A. P., &amp; </w:t>
      </w:r>
      <w:proofErr w:type="spellStart"/>
      <w:r>
        <w:t>Guilarte</w:t>
      </w:r>
      <w:proofErr w:type="spellEnd"/>
      <w:r>
        <w:t>, T. R. (2010). Molecular neurobiology of lead (Pb²</w:t>
      </w:r>
      <w:r w:rsidRPr="005F3878">
        <w:rPr>
          <w:rFonts w:ascii="Cambria Math" w:hAnsi="Cambria Math" w:cs="Cambria Math"/>
        </w:rPr>
        <w:t>⁺</w:t>
      </w:r>
      <w:r>
        <w:t xml:space="preserve">): Effects on synaptic function. </w:t>
      </w:r>
      <w:r>
        <w:rPr>
          <w:rStyle w:val="Emphasis"/>
        </w:rPr>
        <w:t>Molecular Neurobiology, 42</w:t>
      </w:r>
      <w:r>
        <w:t>(3), 151–160.</w:t>
      </w:r>
    </w:p>
    <w:p w14:paraId="4089200C" w14:textId="3C4463C7" w:rsidR="00AF010F" w:rsidRPr="005F3878" w:rsidRDefault="00AF010F" w:rsidP="005F3878">
      <w:pPr>
        <w:pStyle w:val="ListParagraph"/>
        <w:numPr>
          <w:ilvl w:val="0"/>
          <w:numId w:val="36"/>
        </w:numPr>
        <w:spacing w:before="240"/>
        <w:jc w:val="both"/>
        <w:rPr>
          <w:rFonts w:ascii="Arial" w:hAnsi="Arial" w:cs="Arial"/>
        </w:rPr>
      </w:pPr>
      <w:r w:rsidRPr="005F3878">
        <w:rPr>
          <w:rFonts w:ascii="Arial" w:hAnsi="Arial" w:cs="Arial"/>
        </w:rPr>
        <w:t xml:space="preserve">Oliveira, J. S., Maciel, E. N., Leão, L. K. R., et al. (2021). Lead-induced motor dysfunction is associated with oxidative stress and neurodegeneration in the motor cortex of rats. </w:t>
      </w:r>
      <w:r w:rsidRPr="005F3878">
        <w:rPr>
          <w:rFonts w:ascii="Arial" w:hAnsi="Arial" w:cs="Arial"/>
          <w:i/>
          <w:iCs/>
        </w:rPr>
        <w:t>International Journal of Molecular Sciences, 22</w:t>
      </w:r>
      <w:r w:rsidRPr="005F3878">
        <w:rPr>
          <w:rFonts w:ascii="Arial" w:hAnsi="Arial" w:cs="Arial"/>
        </w:rPr>
        <w:t>(20), 10945</w:t>
      </w:r>
      <w:r w:rsidR="00E808E0" w:rsidRPr="005F3878">
        <w:rPr>
          <w:rFonts w:ascii="Arial" w:hAnsi="Arial" w:cs="Arial"/>
        </w:rPr>
        <w:t>.</w:t>
      </w:r>
    </w:p>
    <w:p w14:paraId="389EB9A3" w14:textId="32FFD178" w:rsidR="00E808E0" w:rsidRPr="005F3878" w:rsidRDefault="00E808E0" w:rsidP="005F3878">
      <w:pPr>
        <w:pStyle w:val="ListParagraph"/>
        <w:numPr>
          <w:ilvl w:val="0"/>
          <w:numId w:val="36"/>
        </w:numPr>
        <w:spacing w:before="240"/>
        <w:jc w:val="both"/>
        <w:rPr>
          <w:rFonts w:ascii="Arial" w:hAnsi="Arial" w:cs="Arial"/>
        </w:rPr>
      </w:pPr>
      <w:r>
        <w:t xml:space="preserve">Patra, R. C., </w:t>
      </w:r>
      <w:proofErr w:type="spellStart"/>
      <w:r>
        <w:t>Rautray</w:t>
      </w:r>
      <w:proofErr w:type="spellEnd"/>
      <w:r>
        <w:t xml:space="preserve">, A. K., &amp; Swarup, D. (2017). Oxidative stress in lead and cadmium toxicity and its amelioration. </w:t>
      </w:r>
      <w:r>
        <w:rPr>
          <w:rStyle w:val="Emphasis"/>
        </w:rPr>
        <w:t>Veterinary Medicine International, 2011</w:t>
      </w:r>
      <w:r>
        <w:t>, 457327.</w:t>
      </w:r>
    </w:p>
    <w:p w14:paraId="2C768D58" w14:textId="77777777" w:rsidR="00AF010F" w:rsidRPr="005F3878" w:rsidRDefault="00AF010F" w:rsidP="005F3878">
      <w:pPr>
        <w:pStyle w:val="ListParagraph"/>
        <w:numPr>
          <w:ilvl w:val="0"/>
          <w:numId w:val="36"/>
        </w:numPr>
        <w:spacing w:before="240"/>
        <w:jc w:val="both"/>
        <w:rPr>
          <w:rFonts w:ascii="Arial" w:hAnsi="Arial" w:cs="Arial"/>
        </w:rPr>
      </w:pPr>
      <w:r w:rsidRPr="005F3878">
        <w:rPr>
          <w:rStyle w:val="bzpyqfadein"/>
          <w:rFonts w:ascii="Arial" w:hAnsi="Arial" w:cs="Arial"/>
        </w:rPr>
        <w:t xml:space="preserve">Sharma, P., Dubey, R. S., &amp; Rani, P. (2020). Neuroprotective effects of plant-derived antioxidants against heavy metal-induced hippocampal damage: A review. </w:t>
      </w:r>
      <w:r w:rsidRPr="005F3878">
        <w:rPr>
          <w:rStyle w:val="bzpyqfadein"/>
          <w:rFonts w:ascii="Arial" w:hAnsi="Arial" w:cs="Arial"/>
          <w:i/>
          <w:iCs/>
        </w:rPr>
        <w:t>Neurotoxicology, 78</w:t>
      </w:r>
      <w:r w:rsidRPr="005F3878">
        <w:rPr>
          <w:rStyle w:val="bzpyqfadein"/>
          <w:rFonts w:ascii="Arial" w:hAnsi="Arial" w:cs="Arial"/>
        </w:rPr>
        <w:t>, 134–145.</w:t>
      </w:r>
      <w:r w:rsidRPr="005F3878">
        <w:rPr>
          <w:rFonts w:ascii="Arial" w:hAnsi="Arial" w:cs="Arial"/>
        </w:rPr>
        <w:br/>
      </w:r>
    </w:p>
    <w:p w14:paraId="0FF0EA68" w14:textId="77777777" w:rsidR="00AF010F" w:rsidRPr="005F3878" w:rsidRDefault="00AF010F" w:rsidP="005F3878">
      <w:pPr>
        <w:pStyle w:val="ListParagraph"/>
        <w:numPr>
          <w:ilvl w:val="0"/>
          <w:numId w:val="36"/>
        </w:numPr>
        <w:autoSpaceDE w:val="0"/>
        <w:autoSpaceDN w:val="0"/>
        <w:adjustRightInd w:val="0"/>
        <w:spacing w:before="240"/>
        <w:jc w:val="both"/>
        <w:rPr>
          <w:rFonts w:ascii="Arial" w:hAnsi="Arial" w:cs="Arial"/>
        </w:rPr>
      </w:pPr>
      <w:proofErr w:type="spellStart"/>
      <w:r w:rsidRPr="005F3878">
        <w:rPr>
          <w:rFonts w:ascii="Arial" w:hAnsi="Arial" w:cs="Arial"/>
        </w:rPr>
        <w:t>Sombié</w:t>
      </w:r>
      <w:proofErr w:type="spellEnd"/>
      <w:r w:rsidRPr="005F3878">
        <w:rPr>
          <w:rFonts w:ascii="Arial" w:hAnsi="Arial" w:cs="Arial"/>
        </w:rPr>
        <w:t xml:space="preserve">, P. A. E. D., Compaoré, M., Coulibaly, A. Y., Ouédraogo, J. T., </w:t>
      </w:r>
      <w:proofErr w:type="spellStart"/>
      <w:r w:rsidRPr="005F3878">
        <w:rPr>
          <w:rFonts w:ascii="Arial" w:hAnsi="Arial" w:cs="Arial"/>
        </w:rPr>
        <w:t>Tignégré</w:t>
      </w:r>
      <w:proofErr w:type="spellEnd"/>
      <w:r w:rsidRPr="005F3878">
        <w:rPr>
          <w:rFonts w:ascii="Arial" w:hAnsi="Arial" w:cs="Arial"/>
        </w:rPr>
        <w:t xml:space="preserve">, J. B. D. L. S., &amp; </w:t>
      </w:r>
      <w:proofErr w:type="spellStart"/>
      <w:r w:rsidRPr="005F3878">
        <w:rPr>
          <w:rFonts w:ascii="Arial" w:hAnsi="Arial" w:cs="Arial"/>
        </w:rPr>
        <w:t>Kiendrébéogo</w:t>
      </w:r>
      <w:proofErr w:type="spellEnd"/>
      <w:r w:rsidRPr="005F3878">
        <w:rPr>
          <w:rFonts w:ascii="Arial" w:hAnsi="Arial" w:cs="Arial"/>
        </w:rPr>
        <w:t>, M. (2018). Antioxidant and phytochemical studies of 31 cowpeas (</w:t>
      </w:r>
      <w:r w:rsidRPr="005F3878">
        <w:rPr>
          <w:rFonts w:ascii="Arial" w:hAnsi="Arial" w:cs="Arial"/>
          <w:i/>
          <w:iCs/>
        </w:rPr>
        <w:t>Vigna unguiculata</w:t>
      </w:r>
      <w:r w:rsidRPr="005F3878">
        <w:rPr>
          <w:rFonts w:ascii="Arial" w:hAnsi="Arial" w:cs="Arial"/>
        </w:rPr>
        <w:t xml:space="preserve"> (L.) Walp.) genotypes from Burkina Faso. </w:t>
      </w:r>
      <w:r w:rsidRPr="005F3878">
        <w:rPr>
          <w:rFonts w:ascii="Arial" w:hAnsi="Arial" w:cs="Arial"/>
          <w:i/>
          <w:iCs/>
        </w:rPr>
        <w:t>Foods, 7</w:t>
      </w:r>
      <w:r w:rsidRPr="005F3878">
        <w:rPr>
          <w:rFonts w:ascii="Arial" w:hAnsi="Arial" w:cs="Arial"/>
        </w:rPr>
        <w:t>(9), 143.</w:t>
      </w:r>
    </w:p>
    <w:p w14:paraId="3CB1E48A" w14:textId="1E8356A7" w:rsidR="005155B7" w:rsidRPr="005F3878" w:rsidRDefault="005155B7" w:rsidP="005F3878">
      <w:pPr>
        <w:pStyle w:val="ListParagraph"/>
        <w:numPr>
          <w:ilvl w:val="0"/>
          <w:numId w:val="36"/>
        </w:numPr>
        <w:autoSpaceDE w:val="0"/>
        <w:autoSpaceDN w:val="0"/>
        <w:adjustRightInd w:val="0"/>
        <w:spacing w:before="240"/>
        <w:jc w:val="both"/>
        <w:rPr>
          <w:rFonts w:ascii="Arial" w:hAnsi="Arial" w:cs="Arial"/>
        </w:rPr>
      </w:pPr>
      <w:r>
        <w:t>Xu, D. P., Li, Y., Meng, X., Zhou, T., Zhou, Y., Zheng, J., Zhang, J. J., &amp; Li, H. B. (2017).</w:t>
      </w:r>
      <w:r>
        <w:br/>
        <w:t xml:space="preserve">Natural antioxidants in foods and medicinal plants: Extraction, assessment and resources. </w:t>
      </w:r>
      <w:r>
        <w:rPr>
          <w:rStyle w:val="Emphasis"/>
        </w:rPr>
        <w:t>International Journal of Molecular Sciences</w:t>
      </w:r>
      <w:r>
        <w:t>, 18(1), 96.</w:t>
      </w:r>
    </w:p>
    <w:p w14:paraId="0D2CE9D0" w14:textId="55A52CBB" w:rsidR="005155B7" w:rsidRPr="005F3878" w:rsidRDefault="005155B7" w:rsidP="005F3878">
      <w:pPr>
        <w:pStyle w:val="ListParagraph"/>
        <w:numPr>
          <w:ilvl w:val="0"/>
          <w:numId w:val="36"/>
        </w:numPr>
        <w:autoSpaceDE w:val="0"/>
        <w:autoSpaceDN w:val="0"/>
        <w:adjustRightInd w:val="0"/>
        <w:spacing w:before="240"/>
        <w:jc w:val="both"/>
        <w:rPr>
          <w:rFonts w:ascii="Arial" w:hAnsi="Arial" w:cs="Arial"/>
        </w:rPr>
      </w:pPr>
      <w:r>
        <w:t>Zia-Ul-</w:t>
      </w:r>
      <w:proofErr w:type="spellStart"/>
      <w:r>
        <w:t>Haq</w:t>
      </w:r>
      <w:proofErr w:type="spellEnd"/>
      <w:r>
        <w:t xml:space="preserve">, M., Ahmad, S., </w:t>
      </w:r>
      <w:proofErr w:type="spellStart"/>
      <w:r>
        <w:t>Amarowicz</w:t>
      </w:r>
      <w:proofErr w:type="spellEnd"/>
      <w:r>
        <w:t xml:space="preserve">, R., &amp; De </w:t>
      </w:r>
      <w:proofErr w:type="spellStart"/>
      <w:r>
        <w:t>Feo</w:t>
      </w:r>
      <w:proofErr w:type="spellEnd"/>
      <w:r>
        <w:t>, V. (2013).</w:t>
      </w:r>
      <w:r>
        <w:br/>
        <w:t>Antioxidant activity of the extracts of some cowpea (</w:t>
      </w:r>
      <w:r>
        <w:rPr>
          <w:rStyle w:val="Emphasis"/>
        </w:rPr>
        <w:t xml:space="preserve">Vigna </w:t>
      </w:r>
      <w:proofErr w:type="spellStart"/>
      <w:r>
        <w:rPr>
          <w:rStyle w:val="Emphasis"/>
        </w:rPr>
        <w:t>unguiculata</w:t>
      </w:r>
      <w:proofErr w:type="spellEnd"/>
      <w:r>
        <w:t xml:space="preserve"> (L.) </w:t>
      </w:r>
      <w:proofErr w:type="spellStart"/>
      <w:r>
        <w:t>Walp</w:t>
      </w:r>
      <w:proofErr w:type="spellEnd"/>
      <w:r>
        <w:t xml:space="preserve">.) cultivars commonly consumed in Pakistan. </w:t>
      </w:r>
      <w:r>
        <w:rPr>
          <w:rStyle w:val="Emphasis"/>
        </w:rPr>
        <w:t>Molecules</w:t>
      </w:r>
      <w:r>
        <w:t>, 18(2), 2005–2017.</w:t>
      </w:r>
    </w:p>
    <w:p w14:paraId="191B1A74" w14:textId="77777777" w:rsidR="00B01FCD" w:rsidRPr="00FB3A86" w:rsidRDefault="00B01FCD" w:rsidP="00441B6F">
      <w:pPr>
        <w:pStyle w:val="Appendix"/>
        <w:spacing w:after="0"/>
        <w:jc w:val="both"/>
        <w:rPr>
          <w:rFonts w:ascii="Arial" w:hAnsi="Arial" w:cs="Arial"/>
          <w:b w:val="0"/>
        </w:rPr>
      </w:pPr>
    </w:p>
    <w:sectPr w:rsidR="00B01FCD" w:rsidRPr="00FB3A86" w:rsidSect="00DA55C2">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E8B64" w14:textId="77777777" w:rsidR="00A85BE0" w:rsidRDefault="00A85BE0" w:rsidP="00C37E61">
      <w:r>
        <w:separator/>
      </w:r>
    </w:p>
  </w:endnote>
  <w:endnote w:type="continuationSeparator" w:id="0">
    <w:p w14:paraId="6D0E6AC2" w14:textId="77777777" w:rsidR="00A85BE0" w:rsidRDefault="00A85B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A4D0" w14:textId="77777777" w:rsidR="00DA55C2" w:rsidRDefault="00DA5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36C56" w14:textId="77777777" w:rsidR="00DA55C2" w:rsidRDefault="00DA5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AACF" w14:textId="77777777" w:rsidR="00784252" w:rsidRDefault="00784252">
    <w:pPr>
      <w:pStyle w:val="Footer"/>
      <w:rPr>
        <w:rFonts w:ascii="Arial" w:hAnsi="Arial" w:cs="Arial"/>
        <w:sz w:val="16"/>
      </w:rPr>
    </w:pPr>
  </w:p>
  <w:p w14:paraId="0C2A87F1" w14:textId="77777777" w:rsidR="00784252" w:rsidRDefault="0078425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6ADD9A1" w14:textId="77777777" w:rsidR="00784252" w:rsidRDefault="00784252">
    <w:pPr>
      <w:pStyle w:val="Footer"/>
      <w:rPr>
        <w:rFonts w:ascii="Arial" w:hAnsi="Arial" w:cs="Arial"/>
        <w:sz w:val="16"/>
      </w:rPr>
    </w:pPr>
  </w:p>
  <w:p w14:paraId="6682CE5A" w14:textId="77777777" w:rsidR="00784252" w:rsidRPr="009E048A" w:rsidRDefault="0078425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F940" w14:textId="77777777" w:rsidR="00784252" w:rsidRPr="00C37E61" w:rsidRDefault="0078425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0ECBD" w14:textId="77777777" w:rsidR="00A85BE0" w:rsidRDefault="00A85BE0" w:rsidP="00C37E61">
      <w:r>
        <w:separator/>
      </w:r>
    </w:p>
  </w:footnote>
  <w:footnote w:type="continuationSeparator" w:id="0">
    <w:p w14:paraId="740E94E6" w14:textId="77777777" w:rsidR="00A85BE0" w:rsidRDefault="00A85B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2B0A7" w14:textId="4CC48944" w:rsidR="00DA55C2" w:rsidRDefault="00A85BE0">
    <w:pPr>
      <w:pStyle w:val="Header"/>
    </w:pPr>
    <w:r>
      <w:rPr>
        <w:noProof/>
      </w:rPr>
      <w:pict w14:anchorId="276E4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12B96" w14:textId="18034A9F" w:rsidR="00DA55C2" w:rsidRDefault="00A85BE0">
    <w:pPr>
      <w:pStyle w:val="Header"/>
    </w:pPr>
    <w:r>
      <w:rPr>
        <w:noProof/>
      </w:rPr>
      <w:pict w14:anchorId="453B8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9E32" w14:textId="1581E1DC" w:rsidR="00784252" w:rsidRPr="00296529" w:rsidRDefault="00A85BE0" w:rsidP="00296529">
    <w:pPr>
      <w:ind w:left="2160"/>
      <w:jc w:val="center"/>
      <w:rPr>
        <w:rFonts w:ascii="Times New Roman" w:eastAsia="Calibri" w:hAnsi="Times New Roman"/>
        <w:i/>
        <w:sz w:val="18"/>
        <w:szCs w:val="22"/>
      </w:rPr>
    </w:pPr>
    <w:r>
      <w:rPr>
        <w:noProof/>
      </w:rPr>
      <w:pict w14:anchorId="2EA1F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280D84E" w14:textId="77777777" w:rsidR="00784252" w:rsidRPr="00296529" w:rsidRDefault="0078425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F6F0CA" w14:textId="77777777" w:rsidR="00784252" w:rsidRPr="00296529" w:rsidRDefault="0078425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806807" w14:textId="77777777" w:rsidR="00784252" w:rsidRPr="00296529" w:rsidRDefault="0078425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238493" w14:textId="77777777" w:rsidR="00784252" w:rsidRDefault="0078425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A1BF70" w14:textId="77777777" w:rsidR="00784252" w:rsidRDefault="0078425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13A02D5" w14:textId="77777777" w:rsidR="00784252" w:rsidRDefault="0078425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81749" w14:textId="52152467" w:rsidR="00DA55C2" w:rsidRDefault="00A85BE0">
    <w:pPr>
      <w:pStyle w:val="Header"/>
    </w:pPr>
    <w:r>
      <w:rPr>
        <w:noProof/>
      </w:rPr>
      <w:pict w14:anchorId="57863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E657" w14:textId="779DD7AF" w:rsidR="00DA55C2" w:rsidRDefault="00A85BE0">
    <w:pPr>
      <w:pStyle w:val="Header"/>
    </w:pPr>
    <w:r>
      <w:rPr>
        <w:noProof/>
      </w:rPr>
      <w:pict w14:anchorId="3D0EB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1193" w14:textId="0C670B53" w:rsidR="00DA55C2" w:rsidRDefault="00A85BE0">
    <w:pPr>
      <w:pStyle w:val="Header"/>
    </w:pPr>
    <w:r>
      <w:rPr>
        <w:noProof/>
      </w:rPr>
      <w:pict w14:anchorId="5EE82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914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92C66"/>
    <w:multiLevelType w:val="hybridMultilevel"/>
    <w:tmpl w:val="AFAA8314"/>
    <w:lvl w:ilvl="0" w:tplc="3D926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06B1F"/>
    <w:multiLevelType w:val="hybridMultilevel"/>
    <w:tmpl w:val="BADE8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FAB0FBC"/>
    <w:multiLevelType w:val="hybridMultilevel"/>
    <w:tmpl w:val="6232AE74"/>
    <w:lvl w:ilvl="0" w:tplc="AE661EE4">
      <w:start w:val="1"/>
      <w:numFmt w:val="upperLetter"/>
      <w:lvlText w:val="(%1)"/>
      <w:lvlJc w:val="left"/>
      <w:pPr>
        <w:ind w:left="7185" w:hanging="555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C5694"/>
    <w:multiLevelType w:val="hybridMultilevel"/>
    <w:tmpl w:val="01324972"/>
    <w:lvl w:ilvl="0" w:tplc="E2DA79E6">
      <w:start w:val="1"/>
      <w:numFmt w:val="upp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596017C"/>
    <w:multiLevelType w:val="multilevel"/>
    <w:tmpl w:val="5454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DB138C"/>
    <w:multiLevelType w:val="hybridMultilevel"/>
    <w:tmpl w:val="BAB40332"/>
    <w:lvl w:ilvl="0" w:tplc="EAF42286">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1"/>
  </w:num>
  <w:num w:numId="14">
    <w:abstractNumId w:val="10"/>
  </w:num>
  <w:num w:numId="15">
    <w:abstractNumId w:val="27"/>
  </w:num>
  <w:num w:numId="16">
    <w:abstractNumId w:val="5"/>
  </w:num>
  <w:num w:numId="17">
    <w:abstractNumId w:val="28"/>
  </w:num>
  <w:num w:numId="18">
    <w:abstractNumId w:val="16"/>
  </w:num>
  <w:num w:numId="19">
    <w:abstractNumId w:val="34"/>
  </w:num>
  <w:num w:numId="20">
    <w:abstractNumId w:val="13"/>
  </w:num>
  <w:num w:numId="21">
    <w:abstractNumId w:val="11"/>
  </w:num>
  <w:num w:numId="22">
    <w:abstractNumId w:val="15"/>
  </w:num>
  <w:num w:numId="23">
    <w:abstractNumId w:val="24"/>
  </w:num>
  <w:num w:numId="24">
    <w:abstractNumId w:val="32"/>
  </w:num>
  <w:num w:numId="25">
    <w:abstractNumId w:val="4"/>
  </w:num>
  <w:num w:numId="26">
    <w:abstractNumId w:val="19"/>
  </w:num>
  <w:num w:numId="27">
    <w:abstractNumId w:val="25"/>
  </w:num>
  <w:num w:numId="28">
    <w:abstractNumId w:val="33"/>
  </w:num>
  <w:num w:numId="29">
    <w:abstractNumId w:val="30"/>
  </w:num>
  <w:num w:numId="30">
    <w:abstractNumId w:val="12"/>
  </w:num>
  <w:num w:numId="31">
    <w:abstractNumId w:val="6"/>
  </w:num>
  <w:num w:numId="32">
    <w:abstractNumId w:val="18"/>
  </w:num>
  <w:num w:numId="33">
    <w:abstractNumId w:val="26"/>
  </w:num>
  <w:num w:numId="34">
    <w:abstractNumId w:val="20"/>
  </w:num>
  <w:num w:numId="35">
    <w:abstractNumId w:val="2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EE8"/>
    <w:rsid w:val="00030174"/>
    <w:rsid w:val="000306A4"/>
    <w:rsid w:val="0004579C"/>
    <w:rsid w:val="00047A04"/>
    <w:rsid w:val="00047A4A"/>
    <w:rsid w:val="0007222C"/>
    <w:rsid w:val="00077391"/>
    <w:rsid w:val="00086AD0"/>
    <w:rsid w:val="00095A41"/>
    <w:rsid w:val="000A244D"/>
    <w:rsid w:val="000A47FA"/>
    <w:rsid w:val="000A65D3"/>
    <w:rsid w:val="000B109C"/>
    <w:rsid w:val="000B1E33"/>
    <w:rsid w:val="000D689F"/>
    <w:rsid w:val="000E728F"/>
    <w:rsid w:val="000E7B7B"/>
    <w:rsid w:val="000E7D62"/>
    <w:rsid w:val="00101133"/>
    <w:rsid w:val="00103357"/>
    <w:rsid w:val="00105852"/>
    <w:rsid w:val="001120F5"/>
    <w:rsid w:val="00123C9F"/>
    <w:rsid w:val="00126190"/>
    <w:rsid w:val="00130F17"/>
    <w:rsid w:val="001320BF"/>
    <w:rsid w:val="00132730"/>
    <w:rsid w:val="00135848"/>
    <w:rsid w:val="001369A6"/>
    <w:rsid w:val="00141163"/>
    <w:rsid w:val="00163BC4"/>
    <w:rsid w:val="001705BB"/>
    <w:rsid w:val="00171642"/>
    <w:rsid w:val="00191062"/>
    <w:rsid w:val="00192B72"/>
    <w:rsid w:val="001931D9"/>
    <w:rsid w:val="00195EA2"/>
    <w:rsid w:val="001A29D8"/>
    <w:rsid w:val="001A49A1"/>
    <w:rsid w:val="001A5CAA"/>
    <w:rsid w:val="001A614E"/>
    <w:rsid w:val="001B0427"/>
    <w:rsid w:val="001C5D17"/>
    <w:rsid w:val="001D2088"/>
    <w:rsid w:val="001D3A51"/>
    <w:rsid w:val="001D6218"/>
    <w:rsid w:val="001E0737"/>
    <w:rsid w:val="001E0A22"/>
    <w:rsid w:val="001E10D2"/>
    <w:rsid w:val="001E25B4"/>
    <w:rsid w:val="001E44FE"/>
    <w:rsid w:val="001E58F1"/>
    <w:rsid w:val="00200595"/>
    <w:rsid w:val="00204265"/>
    <w:rsid w:val="00204835"/>
    <w:rsid w:val="00210520"/>
    <w:rsid w:val="00214528"/>
    <w:rsid w:val="002149C4"/>
    <w:rsid w:val="00222AC2"/>
    <w:rsid w:val="00226169"/>
    <w:rsid w:val="00226835"/>
    <w:rsid w:val="0022696B"/>
    <w:rsid w:val="002304E0"/>
    <w:rsid w:val="00231920"/>
    <w:rsid w:val="0023195C"/>
    <w:rsid w:val="0024282C"/>
    <w:rsid w:val="002458ED"/>
    <w:rsid w:val="002460DC"/>
    <w:rsid w:val="00250985"/>
    <w:rsid w:val="002556F6"/>
    <w:rsid w:val="00257DCD"/>
    <w:rsid w:val="00262714"/>
    <w:rsid w:val="002645C3"/>
    <w:rsid w:val="0026557B"/>
    <w:rsid w:val="002725F7"/>
    <w:rsid w:val="002751B8"/>
    <w:rsid w:val="0027574F"/>
    <w:rsid w:val="00276415"/>
    <w:rsid w:val="00277982"/>
    <w:rsid w:val="00283105"/>
    <w:rsid w:val="00284C4C"/>
    <w:rsid w:val="00287E68"/>
    <w:rsid w:val="002917A9"/>
    <w:rsid w:val="0029303E"/>
    <w:rsid w:val="00296529"/>
    <w:rsid w:val="002A02E1"/>
    <w:rsid w:val="002B095F"/>
    <w:rsid w:val="002B27FB"/>
    <w:rsid w:val="002B685A"/>
    <w:rsid w:val="002B7524"/>
    <w:rsid w:val="002C57D2"/>
    <w:rsid w:val="002D3998"/>
    <w:rsid w:val="002E0D56"/>
    <w:rsid w:val="002E135D"/>
    <w:rsid w:val="002E6685"/>
    <w:rsid w:val="002F5838"/>
    <w:rsid w:val="003020BB"/>
    <w:rsid w:val="00313A2F"/>
    <w:rsid w:val="00315186"/>
    <w:rsid w:val="0033080E"/>
    <w:rsid w:val="0033343E"/>
    <w:rsid w:val="00342FEA"/>
    <w:rsid w:val="00350A26"/>
    <w:rsid w:val="003512C2"/>
    <w:rsid w:val="00362FF6"/>
    <w:rsid w:val="0037153E"/>
    <w:rsid w:val="00371FB6"/>
    <w:rsid w:val="003763C1"/>
    <w:rsid w:val="00376BBE"/>
    <w:rsid w:val="00382F08"/>
    <w:rsid w:val="003909EB"/>
    <w:rsid w:val="0039224F"/>
    <w:rsid w:val="003A0A1B"/>
    <w:rsid w:val="003A0C4D"/>
    <w:rsid w:val="003A1B18"/>
    <w:rsid w:val="003A238E"/>
    <w:rsid w:val="003A43A4"/>
    <w:rsid w:val="003A7E18"/>
    <w:rsid w:val="003B0E5B"/>
    <w:rsid w:val="003B5066"/>
    <w:rsid w:val="003C2250"/>
    <w:rsid w:val="003C4C86"/>
    <w:rsid w:val="003C6258"/>
    <w:rsid w:val="003D1F99"/>
    <w:rsid w:val="003D5869"/>
    <w:rsid w:val="003D6B31"/>
    <w:rsid w:val="003D7A92"/>
    <w:rsid w:val="003E021E"/>
    <w:rsid w:val="003E2904"/>
    <w:rsid w:val="003F40F4"/>
    <w:rsid w:val="00401927"/>
    <w:rsid w:val="0041027F"/>
    <w:rsid w:val="00412475"/>
    <w:rsid w:val="00423789"/>
    <w:rsid w:val="00440F43"/>
    <w:rsid w:val="00441B6F"/>
    <w:rsid w:val="00446221"/>
    <w:rsid w:val="00450E62"/>
    <w:rsid w:val="004539DB"/>
    <w:rsid w:val="0045682E"/>
    <w:rsid w:val="00464AD3"/>
    <w:rsid w:val="00467BD5"/>
    <w:rsid w:val="0047002E"/>
    <w:rsid w:val="00471A80"/>
    <w:rsid w:val="00474DFB"/>
    <w:rsid w:val="004B0B87"/>
    <w:rsid w:val="004B1305"/>
    <w:rsid w:val="004D1C49"/>
    <w:rsid w:val="004D305E"/>
    <w:rsid w:val="004D4277"/>
    <w:rsid w:val="004E58AD"/>
    <w:rsid w:val="00502516"/>
    <w:rsid w:val="00505F06"/>
    <w:rsid w:val="00506828"/>
    <w:rsid w:val="00511E09"/>
    <w:rsid w:val="005146F4"/>
    <w:rsid w:val="005155B7"/>
    <w:rsid w:val="0053056E"/>
    <w:rsid w:val="00541952"/>
    <w:rsid w:val="00541E78"/>
    <w:rsid w:val="0054517F"/>
    <w:rsid w:val="005538D2"/>
    <w:rsid w:val="00554FDA"/>
    <w:rsid w:val="00573D9C"/>
    <w:rsid w:val="00582251"/>
    <w:rsid w:val="00586CF2"/>
    <w:rsid w:val="005B0722"/>
    <w:rsid w:val="005C713B"/>
    <w:rsid w:val="005C784C"/>
    <w:rsid w:val="005D17F6"/>
    <w:rsid w:val="005E1BA6"/>
    <w:rsid w:val="005E2A6B"/>
    <w:rsid w:val="005E5539"/>
    <w:rsid w:val="005E6DA2"/>
    <w:rsid w:val="005F3878"/>
    <w:rsid w:val="005F7A39"/>
    <w:rsid w:val="00602733"/>
    <w:rsid w:val="00602BF5"/>
    <w:rsid w:val="00617FDD"/>
    <w:rsid w:val="00631AB1"/>
    <w:rsid w:val="00632C39"/>
    <w:rsid w:val="00633614"/>
    <w:rsid w:val="00633F68"/>
    <w:rsid w:val="00636C5C"/>
    <w:rsid w:val="00636EB2"/>
    <w:rsid w:val="006375B8"/>
    <w:rsid w:val="00642F3D"/>
    <w:rsid w:val="0066510A"/>
    <w:rsid w:val="00673F9F"/>
    <w:rsid w:val="0067794E"/>
    <w:rsid w:val="0068150A"/>
    <w:rsid w:val="00686953"/>
    <w:rsid w:val="00687DEA"/>
    <w:rsid w:val="00687E67"/>
    <w:rsid w:val="00694984"/>
    <w:rsid w:val="006967F7"/>
    <w:rsid w:val="006A250C"/>
    <w:rsid w:val="006B21D3"/>
    <w:rsid w:val="006B57D0"/>
    <w:rsid w:val="006B7B70"/>
    <w:rsid w:val="006D1F0C"/>
    <w:rsid w:val="006D2CB4"/>
    <w:rsid w:val="006D30FF"/>
    <w:rsid w:val="006D6940"/>
    <w:rsid w:val="006D7B09"/>
    <w:rsid w:val="006E48E8"/>
    <w:rsid w:val="006E5AB9"/>
    <w:rsid w:val="006E7460"/>
    <w:rsid w:val="006F11EC"/>
    <w:rsid w:val="006F200F"/>
    <w:rsid w:val="006F64D0"/>
    <w:rsid w:val="0070082C"/>
    <w:rsid w:val="00706C89"/>
    <w:rsid w:val="00732F6D"/>
    <w:rsid w:val="007369E6"/>
    <w:rsid w:val="007420E5"/>
    <w:rsid w:val="00743412"/>
    <w:rsid w:val="007452EC"/>
    <w:rsid w:val="00746E59"/>
    <w:rsid w:val="007530E6"/>
    <w:rsid w:val="00754C9A"/>
    <w:rsid w:val="0075599A"/>
    <w:rsid w:val="00755C1E"/>
    <w:rsid w:val="00761D52"/>
    <w:rsid w:val="0077749E"/>
    <w:rsid w:val="00783862"/>
    <w:rsid w:val="00784252"/>
    <w:rsid w:val="00790ADA"/>
    <w:rsid w:val="00797702"/>
    <w:rsid w:val="0079783A"/>
    <w:rsid w:val="007B249D"/>
    <w:rsid w:val="007C7988"/>
    <w:rsid w:val="007D2288"/>
    <w:rsid w:val="007D6B6B"/>
    <w:rsid w:val="007D6F03"/>
    <w:rsid w:val="007E088F"/>
    <w:rsid w:val="007E48E2"/>
    <w:rsid w:val="007F7B32"/>
    <w:rsid w:val="00804BC2"/>
    <w:rsid w:val="0081431A"/>
    <w:rsid w:val="0082269D"/>
    <w:rsid w:val="0082458F"/>
    <w:rsid w:val="00826B0C"/>
    <w:rsid w:val="0083216F"/>
    <w:rsid w:val="00832902"/>
    <w:rsid w:val="00832E10"/>
    <w:rsid w:val="00836E33"/>
    <w:rsid w:val="00860000"/>
    <w:rsid w:val="00860C49"/>
    <w:rsid w:val="00863BD3"/>
    <w:rsid w:val="008641ED"/>
    <w:rsid w:val="00864B3E"/>
    <w:rsid w:val="00866D66"/>
    <w:rsid w:val="008671C6"/>
    <w:rsid w:val="00875803"/>
    <w:rsid w:val="00875C49"/>
    <w:rsid w:val="008A3990"/>
    <w:rsid w:val="008A6955"/>
    <w:rsid w:val="008B459E"/>
    <w:rsid w:val="008B531C"/>
    <w:rsid w:val="008B6338"/>
    <w:rsid w:val="008C0C5B"/>
    <w:rsid w:val="008C3CCA"/>
    <w:rsid w:val="008D2613"/>
    <w:rsid w:val="008D7DDB"/>
    <w:rsid w:val="008E13AE"/>
    <w:rsid w:val="008E1506"/>
    <w:rsid w:val="008E2025"/>
    <w:rsid w:val="008E710C"/>
    <w:rsid w:val="008F50F3"/>
    <w:rsid w:val="008F69D6"/>
    <w:rsid w:val="00902823"/>
    <w:rsid w:val="00913522"/>
    <w:rsid w:val="00915007"/>
    <w:rsid w:val="00915CA6"/>
    <w:rsid w:val="00927834"/>
    <w:rsid w:val="009500A6"/>
    <w:rsid w:val="009510C0"/>
    <w:rsid w:val="00957C18"/>
    <w:rsid w:val="009659BA"/>
    <w:rsid w:val="00971C65"/>
    <w:rsid w:val="0097466A"/>
    <w:rsid w:val="009766E1"/>
    <w:rsid w:val="00983040"/>
    <w:rsid w:val="00993081"/>
    <w:rsid w:val="0099779C"/>
    <w:rsid w:val="009A4097"/>
    <w:rsid w:val="009A550E"/>
    <w:rsid w:val="009B3FB9"/>
    <w:rsid w:val="009C2465"/>
    <w:rsid w:val="009C4A1D"/>
    <w:rsid w:val="009D1D25"/>
    <w:rsid w:val="009D235C"/>
    <w:rsid w:val="009D3404"/>
    <w:rsid w:val="009D35A0"/>
    <w:rsid w:val="009D7EB7"/>
    <w:rsid w:val="009E048A"/>
    <w:rsid w:val="009E08E9"/>
    <w:rsid w:val="009E3DB9"/>
    <w:rsid w:val="009E6E35"/>
    <w:rsid w:val="009F0EDA"/>
    <w:rsid w:val="00A03B96"/>
    <w:rsid w:val="00A05B19"/>
    <w:rsid w:val="00A1134E"/>
    <w:rsid w:val="00A15DB5"/>
    <w:rsid w:val="00A24E7E"/>
    <w:rsid w:val="00A258C3"/>
    <w:rsid w:val="00A333DE"/>
    <w:rsid w:val="00A347C0"/>
    <w:rsid w:val="00A41504"/>
    <w:rsid w:val="00A51431"/>
    <w:rsid w:val="00A539AD"/>
    <w:rsid w:val="00A65354"/>
    <w:rsid w:val="00A779B5"/>
    <w:rsid w:val="00A80F8B"/>
    <w:rsid w:val="00A85BE0"/>
    <w:rsid w:val="00A9052A"/>
    <w:rsid w:val="00A94063"/>
    <w:rsid w:val="00AA5B4E"/>
    <w:rsid w:val="00AA6219"/>
    <w:rsid w:val="00AA74E0"/>
    <w:rsid w:val="00AA7544"/>
    <w:rsid w:val="00AB54D8"/>
    <w:rsid w:val="00AB65C3"/>
    <w:rsid w:val="00AB703F"/>
    <w:rsid w:val="00AC25A7"/>
    <w:rsid w:val="00AC4773"/>
    <w:rsid w:val="00AC6BB8"/>
    <w:rsid w:val="00AD2E78"/>
    <w:rsid w:val="00AD40CD"/>
    <w:rsid w:val="00AE008F"/>
    <w:rsid w:val="00AE2F89"/>
    <w:rsid w:val="00AE40A1"/>
    <w:rsid w:val="00AF010F"/>
    <w:rsid w:val="00AF01B0"/>
    <w:rsid w:val="00B01FCD"/>
    <w:rsid w:val="00B07264"/>
    <w:rsid w:val="00B14A32"/>
    <w:rsid w:val="00B1776C"/>
    <w:rsid w:val="00B21A00"/>
    <w:rsid w:val="00B467EC"/>
    <w:rsid w:val="00B52583"/>
    <w:rsid w:val="00B52896"/>
    <w:rsid w:val="00B540BB"/>
    <w:rsid w:val="00B54C4B"/>
    <w:rsid w:val="00B82610"/>
    <w:rsid w:val="00B911AF"/>
    <w:rsid w:val="00B95236"/>
    <w:rsid w:val="00B96BD9"/>
    <w:rsid w:val="00B97A76"/>
    <w:rsid w:val="00BA0A99"/>
    <w:rsid w:val="00BA1B01"/>
    <w:rsid w:val="00BA2641"/>
    <w:rsid w:val="00BB0EE9"/>
    <w:rsid w:val="00BB3540"/>
    <w:rsid w:val="00BB37AA"/>
    <w:rsid w:val="00BB5863"/>
    <w:rsid w:val="00BC53A0"/>
    <w:rsid w:val="00BC6395"/>
    <w:rsid w:val="00BC7620"/>
    <w:rsid w:val="00BD2FEF"/>
    <w:rsid w:val="00BE62AD"/>
    <w:rsid w:val="00BF121F"/>
    <w:rsid w:val="00BF1F80"/>
    <w:rsid w:val="00C166EF"/>
    <w:rsid w:val="00C16969"/>
    <w:rsid w:val="00C17EB0"/>
    <w:rsid w:val="00C2189F"/>
    <w:rsid w:val="00C23631"/>
    <w:rsid w:val="00C27F5F"/>
    <w:rsid w:val="00C30A0F"/>
    <w:rsid w:val="00C337F1"/>
    <w:rsid w:val="00C36F64"/>
    <w:rsid w:val="00C37E61"/>
    <w:rsid w:val="00C47A7C"/>
    <w:rsid w:val="00C70F1B"/>
    <w:rsid w:val="00C71A47"/>
    <w:rsid w:val="00C7464C"/>
    <w:rsid w:val="00C7595C"/>
    <w:rsid w:val="00C77FC5"/>
    <w:rsid w:val="00C84E93"/>
    <w:rsid w:val="00C85588"/>
    <w:rsid w:val="00C94141"/>
    <w:rsid w:val="00CA1215"/>
    <w:rsid w:val="00CA1AB9"/>
    <w:rsid w:val="00CC0B01"/>
    <w:rsid w:val="00CD05DB"/>
    <w:rsid w:val="00CD61BD"/>
    <w:rsid w:val="00CD6755"/>
    <w:rsid w:val="00CD6856"/>
    <w:rsid w:val="00CE0089"/>
    <w:rsid w:val="00CE793C"/>
    <w:rsid w:val="00CF04D7"/>
    <w:rsid w:val="00CF193C"/>
    <w:rsid w:val="00D11C63"/>
    <w:rsid w:val="00D122C8"/>
    <w:rsid w:val="00D173F1"/>
    <w:rsid w:val="00D17CBE"/>
    <w:rsid w:val="00D210AC"/>
    <w:rsid w:val="00D21872"/>
    <w:rsid w:val="00D313CA"/>
    <w:rsid w:val="00D3174D"/>
    <w:rsid w:val="00D42BDC"/>
    <w:rsid w:val="00D459C9"/>
    <w:rsid w:val="00D51ADB"/>
    <w:rsid w:val="00D70E3F"/>
    <w:rsid w:val="00D73B84"/>
    <w:rsid w:val="00D74CB0"/>
    <w:rsid w:val="00D8295D"/>
    <w:rsid w:val="00DA55C2"/>
    <w:rsid w:val="00DA60B9"/>
    <w:rsid w:val="00DB1B15"/>
    <w:rsid w:val="00DC2A65"/>
    <w:rsid w:val="00DE15F0"/>
    <w:rsid w:val="00DE5663"/>
    <w:rsid w:val="00DE78AA"/>
    <w:rsid w:val="00E03630"/>
    <w:rsid w:val="00E053D0"/>
    <w:rsid w:val="00E15994"/>
    <w:rsid w:val="00E23D55"/>
    <w:rsid w:val="00E27931"/>
    <w:rsid w:val="00E305B7"/>
    <w:rsid w:val="00E3114E"/>
    <w:rsid w:val="00E31A70"/>
    <w:rsid w:val="00E35B02"/>
    <w:rsid w:val="00E65E8B"/>
    <w:rsid w:val="00E66496"/>
    <w:rsid w:val="00E66B35"/>
    <w:rsid w:val="00E66E10"/>
    <w:rsid w:val="00E674A2"/>
    <w:rsid w:val="00E737BF"/>
    <w:rsid w:val="00E769F6"/>
    <w:rsid w:val="00E808E0"/>
    <w:rsid w:val="00E8407C"/>
    <w:rsid w:val="00E84F3C"/>
    <w:rsid w:val="00E85DEA"/>
    <w:rsid w:val="00E92ABE"/>
    <w:rsid w:val="00E96FA5"/>
    <w:rsid w:val="00EA012C"/>
    <w:rsid w:val="00EB2F04"/>
    <w:rsid w:val="00EC6A55"/>
    <w:rsid w:val="00EC7B05"/>
    <w:rsid w:val="00ED0288"/>
    <w:rsid w:val="00ED2228"/>
    <w:rsid w:val="00EE24AF"/>
    <w:rsid w:val="00EE52CB"/>
    <w:rsid w:val="00EF581D"/>
    <w:rsid w:val="00EF7FD8"/>
    <w:rsid w:val="00F05503"/>
    <w:rsid w:val="00F06F59"/>
    <w:rsid w:val="00F110DF"/>
    <w:rsid w:val="00F17988"/>
    <w:rsid w:val="00F25168"/>
    <w:rsid w:val="00F25C9C"/>
    <w:rsid w:val="00F469F0"/>
    <w:rsid w:val="00F53273"/>
    <w:rsid w:val="00F5482F"/>
    <w:rsid w:val="00F60320"/>
    <w:rsid w:val="00F65923"/>
    <w:rsid w:val="00F755E4"/>
    <w:rsid w:val="00F77D02"/>
    <w:rsid w:val="00F9147E"/>
    <w:rsid w:val="00F9293C"/>
    <w:rsid w:val="00FB3A86"/>
    <w:rsid w:val="00FC5F23"/>
    <w:rsid w:val="00FD36C8"/>
    <w:rsid w:val="00FD5BE4"/>
    <w:rsid w:val="00FE0339"/>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DA3C57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095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C16969"/>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C16969"/>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135848"/>
    <w:pPr>
      <w:ind w:left="720"/>
      <w:contextualSpacing/>
    </w:pPr>
  </w:style>
  <w:style w:type="character" w:customStyle="1" w:styleId="breakword">
    <w:name w:val="breakword"/>
    <w:basedOn w:val="DefaultParagraphFont"/>
    <w:rsid w:val="002B7524"/>
  </w:style>
  <w:style w:type="table" w:customStyle="1" w:styleId="TableGrid1">
    <w:name w:val="Table Grid1"/>
    <w:basedOn w:val="TableNormal"/>
    <w:next w:val="TableGrid"/>
    <w:uiPriority w:val="59"/>
    <w:rsid w:val="00D42B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F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79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4252"/>
    <w:pPr>
      <w:autoSpaceDE w:val="0"/>
      <w:autoSpaceDN w:val="0"/>
      <w:adjustRightInd w:val="0"/>
    </w:pPr>
    <w:rPr>
      <w:rFonts w:eastAsiaTheme="minorHAnsi"/>
      <w:color w:val="000000"/>
      <w:sz w:val="24"/>
      <w:szCs w:val="24"/>
    </w:rPr>
  </w:style>
  <w:style w:type="character" w:customStyle="1" w:styleId="bzpyqfadein">
    <w:name w:val="bz_pyq_fadein"/>
    <w:basedOn w:val="DefaultParagraphFont"/>
    <w:rsid w:val="00D210AC"/>
  </w:style>
  <w:style w:type="paragraph" w:styleId="NormalWeb">
    <w:name w:val="Normal (Web)"/>
    <w:basedOn w:val="Normal"/>
    <w:uiPriority w:val="99"/>
    <w:unhideWhenUsed/>
    <w:rsid w:val="00AD2E78"/>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B540BB"/>
    <w:rPr>
      <w:color w:val="605E5C"/>
      <w:shd w:val="clear" w:color="auto" w:fill="E1DFDD"/>
    </w:rPr>
  </w:style>
  <w:style w:type="paragraph" w:styleId="NoSpacing">
    <w:name w:val="No Spacing"/>
    <w:uiPriority w:val="1"/>
    <w:qFormat/>
    <w:rsid w:val="00474DFB"/>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080711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224910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04022960">
      <w:bodyDiv w:val="1"/>
      <w:marLeft w:val="0"/>
      <w:marRight w:val="0"/>
      <w:marTop w:val="0"/>
      <w:marBottom w:val="0"/>
      <w:divBdr>
        <w:top w:val="none" w:sz="0" w:space="0" w:color="auto"/>
        <w:left w:val="none" w:sz="0" w:space="0" w:color="auto"/>
        <w:bottom w:val="none" w:sz="0" w:space="0" w:color="auto"/>
        <w:right w:val="none" w:sz="0" w:space="0" w:color="auto"/>
      </w:divBdr>
    </w:div>
    <w:div w:id="96399932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7555617">
      <w:bodyDiv w:val="1"/>
      <w:marLeft w:val="0"/>
      <w:marRight w:val="0"/>
      <w:marTop w:val="0"/>
      <w:marBottom w:val="0"/>
      <w:divBdr>
        <w:top w:val="none" w:sz="0" w:space="0" w:color="auto"/>
        <w:left w:val="none" w:sz="0" w:space="0" w:color="auto"/>
        <w:bottom w:val="none" w:sz="0" w:space="0" w:color="auto"/>
        <w:right w:val="none" w:sz="0" w:space="0" w:color="auto"/>
      </w:divBdr>
    </w:div>
    <w:div w:id="1384255489">
      <w:bodyDiv w:val="1"/>
      <w:marLeft w:val="0"/>
      <w:marRight w:val="0"/>
      <w:marTop w:val="0"/>
      <w:marBottom w:val="0"/>
      <w:divBdr>
        <w:top w:val="none" w:sz="0" w:space="0" w:color="auto"/>
        <w:left w:val="none" w:sz="0" w:space="0" w:color="auto"/>
        <w:bottom w:val="none" w:sz="0" w:space="0" w:color="auto"/>
        <w:right w:val="none" w:sz="0" w:space="0" w:color="auto"/>
      </w:divBdr>
    </w:div>
    <w:div w:id="1436712430">
      <w:bodyDiv w:val="1"/>
      <w:marLeft w:val="0"/>
      <w:marRight w:val="0"/>
      <w:marTop w:val="0"/>
      <w:marBottom w:val="0"/>
      <w:divBdr>
        <w:top w:val="none" w:sz="0" w:space="0" w:color="auto"/>
        <w:left w:val="none" w:sz="0" w:space="0" w:color="auto"/>
        <w:bottom w:val="none" w:sz="0" w:space="0" w:color="auto"/>
        <w:right w:val="none" w:sz="0" w:space="0" w:color="auto"/>
      </w:divBdr>
    </w:div>
    <w:div w:id="1692679232">
      <w:bodyDiv w:val="1"/>
      <w:marLeft w:val="0"/>
      <w:marRight w:val="0"/>
      <w:marTop w:val="0"/>
      <w:marBottom w:val="0"/>
      <w:divBdr>
        <w:top w:val="none" w:sz="0" w:space="0" w:color="auto"/>
        <w:left w:val="none" w:sz="0" w:space="0" w:color="auto"/>
        <w:bottom w:val="none" w:sz="0" w:space="0" w:color="auto"/>
        <w:right w:val="none" w:sz="0" w:space="0" w:color="auto"/>
      </w:divBdr>
    </w:div>
    <w:div w:id="1733573953">
      <w:bodyDiv w:val="1"/>
      <w:marLeft w:val="0"/>
      <w:marRight w:val="0"/>
      <w:marTop w:val="0"/>
      <w:marBottom w:val="0"/>
      <w:divBdr>
        <w:top w:val="none" w:sz="0" w:space="0" w:color="auto"/>
        <w:left w:val="none" w:sz="0" w:space="0" w:color="auto"/>
        <w:bottom w:val="none" w:sz="0" w:space="0" w:color="auto"/>
        <w:right w:val="none" w:sz="0" w:space="0" w:color="auto"/>
      </w:divBdr>
    </w:div>
    <w:div w:id="173581297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467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Body weights</a:t>
            </a:r>
            <a:r>
              <a:rPr lang="en-US" baseline="0"/>
              <a:t> </a:t>
            </a:r>
            <a:endParaRPr lang="en-US"/>
          </a:p>
        </c:rich>
      </c:tx>
      <c:overlay val="1"/>
      <c:spPr>
        <a:noFill/>
        <a:ln>
          <a:noFill/>
        </a:ln>
        <a:effectLst/>
      </c:spPr>
    </c:title>
    <c:autoTitleDeleted val="0"/>
    <c:plotArea>
      <c:layout/>
      <c:barChart>
        <c:barDir val="col"/>
        <c:grouping val="clustered"/>
        <c:varyColors val="1"/>
        <c:ser>
          <c:idx val="0"/>
          <c:order val="0"/>
          <c:tx>
            <c:strRef>
              <c:f>Sheet1!$B$1</c:f>
              <c:strCache>
                <c:ptCount val="1"/>
                <c:pt idx="0">
                  <c:v>Initial weights</c:v>
                </c:pt>
              </c:strCache>
            </c:strRef>
          </c:tx>
          <c:spPr>
            <a:solidFill>
              <a:srgbClr val="4F81BD"/>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200</c:v>
                </c:pt>
                <c:pt idx="1">
                  <c:v>201</c:v>
                </c:pt>
                <c:pt idx="2">
                  <c:v>186</c:v>
                </c:pt>
                <c:pt idx="3">
                  <c:v>174</c:v>
                </c:pt>
                <c:pt idx="4">
                  <c:v>209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0EE-4DE2-B61F-0D5F76E2E501}"/>
            </c:ext>
          </c:extLst>
        </c:ser>
        <c:ser>
          <c:idx val="1"/>
          <c:order val="1"/>
          <c:tx>
            <c:strRef>
              <c:f>Sheet1!$C$1</c:f>
              <c:strCache>
                <c:ptCount val="1"/>
                <c:pt idx="0">
                  <c:v>Final Weights</c:v>
                </c:pt>
              </c:strCache>
            </c:strRef>
          </c:tx>
          <c:spPr>
            <a:solidFill>
              <a:srgbClr val="C0504D"/>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pt idx="0">
                  <c:v>244</c:v>
                </c:pt>
                <c:pt idx="1">
                  <c:v>113</c:v>
                </c:pt>
                <c:pt idx="2">
                  <c:v>206</c:v>
                </c:pt>
                <c:pt idx="3">
                  <c:v>190</c:v>
                </c:pt>
                <c:pt idx="4">
                  <c:v>245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50EE-4DE2-B61F-0D5F76E2E501}"/>
            </c:ext>
          </c:extLst>
        </c:ser>
        <c:ser>
          <c:idx val="2"/>
          <c:order val="2"/>
          <c:tx>
            <c:strRef>
              <c:f>Sheet1!$D$1</c:f>
              <c:strCache>
                <c:ptCount val="1"/>
                <c:pt idx="0">
                  <c:v>Column1</c:v>
                </c:pt>
              </c:strCache>
            </c:strRef>
          </c:tx>
          <c:spPr>
            <a:solidFill>
              <a:srgbClr val="9BBB59"/>
            </a:solidFill>
            <a:ln>
              <a:noFill/>
            </a:ln>
            <a:effectLst/>
          </c:spPr>
          <c:invertIfNegative val="1"/>
          <c:errBars>
            <c:errBarType val="both"/>
            <c:errValType val="stdErr"/>
            <c:noEndCap val="1"/>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50EE-4DE2-B61F-0D5F76E2E501}"/>
            </c:ext>
          </c:extLst>
        </c:ser>
        <c:dLbls>
          <c:showLegendKey val="0"/>
          <c:showVal val="0"/>
          <c:showCatName val="0"/>
          <c:showSerName val="0"/>
          <c:showPercent val="0"/>
          <c:showBubbleSize val="0"/>
        </c:dLbls>
        <c:gapWidth val="219"/>
        <c:overlap val="-27"/>
        <c:axId val="282872664"/>
        <c:axId val="282867176"/>
      </c:barChart>
      <c:catAx>
        <c:axId val="2828726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EXPERIMENTAL</a:t>
                </a:r>
                <a:r>
                  <a:rPr lang="en-US" baseline="0"/>
                  <a:t> GROUPS</a:t>
                </a:r>
                <a:endParaRPr lang="en-US"/>
              </a:p>
            </c:rich>
          </c:tx>
          <c:overlay val="1"/>
          <c:spPr>
            <a:noFill/>
            <a:ln>
              <a:noFill/>
            </a:ln>
            <a:effectLst/>
          </c:spPr>
        </c:title>
        <c:numFmt formatCode="General" sourceLinked="1"/>
        <c:majorTickMark val="none"/>
        <c:minorTickMark val="cross"/>
        <c:tickLblPos val="nextTo"/>
        <c:crossAx val="282867176"/>
        <c:crosses val="autoZero"/>
        <c:auto val="1"/>
        <c:lblAlgn val="ctr"/>
        <c:lblOffset val="100"/>
        <c:noMultiLvlLbl val="1"/>
      </c:catAx>
      <c:valAx>
        <c:axId val="2828671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WEIGHTS</a:t>
                </a:r>
                <a:r>
                  <a:rPr lang="en-US" baseline="0"/>
                  <a:t> (KG)</a:t>
                </a:r>
                <a:endParaRPr lang="en-US"/>
              </a:p>
            </c:rich>
          </c:tx>
          <c:overlay val="1"/>
          <c:spPr>
            <a:noFill/>
            <a:ln>
              <a:noFill/>
            </a:ln>
            <a:effectLst/>
          </c:spPr>
        </c:title>
        <c:numFmt formatCode="General" sourceLinked="1"/>
        <c:majorTickMark val="none"/>
        <c:minorTickMark val="cross"/>
        <c:tickLblPos val="nextTo"/>
        <c:crossAx val="282872664"/>
        <c:crosses val="autoZero"/>
        <c:crossBetween val="between"/>
      </c:valAx>
      <c:spPr>
        <a:noFill/>
        <a:ln>
          <a:noFill/>
        </a:ln>
        <a:effectLst/>
      </c:spPr>
    </c:plotArea>
    <c:legend>
      <c:legendPos val="b"/>
      <c:legendEntry>
        <c:idx val="2"/>
        <c:delete val="1"/>
      </c:legendEntry>
      <c:layout>
        <c:manualLayout>
          <c:xMode val="edge"/>
          <c:yMode val="edge"/>
          <c:x val="0.33334661590178177"/>
          <c:y val="0.93323395406434728"/>
          <c:w val="0.333306586243444"/>
          <c:h val="6.6766045935652704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94481-4158-4F6D-84DC-A0AEB3CF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655</TotalTime>
  <Pages>11</Pages>
  <Words>4929</Words>
  <Characters>28098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32962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261</cp:revision>
  <cp:lastPrinted>1999-07-06T11:00:00Z</cp:lastPrinted>
  <dcterms:created xsi:type="dcterms:W3CDTF">2014-10-25T14:34:00Z</dcterms:created>
  <dcterms:modified xsi:type="dcterms:W3CDTF">2026-03-26T06:41:00Z</dcterms:modified>
</cp:coreProperties>
</file>