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2.JPG" ContentType="image/jpeg"/>
  <Override PartName="/word/media/image3.JPG" ContentType="image/jpeg"/>
  <Override PartName="/word/ink/ink1.xml" ContentType="application/inkml+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57EB20" w14:textId="77777777" w:rsidR="004C6D92" w:rsidRPr="00F14A5E" w:rsidRDefault="00F14A5E" w:rsidP="00F14A5E">
      <w:pPr>
        <w:pStyle w:val="Title"/>
      </w:pPr>
      <w:r w:rsidRPr="00F14A5E">
        <w:t>Congenital Facial Paralysis Associated with Grade III Microtia in a 13-Year-Old Male: A Case Report</w:t>
      </w:r>
    </w:p>
    <w:p w14:paraId="2E615B65" w14:textId="77777777" w:rsidR="004C6D92" w:rsidRDefault="002D57F9">
      <w:pPr>
        <w:pStyle w:val="Heading1"/>
      </w:pPr>
      <w:r>
        <w:t>Abstract</w:t>
      </w:r>
    </w:p>
    <w:p w14:paraId="67FC010A" w14:textId="77777777" w:rsidR="004C6D92" w:rsidRDefault="00B748B2">
      <w:r>
        <w:t>As a background, microtia and congenital facial paralysis are both extremely rare disorders that provide formidable clinical obstacles. They require extensive interdisciplinary care since their simultaneous presence is so rare.</w:t>
      </w:r>
      <w:r w:rsidR="002D57F9">
        <w:br/>
      </w:r>
      <w:r>
        <w:t>We present a case of a male patient, 13 years old, who had microtia grade 3, congenital left-sided facial paralysis (House-</w:t>
      </w:r>
      <w:proofErr w:type="spellStart"/>
      <w:r>
        <w:t>Brackmann</w:t>
      </w:r>
      <w:proofErr w:type="spellEnd"/>
      <w:r>
        <w:t xml:space="preserve"> grade V). In addition to severe conductive hearing loss, facial asymmetry, an atretic external auditory canal, a tiny, peanut-shaped </w:t>
      </w:r>
      <w:proofErr w:type="spellStart"/>
      <w:r>
        <w:t>vestigal</w:t>
      </w:r>
      <w:proofErr w:type="spellEnd"/>
      <w:r>
        <w:t xml:space="preserve"> ear structure on the left side were also detected during the clinical examination. Thorough evaluation of the anatomy was made possible by cutting-edge MRI and CT scans. The patient was assessed and managed by a team of experts from many fields, including audiology, ophthalmology, and surgery planning.</w:t>
      </w:r>
      <w:r w:rsidR="002D57F9">
        <w:br/>
      </w:r>
      <w:r>
        <w:t xml:space="preserve">In conclusion, this unusual relationship highlights the need for prompt diagnosis, thorough evaluation, and tailored interdisciplinary treatment. This case study adds to the little literature on this unusual presentation while also shedding insight on healthcare management techniques in </w:t>
      </w:r>
      <w:proofErr w:type="gramStart"/>
      <w:r>
        <w:t>India.</w:t>
      </w:r>
      <w:r w:rsidR="002D57F9">
        <w:t>.</w:t>
      </w:r>
      <w:proofErr w:type="gramEnd"/>
    </w:p>
    <w:p w14:paraId="49C0C42F" w14:textId="77777777" w:rsidR="004C6D92" w:rsidRDefault="002D57F9">
      <w:pPr>
        <w:pStyle w:val="Heading2"/>
      </w:pPr>
      <w:r>
        <w:t>Keywords</w:t>
      </w:r>
    </w:p>
    <w:p w14:paraId="033319F7" w14:textId="77777777" w:rsidR="004C6D92" w:rsidRDefault="002D57F9">
      <w:r>
        <w:t>Congenital facial paralysis, microtia grade 3, case report, pediatric, craniofacial anomalies, multidisciplinary care</w:t>
      </w:r>
    </w:p>
    <w:p w14:paraId="5A77D8DE" w14:textId="77777777" w:rsidR="004C6D92" w:rsidRDefault="002D57F9">
      <w:pPr>
        <w:pStyle w:val="Heading1"/>
      </w:pPr>
      <w:r>
        <w:t>Introduction</w:t>
      </w:r>
    </w:p>
    <w:p w14:paraId="42C7A912" w14:textId="273D14CE" w:rsidR="004C6D92" w:rsidRDefault="00083A9A">
      <w:r w:rsidRPr="00083A9A">
        <w:rPr>
          <w:color w:val="000000"/>
        </w:rPr>
        <w:t>There is an estimated occurrence of 2 per 1000 live births with congenital facial paralysis, a rare disorder that manifests at birth due to abnormalities in facial nerve development</w:t>
      </w:r>
      <w:r w:rsidRPr="00083A9A">
        <w:rPr>
          <w:rStyle w:val="apple-converted-space"/>
          <w:color w:val="000000"/>
        </w:rPr>
        <w:t> </w:t>
      </w:r>
      <w:r w:rsidRPr="00083A9A">
        <w:rPr>
          <w:rStyle w:val="Strong"/>
          <w:color w:val="000000"/>
        </w:rPr>
        <w:t>(3</w:t>
      </w:r>
      <w:proofErr w:type="gramStart"/>
      <w:r w:rsidRPr="00083A9A">
        <w:rPr>
          <w:rStyle w:val="Strong"/>
          <w:color w:val="000000"/>
        </w:rPr>
        <w:t>)</w:t>
      </w:r>
      <w:r w:rsidRPr="00083A9A">
        <w:rPr>
          <w:color w:val="000000"/>
        </w:rPr>
        <w:t>.</w:t>
      </w:r>
      <w:r w:rsidR="00B748B2" w:rsidRPr="00083A9A">
        <w:t>Intrauterine</w:t>
      </w:r>
      <w:proofErr w:type="gramEnd"/>
      <w:r w:rsidR="00B748B2" w:rsidRPr="00083A9A">
        <w:t xml:space="preserve"> injury, developmental abnormalities, or hereditary factors could determine the cause. </w:t>
      </w:r>
      <w:r w:rsidRPr="00083A9A">
        <w:rPr>
          <w:color w:val="000000"/>
        </w:rPr>
        <w:t>Microtia occurs in approximately 1 in 8,000–10,000 live births and may be associated with external auditory canal atresia and conductive hearing loss</w:t>
      </w:r>
      <w:r w:rsidRPr="00083A9A">
        <w:rPr>
          <w:rStyle w:val="apple-converted-space"/>
          <w:color w:val="000000"/>
        </w:rPr>
        <w:t> </w:t>
      </w:r>
      <w:r w:rsidRPr="00083A9A">
        <w:rPr>
          <w:rStyle w:val="Strong"/>
          <w:color w:val="000000"/>
        </w:rPr>
        <w:t>(2</w:t>
      </w:r>
      <w:proofErr w:type="gramStart"/>
      <w:r w:rsidRPr="00083A9A">
        <w:rPr>
          <w:rStyle w:val="Strong"/>
          <w:color w:val="000000"/>
        </w:rPr>
        <w:t>)</w:t>
      </w:r>
      <w:r w:rsidRPr="00083A9A">
        <w:rPr>
          <w:color w:val="000000"/>
        </w:rPr>
        <w:t>.</w:t>
      </w:r>
      <w:r w:rsidR="00B748B2" w:rsidRPr="00083A9A">
        <w:t>Grade</w:t>
      </w:r>
      <w:proofErr w:type="gramEnd"/>
      <w:r w:rsidR="00B748B2" w:rsidRPr="00083A9A">
        <w:t xml:space="preserve"> 3 microtia is defined as a tiny, peanut-shaped vestigial ear structure with an absence or stenotic external auditory canal, and there are four grades of microtia</w:t>
      </w:r>
      <w:r w:rsidR="00A70E0D">
        <w:t xml:space="preserve"> (7)</w:t>
      </w:r>
      <w:r w:rsidR="00B748B2" w:rsidRPr="00083A9A">
        <w:t>.There have been very few case reports of congenital facial paralysis</w:t>
      </w:r>
      <w:r w:rsidR="00B748B2">
        <w:t xml:space="preserve"> and microtia grade 3 coexisting in the literature. </w:t>
      </w:r>
      <w:r w:rsidRPr="00083A9A">
        <w:rPr>
          <w:color w:val="000000"/>
        </w:rPr>
        <w:t>This association may result from abnormalities in the development of the first and second branchial arches during embryogenesis</w:t>
      </w:r>
      <w:r w:rsidRPr="00083A9A">
        <w:rPr>
          <w:rStyle w:val="apple-converted-space"/>
          <w:color w:val="000000"/>
        </w:rPr>
        <w:t> </w:t>
      </w:r>
      <w:r w:rsidRPr="00083A9A">
        <w:rPr>
          <w:rStyle w:val="Strong"/>
          <w:color w:val="000000"/>
        </w:rPr>
        <w:t>(3</w:t>
      </w:r>
      <w:proofErr w:type="gramStart"/>
      <w:r w:rsidRPr="00083A9A">
        <w:rPr>
          <w:rStyle w:val="Strong"/>
          <w:color w:val="000000"/>
        </w:rPr>
        <w:t>)</w:t>
      </w:r>
      <w:r w:rsidRPr="00083A9A">
        <w:rPr>
          <w:color w:val="000000"/>
        </w:rPr>
        <w:t>.</w:t>
      </w:r>
      <w:r w:rsidR="00B748B2" w:rsidRPr="00083A9A">
        <w:t>This</w:t>
      </w:r>
      <w:proofErr w:type="gramEnd"/>
      <w:r w:rsidR="00B748B2" w:rsidRPr="00083A9A">
        <w:t xml:space="preserve"> case study details the diagnostic process, clinical findings, and interdisciplinary approach to managing a 13-year-old male patient in a tertiary care facility in India who had congenital left-sided f</w:t>
      </w:r>
      <w:r w:rsidR="00B748B2">
        <w:t>acial paralysis with microtia grade 3.</w:t>
      </w:r>
    </w:p>
    <w:p w14:paraId="00AE0204" w14:textId="77777777" w:rsidR="004C6D92" w:rsidRDefault="002D57F9">
      <w:pPr>
        <w:pStyle w:val="Heading1"/>
      </w:pPr>
      <w:r>
        <w:lastRenderedPageBreak/>
        <w:t>Case Presentation</w:t>
      </w:r>
    </w:p>
    <w:p w14:paraId="2E900B33" w14:textId="77777777" w:rsidR="004C6D92" w:rsidRDefault="002D57F9">
      <w:pPr>
        <w:pStyle w:val="Heading2"/>
      </w:pPr>
      <w:r>
        <w:t>Patient Demographics and History</w:t>
      </w:r>
    </w:p>
    <w:p w14:paraId="670A82C3" w14:textId="460958F3" w:rsidR="004C6D92" w:rsidRDefault="00B748B2">
      <w:r>
        <w:t xml:space="preserve">A male patient who had been complaining of facial asymmetry and an undeveloped left external ear since infancy arrived at our tertiary care teaching hospital at the age of thirteen. He was born to a first-time mother, who was 22 years old, at 38 weeks of gestation by a normal vaginal birth. A healthy baby boy weighing 2.7 kg was born without any problems throughout </w:t>
      </w:r>
      <w:proofErr w:type="spellStart"/>
      <w:proofErr w:type="gramStart"/>
      <w:r>
        <w:t>pregnancy.There</w:t>
      </w:r>
      <w:proofErr w:type="spellEnd"/>
      <w:proofErr w:type="gramEnd"/>
      <w:r>
        <w:t xml:space="preserve"> is no consanguinity or history of such anomalies or genetic illnesses in the family history, which does not contribute to the patient's condition. There were no noteworthy infections, teratogenic medication exposures, diabetes, or other chronic disorders identified in the maternal prenatal history. During early childhood, the patient had moderate issues with speech articulation and hearing, but otherwise reached adequate developmental milestones for their age. Efficacious educational approaches led to satisfactory academic performance.</w:t>
      </w:r>
    </w:p>
    <w:p w14:paraId="19475303" w14:textId="77777777" w:rsidR="004C6D92" w:rsidRDefault="002D57F9">
      <w:pPr>
        <w:pStyle w:val="Heading2"/>
      </w:pPr>
      <w:r>
        <w:t>Clinical Examination</w:t>
      </w:r>
    </w:p>
    <w:p w14:paraId="604865FE" w14:textId="77777777" w:rsidR="004C6D92" w:rsidRDefault="00B748B2">
      <w:r>
        <w:t xml:space="preserve">The patient's anthropometric data (height: 148 cm, weight: 42 kg) were within the normal range for his age, and he seemed healthy during the overall examination. Aside from the craniofacial findings, there were no dysmorphic </w:t>
      </w:r>
      <w:proofErr w:type="spellStart"/>
      <w:r>
        <w:t>traits.The</w:t>
      </w:r>
      <w:proofErr w:type="spellEnd"/>
      <w:r>
        <w:t xml:space="preserve"> results of the craniofacial exam showed (Figure 1):• Microtia grade 3, a tiny, peanut-shaped remnant of the ear on the left </w:t>
      </w:r>
      <w:proofErr w:type="spellStart"/>
      <w:r>
        <w:t>sidea</w:t>
      </w:r>
      <w:proofErr w:type="spellEnd"/>
      <w:r>
        <w:t xml:space="preserve"> hole in the left side of the eardrum• An uneven face shape characterized by a diminished left nasolabial fold• Slight drooping of the left corner of the mouth • No </w:t>
      </w:r>
      <w:r w:rsidRPr="00083A9A">
        <w:t>abnormalities with the structure or function of the right ear • Limited mobility of the left-sided facial muscles (including the forehead, periorbital, and perioral regions) • Incomplete closure of the left eye (lagophthalmos)</w:t>
      </w:r>
      <w:r w:rsidR="00083A9A" w:rsidRPr="00083A9A">
        <w:rPr>
          <w:color w:val="000000"/>
        </w:rPr>
        <w:t xml:space="preserve"> On the left side, neurological examination revealed</w:t>
      </w:r>
      <w:r w:rsidR="00083A9A" w:rsidRPr="00083A9A">
        <w:rPr>
          <w:rStyle w:val="apple-converted-space"/>
          <w:color w:val="000000"/>
        </w:rPr>
        <w:t> </w:t>
      </w:r>
      <w:r w:rsidR="00083A9A" w:rsidRPr="00083A9A">
        <w:rPr>
          <w:rStyle w:val="Strong"/>
          <w:color w:val="000000"/>
        </w:rPr>
        <w:t>House-</w:t>
      </w:r>
      <w:proofErr w:type="spellStart"/>
      <w:r w:rsidR="00083A9A" w:rsidRPr="00083A9A">
        <w:rPr>
          <w:rStyle w:val="Strong"/>
          <w:color w:val="000000"/>
        </w:rPr>
        <w:t>Brackmann</w:t>
      </w:r>
      <w:proofErr w:type="spellEnd"/>
      <w:r w:rsidR="00083A9A" w:rsidRPr="00083A9A">
        <w:rPr>
          <w:rStyle w:val="Strong"/>
          <w:color w:val="000000"/>
        </w:rPr>
        <w:t xml:space="preserve"> grade V facial paralysis (1)</w:t>
      </w:r>
      <w:r w:rsidR="00083A9A" w:rsidRPr="00083A9A">
        <w:rPr>
          <w:color w:val="000000"/>
        </w:rPr>
        <w:t>.</w:t>
      </w:r>
      <w:r w:rsidRPr="00083A9A">
        <w:t>, but on the right side, function was retained. The general neurological evaluation</w:t>
      </w:r>
      <w:r>
        <w:t xml:space="preserve"> came back normal, and all of the other cranial nerves were </w:t>
      </w:r>
      <w:proofErr w:type="spellStart"/>
      <w:proofErr w:type="gramStart"/>
      <w:r>
        <w:t>unharmed.The</w:t>
      </w:r>
      <w:proofErr w:type="spellEnd"/>
      <w:proofErr w:type="gramEnd"/>
      <w:r>
        <w:t xml:space="preserve"> results of the systemic evaluation did not indicate any abnormalities in the heart, limbs, or other organ systems.</w:t>
      </w:r>
    </w:p>
    <w:p w14:paraId="547D9B30" w14:textId="77777777" w:rsidR="004C6D92" w:rsidRDefault="004C6D92"/>
    <w:p w14:paraId="71B75913" w14:textId="77777777" w:rsidR="00B748B2" w:rsidRDefault="00B748B2">
      <w:pPr>
        <w:rPr>
          <w:b/>
        </w:rPr>
      </w:pPr>
    </w:p>
    <w:p w14:paraId="21E12989" w14:textId="77777777" w:rsidR="00B748B2" w:rsidRDefault="00B748B2">
      <w:pPr>
        <w:rPr>
          <w:b/>
        </w:rPr>
      </w:pPr>
    </w:p>
    <w:p w14:paraId="56033B5E" w14:textId="77777777" w:rsidR="00B748B2" w:rsidRDefault="00B748B2">
      <w:pPr>
        <w:rPr>
          <w:b/>
        </w:rPr>
      </w:pPr>
    </w:p>
    <w:p w14:paraId="550973BE" w14:textId="1B42E3C7" w:rsidR="004C6D92" w:rsidRDefault="002D57F9">
      <w:r>
        <w:rPr>
          <w:b/>
        </w:rPr>
        <w:t>Figure 1: Clinical photographs of the patient showing congenital left-sided facial paralysis with microtia grade 3.</w:t>
      </w:r>
      <w:r>
        <w:rPr>
          <w:b/>
        </w:rPr>
        <w:br/>
      </w:r>
      <w:r>
        <w:rPr>
          <w:b/>
        </w:rPr>
        <w:br/>
      </w:r>
    </w:p>
    <w:tbl>
      <w:tblPr>
        <w:tblStyle w:val="TableGrid"/>
        <w:tblW w:w="0" w:type="auto"/>
        <w:tblLook w:val="04A0" w:firstRow="1" w:lastRow="0" w:firstColumn="1" w:lastColumn="0" w:noHBand="0" w:noVBand="1"/>
      </w:tblPr>
      <w:tblGrid>
        <w:gridCol w:w="4315"/>
        <w:gridCol w:w="4315"/>
      </w:tblGrid>
      <w:tr w:rsidR="00362DF5" w14:paraId="09AB86B6" w14:textId="77777777">
        <w:tc>
          <w:tcPr>
            <w:tcW w:w="4320" w:type="dxa"/>
          </w:tcPr>
          <w:p w14:paraId="66AA1DC2" w14:textId="3478D9A8" w:rsidR="004C6D92" w:rsidRDefault="00325FB0" w:rsidP="000B1207">
            <w:pPr>
              <w:ind w:left="720"/>
            </w:pPr>
            <w:r>
              <w:rPr>
                <w:b/>
                <w:noProof/>
              </w:rPr>
              <w:lastRenderedPageBreak/>
              <mc:AlternateContent>
                <mc:Choice Requires="wps">
                  <w:drawing>
                    <wp:anchor distT="0" distB="0" distL="114300" distR="114300" simplePos="0" relativeHeight="251667456" behindDoc="0" locked="0" layoutInCell="1" allowOverlap="1" wp14:anchorId="64FA8676" wp14:editId="6301CC4F">
                      <wp:simplePos x="0" y="0"/>
                      <wp:positionH relativeFrom="column">
                        <wp:posOffset>-62425</wp:posOffset>
                      </wp:positionH>
                      <wp:positionV relativeFrom="paragraph">
                        <wp:posOffset>19001</wp:posOffset>
                      </wp:positionV>
                      <wp:extent cx="298938" cy="298938"/>
                      <wp:effectExtent l="0" t="0" r="19050" b="19050"/>
                      <wp:wrapNone/>
                      <wp:docPr id="381355343" name="Text Box 4"/>
                      <wp:cNvGraphicFramePr/>
                      <a:graphic xmlns:a="http://schemas.openxmlformats.org/drawingml/2006/main">
                        <a:graphicData uri="http://schemas.microsoft.com/office/word/2010/wordprocessingShape">
                          <wps:wsp>
                            <wps:cNvSpPr txBox="1"/>
                            <wps:spPr>
                              <a:xfrm>
                                <a:off x="0" y="0"/>
                                <a:ext cx="298938" cy="298938"/>
                              </a:xfrm>
                              <a:prstGeom prst="rect">
                                <a:avLst/>
                              </a:prstGeom>
                              <a:solidFill>
                                <a:schemeClr val="lt1"/>
                              </a:solidFill>
                              <a:ln w="6350">
                                <a:solidFill>
                                  <a:schemeClr val="tx1"/>
                                </a:solidFill>
                              </a:ln>
                            </wps:spPr>
                            <wps:txbx>
                              <w:txbxContent>
                                <w:p w14:paraId="5E859F5A" w14:textId="77777777" w:rsidR="00325FB0" w:rsidRPr="00325FB0" w:rsidRDefault="00325FB0" w:rsidP="00325FB0">
                                  <w:pPr>
                                    <w:shd w:val="clear" w:color="auto" w:fill="C4BC96" w:themeFill="background2" w:themeFillShade="BF"/>
                                    <w:rPr>
                                      <w14:textOutline w14:w="9525" w14:cap="rnd" w14:cmpd="sng" w14:algn="ctr">
                                        <w14:solidFill>
                                          <w14:schemeClr w14:val="tx1"/>
                                        </w14:solidFill>
                                        <w14:prstDash w14:val="solid"/>
                                        <w14:bevel/>
                                      </w14:textOutline>
                                    </w:rPr>
                                  </w:pPr>
                                  <w:r w:rsidRPr="00325FB0">
                                    <w:rPr>
                                      <w14:textOutline w14:w="9525" w14:cap="rnd" w14:cmpd="sng" w14:algn="ctr">
                                        <w14:solidFill>
                                          <w14:schemeClr w14:val="tx1"/>
                                        </w14:solidFill>
                                        <w14:prstDash w14:val="solid"/>
                                        <w14:bevel/>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FA8676" id="_x0000_t202" coordsize="21600,21600" o:spt="202" path="m,l,21600r21600,l21600,xe">
                      <v:stroke joinstyle="miter"/>
                      <v:path gradientshapeok="t" o:connecttype="rect"/>
                    </v:shapetype>
                    <v:shape id="Text Box 4" o:spid="_x0000_s1026" type="#_x0000_t202" style="position:absolute;left:0;text-align:left;margin-left:-4.9pt;margin-top:1.5pt;width:23.55pt;height:23.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" fillcolor="white [3201]" strokecolor="black [3213]" strokeweight=".5pt">
                      <v:textbox>
                        <w:txbxContent>
                          <w:p w14:paraId="5E859F5A" w14:textId="77777777" w:rsidR="00325FB0" w:rsidRPr="00325FB0" w:rsidRDefault="00325FB0" w:rsidP="00325FB0">
                            <w:pPr>
                              <w:shd w:val="clear" w:color="auto" w:fill="C4BC96" w:themeFill="background2" w:themeFillShade="BF"/>
                              <w:rPr>
                                <w14:textOutline w14:w="9525" w14:cap="rnd" w14:cmpd="sng" w14:algn="ctr">
                                  <w14:solidFill>
                                    <w14:schemeClr w14:val="tx1"/>
                                  </w14:solidFill>
                                  <w14:prstDash w14:val="solid"/>
                                  <w14:bevel/>
                                </w14:textOutline>
                              </w:rPr>
                            </w:pPr>
                            <w:r w:rsidRPr="00325FB0">
                              <w:rPr>
                                <w14:textOutline w14:w="9525" w14:cap="rnd" w14:cmpd="sng" w14:algn="ctr">
                                  <w14:solidFill>
                                    <w14:schemeClr w14:val="tx1"/>
                                  </w14:solidFill>
                                  <w14:prstDash w14:val="solid"/>
                                  <w14:bevel/>
                                </w14:textOutline>
                              </w:rPr>
                              <w:t>A</w:t>
                            </w:r>
                          </w:p>
                        </w:txbxContent>
                      </v:textbox>
                    </v:shape>
                  </w:pict>
                </mc:Fallback>
              </mc:AlternateContent>
            </w:r>
            <w:r w:rsidR="00362DF5" w:rsidRPr="00325FB0">
              <w:rPr>
                <w:noProof/>
                <w:shd w:val="clear" w:color="auto" w:fill="C4BC96" w:themeFill="background2" w:themeFillShade="BF"/>
              </w:rPr>
              <w:drawing>
                <wp:inline distT="0" distB="0" distL="0" distR="0" wp14:anchorId="236BBF62" wp14:editId="2DD5F255">
                  <wp:extent cx="1828800" cy="1825203"/>
                  <wp:effectExtent l="0" t="0" r="0" b="3810"/>
                  <wp:docPr id="1338222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222969" name="Picture 1338222969"/>
                          <pic:cNvPicPr/>
                        </pic:nvPicPr>
                        <pic:blipFill>
                          <a:blip r:embed="rId8"/>
                          <a:stretch>
                            <a:fillRect/>
                          </a:stretch>
                        </pic:blipFill>
                        <pic:spPr>
                          <a:xfrm>
                            <a:off x="0" y="0"/>
                            <a:ext cx="1998074" cy="1994144"/>
                          </a:xfrm>
                          <a:prstGeom prst="rect">
                            <a:avLst/>
                          </a:prstGeom>
                        </pic:spPr>
                      </pic:pic>
                    </a:graphicData>
                  </a:graphic>
                </wp:inline>
              </w:drawing>
            </w:r>
            <w:r w:rsidR="00362DF5">
              <w:t xml:space="preserve">                                        </w:t>
            </w:r>
          </w:p>
        </w:tc>
        <w:tc>
          <w:tcPr>
            <w:tcW w:w="4320" w:type="dxa"/>
          </w:tcPr>
          <w:p w14:paraId="27447E3C" w14:textId="3D286775" w:rsidR="004C6D92" w:rsidRDefault="00325FB0" w:rsidP="000B1207">
            <w:pPr>
              <w:ind w:left="720"/>
            </w:pPr>
            <w:r>
              <w:rPr>
                <w:noProof/>
              </w:rPr>
              <mc:AlternateContent>
                <mc:Choice Requires="wps">
                  <w:drawing>
                    <wp:anchor distT="0" distB="0" distL="114300" distR="114300" simplePos="0" relativeHeight="251675648" behindDoc="0" locked="0" layoutInCell="1" allowOverlap="1" wp14:anchorId="16BD77A2" wp14:editId="5557FC8B">
                      <wp:simplePos x="0" y="0"/>
                      <wp:positionH relativeFrom="column">
                        <wp:posOffset>1032462</wp:posOffset>
                      </wp:positionH>
                      <wp:positionV relativeFrom="paragraph">
                        <wp:posOffset>795362</wp:posOffset>
                      </wp:positionV>
                      <wp:extent cx="300892" cy="89047"/>
                      <wp:effectExtent l="50800" t="25400" r="55245" b="76200"/>
                      <wp:wrapNone/>
                      <wp:docPr id="1728744127" name="Rectangle 6"/>
                      <wp:cNvGraphicFramePr/>
                      <a:graphic xmlns:a="http://schemas.openxmlformats.org/drawingml/2006/main">
                        <a:graphicData uri="http://schemas.microsoft.com/office/word/2010/wordprocessingShape">
                          <wps:wsp>
                            <wps:cNvSpPr/>
                            <wps:spPr>
                              <a:xfrm flipV="1">
                                <a:off x="0" y="0"/>
                                <a:ext cx="300892" cy="89047"/>
                              </a:xfrm>
                              <a:prstGeom prst="rect">
                                <a:avLst/>
                              </a:prstGeom>
                              <a:solidFill>
                                <a:schemeClr val="tx1"/>
                              </a:solidFill>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081F5675" id="Rectangle 6" o:spid="_x0000_s1026" style="position:absolute;margin-left:81.3pt;margin-top:62.65pt;width:23.7pt;height:7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" fillcolor="black [3213]" strokecolor="black [3040]">
                      <v:shadow on="t" color="black" opacity="22937f" origin=",.5" offset="0,.63889mm"/>
                    </v:rect>
                  </w:pict>
                </mc:Fallback>
              </mc:AlternateContent>
            </w:r>
            <w:r>
              <w:rPr>
                <w:noProof/>
              </w:rPr>
              <mc:AlternateContent>
                <mc:Choice Requires="wps">
                  <w:drawing>
                    <wp:anchor distT="0" distB="0" distL="114300" distR="114300" simplePos="0" relativeHeight="251677696" behindDoc="0" locked="0" layoutInCell="1" allowOverlap="1" wp14:anchorId="5D6AD386" wp14:editId="3CE7509E">
                      <wp:simplePos x="0" y="0"/>
                      <wp:positionH relativeFrom="column">
                        <wp:posOffset>1514475</wp:posOffset>
                      </wp:positionH>
                      <wp:positionV relativeFrom="paragraph">
                        <wp:posOffset>794531</wp:posOffset>
                      </wp:positionV>
                      <wp:extent cx="300892" cy="89047"/>
                      <wp:effectExtent l="50800" t="25400" r="55245" b="76200"/>
                      <wp:wrapNone/>
                      <wp:docPr id="140919421" name="Rectangle 6"/>
                      <wp:cNvGraphicFramePr/>
                      <a:graphic xmlns:a="http://schemas.openxmlformats.org/drawingml/2006/main">
                        <a:graphicData uri="http://schemas.microsoft.com/office/word/2010/wordprocessingShape">
                          <wps:wsp>
                            <wps:cNvSpPr/>
                            <wps:spPr>
                              <a:xfrm flipV="1">
                                <a:off x="0" y="0"/>
                                <a:ext cx="300892" cy="89047"/>
                              </a:xfrm>
                              <a:prstGeom prst="rect">
                                <a:avLst/>
                              </a:prstGeom>
                              <a:solidFill>
                                <a:schemeClr val="tx1"/>
                              </a:solidFill>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1A4A1C3B" id="Rectangle 6" o:spid="_x0000_s1026" style="position:absolute;margin-left:119.25pt;margin-top:62.55pt;width:23.7pt;height:7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" fillcolor="black [3213]" strokecolor="black [3040]">
                      <v:shadow on="t" color="black" opacity="22937f" origin=",.5" offset="0,.63889mm"/>
                    </v:rect>
                  </w:pict>
                </mc:Fallback>
              </mc:AlternateContent>
            </w:r>
            <w:r>
              <w:rPr>
                <w:b/>
                <w:noProof/>
              </w:rPr>
              <mc:AlternateContent>
                <mc:Choice Requires="wps">
                  <w:drawing>
                    <wp:anchor distT="0" distB="0" distL="114300" distR="114300" simplePos="0" relativeHeight="251669504" behindDoc="0" locked="0" layoutInCell="1" allowOverlap="1" wp14:anchorId="4F9CE7A2" wp14:editId="5B16A929">
                      <wp:simplePos x="0" y="0"/>
                      <wp:positionH relativeFrom="column">
                        <wp:posOffset>-68531</wp:posOffset>
                      </wp:positionH>
                      <wp:positionV relativeFrom="paragraph">
                        <wp:posOffset>10600</wp:posOffset>
                      </wp:positionV>
                      <wp:extent cx="298450" cy="307242"/>
                      <wp:effectExtent l="0" t="0" r="19050" b="10795"/>
                      <wp:wrapNone/>
                      <wp:docPr id="1215481305" name="Text Box 4"/>
                      <wp:cNvGraphicFramePr/>
                      <a:graphic xmlns:a="http://schemas.openxmlformats.org/drawingml/2006/main">
                        <a:graphicData uri="http://schemas.microsoft.com/office/word/2010/wordprocessingShape">
                          <wps:wsp>
                            <wps:cNvSpPr txBox="1"/>
                            <wps:spPr>
                              <a:xfrm>
                                <a:off x="0" y="0"/>
                                <a:ext cx="298450" cy="307242"/>
                              </a:xfrm>
                              <a:prstGeom prst="rect">
                                <a:avLst/>
                              </a:prstGeom>
                              <a:solidFill>
                                <a:schemeClr val="lt1"/>
                              </a:solidFill>
                              <a:ln w="6350">
                                <a:solidFill>
                                  <a:schemeClr val="tx1"/>
                                </a:solidFill>
                              </a:ln>
                            </wps:spPr>
                            <wps:txbx>
                              <w:txbxContent>
                                <w:p w14:paraId="3C28E09A" w14:textId="77777777" w:rsidR="00325FB0" w:rsidRPr="00325FB0" w:rsidRDefault="00325FB0" w:rsidP="00325FB0">
                                  <w:pPr>
                                    <w:shd w:val="clear" w:color="auto" w:fill="C4BC96" w:themeFill="background2" w:themeFillShade="BF"/>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CE7A2" id="_x0000_s1027" type="#_x0000_t202" style="position:absolute;left:0;text-align:left;margin-left:-5.4pt;margin-top:.85pt;width:23.5pt;height:24.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" fillcolor="white [3201]" strokecolor="black [3213]" strokeweight=".5pt">
                      <v:textbox>
                        <w:txbxContent>
                          <w:p w14:paraId="3C28E09A" w14:textId="77777777" w:rsidR="00325FB0" w:rsidRPr="00325FB0" w:rsidRDefault="00325FB0" w:rsidP="00325FB0">
                            <w:pPr>
                              <w:shd w:val="clear" w:color="auto" w:fill="C4BC96" w:themeFill="background2" w:themeFillShade="BF"/>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B</w:t>
                            </w:r>
                          </w:p>
                        </w:txbxContent>
                      </v:textbox>
                    </v:shape>
                  </w:pict>
                </mc:Fallback>
              </mc:AlternateContent>
            </w:r>
            <w:r w:rsidR="00362DF5">
              <w:rPr>
                <w:noProof/>
              </w:rPr>
              <w:drawing>
                <wp:inline distT="0" distB="0" distL="0" distR="0" wp14:anchorId="3C017697" wp14:editId="3CEA1533">
                  <wp:extent cx="1828800" cy="1825517"/>
                  <wp:effectExtent l="0" t="0" r="0" b="3810"/>
                  <wp:docPr id="8478993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99353" name="Picture 847899353"/>
                          <pic:cNvPicPr/>
                        </pic:nvPicPr>
                        <pic:blipFill>
                          <a:blip r:embed="rId9"/>
                          <a:stretch>
                            <a:fillRect/>
                          </a:stretch>
                        </pic:blipFill>
                        <pic:spPr>
                          <a:xfrm>
                            <a:off x="0" y="0"/>
                            <a:ext cx="2021341" cy="2017712"/>
                          </a:xfrm>
                          <a:prstGeom prst="rect">
                            <a:avLst/>
                          </a:prstGeom>
                        </pic:spPr>
                      </pic:pic>
                    </a:graphicData>
                  </a:graphic>
                </wp:inline>
              </w:drawing>
            </w:r>
          </w:p>
        </w:tc>
      </w:tr>
      <w:tr w:rsidR="00362DF5" w14:paraId="39CFC9BD" w14:textId="77777777">
        <w:tc>
          <w:tcPr>
            <w:tcW w:w="4320" w:type="dxa"/>
          </w:tcPr>
          <w:p w14:paraId="145BAF77" w14:textId="57E64B07" w:rsidR="004C6D92" w:rsidRDefault="00325FB0" w:rsidP="000B1207">
            <w:pPr>
              <w:ind w:left="720"/>
            </w:pPr>
            <w:r>
              <w:rPr>
                <w:b/>
                <w:noProof/>
              </w:rPr>
              <mc:AlternateContent>
                <mc:Choice Requires="wps">
                  <w:drawing>
                    <wp:anchor distT="0" distB="0" distL="114300" distR="114300" simplePos="0" relativeHeight="251671552" behindDoc="0" locked="0" layoutInCell="1" allowOverlap="1" wp14:anchorId="38D91D4A" wp14:editId="59BF42C4">
                      <wp:simplePos x="0" y="0"/>
                      <wp:positionH relativeFrom="column">
                        <wp:posOffset>-6350</wp:posOffset>
                      </wp:positionH>
                      <wp:positionV relativeFrom="paragraph">
                        <wp:posOffset>9525</wp:posOffset>
                      </wp:positionV>
                      <wp:extent cx="298938" cy="298938"/>
                      <wp:effectExtent l="0" t="0" r="19050" b="19050"/>
                      <wp:wrapNone/>
                      <wp:docPr id="1483911501" name="Text Box 4"/>
                      <wp:cNvGraphicFramePr/>
                      <a:graphic xmlns:a="http://schemas.openxmlformats.org/drawingml/2006/main">
                        <a:graphicData uri="http://schemas.microsoft.com/office/word/2010/wordprocessingShape">
                          <wps:wsp>
                            <wps:cNvSpPr txBox="1"/>
                            <wps:spPr>
                              <a:xfrm>
                                <a:off x="0" y="0"/>
                                <a:ext cx="298938" cy="298938"/>
                              </a:xfrm>
                              <a:prstGeom prst="rect">
                                <a:avLst/>
                              </a:prstGeom>
                              <a:solidFill>
                                <a:schemeClr val="lt1"/>
                              </a:solidFill>
                              <a:ln w="6350">
                                <a:solidFill>
                                  <a:schemeClr val="tx1"/>
                                </a:solidFill>
                              </a:ln>
                            </wps:spPr>
                            <wps:txbx>
                              <w:txbxContent>
                                <w:p w14:paraId="7DFFC2EF" w14:textId="7B926772" w:rsidR="00325FB0" w:rsidRPr="00325FB0" w:rsidRDefault="00325FB0" w:rsidP="00325FB0">
                                  <w:pPr>
                                    <w:shd w:val="clear" w:color="auto" w:fill="C4BC96" w:themeFill="background2" w:themeFillShade="BF"/>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91D4A" id="_x0000_s1028" type="#_x0000_t202" style="position:absolute;left:0;text-align:left;margin-left:-.5pt;margin-top:.75pt;width:23.55pt;height:23.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" fillcolor="white [3201]" strokecolor="black [3213]" strokeweight=".5pt">
                      <v:textbox>
                        <w:txbxContent>
                          <w:p w14:paraId="7DFFC2EF" w14:textId="7B926772" w:rsidR="00325FB0" w:rsidRPr="00325FB0" w:rsidRDefault="00325FB0" w:rsidP="00325FB0">
                            <w:pPr>
                              <w:shd w:val="clear" w:color="auto" w:fill="C4BC96" w:themeFill="background2" w:themeFillShade="BF"/>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C</w:t>
                            </w:r>
                          </w:p>
                        </w:txbxContent>
                      </v:textbox>
                    </v:shape>
                  </w:pict>
                </mc:Fallback>
              </mc:AlternateContent>
            </w:r>
            <w:r w:rsidR="000B1207">
              <w:rPr>
                <w:noProof/>
              </w:rPr>
              <mc:AlternateContent>
                <mc:Choice Requires="wps">
                  <w:drawing>
                    <wp:anchor distT="0" distB="0" distL="114300" distR="114300" simplePos="0" relativeHeight="251666432" behindDoc="0" locked="0" layoutInCell="1" allowOverlap="1" wp14:anchorId="0C509464" wp14:editId="34E123C9">
                      <wp:simplePos x="0" y="0"/>
                      <wp:positionH relativeFrom="column">
                        <wp:posOffset>1397342</wp:posOffset>
                      </wp:positionH>
                      <wp:positionV relativeFrom="paragraph">
                        <wp:posOffset>674956</wp:posOffset>
                      </wp:positionV>
                      <wp:extent cx="309684" cy="87923"/>
                      <wp:effectExtent l="50800" t="25400" r="59055" b="74930"/>
                      <wp:wrapNone/>
                      <wp:docPr id="279134338" name="Rectangle 6"/>
                      <wp:cNvGraphicFramePr/>
                      <a:graphic xmlns:a="http://schemas.openxmlformats.org/drawingml/2006/main">
                        <a:graphicData uri="http://schemas.microsoft.com/office/word/2010/wordprocessingShape">
                          <wps:wsp>
                            <wps:cNvSpPr/>
                            <wps:spPr>
                              <a:xfrm>
                                <a:off x="0" y="0"/>
                                <a:ext cx="309684" cy="87923"/>
                              </a:xfrm>
                              <a:prstGeom prst="rect">
                                <a:avLst/>
                              </a:prstGeom>
                              <a:solidFill>
                                <a:schemeClr val="tx1"/>
                              </a:solidFill>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52E4272E" id="Rectangle 6" o:spid="_x0000_s1026" style="position:absolute;margin-left:110.05pt;margin-top:53.15pt;width:24.4pt;height:6.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" fillcolor="black [3213]" strokecolor="black [3040]">
                      <v:shadow on="t" color="black" opacity="22937f" origin=",.5" offset="0,.63889mm"/>
                    </v:rect>
                  </w:pict>
                </mc:Fallback>
              </mc:AlternateContent>
            </w:r>
            <w:r w:rsidR="000B1207">
              <w:rPr>
                <w:noProof/>
              </w:rPr>
              <mc:AlternateContent>
                <mc:Choice Requires="wps">
                  <w:drawing>
                    <wp:anchor distT="0" distB="0" distL="114300" distR="114300" simplePos="0" relativeHeight="251664384" behindDoc="0" locked="0" layoutInCell="1" allowOverlap="1" wp14:anchorId="235527AD" wp14:editId="14DFDB49">
                      <wp:simplePos x="0" y="0"/>
                      <wp:positionH relativeFrom="column">
                        <wp:posOffset>966080</wp:posOffset>
                      </wp:positionH>
                      <wp:positionV relativeFrom="paragraph">
                        <wp:posOffset>675560</wp:posOffset>
                      </wp:positionV>
                      <wp:extent cx="309684" cy="87923"/>
                      <wp:effectExtent l="50800" t="25400" r="46355" b="77470"/>
                      <wp:wrapNone/>
                      <wp:docPr id="1707962648" name="Rectangle 6"/>
                      <wp:cNvGraphicFramePr/>
                      <a:graphic xmlns:a="http://schemas.openxmlformats.org/drawingml/2006/main">
                        <a:graphicData uri="http://schemas.microsoft.com/office/word/2010/wordprocessingShape">
                          <wps:wsp>
                            <wps:cNvSpPr/>
                            <wps:spPr>
                              <a:xfrm>
                                <a:off x="0" y="0"/>
                                <a:ext cx="309684" cy="87923"/>
                              </a:xfrm>
                              <a:prstGeom prst="rect">
                                <a:avLst/>
                              </a:prstGeom>
                              <a:solidFill>
                                <a:schemeClr val="tx1"/>
                              </a:solidFill>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6703D87A" id="Rectangle 6" o:spid="_x0000_s1026" style="position:absolute;margin-left:76.05pt;margin-top:53.2pt;width:24.4pt;height:6.9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" fillcolor="black [3213]" strokecolor="black [3040]">
                      <v:shadow on="t" color="black" opacity="22937f" origin=",.5" offset="0,.63889mm"/>
                    </v:rect>
                  </w:pict>
                </mc:Fallback>
              </mc:AlternateContent>
            </w:r>
            <w:r w:rsidR="00362DF5">
              <w:rPr>
                <w:noProof/>
              </w:rPr>
              <w:drawing>
                <wp:inline distT="0" distB="0" distL="0" distR="0" wp14:anchorId="6AEC4547" wp14:editId="052A92C2">
                  <wp:extent cx="1828800" cy="1828800"/>
                  <wp:effectExtent l="0" t="0" r="0" b="0"/>
                  <wp:docPr id="8208792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879261" name="Picture 820879261"/>
                          <pic:cNvPicPr/>
                        </pic:nvPicPr>
                        <pic:blipFill>
                          <a:blip r:embed="rId10"/>
                          <a:stretch>
                            <a:fillRect/>
                          </a:stretch>
                        </pic:blipFill>
                        <pic:spPr>
                          <a:xfrm>
                            <a:off x="0" y="0"/>
                            <a:ext cx="1930967" cy="1930967"/>
                          </a:xfrm>
                          <a:prstGeom prst="rect">
                            <a:avLst/>
                          </a:prstGeom>
                        </pic:spPr>
                      </pic:pic>
                    </a:graphicData>
                  </a:graphic>
                </wp:inline>
              </w:drawing>
            </w:r>
          </w:p>
        </w:tc>
        <w:tc>
          <w:tcPr>
            <w:tcW w:w="4320" w:type="dxa"/>
          </w:tcPr>
          <w:p w14:paraId="1C671650" w14:textId="601FCB4D" w:rsidR="004C6D92" w:rsidRDefault="00325FB0" w:rsidP="000B1207">
            <w:pPr>
              <w:ind w:left="720"/>
            </w:pPr>
            <w:r>
              <w:rPr>
                <w:b/>
                <w:noProof/>
              </w:rPr>
              <mc:AlternateContent>
                <mc:Choice Requires="wps">
                  <w:drawing>
                    <wp:anchor distT="0" distB="0" distL="114300" distR="114300" simplePos="0" relativeHeight="251673600" behindDoc="0" locked="0" layoutInCell="1" allowOverlap="1" wp14:anchorId="3EC72D14" wp14:editId="7DB82858">
                      <wp:simplePos x="0" y="0"/>
                      <wp:positionH relativeFrom="column">
                        <wp:posOffset>-3175</wp:posOffset>
                      </wp:positionH>
                      <wp:positionV relativeFrom="paragraph">
                        <wp:posOffset>9525</wp:posOffset>
                      </wp:positionV>
                      <wp:extent cx="298938" cy="298938"/>
                      <wp:effectExtent l="0" t="0" r="19050" b="19050"/>
                      <wp:wrapNone/>
                      <wp:docPr id="1588671442" name="Text Box 4"/>
                      <wp:cNvGraphicFramePr/>
                      <a:graphic xmlns:a="http://schemas.openxmlformats.org/drawingml/2006/main">
                        <a:graphicData uri="http://schemas.microsoft.com/office/word/2010/wordprocessingShape">
                          <wps:wsp>
                            <wps:cNvSpPr txBox="1"/>
                            <wps:spPr>
                              <a:xfrm>
                                <a:off x="0" y="0"/>
                                <a:ext cx="298938" cy="298938"/>
                              </a:xfrm>
                              <a:prstGeom prst="rect">
                                <a:avLst/>
                              </a:prstGeom>
                              <a:solidFill>
                                <a:schemeClr val="lt1"/>
                              </a:solidFill>
                              <a:ln w="6350">
                                <a:solidFill>
                                  <a:schemeClr val="tx1"/>
                                </a:solidFill>
                              </a:ln>
                            </wps:spPr>
                            <wps:txbx>
                              <w:txbxContent>
                                <w:p w14:paraId="3A977993" w14:textId="1C6D6C13" w:rsidR="00325FB0" w:rsidRPr="00325FB0" w:rsidRDefault="00325FB0" w:rsidP="00325FB0">
                                  <w:pPr>
                                    <w:shd w:val="clear" w:color="auto" w:fill="C4BC96" w:themeFill="background2" w:themeFillShade="BF"/>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72D14" id="_x0000_s1029" type="#_x0000_t202" style="position:absolute;left:0;text-align:left;margin-left:-.25pt;margin-top:.75pt;width:23.55pt;height:23.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" fillcolor="white [3201]" strokecolor="black [3213]" strokeweight=".5pt">
                      <v:textbox>
                        <w:txbxContent>
                          <w:p w14:paraId="3A977993" w14:textId="1C6D6C13" w:rsidR="00325FB0" w:rsidRPr="00325FB0" w:rsidRDefault="00325FB0" w:rsidP="00325FB0">
                            <w:pPr>
                              <w:shd w:val="clear" w:color="auto" w:fill="C4BC96" w:themeFill="background2" w:themeFillShade="BF"/>
                              <w:rPr>
                                <w14:textOutline w14:w="9525" w14:cap="rnd" w14:cmpd="sng" w14:algn="ctr">
                                  <w14:solidFill>
                                    <w14:schemeClr w14:val="tx1"/>
                                  </w14:solidFill>
                                  <w14:prstDash w14:val="solid"/>
                                  <w14:bevel/>
                                </w14:textOutline>
                              </w:rPr>
                            </w:pPr>
                            <w:r>
                              <w:rPr>
                                <w14:textOutline w14:w="9525" w14:cap="rnd" w14:cmpd="sng" w14:algn="ctr">
                                  <w14:solidFill>
                                    <w14:schemeClr w14:val="tx1"/>
                                  </w14:solidFill>
                                  <w14:prstDash w14:val="solid"/>
                                  <w14:bevel/>
                                </w14:textOutline>
                              </w:rPr>
                              <w:t>D</w:t>
                            </w:r>
                          </w:p>
                        </w:txbxContent>
                      </v:textbox>
                    </v:shape>
                  </w:pict>
                </mc:Fallback>
              </mc:AlternateContent>
            </w:r>
            <w:r w:rsidR="000B1207">
              <w:rPr>
                <w:noProof/>
              </w:rPr>
              <mc:AlternateContent>
                <mc:Choice Requires="wpi">
                  <w:drawing>
                    <wp:anchor distT="0" distB="0" distL="114300" distR="114300" simplePos="0" relativeHeight="251659264" behindDoc="0" locked="0" layoutInCell="1" allowOverlap="1" wp14:anchorId="0C5BCFEB" wp14:editId="474925C6">
                      <wp:simplePos x="0" y="0"/>
                      <wp:positionH relativeFrom="column">
                        <wp:posOffset>971294</wp:posOffset>
                      </wp:positionH>
                      <wp:positionV relativeFrom="paragraph">
                        <wp:posOffset>760767</wp:posOffset>
                      </wp:positionV>
                      <wp:extent cx="360" cy="360"/>
                      <wp:effectExtent l="38100" t="38100" r="38100" b="38100"/>
                      <wp:wrapNone/>
                      <wp:docPr id="1535904464" name="Ink 5"/>
                      <wp:cNvGraphicFramePr/>
                      <a:graphic xmlns:a="http://schemas.openxmlformats.org/drawingml/2006/main">
                        <a:graphicData uri="http://schemas.microsoft.com/office/word/2010/wordprocessingInk">
                          <w14:contentPart bwMode="auto" r:id="rId11">
                            <w14:nvContentPartPr>
                              <w14:cNvContentPartPr/>
                            </w14:nvContentPartPr>
                            <w14:xfrm>
                              <a:off x="0" y="0"/>
                              <a:ext cx="360" cy="360"/>
                            </w14:xfrm>
                          </w14:contentPart>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51A63B5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 o:spid="_x0000_s1026" type="#_x0000_t75" style="position:absolute;margin-left:75.8pt;margin-top:59.2pt;width:1.45pt;height:1.4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">
                      <v:imagedata r:id="rId12" o:title=""/>
                    </v:shape>
                  </w:pict>
                </mc:Fallback>
              </mc:AlternateContent>
            </w:r>
            <w:r w:rsidR="00362DF5">
              <w:rPr>
                <w:noProof/>
              </w:rPr>
              <w:drawing>
                <wp:inline distT="0" distB="0" distL="0" distR="0" wp14:anchorId="089558D7" wp14:editId="647DDE8F">
                  <wp:extent cx="1828800" cy="1828800"/>
                  <wp:effectExtent l="0" t="0" r="0" b="0"/>
                  <wp:docPr id="10401922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192214" name="Picture 1040192214"/>
                          <pic:cNvPicPr/>
                        </pic:nvPicPr>
                        <pic:blipFill>
                          <a:blip r:embed="rId13"/>
                          <a:stretch>
                            <a:fillRect/>
                          </a:stretch>
                        </pic:blipFill>
                        <pic:spPr>
                          <a:xfrm>
                            <a:off x="0" y="0"/>
                            <a:ext cx="1871979" cy="1871979"/>
                          </a:xfrm>
                          <a:prstGeom prst="rect">
                            <a:avLst/>
                          </a:prstGeom>
                        </pic:spPr>
                      </pic:pic>
                    </a:graphicData>
                  </a:graphic>
                </wp:inline>
              </w:drawing>
            </w:r>
          </w:p>
        </w:tc>
      </w:tr>
    </w:tbl>
    <w:p w14:paraId="737B26DB" w14:textId="77777777" w:rsidR="004C6D92" w:rsidRDefault="004C6D92"/>
    <w:p w14:paraId="568E9F89" w14:textId="77777777" w:rsidR="004C6D92" w:rsidRDefault="002D57F9">
      <w:r>
        <w:rPr>
          <w:i/>
        </w:rPr>
        <w:t>Figure 1 Caption: Clinical photographs demonstrating the key features of congenital left-sided facial paralysis with microtia grade 3. (A) Frontal view showing asymmetric smile with left facial paralysis - note the drooping of the left corner of mouth and flattening of left nasolabial fold. (B) Frontal view at rest showing forehead asymmetry and baseline facial appearance. (C) Frontal view with neutral expression. (D) Left lateral profile clearly showing microtia grade 3 with small, peanut-shaped vestigial ear structure. Written informed consent was obtained from the patient's guardian for publication of clinical photographs with appropriate de-identification measures to protect patient privacy.</w:t>
      </w:r>
    </w:p>
    <w:p w14:paraId="388B2DE7" w14:textId="77777777" w:rsidR="004C6D92" w:rsidRDefault="002D57F9">
      <w:r>
        <w:br w:type="page"/>
      </w:r>
    </w:p>
    <w:p w14:paraId="4E6CB64F" w14:textId="77777777" w:rsidR="004C6D92" w:rsidRDefault="002D57F9">
      <w:pPr>
        <w:pStyle w:val="Heading2"/>
      </w:pPr>
      <w:r>
        <w:lastRenderedPageBreak/>
        <w:t>Investigations</w:t>
      </w:r>
    </w:p>
    <w:p w14:paraId="3B9AC1CD" w14:textId="7707F060" w:rsidR="004C6D92" w:rsidRDefault="00692D69">
      <w:r>
        <w:t>Everything appeared to be in order in terms of laboratory examination.</w:t>
      </w:r>
      <w:r w:rsidR="00B748B2">
        <w:t xml:space="preserve"> • Full blood count, liver function, and kidney function Lack of funding prevented genetic study from being carried </w:t>
      </w:r>
      <w:proofErr w:type="spellStart"/>
      <w:proofErr w:type="gramStart"/>
      <w:r w:rsidR="00B748B2">
        <w:t>out.Investigations</w:t>
      </w:r>
      <w:proofErr w:type="spellEnd"/>
      <w:proofErr w:type="gramEnd"/>
      <w:r w:rsidR="00B748B2">
        <w:t xml:space="preserve"> using radioactive materials: Computed tomography (CT) scans of the temporal bones showed:  - The left external auditory canal is stenotic and atretic.  - Left-sided middle ear ossicles that are malformed - Left-sided reduced development of mastoid air cells - Left-sided little remnants of ear cartilage that are consistent with grade 3 microtia  Right temporal bone anatomy as it should be• Brain scans found:  No abnormalities in the central nervous system were </w:t>
      </w:r>
      <w:proofErr w:type="spellStart"/>
      <w:r w:rsidR="00B748B2">
        <w:t>found.Evaluating</w:t>
      </w:r>
      <w:proofErr w:type="spellEnd"/>
      <w:r w:rsidR="00B748B2">
        <w:t xml:space="preserve"> hearing:• On the left side, there is a significant amount of </w:t>
      </w:r>
      <w:r w:rsidR="00FF3502">
        <w:t xml:space="preserve"> severe profound sensorineural</w:t>
      </w:r>
      <w:r w:rsidR="00B748B2">
        <w:t xml:space="preserve"> hearing loss (</w:t>
      </w:r>
      <w:r w:rsidR="00FF3502">
        <w:t>85-90</w:t>
      </w:r>
      <w:r w:rsidR="00B748B2">
        <w:t xml:space="preserve"> dB HL) according to pure tone audiometry. Normal thresholds on both sides when using bone conduction audiometry Bilateral normal wave shape and latencies are observed in the auditory brainstem response (ABR). Audiology findings: typical speech development with some minor articulation </w:t>
      </w:r>
      <w:proofErr w:type="spellStart"/>
      <w:r w:rsidR="00B748B2">
        <w:t>issuesExamination</w:t>
      </w:r>
      <w:proofErr w:type="spellEnd"/>
      <w:r w:rsidR="00B748B2">
        <w:t xml:space="preserve"> by an ophthalmologist revealed: • Left eye mild exposure keratopathy from inadequate eyelid closure Good eyesight: 6/6 in both eyes, developing normally for one's age Fundoscopy reveals healthy retinas and optic discs on both </w:t>
      </w:r>
      <w:proofErr w:type="spellStart"/>
      <w:proofErr w:type="gramStart"/>
      <w:r w:rsidR="00B748B2">
        <w:t>sides.Assessment</w:t>
      </w:r>
      <w:proofErr w:type="spellEnd"/>
      <w:proofErr w:type="gramEnd"/>
      <w:r w:rsidR="00B748B2">
        <w:t xml:space="preserve"> of the heart:• Electrocardiogram: Heart is structurally and functionally normal. • Echocardiography: Heart is normal.</w:t>
      </w:r>
    </w:p>
    <w:p w14:paraId="3B09ABCA" w14:textId="77777777" w:rsidR="004C6D92" w:rsidRDefault="002D57F9">
      <w:pPr>
        <w:pStyle w:val="Heading2"/>
      </w:pPr>
      <w:r>
        <w:t>Management</w:t>
      </w:r>
    </w:p>
    <w:p w14:paraId="7D1047CF" w14:textId="77777777" w:rsidR="004C6D92" w:rsidRDefault="00B748B2">
      <w:r>
        <w:t xml:space="preserve">A full range of interdisciplinary services were provided to the patient, </w:t>
      </w:r>
      <w:proofErr w:type="spellStart"/>
      <w:r>
        <w:t>including:Rehabilitating</w:t>
      </w:r>
      <w:proofErr w:type="spellEnd"/>
      <w:r>
        <w:t xml:space="preserve"> </w:t>
      </w:r>
      <w:proofErr w:type="spellStart"/>
      <w:r>
        <w:t>hearing:The</w:t>
      </w:r>
      <w:proofErr w:type="spellEnd"/>
      <w:r>
        <w:t xml:space="preserve"> following services are provided: • Left-sided bone-anchored hearing aid (BAHA) assessment and fitting • Speech therapy for better articulation and language development • Regular audiological follow-up and optimization of hearing aids• Assistance with education and modifications for the </w:t>
      </w:r>
      <w:proofErr w:type="spellStart"/>
      <w:r>
        <w:t>classroomIn</w:t>
      </w:r>
      <w:proofErr w:type="spellEnd"/>
      <w:r>
        <w:t xml:space="preserve"> the realm of ophthalmology, patients may be prescribed artificial tears for mild cases of exposure keratopathy and given safety warnings and recommendations for eye protection. Consistent examinations of the </w:t>
      </w:r>
      <w:proofErr w:type="spellStart"/>
      <w:r>
        <w:t>eyesPreparation</w:t>
      </w:r>
      <w:proofErr w:type="spellEnd"/>
      <w:r>
        <w:t xml:space="preserve"> for </w:t>
      </w:r>
      <w:proofErr w:type="spellStart"/>
      <w:proofErr w:type="gramStart"/>
      <w:r>
        <w:t>surgery:Autologous</w:t>
      </w:r>
      <w:proofErr w:type="spellEnd"/>
      <w:proofErr w:type="gramEnd"/>
      <w:r>
        <w:t xml:space="preserve"> rib cartilage auricular restoration choices are carefully discussed with patients (after 10–12 years of age, when there is enough cartilage to go around) during comprehensive counseling </w:t>
      </w:r>
      <w:proofErr w:type="spellStart"/>
      <w:r>
        <w:t>sessions.Potential</w:t>
      </w:r>
      <w:proofErr w:type="spellEnd"/>
      <w:r>
        <w:t xml:space="preserve"> procedures for repairing auditory atresia and reconstructing the middle ear are discussed. Prospective facial reanimation techniques for enhancing future facial </w:t>
      </w:r>
      <w:proofErr w:type="spellStart"/>
      <w:r>
        <w:t>symmetryHelp</w:t>
      </w:r>
      <w:proofErr w:type="spellEnd"/>
      <w:r>
        <w:t xml:space="preserve"> with mental health issues: • Psychological treatment tailored to the client's age to help with issues of body image and self-esteem• Counseling at home to help with coping and support systems • Counseling at school to help with social integration </w:t>
      </w:r>
      <w:proofErr w:type="spellStart"/>
      <w:r>
        <w:t>issuesPeer</w:t>
      </w:r>
      <w:proofErr w:type="spellEnd"/>
      <w:r>
        <w:t xml:space="preserve"> support groups should be integrated.</w:t>
      </w:r>
    </w:p>
    <w:p w14:paraId="749FD1D3" w14:textId="77777777" w:rsidR="004C6D92" w:rsidRDefault="002D57F9">
      <w:pPr>
        <w:pStyle w:val="Heading2"/>
      </w:pPr>
      <w:r>
        <w:t>Follow-up</w:t>
      </w:r>
    </w:p>
    <w:p w14:paraId="32416EA2" w14:textId="77777777" w:rsidR="004C6D92" w:rsidRDefault="00B748B2">
      <w:r>
        <w:t xml:space="preserve">Every four to six months, the patient is seen for follow-up consultations as part of their ongoing multidisciplinary surveillance. The following were noted at the most recent follow-up appointment, which was eight months after the initial presentation: • A marked improvement in functional hearing with a bone-anchored hearing aid • Stable eye condition and excellent compliance with ophthalmological </w:t>
      </w:r>
      <w:proofErr w:type="spellStart"/>
      <w:r>
        <w:t>treatmentThe</w:t>
      </w:r>
      <w:proofErr w:type="spellEnd"/>
      <w:r>
        <w:t xml:space="preserve"> following are some of the </w:t>
      </w:r>
      <w:r>
        <w:lastRenderedPageBreak/>
        <w:t>benefits of speech therapy: better communication and academic performance after treatment; psychological adaptation; consultation with the plastic surgery team to plan auricular reconstruction surgery; the absence of new congenital abnormalities; and social and emotional development that is typical for a child's age.</w:t>
      </w:r>
    </w:p>
    <w:p w14:paraId="133E14BF" w14:textId="77777777" w:rsidR="004C6D92" w:rsidRDefault="002D57F9">
      <w:pPr>
        <w:pStyle w:val="Heading1"/>
      </w:pPr>
      <w:r>
        <w:t>Discussion</w:t>
      </w:r>
    </w:p>
    <w:p w14:paraId="4FAE9956" w14:textId="4C7662AB" w:rsidR="004C6D92" w:rsidRPr="00083A9A" w:rsidRDefault="00B748B2">
      <w:r w:rsidRPr="00083A9A">
        <w:t xml:space="preserve">With less than fifteen examples documented in the pediatric literature worldwide, the co-occurrence of congenital facial paralysis and microtia grade 3 is extremely unusual. In adolescents in particular, this relationship poses special diagnostic and treatment issues that call for an interdisciplinary </w:t>
      </w:r>
      <w:proofErr w:type="spellStart"/>
      <w:proofErr w:type="gramStart"/>
      <w:r w:rsidRPr="00083A9A">
        <w:t>strategy.Grade</w:t>
      </w:r>
      <w:proofErr w:type="spellEnd"/>
      <w:proofErr w:type="gramEnd"/>
      <w:r w:rsidRPr="00083A9A">
        <w:t xml:space="preserve"> 3 microtia differs from grade 4 microtia in that it is marked by a tiny, peanut-shaped vestigial ear structure with a stenotic or nonexistent external auditory canal. In grade 3 microtia, there is still some ear structure, which makes anatomical landmarks for possible surgical repair more useful than in complete </w:t>
      </w:r>
      <w:proofErr w:type="spellStart"/>
      <w:r w:rsidRPr="00083A9A">
        <w:t>anotia</w:t>
      </w:r>
      <w:proofErr w:type="spellEnd"/>
      <w:r w:rsidRPr="00083A9A">
        <w:t>. Our patient has a tiny, primitive ear structure and the hallmarks of grade 3 microtia, as shown in Figure 1</w:t>
      </w:r>
      <w:proofErr w:type="gramStart"/>
      <w:r w:rsidRPr="00083A9A">
        <w:t>D.Despite</w:t>
      </w:r>
      <w:proofErr w:type="gramEnd"/>
      <w:r w:rsidRPr="00083A9A">
        <w:t xml:space="preserve"> numerous hypotheses, the exact etiopathogenesis of this unusual combination is still unknown.</w:t>
      </w:r>
      <w:r w:rsidR="00083A9A" w:rsidRPr="00083A9A">
        <w:rPr>
          <w:color w:val="000000"/>
        </w:rPr>
        <w:t xml:space="preserve"> Abnormal development of the first and second branchial arches during early embryogenesis has been suggested as a possible etiological mechanism</w:t>
      </w:r>
      <w:r w:rsidR="00083A9A" w:rsidRPr="00083A9A">
        <w:rPr>
          <w:rStyle w:val="apple-converted-space"/>
          <w:color w:val="000000"/>
        </w:rPr>
        <w:t> </w:t>
      </w:r>
      <w:r w:rsidR="00083A9A" w:rsidRPr="00083A9A">
        <w:rPr>
          <w:rStyle w:val="Strong"/>
          <w:color w:val="000000"/>
        </w:rPr>
        <w:t>(3)</w:t>
      </w:r>
      <w:r w:rsidRPr="00083A9A">
        <w:t xml:space="preserve">. Possible causes include embryonic vascular accidents, genetic abnormalities that impact the migration of neural crest cells, or environmental </w:t>
      </w:r>
      <w:proofErr w:type="spellStart"/>
      <w:proofErr w:type="gramStart"/>
      <w:r w:rsidRPr="00083A9A">
        <w:t>influences.Our</w:t>
      </w:r>
      <w:proofErr w:type="spellEnd"/>
      <w:proofErr w:type="gramEnd"/>
      <w:r w:rsidRPr="00083A9A">
        <w:t xml:space="preserve"> patient appears to be experiencing a random developmental aberration rather than a hereditary condition, as there are no syndromic symptoms, the karyotype is normal, and the maternal history is ordinary</w:t>
      </w:r>
      <w:r w:rsidR="00A70E0D">
        <w:t xml:space="preserve"> (8)</w:t>
      </w:r>
      <w:r w:rsidRPr="00083A9A">
        <w:t xml:space="preserve">. The branchial arch developmental theory is supported by the patient's unilateral presentation, ipsilateral facial paralysis, and microtia grade </w:t>
      </w:r>
      <w:proofErr w:type="gramStart"/>
      <w:r w:rsidRPr="00083A9A">
        <w:t>3.Diagnostic</w:t>
      </w:r>
      <w:proofErr w:type="gramEnd"/>
      <w:r w:rsidRPr="00083A9A">
        <w:t xml:space="preserve"> imaging should be part of a thorough plan. High-resolution computed tomography (CT) can examine the architecture of the temporal bones and the degree of microtia. Magnetic resonance imaging (MRI) can examine the facial nerve course and structures of the central nervous system. In order to identify the kind and severity of hearing loss, an audiologist evaluation is necessary</w:t>
      </w:r>
      <w:r w:rsidR="00A70E0D">
        <w:t xml:space="preserve"> (9,10</w:t>
      </w:r>
      <w:bookmarkStart w:id="0" w:name="_GoBack"/>
      <w:bookmarkEnd w:id="0"/>
      <w:r w:rsidR="00A70E0D">
        <w:t>)</w:t>
      </w:r>
      <w:r w:rsidRPr="00083A9A">
        <w:t xml:space="preserve">. If there are further abnormalities or a positive family history, a genetic consultation may be </w:t>
      </w:r>
      <w:proofErr w:type="spellStart"/>
      <w:proofErr w:type="gramStart"/>
      <w:r w:rsidRPr="00083A9A">
        <w:t>necessary.Functional</w:t>
      </w:r>
      <w:proofErr w:type="spellEnd"/>
      <w:proofErr w:type="gramEnd"/>
      <w:r w:rsidRPr="00083A9A">
        <w:t>, cosmetic, and psychosocial considerations must all be part of teenage patient management. When it comes to academic performance, language acquisition, and speaking, early audiological intervention is crucial.</w:t>
      </w:r>
      <w:r w:rsidR="00083A9A" w:rsidRPr="00083A9A">
        <w:rPr>
          <w:color w:val="000000"/>
        </w:rPr>
        <w:t xml:space="preserve"> Bone-anchored hearing aids have demonstrated good audiological outcomes in patients with microtia and aural atresia</w:t>
      </w:r>
      <w:r w:rsidR="00083A9A" w:rsidRPr="00083A9A">
        <w:rPr>
          <w:rStyle w:val="apple-converted-space"/>
          <w:color w:val="000000"/>
        </w:rPr>
        <w:t> </w:t>
      </w:r>
      <w:r w:rsidR="00083A9A" w:rsidRPr="00083A9A">
        <w:rPr>
          <w:rStyle w:val="Strong"/>
          <w:color w:val="000000"/>
        </w:rPr>
        <w:t>(5)</w:t>
      </w:r>
      <w:r w:rsidRPr="00083A9A">
        <w:t xml:space="preserve">. Exposure keratopathy can cause ocular problems, which can be avoided with ophthalmological </w:t>
      </w:r>
      <w:proofErr w:type="spellStart"/>
      <w:proofErr w:type="gramStart"/>
      <w:r w:rsidRPr="00083A9A">
        <w:t>treatment.Figure</w:t>
      </w:r>
      <w:proofErr w:type="spellEnd"/>
      <w:proofErr w:type="gramEnd"/>
      <w:r w:rsidRPr="00083A9A">
        <w:t xml:space="preserve"> 1 shows the patient's clinical images, which clearly reveal the asymmetric facial motions caused by unilateral facial nerve paralysis. The patient is unable to make symmetrical facial expressions, especially when she tries to smile, as shown in Figure 1</w:t>
      </w:r>
      <w:proofErr w:type="gramStart"/>
      <w:r w:rsidRPr="00083A9A">
        <w:t>A.When</w:t>
      </w:r>
      <w:proofErr w:type="gramEnd"/>
      <w:r w:rsidRPr="00083A9A">
        <w:t xml:space="preserve"> planning a patient's surgery, it is important to think about their age, the patient's anatomy, their functional goals, and their cosmetic aspirations.</w:t>
      </w:r>
      <w:r w:rsidR="00083A9A" w:rsidRPr="00083A9A">
        <w:rPr>
          <w:color w:val="000000"/>
        </w:rPr>
        <w:t xml:space="preserve"> Autologous rib cartilage reconstruction remains the most widely used technique for grade III microtia</w:t>
      </w:r>
      <w:r w:rsidR="00083A9A" w:rsidRPr="00083A9A">
        <w:rPr>
          <w:rStyle w:val="apple-converted-space"/>
          <w:color w:val="000000"/>
        </w:rPr>
        <w:t> </w:t>
      </w:r>
      <w:r w:rsidR="00083A9A" w:rsidRPr="00083A9A">
        <w:rPr>
          <w:rStyle w:val="Strong"/>
          <w:color w:val="000000"/>
        </w:rPr>
        <w:t>(4)</w:t>
      </w:r>
      <w:r w:rsidRPr="00083A9A">
        <w:t xml:space="preserve">, and it is normally done between the ages of 10 and 14 when there is enough cartilage to go around. If the ossicular chain and middle ear space are sufficient, aural atresia repair could be explored. Cosmetic </w:t>
      </w:r>
      <w:r w:rsidRPr="00083A9A">
        <w:lastRenderedPageBreak/>
        <w:t>and functional enhancements can be achieved through facial reanimation treatments, such as muscle transpositions or nerve transfers.</w:t>
      </w:r>
      <w:r w:rsidR="00083A9A" w:rsidRPr="00083A9A">
        <w:rPr>
          <w:color w:val="000000"/>
        </w:rPr>
        <w:t xml:space="preserve"> Adolescents with craniofacial anomalies often benefit from psychological and social support due to the impact on self-esteem and social integration</w:t>
      </w:r>
      <w:r w:rsidR="00083A9A" w:rsidRPr="00083A9A">
        <w:rPr>
          <w:rStyle w:val="apple-converted-space"/>
          <w:color w:val="000000"/>
        </w:rPr>
        <w:t> </w:t>
      </w:r>
      <w:r w:rsidR="00083A9A" w:rsidRPr="00083A9A">
        <w:rPr>
          <w:rStyle w:val="Strong"/>
          <w:color w:val="000000"/>
        </w:rPr>
        <w:t>(6)</w:t>
      </w:r>
      <w:r w:rsidRPr="00083A9A">
        <w:t xml:space="preserve"> in order to tackle problems with self-esteem, body image, friendships, and overall quality of life. Academic achievement, social development, and adaptation over the long run are all greatly influenced by early intervention and continuous assistance.</w:t>
      </w:r>
    </w:p>
    <w:p w14:paraId="783D49B0" w14:textId="77777777" w:rsidR="004C6D92" w:rsidRDefault="002D57F9">
      <w:pPr>
        <w:pStyle w:val="Heading1"/>
      </w:pPr>
      <w:r>
        <w:t>Conclusion</w:t>
      </w:r>
    </w:p>
    <w:p w14:paraId="6240CFC9" w14:textId="77777777" w:rsidR="004C6D92" w:rsidRDefault="00B748B2">
      <w:r>
        <w:t xml:space="preserve">The intricacies of treating a 13-year-old boy with microtia grade 3 and congenital facial paralysis are illustrated in this instance. For the best functional and psychosocial outcomes during the crucial teenage years of development, it is vital to identify problems early, conduct thorough evaluations, and coordinate the treatment of multiple </w:t>
      </w:r>
      <w:proofErr w:type="spellStart"/>
      <w:proofErr w:type="gramStart"/>
      <w:r>
        <w:t>disciplines.Emphasizing</w:t>
      </w:r>
      <w:proofErr w:type="spellEnd"/>
      <w:proofErr w:type="gramEnd"/>
      <w:r>
        <w:t xml:space="preserve"> the significance of patient-centered therapy, the personalized approach tackles hearing rehabilitation, facial function, esthetic issues, and psychological support in the context of pediatric craniofacial deformities. When the right tools and interventions are in place, even the most complicated congenital abnormalities can have beneficial adaptations with the help of families and other healthcare </w:t>
      </w:r>
      <w:proofErr w:type="spellStart"/>
      <w:proofErr w:type="gramStart"/>
      <w:r>
        <w:t>professionals.There</w:t>
      </w:r>
      <w:proofErr w:type="spellEnd"/>
      <w:proofErr w:type="gramEnd"/>
      <w:r>
        <w:t xml:space="preserve"> is a need for ongoing investigation into the causes, best times to intervene, and long-term effects in pediatric kids with this uncommon relationship; this case adds to the little literature on this unusual presentation and highlights that need.</w:t>
      </w:r>
    </w:p>
    <w:p w14:paraId="6B702C9B" w14:textId="77777777" w:rsidR="004C6D92" w:rsidRDefault="002D57F9">
      <w:pPr>
        <w:pStyle w:val="Heading1"/>
      </w:pPr>
      <w:r>
        <w:t>Patient Perspective</w:t>
      </w:r>
    </w:p>
    <w:p w14:paraId="496C274D" w14:textId="77777777" w:rsidR="004C6D92" w:rsidRDefault="00B748B2">
      <w:r>
        <w:t>Thank you for taking a multidisciplinary approach and taking the time to explain his illness in a way that was understandable to him and his family. They saw a marked improvement in the patient's social confidence and academic performance after hearing rehabilitation. The ability to participate in thoughtful deliberations regarding the scheduling of procedures and the thoroughness of surgical planning were both valued by the family. Following the patient's hearing aids and therapy, she felt more comfortable in social situations, especially when interacting with her classmates and taking part in group projects.</w:t>
      </w:r>
    </w:p>
    <w:p w14:paraId="552C8B84" w14:textId="1E2F3321" w:rsidR="004C6D92" w:rsidRDefault="002D57F9">
      <w:pPr>
        <w:pStyle w:val="Heading1"/>
      </w:pPr>
      <w:r>
        <w:t>Consent</w:t>
      </w:r>
    </w:p>
    <w:p w14:paraId="28F118ED" w14:textId="5DD32E29" w:rsidR="004C6D92" w:rsidRDefault="00B748B2">
      <w:r>
        <w:t>Both the patient and their legal guardian gave their written informed consent for this case report to be published, which includes the use of clinical images. The patient gave their age-appropriate agreement at the same time. The publication's purpose, any possible contributions to medical knowledge, and safeguards for patient confidentiality were all communicated to the patient and their family. In order to protect the privacy of our patients and comply with institutional requirements, we have scrubbed this report of all identifiable information.</w:t>
      </w:r>
    </w:p>
    <w:p w14:paraId="099EBC88" w14:textId="29B35485" w:rsidR="00D23153" w:rsidRDefault="00D23153"/>
    <w:p w14:paraId="26BC384F" w14:textId="77777777" w:rsidR="00D23153" w:rsidRDefault="00D23153" w:rsidP="00D23153">
      <w:r>
        <w:lastRenderedPageBreak/>
        <w:t>Ethical Approval:</w:t>
      </w:r>
    </w:p>
    <w:p w14:paraId="1DC8E938" w14:textId="77777777" w:rsidR="00D23153" w:rsidRDefault="00D23153" w:rsidP="00D23153"/>
    <w:p w14:paraId="5FBE451C" w14:textId="3FA7DDDD" w:rsidR="00D23153" w:rsidRDefault="00D23153" w:rsidP="00D23153">
      <w:r>
        <w:t>As per international standards or university standards written ethical approval has been collected and preserved by the author(s).</w:t>
      </w:r>
    </w:p>
    <w:p w14:paraId="44560AFF" w14:textId="77777777" w:rsidR="004C6D92" w:rsidRDefault="002D57F9">
      <w:pPr>
        <w:pStyle w:val="Heading1"/>
      </w:pPr>
      <w:r>
        <w:t>Acknowledgments</w:t>
      </w:r>
    </w:p>
    <w:p w14:paraId="33F0BCBE" w14:textId="77777777" w:rsidR="004C6D92" w:rsidRDefault="00B748B2">
      <w:r>
        <w:t>This case report, which includes the use of clinical images, was published after obtaining written informed consent from the patient's parent or guardian and age-appropriate assent from the patient. The patient and their loved ones were apprised of the publication's purpose, any possible contributions to medical knowledge, and the precautions taken to safeguard patient anonymity. In compliance with institutional norms, all identifiable information has been deleted from this report to ensure patient privacy.</w:t>
      </w:r>
    </w:p>
    <w:p w14:paraId="35859247" w14:textId="77777777" w:rsidR="004C6D92" w:rsidRDefault="002D57F9">
      <w:pPr>
        <w:pStyle w:val="Heading1"/>
      </w:pPr>
      <w:r>
        <w:t>References</w:t>
      </w:r>
    </w:p>
    <w:p w14:paraId="60496BAF" w14:textId="77777777" w:rsidR="00E77C9A" w:rsidRDefault="00E77C9A" w:rsidP="00E77C9A">
      <w:r>
        <w:t xml:space="preserve">1. House JW, </w:t>
      </w:r>
      <w:proofErr w:type="spellStart"/>
      <w:r>
        <w:t>Brackmann</w:t>
      </w:r>
      <w:proofErr w:type="spellEnd"/>
      <w:r>
        <w:t xml:space="preserve"> DE. Facial nerve grading system. </w:t>
      </w:r>
      <w:proofErr w:type="spellStart"/>
      <w:r>
        <w:t>Otolaryngol</w:t>
      </w:r>
      <w:proofErr w:type="spellEnd"/>
      <w:r>
        <w:t xml:space="preserve"> Head Neck Surg. 1985;93(2):146-147.</w:t>
      </w:r>
    </w:p>
    <w:p w14:paraId="7BB4F3C2" w14:textId="77777777" w:rsidR="00E77C9A" w:rsidRDefault="00E77C9A" w:rsidP="00E77C9A"/>
    <w:p w14:paraId="67F85BDA" w14:textId="77777777" w:rsidR="00E77C9A" w:rsidRDefault="00E77C9A" w:rsidP="00E77C9A">
      <w:r>
        <w:t xml:space="preserve">2. </w:t>
      </w:r>
      <w:proofErr w:type="spellStart"/>
      <w:r>
        <w:t>Luquetti</w:t>
      </w:r>
      <w:proofErr w:type="spellEnd"/>
      <w:r>
        <w:t xml:space="preserve"> DV, Heike CL, Hing AV, Cunningham ML, Cox TC. Microtia: epidemiology and genetics. Am J Med Genet A. 2012;158A:124-139.</w:t>
      </w:r>
    </w:p>
    <w:p w14:paraId="3DE89622" w14:textId="77777777" w:rsidR="00E77C9A" w:rsidRDefault="00E77C9A" w:rsidP="00E77C9A"/>
    <w:p w14:paraId="1ED46B53" w14:textId="77777777" w:rsidR="00E77C9A" w:rsidRDefault="00E77C9A" w:rsidP="00E77C9A">
      <w:r>
        <w:t xml:space="preserve">3. </w:t>
      </w:r>
      <w:proofErr w:type="spellStart"/>
      <w:r>
        <w:t>Kountakis</w:t>
      </w:r>
      <w:proofErr w:type="spellEnd"/>
      <w:r>
        <w:t xml:space="preserve"> SE, </w:t>
      </w:r>
      <w:proofErr w:type="spellStart"/>
      <w:r>
        <w:t>Helidonis</w:t>
      </w:r>
      <w:proofErr w:type="spellEnd"/>
      <w:r>
        <w:t xml:space="preserve"> ES. Congenital facial paralysis. </w:t>
      </w:r>
      <w:proofErr w:type="spellStart"/>
      <w:r>
        <w:t>Otolaryngol</w:t>
      </w:r>
      <w:proofErr w:type="spellEnd"/>
      <w:r>
        <w:t xml:space="preserve"> Clin North Am. 2001;34(3):703-716.</w:t>
      </w:r>
    </w:p>
    <w:p w14:paraId="562601E1" w14:textId="77777777" w:rsidR="00E77C9A" w:rsidRDefault="00E77C9A" w:rsidP="00E77C9A"/>
    <w:p w14:paraId="0B22ED75" w14:textId="77777777" w:rsidR="00E77C9A" w:rsidRDefault="00E77C9A" w:rsidP="00E77C9A">
      <w:r>
        <w:t xml:space="preserve">4. Brent B. Auricular repair with autogenous rib cartilage grafts: two decades of experience with 600 cases. </w:t>
      </w:r>
      <w:proofErr w:type="spellStart"/>
      <w:r>
        <w:t>Plast</w:t>
      </w:r>
      <w:proofErr w:type="spellEnd"/>
      <w:r>
        <w:t xml:space="preserve"> </w:t>
      </w:r>
      <w:proofErr w:type="spellStart"/>
      <w:r>
        <w:t>Reconstr</w:t>
      </w:r>
      <w:proofErr w:type="spellEnd"/>
      <w:r>
        <w:t xml:space="preserve"> Surg. </w:t>
      </w:r>
      <w:proofErr w:type="gramStart"/>
      <w:r>
        <w:t>1992;90:355</w:t>
      </w:r>
      <w:proofErr w:type="gramEnd"/>
      <w:r>
        <w:t>-374.</w:t>
      </w:r>
    </w:p>
    <w:p w14:paraId="55FC5760" w14:textId="77777777" w:rsidR="00E77C9A" w:rsidRDefault="00E77C9A" w:rsidP="00E77C9A"/>
    <w:p w14:paraId="4CB0EEB7" w14:textId="77777777" w:rsidR="00E77C9A" w:rsidRDefault="00E77C9A" w:rsidP="00E77C9A">
      <w:r>
        <w:t xml:space="preserve">5. </w:t>
      </w:r>
      <w:proofErr w:type="spellStart"/>
      <w:r>
        <w:t>Nadaraja</w:t>
      </w:r>
      <w:proofErr w:type="spellEnd"/>
      <w:r>
        <w:t xml:space="preserve"> GS, </w:t>
      </w:r>
      <w:proofErr w:type="spellStart"/>
      <w:r>
        <w:t>Gurgel</w:t>
      </w:r>
      <w:proofErr w:type="spellEnd"/>
      <w:r>
        <w:t xml:space="preserve"> RK, Kim J, Chang KW. Hearing outcomes of bone-anchored hearing devices. </w:t>
      </w:r>
      <w:proofErr w:type="spellStart"/>
      <w:r>
        <w:t>Otol</w:t>
      </w:r>
      <w:proofErr w:type="spellEnd"/>
      <w:r>
        <w:t xml:space="preserve"> </w:t>
      </w:r>
      <w:proofErr w:type="spellStart"/>
      <w:r>
        <w:t>Neurotol</w:t>
      </w:r>
      <w:proofErr w:type="spellEnd"/>
      <w:r>
        <w:t xml:space="preserve">. </w:t>
      </w:r>
      <w:proofErr w:type="gramStart"/>
      <w:r>
        <w:t>2013;34:903</w:t>
      </w:r>
      <w:proofErr w:type="gramEnd"/>
      <w:r>
        <w:t>-908.</w:t>
      </w:r>
    </w:p>
    <w:p w14:paraId="3AC2D173" w14:textId="77777777" w:rsidR="00E77C9A" w:rsidRDefault="00E77C9A" w:rsidP="00E77C9A"/>
    <w:p w14:paraId="5EEA02FD" w14:textId="74288287" w:rsidR="004C6D92" w:rsidRDefault="00E77C9A" w:rsidP="00E77C9A">
      <w:r>
        <w:t xml:space="preserve">6. Sullivan PK et al. Psychosocial impact of craniofacial anomalies in adolescence. J </w:t>
      </w:r>
      <w:proofErr w:type="spellStart"/>
      <w:r>
        <w:t>Craniofac</w:t>
      </w:r>
      <w:proofErr w:type="spellEnd"/>
      <w:r>
        <w:t xml:space="preserve"> Surg. </w:t>
      </w:r>
      <w:proofErr w:type="gramStart"/>
      <w:r>
        <w:t>2004;15:395</w:t>
      </w:r>
      <w:proofErr w:type="gramEnd"/>
      <w:r>
        <w:t>-401.</w:t>
      </w:r>
    </w:p>
    <w:p w14:paraId="51247804" w14:textId="37A1EB90" w:rsidR="005B10F5" w:rsidRDefault="005B10F5" w:rsidP="00E77C9A">
      <w:pPr>
        <w:rPr>
          <w:rFonts w:ascii="Arial" w:hAnsi="Arial" w:cs="Arial"/>
          <w:color w:val="222222"/>
          <w:sz w:val="20"/>
          <w:szCs w:val="20"/>
          <w:shd w:val="clear" w:color="auto" w:fill="FFFFFF"/>
        </w:rPr>
      </w:pPr>
      <w:r>
        <w:rPr>
          <w:rFonts w:ascii="Arial" w:hAnsi="Arial" w:cs="Arial"/>
          <w:color w:val="222222"/>
          <w:sz w:val="20"/>
          <w:szCs w:val="20"/>
          <w:shd w:val="clear" w:color="auto" w:fill="FFFFFF"/>
        </w:rPr>
        <w:t xml:space="preserve">7. </w:t>
      </w:r>
      <w:r>
        <w:rPr>
          <w:rFonts w:ascii="Arial" w:hAnsi="Arial" w:cs="Arial"/>
          <w:color w:val="222222"/>
          <w:sz w:val="20"/>
          <w:szCs w:val="20"/>
          <w:shd w:val="clear" w:color="auto" w:fill="FFFFFF"/>
        </w:rPr>
        <w:t xml:space="preserve">Hartzell, L. D., &amp; </w:t>
      </w:r>
      <w:proofErr w:type="spellStart"/>
      <w:r>
        <w:rPr>
          <w:rFonts w:ascii="Arial" w:hAnsi="Arial" w:cs="Arial"/>
          <w:color w:val="222222"/>
          <w:sz w:val="20"/>
          <w:szCs w:val="20"/>
          <w:shd w:val="clear" w:color="auto" w:fill="FFFFFF"/>
        </w:rPr>
        <w:t>Chinnadurai</w:t>
      </w:r>
      <w:proofErr w:type="spellEnd"/>
      <w:r>
        <w:rPr>
          <w:rFonts w:ascii="Arial" w:hAnsi="Arial" w:cs="Arial"/>
          <w:color w:val="222222"/>
          <w:sz w:val="20"/>
          <w:szCs w:val="20"/>
          <w:shd w:val="clear" w:color="auto" w:fill="FFFFFF"/>
        </w:rPr>
        <w:t>, S. (2018). Microtia and related facial anomalies. </w:t>
      </w:r>
      <w:r>
        <w:rPr>
          <w:rFonts w:ascii="Arial" w:hAnsi="Arial" w:cs="Arial"/>
          <w:i/>
          <w:iCs/>
          <w:color w:val="222222"/>
          <w:sz w:val="20"/>
          <w:szCs w:val="20"/>
          <w:shd w:val="clear" w:color="auto" w:fill="FFFFFF"/>
        </w:rPr>
        <w:t>Clinics in Perinatology</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45</w:t>
      </w:r>
      <w:r>
        <w:rPr>
          <w:rFonts w:ascii="Arial" w:hAnsi="Arial" w:cs="Arial"/>
          <w:color w:val="222222"/>
          <w:sz w:val="20"/>
          <w:szCs w:val="20"/>
          <w:shd w:val="clear" w:color="auto" w:fill="FFFFFF"/>
        </w:rPr>
        <w:t>(4), 679-697.</w:t>
      </w:r>
    </w:p>
    <w:p w14:paraId="59D6CF19" w14:textId="3CAC225C" w:rsidR="005B10F5" w:rsidRDefault="005B10F5" w:rsidP="00E77C9A">
      <w:pPr>
        <w:rPr>
          <w:rFonts w:ascii="Arial" w:hAnsi="Arial" w:cs="Arial"/>
          <w:color w:val="222222"/>
          <w:sz w:val="20"/>
          <w:szCs w:val="20"/>
          <w:shd w:val="clear" w:color="auto" w:fill="FFFFFF"/>
        </w:rPr>
      </w:pPr>
      <w:r>
        <w:rPr>
          <w:rFonts w:ascii="Arial" w:hAnsi="Arial" w:cs="Arial"/>
          <w:color w:val="222222"/>
          <w:sz w:val="20"/>
          <w:szCs w:val="20"/>
          <w:shd w:val="clear" w:color="auto" w:fill="FFFFFF"/>
        </w:rPr>
        <w:lastRenderedPageBreak/>
        <w:t xml:space="preserve">8. </w:t>
      </w:r>
      <w:r>
        <w:rPr>
          <w:rFonts w:ascii="Arial" w:hAnsi="Arial" w:cs="Arial"/>
          <w:color w:val="222222"/>
          <w:sz w:val="20"/>
          <w:szCs w:val="20"/>
          <w:shd w:val="clear" w:color="auto" w:fill="FFFFFF"/>
        </w:rPr>
        <w:t xml:space="preserve">Paul, A., </w:t>
      </w:r>
      <w:proofErr w:type="spellStart"/>
      <w:r>
        <w:rPr>
          <w:rFonts w:ascii="Arial" w:hAnsi="Arial" w:cs="Arial"/>
          <w:color w:val="222222"/>
          <w:sz w:val="20"/>
          <w:szCs w:val="20"/>
          <w:shd w:val="clear" w:color="auto" w:fill="FFFFFF"/>
        </w:rPr>
        <w:t>Achard</w:t>
      </w:r>
      <w:proofErr w:type="spellEnd"/>
      <w:r>
        <w:rPr>
          <w:rFonts w:ascii="Arial" w:hAnsi="Arial" w:cs="Arial"/>
          <w:color w:val="222222"/>
          <w:sz w:val="20"/>
          <w:szCs w:val="20"/>
          <w:shd w:val="clear" w:color="auto" w:fill="FFFFFF"/>
        </w:rPr>
        <w:t xml:space="preserve">, S., Simon, F., </w:t>
      </w:r>
      <w:proofErr w:type="spellStart"/>
      <w:r>
        <w:rPr>
          <w:rFonts w:ascii="Arial" w:hAnsi="Arial" w:cs="Arial"/>
          <w:color w:val="222222"/>
          <w:sz w:val="20"/>
          <w:szCs w:val="20"/>
          <w:shd w:val="clear" w:color="auto" w:fill="FFFFFF"/>
        </w:rPr>
        <w:t>Garcelon</w:t>
      </w:r>
      <w:proofErr w:type="spellEnd"/>
      <w:r>
        <w:rPr>
          <w:rFonts w:ascii="Arial" w:hAnsi="Arial" w:cs="Arial"/>
          <w:color w:val="222222"/>
          <w:sz w:val="20"/>
          <w:szCs w:val="20"/>
          <w:shd w:val="clear" w:color="auto" w:fill="FFFFFF"/>
        </w:rPr>
        <w:t xml:space="preserve">, N., </w:t>
      </w:r>
      <w:proofErr w:type="spellStart"/>
      <w:r>
        <w:rPr>
          <w:rFonts w:ascii="Arial" w:hAnsi="Arial" w:cs="Arial"/>
          <w:color w:val="222222"/>
          <w:sz w:val="20"/>
          <w:szCs w:val="20"/>
          <w:shd w:val="clear" w:color="auto" w:fill="FFFFFF"/>
        </w:rPr>
        <w:t>Garabedian</w:t>
      </w:r>
      <w:proofErr w:type="spellEnd"/>
      <w:r>
        <w:rPr>
          <w:rFonts w:ascii="Arial" w:hAnsi="Arial" w:cs="Arial"/>
          <w:color w:val="222222"/>
          <w:sz w:val="20"/>
          <w:szCs w:val="20"/>
          <w:shd w:val="clear" w:color="auto" w:fill="FFFFFF"/>
        </w:rPr>
        <w:t xml:space="preserve">, E. N., </w:t>
      </w:r>
      <w:proofErr w:type="spellStart"/>
      <w:r>
        <w:rPr>
          <w:rFonts w:ascii="Arial" w:hAnsi="Arial" w:cs="Arial"/>
          <w:color w:val="222222"/>
          <w:sz w:val="20"/>
          <w:szCs w:val="20"/>
          <w:shd w:val="clear" w:color="auto" w:fill="FFFFFF"/>
        </w:rPr>
        <w:t>Couloigner</w:t>
      </w:r>
      <w:proofErr w:type="spellEnd"/>
      <w:r>
        <w:rPr>
          <w:rFonts w:ascii="Arial" w:hAnsi="Arial" w:cs="Arial"/>
          <w:color w:val="222222"/>
          <w:sz w:val="20"/>
          <w:szCs w:val="20"/>
          <w:shd w:val="clear" w:color="auto" w:fill="FFFFFF"/>
        </w:rPr>
        <w:t xml:space="preserve">, V., ... &amp; </w:t>
      </w:r>
      <w:proofErr w:type="spellStart"/>
      <w:r>
        <w:rPr>
          <w:rFonts w:ascii="Arial" w:hAnsi="Arial" w:cs="Arial"/>
          <w:color w:val="222222"/>
          <w:sz w:val="20"/>
          <w:szCs w:val="20"/>
          <w:shd w:val="clear" w:color="auto" w:fill="FFFFFF"/>
        </w:rPr>
        <w:t>Denoyelle</w:t>
      </w:r>
      <w:proofErr w:type="spellEnd"/>
      <w:r>
        <w:rPr>
          <w:rFonts w:ascii="Arial" w:hAnsi="Arial" w:cs="Arial"/>
          <w:color w:val="222222"/>
          <w:sz w:val="20"/>
          <w:szCs w:val="20"/>
          <w:shd w:val="clear" w:color="auto" w:fill="FFFFFF"/>
        </w:rPr>
        <w:t>, F. (2021). Congenital abnormalities associated with microtia: A 10-YEARS retrospective study. </w:t>
      </w:r>
      <w:r>
        <w:rPr>
          <w:rFonts w:ascii="Arial" w:hAnsi="Arial" w:cs="Arial"/>
          <w:i/>
          <w:iCs/>
          <w:color w:val="222222"/>
          <w:sz w:val="20"/>
          <w:szCs w:val="20"/>
          <w:shd w:val="clear" w:color="auto" w:fill="FFFFFF"/>
        </w:rPr>
        <w:t>International Journal of Pediatric Otorhinolaryngology</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146</w:t>
      </w:r>
      <w:r>
        <w:rPr>
          <w:rFonts w:ascii="Arial" w:hAnsi="Arial" w:cs="Arial"/>
          <w:color w:val="222222"/>
          <w:sz w:val="20"/>
          <w:szCs w:val="20"/>
          <w:shd w:val="clear" w:color="auto" w:fill="FFFFFF"/>
        </w:rPr>
        <w:t>, 110764.</w:t>
      </w:r>
    </w:p>
    <w:p w14:paraId="32AEEEA7" w14:textId="66AD94AB" w:rsidR="005B10F5" w:rsidRDefault="005B10F5" w:rsidP="00E77C9A">
      <w:pPr>
        <w:rPr>
          <w:rFonts w:ascii="Arial" w:hAnsi="Arial" w:cs="Arial"/>
          <w:color w:val="222222"/>
          <w:sz w:val="20"/>
          <w:szCs w:val="20"/>
          <w:shd w:val="clear" w:color="auto" w:fill="FFFFFF"/>
        </w:rPr>
      </w:pPr>
      <w:r>
        <w:rPr>
          <w:rFonts w:ascii="Arial" w:hAnsi="Arial" w:cs="Arial"/>
          <w:color w:val="222222"/>
          <w:sz w:val="20"/>
          <w:szCs w:val="20"/>
          <w:shd w:val="clear" w:color="auto" w:fill="FFFFFF"/>
        </w:rPr>
        <w:t xml:space="preserve">9. </w:t>
      </w:r>
      <w:proofErr w:type="spellStart"/>
      <w:r>
        <w:rPr>
          <w:rFonts w:ascii="Arial" w:hAnsi="Arial" w:cs="Arial"/>
          <w:color w:val="222222"/>
          <w:sz w:val="20"/>
          <w:szCs w:val="20"/>
          <w:shd w:val="clear" w:color="auto" w:fill="FFFFFF"/>
        </w:rPr>
        <w:t>Takegoshi</w:t>
      </w:r>
      <w:proofErr w:type="spellEnd"/>
      <w:r>
        <w:rPr>
          <w:rFonts w:ascii="Arial" w:hAnsi="Arial" w:cs="Arial"/>
          <w:color w:val="222222"/>
          <w:sz w:val="20"/>
          <w:szCs w:val="20"/>
          <w:shd w:val="clear" w:color="auto" w:fill="FFFFFF"/>
        </w:rPr>
        <w:t xml:space="preserve">, H., &amp; </w:t>
      </w:r>
      <w:proofErr w:type="spellStart"/>
      <w:r>
        <w:rPr>
          <w:rFonts w:ascii="Arial" w:hAnsi="Arial" w:cs="Arial"/>
          <w:color w:val="222222"/>
          <w:sz w:val="20"/>
          <w:szCs w:val="20"/>
          <w:shd w:val="clear" w:color="auto" w:fill="FFFFFF"/>
        </w:rPr>
        <w:t>Kaga</w:t>
      </w:r>
      <w:proofErr w:type="spellEnd"/>
      <w:r>
        <w:rPr>
          <w:rFonts w:ascii="Arial" w:hAnsi="Arial" w:cs="Arial"/>
          <w:color w:val="222222"/>
          <w:sz w:val="20"/>
          <w:szCs w:val="20"/>
          <w:shd w:val="clear" w:color="auto" w:fill="FFFFFF"/>
        </w:rPr>
        <w:t>, K. (2003). Difference in facial canal anatomy in terms of severity of microtia and deformity of middle ear in patients with microtia. </w:t>
      </w:r>
      <w:r>
        <w:rPr>
          <w:rFonts w:ascii="Arial" w:hAnsi="Arial" w:cs="Arial"/>
          <w:i/>
          <w:iCs/>
          <w:color w:val="222222"/>
          <w:sz w:val="20"/>
          <w:szCs w:val="20"/>
          <w:shd w:val="clear" w:color="auto" w:fill="FFFFFF"/>
        </w:rPr>
        <w:t>The Laryngoscope</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113</w:t>
      </w:r>
      <w:r>
        <w:rPr>
          <w:rFonts w:ascii="Arial" w:hAnsi="Arial" w:cs="Arial"/>
          <w:color w:val="222222"/>
          <w:sz w:val="20"/>
          <w:szCs w:val="20"/>
          <w:shd w:val="clear" w:color="auto" w:fill="FFFFFF"/>
        </w:rPr>
        <w:t>(4), 635-639.</w:t>
      </w:r>
    </w:p>
    <w:p w14:paraId="2C2D4874" w14:textId="470AE27A" w:rsidR="005B10F5" w:rsidRDefault="005B10F5" w:rsidP="00E77C9A">
      <w:r>
        <w:rPr>
          <w:rFonts w:ascii="Arial" w:hAnsi="Arial" w:cs="Arial"/>
          <w:color w:val="222222"/>
          <w:sz w:val="20"/>
          <w:szCs w:val="20"/>
          <w:shd w:val="clear" w:color="auto" w:fill="FFFFFF"/>
        </w:rPr>
        <w:t xml:space="preserve">10. </w:t>
      </w:r>
      <w:proofErr w:type="spellStart"/>
      <w:r>
        <w:rPr>
          <w:rFonts w:ascii="Arial" w:hAnsi="Arial" w:cs="Arial"/>
          <w:color w:val="222222"/>
          <w:sz w:val="20"/>
          <w:szCs w:val="20"/>
          <w:shd w:val="clear" w:color="auto" w:fill="FFFFFF"/>
        </w:rPr>
        <w:t>Zuo</w:t>
      </w:r>
      <w:proofErr w:type="spellEnd"/>
      <w:r>
        <w:rPr>
          <w:rFonts w:ascii="Arial" w:hAnsi="Arial" w:cs="Arial"/>
          <w:color w:val="222222"/>
          <w:sz w:val="20"/>
          <w:szCs w:val="20"/>
          <w:shd w:val="clear" w:color="auto" w:fill="FFFFFF"/>
        </w:rPr>
        <w:t xml:space="preserve">, K. J., </w:t>
      </w:r>
      <w:proofErr w:type="spellStart"/>
      <w:r>
        <w:rPr>
          <w:rFonts w:ascii="Arial" w:hAnsi="Arial" w:cs="Arial"/>
          <w:color w:val="222222"/>
          <w:sz w:val="20"/>
          <w:szCs w:val="20"/>
          <w:shd w:val="clear" w:color="auto" w:fill="FFFFFF"/>
        </w:rPr>
        <w:t>Heinelt</w:t>
      </w:r>
      <w:proofErr w:type="spellEnd"/>
      <w:r>
        <w:rPr>
          <w:rFonts w:ascii="Arial" w:hAnsi="Arial" w:cs="Arial"/>
          <w:color w:val="222222"/>
          <w:sz w:val="20"/>
          <w:szCs w:val="20"/>
          <w:shd w:val="clear" w:color="auto" w:fill="FFFFFF"/>
        </w:rPr>
        <w:t xml:space="preserve">, M., Ho, E. S., Forrest, C. R., </w:t>
      </w:r>
      <w:proofErr w:type="spellStart"/>
      <w:r>
        <w:rPr>
          <w:rFonts w:ascii="Arial" w:hAnsi="Arial" w:cs="Arial"/>
          <w:color w:val="222222"/>
          <w:sz w:val="20"/>
          <w:szCs w:val="20"/>
          <w:shd w:val="clear" w:color="auto" w:fill="FFFFFF"/>
        </w:rPr>
        <w:t>Zuker</w:t>
      </w:r>
      <w:proofErr w:type="spellEnd"/>
      <w:r>
        <w:rPr>
          <w:rFonts w:ascii="Arial" w:hAnsi="Arial" w:cs="Arial"/>
          <w:color w:val="222222"/>
          <w:sz w:val="20"/>
          <w:szCs w:val="20"/>
          <w:shd w:val="clear" w:color="auto" w:fill="FFFFFF"/>
        </w:rPr>
        <w:t xml:space="preserve">, R. M., &amp; </w:t>
      </w:r>
      <w:proofErr w:type="spellStart"/>
      <w:r>
        <w:rPr>
          <w:rFonts w:ascii="Arial" w:hAnsi="Arial" w:cs="Arial"/>
          <w:color w:val="222222"/>
          <w:sz w:val="20"/>
          <w:szCs w:val="20"/>
          <w:shd w:val="clear" w:color="auto" w:fill="FFFFFF"/>
        </w:rPr>
        <w:t>Borschel</w:t>
      </w:r>
      <w:proofErr w:type="spellEnd"/>
      <w:r>
        <w:rPr>
          <w:rFonts w:ascii="Arial" w:hAnsi="Arial" w:cs="Arial"/>
          <w:color w:val="222222"/>
          <w:sz w:val="20"/>
          <w:szCs w:val="20"/>
          <w:shd w:val="clear" w:color="auto" w:fill="FFFFFF"/>
        </w:rPr>
        <w:t>, G. H. (2022). Dynamic reconstruction of facial paralysis in craniofacial microsomia. </w:t>
      </w:r>
      <w:r>
        <w:rPr>
          <w:rFonts w:ascii="Arial" w:hAnsi="Arial" w:cs="Arial"/>
          <w:i/>
          <w:iCs/>
          <w:color w:val="222222"/>
          <w:sz w:val="20"/>
          <w:szCs w:val="20"/>
          <w:shd w:val="clear" w:color="auto" w:fill="FFFFFF"/>
        </w:rPr>
        <w:t>Plastic and reconstructive surgery</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149</w:t>
      </w:r>
      <w:r>
        <w:rPr>
          <w:rFonts w:ascii="Arial" w:hAnsi="Arial" w:cs="Arial"/>
          <w:color w:val="222222"/>
          <w:sz w:val="20"/>
          <w:szCs w:val="20"/>
          <w:shd w:val="clear" w:color="auto" w:fill="FFFFFF"/>
        </w:rPr>
        <w:t>(4), 919-929.</w:t>
      </w:r>
    </w:p>
    <w:sectPr w:rsidR="005B10F5" w:rsidSect="0003461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1D5BB4" w14:textId="77777777" w:rsidR="00567101" w:rsidRDefault="00567101" w:rsidP="00325FB0">
      <w:pPr>
        <w:spacing w:after="0" w:line="240" w:lineRule="auto"/>
      </w:pPr>
      <w:r>
        <w:separator/>
      </w:r>
    </w:p>
  </w:endnote>
  <w:endnote w:type="continuationSeparator" w:id="0">
    <w:p w14:paraId="32A71A51" w14:textId="77777777" w:rsidR="00567101" w:rsidRDefault="00567101" w:rsidP="00325F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1889D3" w14:textId="77777777" w:rsidR="00567101" w:rsidRDefault="00567101" w:rsidP="00325FB0">
      <w:pPr>
        <w:spacing w:after="0" w:line="240" w:lineRule="auto"/>
      </w:pPr>
      <w:r>
        <w:separator/>
      </w:r>
    </w:p>
  </w:footnote>
  <w:footnote w:type="continuationSeparator" w:id="0">
    <w:p w14:paraId="2BFF5BD1" w14:textId="77777777" w:rsidR="00567101" w:rsidRDefault="00567101" w:rsidP="00325FB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tDAyMjEyNzY3MrW0NDJV0lEKTi0uzszPAykwrAUAZMTzkSwAAAA="/>
  </w:docVars>
  <w:rsids>
    <w:rsidRoot w:val="00B47730"/>
    <w:rsid w:val="00034616"/>
    <w:rsid w:val="0006063C"/>
    <w:rsid w:val="00083A9A"/>
    <w:rsid w:val="000B1207"/>
    <w:rsid w:val="001253E1"/>
    <w:rsid w:val="0015074B"/>
    <w:rsid w:val="00151531"/>
    <w:rsid w:val="001E1E99"/>
    <w:rsid w:val="0021291F"/>
    <w:rsid w:val="0023753E"/>
    <w:rsid w:val="0029639D"/>
    <w:rsid w:val="002D57F9"/>
    <w:rsid w:val="00302978"/>
    <w:rsid w:val="00325FB0"/>
    <w:rsid w:val="00326F90"/>
    <w:rsid w:val="00362DF5"/>
    <w:rsid w:val="0039651F"/>
    <w:rsid w:val="00396A1E"/>
    <w:rsid w:val="00416E3E"/>
    <w:rsid w:val="004C6D92"/>
    <w:rsid w:val="00567101"/>
    <w:rsid w:val="005B10F5"/>
    <w:rsid w:val="00684513"/>
    <w:rsid w:val="00692D69"/>
    <w:rsid w:val="006D347F"/>
    <w:rsid w:val="00732CCD"/>
    <w:rsid w:val="00734947"/>
    <w:rsid w:val="007F726C"/>
    <w:rsid w:val="008A6245"/>
    <w:rsid w:val="00936567"/>
    <w:rsid w:val="009A7FEC"/>
    <w:rsid w:val="00A25656"/>
    <w:rsid w:val="00A70E0D"/>
    <w:rsid w:val="00AA1D8D"/>
    <w:rsid w:val="00B47730"/>
    <w:rsid w:val="00B748B2"/>
    <w:rsid w:val="00B96AF9"/>
    <w:rsid w:val="00CB0664"/>
    <w:rsid w:val="00D23153"/>
    <w:rsid w:val="00D779AE"/>
    <w:rsid w:val="00DD3A16"/>
    <w:rsid w:val="00E77C9A"/>
    <w:rsid w:val="00E87798"/>
    <w:rsid w:val="00F14A5E"/>
    <w:rsid w:val="00FC693F"/>
    <w:rsid w:val="00FF350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DB705EC"/>
  <w14:defaultImageDpi w14:val="300"/>
  <w15:docId w15:val="{BA31D431-34E7-754B-930E-C3F6611D8B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customStyle="1" w:styleId="apple-converted-space">
    <w:name w:val="apple-converted-space"/>
    <w:basedOn w:val="DefaultParagraphFont"/>
    <w:rsid w:val="00083A9A"/>
  </w:style>
  <w:style w:type="character" w:styleId="CommentReference">
    <w:name w:val="annotation reference"/>
    <w:basedOn w:val="DefaultParagraphFont"/>
    <w:uiPriority w:val="99"/>
    <w:semiHidden/>
    <w:unhideWhenUsed/>
    <w:rsid w:val="00325FB0"/>
    <w:rPr>
      <w:sz w:val="16"/>
      <w:szCs w:val="16"/>
    </w:rPr>
  </w:style>
  <w:style w:type="paragraph" w:styleId="CommentText">
    <w:name w:val="annotation text"/>
    <w:basedOn w:val="Normal"/>
    <w:link w:val="CommentTextChar"/>
    <w:uiPriority w:val="99"/>
    <w:semiHidden/>
    <w:unhideWhenUsed/>
    <w:rsid w:val="00325FB0"/>
    <w:pPr>
      <w:spacing w:line="240" w:lineRule="auto"/>
    </w:pPr>
    <w:rPr>
      <w:sz w:val="20"/>
      <w:szCs w:val="20"/>
    </w:rPr>
  </w:style>
  <w:style w:type="character" w:customStyle="1" w:styleId="CommentTextChar">
    <w:name w:val="Comment Text Char"/>
    <w:basedOn w:val="DefaultParagraphFont"/>
    <w:link w:val="CommentText"/>
    <w:uiPriority w:val="99"/>
    <w:semiHidden/>
    <w:rsid w:val="00325FB0"/>
    <w:rPr>
      <w:sz w:val="20"/>
      <w:szCs w:val="20"/>
    </w:rPr>
  </w:style>
  <w:style w:type="paragraph" w:styleId="CommentSubject">
    <w:name w:val="annotation subject"/>
    <w:basedOn w:val="CommentText"/>
    <w:next w:val="CommentText"/>
    <w:link w:val="CommentSubjectChar"/>
    <w:uiPriority w:val="99"/>
    <w:semiHidden/>
    <w:unhideWhenUsed/>
    <w:rsid w:val="00325FB0"/>
    <w:rPr>
      <w:b/>
      <w:bCs/>
    </w:rPr>
  </w:style>
  <w:style w:type="character" w:customStyle="1" w:styleId="CommentSubjectChar">
    <w:name w:val="Comment Subject Char"/>
    <w:basedOn w:val="CommentTextChar"/>
    <w:link w:val="CommentSubject"/>
    <w:uiPriority w:val="99"/>
    <w:semiHidden/>
    <w:rsid w:val="00325FB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ustomXml" Target="ink/ink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ntTable" Target="fontTable.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25T16:03:07.483"/>
    </inkml:context>
    <inkml:brush xml:id="br0">
      <inkml:brushProperty name="width" value="0.05" units="cm"/>
      <inkml:brushProperty name="height" value="0.05" units="cm"/>
    </inkml:brush>
  </inkml:definitions>
  <inkml:trace contextRef="#ctx0" brushRef="#br0">0 1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F2F3DE91-DC3A-C14B-96C4-420E8EC39507}">
  <we:reference id="wa200000368" version="1.0.0.0" store="en-US" storeType="OMEX"/>
  <we:alternateReferences>
    <we:reference id="wa200000368" version="1.0.0.0" store="WA200000368" storeType="OMEX"/>
  </we:alternateReferences>
  <we:properties>
    <we:property name="documentId" value="&quot;7973ec0a334234d6&quot;"/>
  </we:properties>
  <we:bindings/>
  <we:snapshot xmlns:r="http://schemas.openxmlformats.org/officeDocument/2006/relationships"/>
</we:webextension>
</file>

<file path=word/webextensions/webextension2.xml><?xml version="1.0" encoding="utf-8"?>
<we:webextension xmlns:we="http://schemas.microsoft.com/office/webextensions/webextension/2010/11" id="{8A52723F-B27A-D047-B17E-618BBC49998B}">
  <we:reference id="wa200001361" version="2.129.3.0" store="en-US" storeType="OMEX"/>
  <we:alternateReferences>
    <we:reference id="wa200001361" version="2.129.3.0" store="WA20000136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C50B19-ECF5-47C3-A033-02688468B6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294</TotalTime>
  <Pages>8</Pages>
  <Words>2578</Words>
  <Characters>14699</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17243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SDI PC New 16</cp:lastModifiedBy>
  <cp:revision>13</cp:revision>
  <dcterms:created xsi:type="dcterms:W3CDTF">2026-03-09T05:06:00Z</dcterms:created>
  <dcterms:modified xsi:type="dcterms:W3CDTF">2026-03-17T12:35:00Z</dcterms:modified>
  <cp:category/>
</cp:coreProperties>
</file>