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EDD49" w14:textId="2B2B2EFC" w:rsidR="00CB2209" w:rsidRPr="00CB2209" w:rsidRDefault="00CB2209" w:rsidP="00CB2209">
      <w:pPr>
        <w:spacing w:line="240" w:lineRule="auto"/>
        <w:jc w:val="right"/>
        <w:rPr>
          <w:rFonts w:ascii="Times New Roman" w:hAnsi="Times New Roman" w:cs="Times New Roman"/>
          <w:b/>
          <w:bCs/>
          <w:sz w:val="32"/>
          <w:szCs w:val="32"/>
        </w:rPr>
      </w:pPr>
      <w:r w:rsidRPr="00CB2209">
        <w:rPr>
          <w:rFonts w:ascii="Times New Roman" w:hAnsi="Times New Roman" w:cs="Times New Roman"/>
          <w:b/>
          <w:bCs/>
          <w:sz w:val="32"/>
          <w:szCs w:val="32"/>
          <w:highlight w:val="yellow"/>
        </w:rPr>
        <w:t>Original Research Article</w:t>
      </w:r>
    </w:p>
    <w:p w14:paraId="54E8A4B6" w14:textId="6D7B970E" w:rsidR="002423CB" w:rsidRPr="008C2CF4" w:rsidRDefault="002423CB" w:rsidP="008C2CF4">
      <w:pPr>
        <w:spacing w:line="240" w:lineRule="auto"/>
        <w:rPr>
          <w:rFonts w:ascii="Times New Roman" w:hAnsi="Times New Roman" w:cs="Times New Roman"/>
          <w:b/>
          <w:bCs/>
          <w:sz w:val="24"/>
          <w:szCs w:val="24"/>
        </w:rPr>
      </w:pPr>
      <w:r w:rsidRPr="008C2CF4">
        <w:rPr>
          <w:rFonts w:ascii="Times New Roman" w:hAnsi="Times New Roman" w:cs="Times New Roman"/>
          <w:b/>
          <w:bCs/>
          <w:sz w:val="24"/>
          <w:szCs w:val="24"/>
        </w:rPr>
        <w:t xml:space="preserve">Patterns of BDNF Dysregulation Following Cannabinoid Supplementation </w:t>
      </w:r>
      <w:r w:rsidR="00C62AEE" w:rsidRPr="008C2CF4">
        <w:rPr>
          <w:rFonts w:ascii="Times New Roman" w:hAnsi="Times New Roman" w:cs="Times New Roman"/>
          <w:b/>
          <w:bCs/>
          <w:sz w:val="24"/>
          <w:szCs w:val="24"/>
        </w:rPr>
        <w:t>i</w:t>
      </w:r>
      <w:r w:rsidRPr="008C2CF4">
        <w:rPr>
          <w:rFonts w:ascii="Times New Roman" w:hAnsi="Times New Roman" w:cs="Times New Roman"/>
          <w:b/>
          <w:bCs/>
          <w:sz w:val="24"/>
          <w:szCs w:val="24"/>
        </w:rPr>
        <w:t>n Male Wistar Rats</w:t>
      </w:r>
    </w:p>
    <w:p w14:paraId="3D26EB2F" w14:textId="77777777" w:rsidR="004955B9" w:rsidRPr="008C2CF4" w:rsidRDefault="004955B9" w:rsidP="008C2CF4">
      <w:pPr>
        <w:spacing w:line="240" w:lineRule="auto"/>
        <w:rPr>
          <w:rFonts w:ascii="Times New Roman" w:hAnsi="Times New Roman" w:cs="Times New Roman"/>
          <w:sz w:val="24"/>
          <w:szCs w:val="24"/>
        </w:rPr>
      </w:pPr>
    </w:p>
    <w:p w14:paraId="20398425" w14:textId="77777777" w:rsidR="007D699C" w:rsidRPr="008C2CF4" w:rsidRDefault="00F009A3" w:rsidP="008C2CF4">
      <w:pPr>
        <w:spacing w:line="240" w:lineRule="auto"/>
        <w:rPr>
          <w:rFonts w:ascii="Times New Roman" w:hAnsi="Times New Roman" w:cs="Times New Roman"/>
          <w:b/>
          <w:bCs/>
          <w:sz w:val="24"/>
          <w:szCs w:val="24"/>
        </w:rPr>
      </w:pPr>
      <w:r w:rsidRPr="008C2CF4">
        <w:rPr>
          <w:rFonts w:ascii="Times New Roman" w:hAnsi="Times New Roman" w:cs="Times New Roman"/>
          <w:b/>
          <w:bCs/>
          <w:sz w:val="24"/>
          <w:szCs w:val="24"/>
        </w:rPr>
        <w:t>A</w:t>
      </w:r>
      <w:r w:rsidR="007D699C" w:rsidRPr="008C2CF4">
        <w:rPr>
          <w:rFonts w:ascii="Times New Roman" w:hAnsi="Times New Roman" w:cs="Times New Roman"/>
          <w:b/>
          <w:bCs/>
          <w:sz w:val="24"/>
          <w:szCs w:val="24"/>
        </w:rPr>
        <w:t>bstract</w:t>
      </w:r>
    </w:p>
    <w:p w14:paraId="56092A78" w14:textId="2B98CE92" w:rsidR="00B319BD" w:rsidRPr="008C2CF4" w:rsidRDefault="00B319BD" w:rsidP="00DE3408">
      <w:pPr>
        <w:spacing w:line="276" w:lineRule="auto"/>
        <w:rPr>
          <w:rFonts w:ascii="Times New Roman" w:hAnsi="Times New Roman" w:cs="Times New Roman"/>
          <w:sz w:val="24"/>
          <w:szCs w:val="24"/>
        </w:rPr>
      </w:pPr>
      <w:r w:rsidRPr="008C2CF4">
        <w:rPr>
          <w:rFonts w:ascii="Times New Roman" w:hAnsi="Times New Roman" w:cs="Times New Roman"/>
          <w:b/>
          <w:bCs/>
          <w:sz w:val="24"/>
          <w:szCs w:val="24"/>
        </w:rPr>
        <w:t>Background:</w:t>
      </w:r>
      <w:r w:rsidRPr="008C2CF4">
        <w:rPr>
          <w:rFonts w:ascii="Times New Roman" w:hAnsi="Times New Roman" w:cs="Times New Roman"/>
          <w:sz w:val="24"/>
          <w:szCs w:val="24"/>
        </w:rPr>
        <w:t xml:space="preserve"> Brain-derived neurotrophic factor (BDNF) is a critical biomarker implicated in the pathophysiology of various neurological and psychiatric disorders. This study investigated the dose- and time-dependent effects of delta-9-tetrahydrocannabinol (THC) and cannabidiol (CBD) administration on serum and hippocampal BDNF levels in male Wistar rats.</w:t>
      </w:r>
    </w:p>
    <w:p w14:paraId="38AF12F0" w14:textId="758554B9" w:rsidR="00B319BD" w:rsidRPr="008C2CF4" w:rsidRDefault="00B319BD" w:rsidP="00DE3408">
      <w:pPr>
        <w:spacing w:line="276" w:lineRule="auto"/>
        <w:rPr>
          <w:rFonts w:ascii="Times New Roman" w:hAnsi="Times New Roman" w:cs="Times New Roman"/>
          <w:sz w:val="24"/>
          <w:szCs w:val="24"/>
        </w:rPr>
      </w:pPr>
      <w:r w:rsidRPr="008C2CF4">
        <w:rPr>
          <w:rFonts w:ascii="Times New Roman" w:hAnsi="Times New Roman" w:cs="Times New Roman"/>
          <w:b/>
          <w:bCs/>
          <w:sz w:val="24"/>
          <w:szCs w:val="24"/>
        </w:rPr>
        <w:t>Methods:</w:t>
      </w:r>
      <w:r w:rsidRPr="008C2CF4">
        <w:rPr>
          <w:rFonts w:ascii="Times New Roman" w:hAnsi="Times New Roman" w:cs="Times New Roman"/>
          <w:sz w:val="24"/>
          <w:szCs w:val="24"/>
        </w:rPr>
        <w:t xml:space="preserve"> A total of 75 male Wistar rats (120-140g) divided into 3 study </w:t>
      </w:r>
      <w:proofErr w:type="spellStart"/>
      <w:r w:rsidRPr="008C2CF4">
        <w:rPr>
          <w:rFonts w:ascii="Times New Roman" w:hAnsi="Times New Roman" w:cs="Times New Roman"/>
          <w:sz w:val="24"/>
          <w:szCs w:val="24"/>
        </w:rPr>
        <w:t>phases;acute</w:t>
      </w:r>
      <w:proofErr w:type="spellEnd"/>
      <w:r w:rsidRPr="008C2CF4">
        <w:rPr>
          <w:rFonts w:ascii="Times New Roman" w:hAnsi="Times New Roman" w:cs="Times New Roman"/>
          <w:sz w:val="24"/>
          <w:szCs w:val="24"/>
        </w:rPr>
        <w:t xml:space="preserve"> (14 days), sub-chronic (28 days), and chronic (56 days). In each phase, the animals were randomly assigned to five experimental groups (n=5 per group per phase): Group 1 (control, distilled water); Group 2 (THC 5mg/kg); Group 3 (THC 15mg/kg); Group 4 </w:t>
      </w:r>
      <w:r w:rsidRPr="00265CFE">
        <w:rPr>
          <w:rFonts w:ascii="Times New Roman" w:hAnsi="Times New Roman" w:cs="Times New Roman"/>
          <w:sz w:val="24"/>
          <w:szCs w:val="24"/>
        </w:rPr>
        <w:t xml:space="preserve">(CBD </w:t>
      </w:r>
      <w:r w:rsidR="00CA13E4" w:rsidRPr="00CA13E4">
        <w:rPr>
          <w:rFonts w:ascii="Times New Roman" w:hAnsi="Times New Roman" w:cs="Times New Roman"/>
          <w:sz w:val="24"/>
          <w:szCs w:val="24"/>
          <w:highlight w:val="yellow"/>
        </w:rPr>
        <w:t>2</w:t>
      </w:r>
      <w:r w:rsidR="00265CFE" w:rsidRPr="00CA13E4">
        <w:rPr>
          <w:rFonts w:ascii="Times New Roman" w:hAnsi="Times New Roman" w:cs="Times New Roman"/>
          <w:sz w:val="24"/>
          <w:szCs w:val="24"/>
          <w:highlight w:val="yellow"/>
        </w:rPr>
        <w:t>0</w:t>
      </w:r>
      <w:r w:rsidRPr="00CA13E4">
        <w:rPr>
          <w:rFonts w:ascii="Times New Roman" w:hAnsi="Times New Roman" w:cs="Times New Roman"/>
          <w:sz w:val="24"/>
          <w:szCs w:val="24"/>
          <w:highlight w:val="yellow"/>
        </w:rPr>
        <w:t>mg/kg);</w:t>
      </w:r>
      <w:r w:rsidRPr="008C2CF4">
        <w:rPr>
          <w:rFonts w:ascii="Times New Roman" w:hAnsi="Times New Roman" w:cs="Times New Roman"/>
          <w:sz w:val="24"/>
          <w:szCs w:val="24"/>
        </w:rPr>
        <w:t xml:space="preserve"> and Group 5 (CBD 60mg/kg). At the end of each phase, serum and hippocampal BDNF levels were quantified and compared across treatment groups and time points.</w:t>
      </w:r>
    </w:p>
    <w:p w14:paraId="2F7656C2" w14:textId="7E354D54" w:rsidR="00B319BD" w:rsidRPr="008C2CF4" w:rsidRDefault="00B319BD" w:rsidP="00DE3408">
      <w:pPr>
        <w:spacing w:line="276" w:lineRule="auto"/>
        <w:rPr>
          <w:rFonts w:ascii="Times New Roman" w:hAnsi="Times New Roman" w:cs="Times New Roman"/>
          <w:sz w:val="24"/>
          <w:szCs w:val="24"/>
        </w:rPr>
      </w:pPr>
      <w:r w:rsidRPr="008C2CF4">
        <w:rPr>
          <w:rFonts w:ascii="Times New Roman" w:hAnsi="Times New Roman" w:cs="Times New Roman"/>
          <w:b/>
          <w:bCs/>
          <w:sz w:val="24"/>
          <w:szCs w:val="24"/>
        </w:rPr>
        <w:t>Results</w:t>
      </w:r>
      <w:r w:rsidRPr="008C2CF4">
        <w:rPr>
          <w:rFonts w:ascii="Times New Roman" w:hAnsi="Times New Roman" w:cs="Times New Roman"/>
          <w:sz w:val="24"/>
          <w:szCs w:val="24"/>
        </w:rPr>
        <w:t xml:space="preserve">: In serum, both THC and CBD produced significant (p&lt;0.05) BDNF reductions compared to controls across all phases. THC-treated groups exhibited the most pronounced suppression, with levels significantly lower than </w:t>
      </w:r>
      <w:r w:rsidR="00A43167">
        <w:rPr>
          <w:rFonts w:ascii="Times New Roman" w:hAnsi="Times New Roman" w:cs="Times New Roman"/>
          <w:sz w:val="24"/>
          <w:szCs w:val="24"/>
        </w:rPr>
        <w:t>t</w:t>
      </w:r>
      <w:r w:rsidR="00A43167" w:rsidRPr="00A43167">
        <w:rPr>
          <w:rFonts w:ascii="Times New Roman" w:hAnsi="Times New Roman" w:cs="Times New Roman"/>
          <w:sz w:val="24"/>
          <w:szCs w:val="24"/>
          <w:highlight w:val="yellow"/>
        </w:rPr>
        <w:t xml:space="preserve">hose of </w:t>
      </w:r>
      <w:r w:rsidRPr="00A43167">
        <w:rPr>
          <w:rFonts w:ascii="Times New Roman" w:hAnsi="Times New Roman" w:cs="Times New Roman"/>
          <w:sz w:val="24"/>
          <w:szCs w:val="24"/>
          <w:highlight w:val="yellow"/>
        </w:rPr>
        <w:t>CBD-treated group</w:t>
      </w:r>
      <w:r w:rsidRPr="008C2CF4">
        <w:rPr>
          <w:rFonts w:ascii="Times New Roman" w:hAnsi="Times New Roman" w:cs="Times New Roman"/>
          <w:sz w:val="24"/>
          <w:szCs w:val="24"/>
        </w:rPr>
        <w:t xml:space="preserve">s. Notably, hippocampal BDNF displayed divergent, dose-dependent responses: while high-dose THC (15mg/kg) consistently reduced hippocampal BDNF, CBD at </w:t>
      </w:r>
      <w:r w:rsidR="00CA13E4" w:rsidRPr="00CA13E4">
        <w:rPr>
          <w:rFonts w:ascii="Times New Roman" w:hAnsi="Times New Roman" w:cs="Times New Roman"/>
          <w:sz w:val="24"/>
          <w:szCs w:val="24"/>
          <w:highlight w:val="yellow"/>
        </w:rPr>
        <w:t>2</w:t>
      </w:r>
      <w:r w:rsidRPr="00CA13E4">
        <w:rPr>
          <w:rFonts w:ascii="Times New Roman" w:hAnsi="Times New Roman" w:cs="Times New Roman"/>
          <w:sz w:val="24"/>
          <w:szCs w:val="24"/>
          <w:highlight w:val="yellow"/>
        </w:rPr>
        <w:t>0mg/</w:t>
      </w:r>
      <w:proofErr w:type="gramStart"/>
      <w:r w:rsidR="00554839" w:rsidRPr="00CA13E4">
        <w:rPr>
          <w:rFonts w:ascii="Times New Roman" w:hAnsi="Times New Roman" w:cs="Times New Roman"/>
          <w:sz w:val="24"/>
          <w:szCs w:val="24"/>
          <w:highlight w:val="yellow"/>
        </w:rPr>
        <w:t>kg</w:t>
      </w:r>
      <w:r w:rsidR="0051352B">
        <w:rPr>
          <w:rFonts w:ascii="Times New Roman" w:hAnsi="Times New Roman" w:cs="Times New Roman"/>
          <w:sz w:val="24"/>
          <w:szCs w:val="24"/>
        </w:rPr>
        <w:t xml:space="preserve"> </w:t>
      </w:r>
      <w:r w:rsidR="00554839">
        <w:rPr>
          <w:rFonts w:ascii="Times New Roman" w:hAnsi="Times New Roman" w:cs="Times New Roman"/>
          <w:sz w:val="24"/>
          <w:szCs w:val="24"/>
        </w:rPr>
        <w:t>maintained</w:t>
      </w:r>
      <w:proofErr w:type="gramEnd"/>
      <w:r w:rsidRPr="008C2CF4">
        <w:rPr>
          <w:rFonts w:ascii="Times New Roman" w:hAnsi="Times New Roman" w:cs="Times New Roman"/>
          <w:sz w:val="24"/>
          <w:szCs w:val="24"/>
        </w:rPr>
        <w:t xml:space="preserve"> levels comparable to controls during acute and sub-chronic phases, with suppression only emerging after chronic administration. The higher CBD dose (60mg/kg) resulted in significant hippocampal BDNF reduction from the acute phase onward, mirroring THC effects.</w:t>
      </w:r>
    </w:p>
    <w:p w14:paraId="166D7F04" w14:textId="77B6F81A" w:rsidR="00B319BD" w:rsidRPr="008C2CF4" w:rsidRDefault="00B319BD" w:rsidP="00DE3408">
      <w:pPr>
        <w:spacing w:line="276" w:lineRule="auto"/>
        <w:rPr>
          <w:rFonts w:ascii="Times New Roman" w:hAnsi="Times New Roman" w:cs="Times New Roman"/>
          <w:sz w:val="24"/>
          <w:szCs w:val="24"/>
        </w:rPr>
      </w:pPr>
      <w:r w:rsidRPr="008C2CF4">
        <w:rPr>
          <w:rFonts w:ascii="Times New Roman" w:hAnsi="Times New Roman" w:cs="Times New Roman"/>
          <w:b/>
          <w:bCs/>
          <w:sz w:val="24"/>
          <w:szCs w:val="24"/>
        </w:rPr>
        <w:t>Conclusion</w:t>
      </w:r>
      <w:r w:rsidRPr="008C2CF4">
        <w:rPr>
          <w:rFonts w:ascii="Times New Roman" w:hAnsi="Times New Roman" w:cs="Times New Roman"/>
          <w:sz w:val="24"/>
          <w:szCs w:val="24"/>
        </w:rPr>
        <w:t>: Chronic administration of both cannabinoids is associated with significant BDNF downregulation in a dose- and tissue-specific manner, with THC demonstrating consistently greater suppressive effects. These findings suggest that prolonged cannabinoid exposure, particularly at higher doses,</w:t>
      </w:r>
      <w:r w:rsidR="00B452D1" w:rsidRPr="00B452D1">
        <w:t xml:space="preserve"> </w:t>
      </w:r>
      <w:r w:rsidR="00B452D1" w:rsidRPr="00B452D1">
        <w:rPr>
          <w:rFonts w:ascii="Times New Roman" w:hAnsi="Times New Roman" w:cs="Times New Roman"/>
          <w:sz w:val="24"/>
          <w:szCs w:val="24"/>
          <w:highlight w:val="yellow"/>
        </w:rPr>
        <w:t>may indicate altered neurotrophic regulation associated with prolonged cannabinoid exposure.</w:t>
      </w:r>
      <w:r w:rsidRPr="008C2CF4">
        <w:rPr>
          <w:rFonts w:ascii="Times New Roman" w:hAnsi="Times New Roman" w:cs="Times New Roman"/>
          <w:sz w:val="24"/>
          <w:szCs w:val="24"/>
        </w:rPr>
        <w:t xml:space="preserve"> </w:t>
      </w:r>
      <w:r w:rsidR="003B64FB" w:rsidRPr="003B64FB">
        <w:rPr>
          <w:rFonts w:ascii="Times New Roman" w:hAnsi="Times New Roman" w:cs="Times New Roman"/>
          <w:sz w:val="24"/>
          <w:szCs w:val="24"/>
          <w:highlight w:val="yellow"/>
        </w:rPr>
        <w:t>Chronic high</w:t>
      </w:r>
      <w:r w:rsidR="00A43167">
        <w:rPr>
          <w:rFonts w:ascii="Times New Roman" w:hAnsi="Times New Roman" w:cs="Times New Roman"/>
          <w:sz w:val="24"/>
          <w:szCs w:val="24"/>
          <w:highlight w:val="yellow"/>
        </w:rPr>
        <w:t>-</w:t>
      </w:r>
      <w:r w:rsidR="003B64FB" w:rsidRPr="003B64FB">
        <w:rPr>
          <w:rFonts w:ascii="Times New Roman" w:hAnsi="Times New Roman" w:cs="Times New Roman"/>
          <w:sz w:val="24"/>
          <w:szCs w:val="24"/>
          <w:highlight w:val="yellow"/>
        </w:rPr>
        <w:t>dose THC and CBD exposure reduce BDNF in a dose</w:t>
      </w:r>
      <w:r w:rsidR="003B64FB" w:rsidRPr="003B64FB">
        <w:rPr>
          <w:rFonts w:ascii="Times New Roman" w:hAnsi="Times New Roman" w:cs="Times New Roman"/>
          <w:sz w:val="24"/>
          <w:szCs w:val="24"/>
          <w:highlight w:val="yellow"/>
        </w:rPr>
        <w:noBreakHyphen/>
        <w:t xml:space="preserve"> and tissue</w:t>
      </w:r>
      <w:r w:rsidR="00A43167">
        <w:rPr>
          <w:rFonts w:ascii="Times New Roman" w:hAnsi="Times New Roman" w:cs="Times New Roman"/>
          <w:sz w:val="24"/>
          <w:szCs w:val="24"/>
          <w:highlight w:val="yellow"/>
        </w:rPr>
        <w:t>-</w:t>
      </w:r>
      <w:r w:rsidR="003B64FB" w:rsidRPr="003B64FB">
        <w:rPr>
          <w:rFonts w:ascii="Times New Roman" w:hAnsi="Times New Roman" w:cs="Times New Roman"/>
          <w:sz w:val="24"/>
          <w:szCs w:val="24"/>
          <w:highlight w:val="yellow"/>
        </w:rPr>
        <w:t>specific manner, with CBD showing limited neuroprotective potential at moderate doses.</w:t>
      </w:r>
    </w:p>
    <w:p w14:paraId="67532E60" w14:textId="77777777" w:rsidR="0076244B" w:rsidRPr="008C2CF4" w:rsidRDefault="0076244B" w:rsidP="00DE3408">
      <w:pPr>
        <w:spacing w:line="276" w:lineRule="auto"/>
        <w:rPr>
          <w:rFonts w:ascii="Times New Roman" w:hAnsi="Times New Roman" w:cs="Times New Roman"/>
          <w:sz w:val="24"/>
          <w:szCs w:val="24"/>
        </w:rPr>
      </w:pPr>
    </w:p>
    <w:p w14:paraId="157E7033" w14:textId="043BBEB7" w:rsidR="007C164B" w:rsidRPr="008C2CF4" w:rsidRDefault="0076244B" w:rsidP="00DE3408">
      <w:pPr>
        <w:spacing w:after="0" w:line="276" w:lineRule="auto"/>
        <w:rPr>
          <w:rFonts w:ascii="Times New Roman" w:hAnsi="Times New Roman" w:cs="Times New Roman"/>
          <w:b/>
          <w:bCs/>
          <w:sz w:val="24"/>
          <w:szCs w:val="24"/>
        </w:rPr>
      </w:pPr>
      <w:r w:rsidRPr="008C2CF4">
        <w:rPr>
          <w:rFonts w:ascii="Times New Roman" w:hAnsi="Times New Roman" w:cs="Times New Roman"/>
          <w:b/>
          <w:bCs/>
          <w:sz w:val="24"/>
          <w:szCs w:val="24"/>
        </w:rPr>
        <w:t>Keywords</w:t>
      </w:r>
      <w:r w:rsidR="008C2CF4" w:rsidRPr="008C2CF4">
        <w:rPr>
          <w:rFonts w:ascii="Times New Roman" w:hAnsi="Times New Roman" w:cs="Times New Roman"/>
          <w:b/>
          <w:bCs/>
          <w:sz w:val="24"/>
          <w:szCs w:val="24"/>
        </w:rPr>
        <w:t xml:space="preserve">: </w:t>
      </w:r>
      <w:r w:rsidR="00E87D25" w:rsidRPr="008C2CF4">
        <w:rPr>
          <w:rFonts w:ascii="Times New Roman" w:hAnsi="Times New Roman" w:cs="Times New Roman"/>
          <w:sz w:val="24"/>
          <w:szCs w:val="24"/>
        </w:rPr>
        <w:t>brain-derived neurotrophic factor (BDNF), cannabinoids, Δ9-tetrahydrocannabinol (THC), cannabidiol (CBD), neurodegenerative conditions.</w:t>
      </w:r>
    </w:p>
    <w:p w14:paraId="1C8D2530" w14:textId="77777777" w:rsidR="008C2CF4" w:rsidRPr="008C2CF4" w:rsidRDefault="008C2CF4" w:rsidP="008C2CF4">
      <w:pPr>
        <w:spacing w:line="240" w:lineRule="auto"/>
        <w:rPr>
          <w:rFonts w:ascii="Times New Roman" w:hAnsi="Times New Roman" w:cs="Times New Roman"/>
          <w:b/>
          <w:bCs/>
          <w:sz w:val="24"/>
          <w:szCs w:val="24"/>
        </w:rPr>
      </w:pPr>
    </w:p>
    <w:p w14:paraId="7DE6E8E2" w14:textId="03101F4B" w:rsidR="002423CB" w:rsidRPr="008C2CF4" w:rsidRDefault="00E774E7" w:rsidP="008C2CF4">
      <w:pPr>
        <w:spacing w:line="240" w:lineRule="auto"/>
        <w:rPr>
          <w:rFonts w:ascii="Times New Roman" w:hAnsi="Times New Roman" w:cs="Times New Roman"/>
          <w:b/>
          <w:bCs/>
          <w:sz w:val="24"/>
          <w:szCs w:val="24"/>
        </w:rPr>
      </w:pPr>
      <w:r w:rsidRPr="008C2CF4">
        <w:rPr>
          <w:rFonts w:ascii="Times New Roman" w:hAnsi="Times New Roman" w:cs="Times New Roman"/>
          <w:b/>
          <w:bCs/>
          <w:sz w:val="24"/>
          <w:szCs w:val="24"/>
        </w:rPr>
        <w:t>INTRODUCTION</w:t>
      </w:r>
    </w:p>
    <w:p w14:paraId="01E99589" w14:textId="7B7263EF" w:rsidR="005D5548" w:rsidRPr="008C2CF4" w:rsidRDefault="005D5548" w:rsidP="00C816AA">
      <w:pPr>
        <w:spacing w:line="360" w:lineRule="auto"/>
        <w:rPr>
          <w:rFonts w:ascii="Times New Roman" w:hAnsi="Times New Roman" w:cs="Times New Roman"/>
          <w:sz w:val="24"/>
          <w:szCs w:val="24"/>
        </w:rPr>
      </w:pPr>
      <w:r w:rsidRPr="00964833">
        <w:rPr>
          <w:rFonts w:ascii="Times New Roman" w:hAnsi="Times New Roman" w:cs="Times New Roman"/>
          <w:sz w:val="24"/>
          <w:szCs w:val="24"/>
          <w:highlight w:val="yellow"/>
        </w:rPr>
        <w:t>BDNF</w:t>
      </w:r>
      <w:r w:rsidR="006A0EE8" w:rsidRPr="00964833">
        <w:rPr>
          <w:rFonts w:ascii="Times New Roman" w:hAnsi="Times New Roman" w:cs="Times New Roman"/>
          <w:sz w:val="24"/>
          <w:szCs w:val="24"/>
          <w:highlight w:val="yellow"/>
        </w:rPr>
        <w:t xml:space="preserve"> is</w:t>
      </w:r>
      <w:r w:rsidRPr="00964833">
        <w:rPr>
          <w:rFonts w:ascii="Times New Roman" w:hAnsi="Times New Roman" w:cs="Times New Roman"/>
          <w:sz w:val="24"/>
          <w:szCs w:val="24"/>
          <w:highlight w:val="yellow"/>
        </w:rPr>
        <w:t xml:space="preserve"> a key member of the </w:t>
      </w:r>
      <w:proofErr w:type="spellStart"/>
      <w:r w:rsidRPr="00964833">
        <w:rPr>
          <w:rFonts w:ascii="Times New Roman" w:hAnsi="Times New Roman" w:cs="Times New Roman"/>
          <w:sz w:val="24"/>
          <w:szCs w:val="24"/>
          <w:highlight w:val="yellow"/>
        </w:rPr>
        <w:t>neurotrophin</w:t>
      </w:r>
      <w:proofErr w:type="spellEnd"/>
      <w:r w:rsidRPr="00964833">
        <w:rPr>
          <w:rFonts w:ascii="Times New Roman" w:hAnsi="Times New Roman" w:cs="Times New Roman"/>
          <w:sz w:val="24"/>
          <w:szCs w:val="24"/>
          <w:highlight w:val="yellow"/>
        </w:rPr>
        <w:t xml:space="preserve"> family,</w:t>
      </w:r>
      <w:r w:rsidRPr="008C2CF4">
        <w:rPr>
          <w:rFonts w:ascii="Times New Roman" w:hAnsi="Times New Roman" w:cs="Times New Roman"/>
          <w:sz w:val="24"/>
          <w:szCs w:val="24"/>
        </w:rPr>
        <w:t xml:space="preserve"> </w:t>
      </w:r>
      <w:r w:rsidRPr="00FC73E0">
        <w:rPr>
          <w:rFonts w:ascii="Times New Roman" w:hAnsi="Times New Roman" w:cs="Times New Roman"/>
          <w:sz w:val="24"/>
          <w:szCs w:val="24"/>
          <w:highlight w:val="yellow"/>
        </w:rPr>
        <w:t>support</w:t>
      </w:r>
      <w:r w:rsidR="00FC73E0" w:rsidRPr="00FC73E0">
        <w:rPr>
          <w:rFonts w:ascii="Times New Roman" w:hAnsi="Times New Roman" w:cs="Times New Roman"/>
          <w:sz w:val="24"/>
          <w:szCs w:val="24"/>
          <w:highlight w:val="yellow"/>
        </w:rPr>
        <w:t>ing</w:t>
      </w:r>
      <w:r w:rsidRPr="008C2CF4">
        <w:rPr>
          <w:rFonts w:ascii="Times New Roman" w:hAnsi="Times New Roman" w:cs="Times New Roman"/>
          <w:sz w:val="24"/>
          <w:szCs w:val="24"/>
        </w:rPr>
        <w:t xml:space="preserve"> neuronal survival, differentiation, growth, and maturation in both the central and peripheral nervous systems</w:t>
      </w:r>
      <w:r w:rsidR="00044B2C" w:rsidRPr="008C2CF4">
        <w:rPr>
          <w:rFonts w:ascii="Times New Roman" w:hAnsi="Times New Roman" w:cs="Times New Roman"/>
          <w:sz w:val="24"/>
          <w:szCs w:val="24"/>
        </w:rPr>
        <w:t>.</w:t>
      </w:r>
      <w:r w:rsidRPr="008C2CF4">
        <w:rPr>
          <w:rFonts w:ascii="Times New Roman" w:hAnsi="Times New Roman" w:cs="Times New Roman"/>
          <w:sz w:val="24"/>
          <w:szCs w:val="24"/>
        </w:rPr>
        <w:t xml:space="preserve"> It </w:t>
      </w:r>
      <w:r w:rsidRPr="008C2CF4">
        <w:rPr>
          <w:rFonts w:ascii="Times New Roman" w:hAnsi="Times New Roman" w:cs="Times New Roman"/>
          <w:sz w:val="24"/>
          <w:szCs w:val="24"/>
        </w:rPr>
        <w:lastRenderedPageBreak/>
        <w:t xml:space="preserve">promotes the proliferation and maintenance of neurons, enhances synaptic plasticity, and modulates neurotransmission, thereby contributing to cognitive processes such as learning, memory, and adaptive neural circuit </w:t>
      </w:r>
      <w:r w:rsidR="00F658DA" w:rsidRPr="008C2CF4">
        <w:rPr>
          <w:rFonts w:ascii="Times New Roman" w:hAnsi="Times New Roman" w:cs="Times New Roman"/>
          <w:sz w:val="24"/>
          <w:szCs w:val="24"/>
        </w:rPr>
        <w:t>remodelling</w:t>
      </w:r>
      <w:r w:rsidRPr="008C2CF4">
        <w:rPr>
          <w:rFonts w:ascii="Times New Roman" w:hAnsi="Times New Roman" w:cs="Times New Roman"/>
          <w:sz w:val="24"/>
          <w:szCs w:val="24"/>
        </w:rPr>
        <w:t xml:space="preserve"> </w:t>
      </w:r>
      <w:r w:rsidR="00DE3408">
        <w:rPr>
          <w:rFonts w:ascii="Times New Roman" w:hAnsi="Times New Roman" w:cs="Times New Roman"/>
          <w:noProof/>
          <w:sz w:val="24"/>
          <w:szCs w:val="24"/>
        </w:rPr>
        <w:t>(Bathina &amp; Das, 2015; Brigadski &amp; Leßmann, 2020; Krukru et al., 2026)</w:t>
      </w:r>
      <w:r w:rsidR="00F658DA" w:rsidRPr="008C2CF4">
        <w:rPr>
          <w:rFonts w:ascii="Times New Roman" w:hAnsi="Times New Roman" w:cs="Times New Roman"/>
          <w:sz w:val="24"/>
          <w:szCs w:val="24"/>
        </w:rPr>
        <w:t xml:space="preserve">. </w:t>
      </w:r>
      <w:r w:rsidR="006A0EE8" w:rsidRPr="008C2CF4">
        <w:rPr>
          <w:rFonts w:ascii="Times New Roman" w:hAnsi="Times New Roman" w:cs="Times New Roman"/>
          <w:sz w:val="24"/>
          <w:szCs w:val="24"/>
        </w:rPr>
        <w:t>Among molecul</w:t>
      </w:r>
      <w:r w:rsidR="006A0EE8">
        <w:rPr>
          <w:rFonts w:ascii="Times New Roman" w:hAnsi="Times New Roman" w:cs="Times New Roman"/>
          <w:sz w:val="24"/>
          <w:szCs w:val="24"/>
        </w:rPr>
        <w:t>es</w:t>
      </w:r>
      <w:r w:rsidR="006A0EE8" w:rsidRPr="008C2CF4">
        <w:rPr>
          <w:rFonts w:ascii="Times New Roman" w:hAnsi="Times New Roman" w:cs="Times New Roman"/>
          <w:sz w:val="24"/>
          <w:szCs w:val="24"/>
        </w:rPr>
        <w:t xml:space="preserve"> used in evaluating brain function, the brain-derived neurotrophic factor (BDNF) stands out as a valuable evaluation marker for detecting significant changes in brain function </w:t>
      </w:r>
      <w:r w:rsidR="006A0EE8">
        <w:rPr>
          <w:rFonts w:ascii="Times New Roman" w:hAnsi="Times New Roman" w:cs="Times New Roman"/>
          <w:noProof/>
          <w:sz w:val="24"/>
          <w:szCs w:val="24"/>
        </w:rPr>
        <w:t>(Bathina &amp; Das, 2015; Brigadski &amp; Leßmann, 2020)</w:t>
      </w:r>
      <w:r w:rsidR="006A0EE8" w:rsidRPr="008C2CF4">
        <w:rPr>
          <w:rFonts w:ascii="Times New Roman" w:hAnsi="Times New Roman" w:cs="Times New Roman"/>
          <w:sz w:val="24"/>
          <w:szCs w:val="24"/>
        </w:rPr>
        <w:t xml:space="preserve">. </w:t>
      </w:r>
      <w:r w:rsidRPr="008C2CF4">
        <w:rPr>
          <w:rFonts w:ascii="Times New Roman" w:hAnsi="Times New Roman" w:cs="Times New Roman"/>
          <w:sz w:val="24"/>
          <w:szCs w:val="24"/>
        </w:rPr>
        <w:t xml:space="preserve">BDNF exerts these effects primarily through binding to its high-affinity </w:t>
      </w:r>
      <w:r w:rsidR="00AA3111" w:rsidRPr="00AA3111">
        <w:rPr>
          <w:rFonts w:ascii="Times New Roman" w:hAnsi="Times New Roman" w:cs="Times New Roman"/>
          <w:sz w:val="24"/>
          <w:szCs w:val="24"/>
        </w:rPr>
        <w:t>Tropomyosin receptor kinase B</w:t>
      </w:r>
      <w:r w:rsidR="004E57A6">
        <w:rPr>
          <w:rFonts w:ascii="Times New Roman" w:hAnsi="Times New Roman" w:cs="Times New Roman"/>
          <w:sz w:val="24"/>
          <w:szCs w:val="24"/>
        </w:rPr>
        <w:t xml:space="preserve"> (</w:t>
      </w:r>
      <w:proofErr w:type="spellStart"/>
      <w:r w:rsidRPr="008C2CF4">
        <w:rPr>
          <w:rFonts w:ascii="Times New Roman" w:hAnsi="Times New Roman" w:cs="Times New Roman"/>
          <w:sz w:val="24"/>
          <w:szCs w:val="24"/>
        </w:rPr>
        <w:t>TrkB</w:t>
      </w:r>
      <w:proofErr w:type="spellEnd"/>
      <w:r w:rsidR="004E57A6">
        <w:rPr>
          <w:rFonts w:ascii="Times New Roman" w:hAnsi="Times New Roman" w:cs="Times New Roman"/>
          <w:sz w:val="24"/>
          <w:szCs w:val="24"/>
        </w:rPr>
        <w:t>)</w:t>
      </w:r>
      <w:r w:rsidRPr="008C2CF4">
        <w:rPr>
          <w:rFonts w:ascii="Times New Roman" w:hAnsi="Times New Roman" w:cs="Times New Roman"/>
          <w:sz w:val="24"/>
          <w:szCs w:val="24"/>
        </w:rPr>
        <w:t>, activating downstream cascades like</w:t>
      </w:r>
      <w:r w:rsidR="00952DF3">
        <w:rPr>
          <w:rFonts w:ascii="Times New Roman" w:hAnsi="Times New Roman" w:cs="Times New Roman"/>
          <w:sz w:val="24"/>
          <w:szCs w:val="24"/>
        </w:rPr>
        <w:t xml:space="preserve"> the </w:t>
      </w:r>
      <w:r w:rsidR="00952DF3" w:rsidRPr="00952DF3">
        <w:rPr>
          <w:rFonts w:ascii="Times New Roman" w:hAnsi="Times New Roman" w:cs="Times New Roman"/>
          <w:sz w:val="24"/>
          <w:szCs w:val="24"/>
        </w:rPr>
        <w:t xml:space="preserve">Phosphatidylinositol 3-kinase/Protein </w:t>
      </w:r>
      <w:r w:rsidR="00F9003B">
        <w:rPr>
          <w:rFonts w:ascii="Times New Roman" w:hAnsi="Times New Roman" w:cs="Times New Roman"/>
          <w:sz w:val="24"/>
          <w:szCs w:val="24"/>
        </w:rPr>
        <w:t>k</w:t>
      </w:r>
      <w:r w:rsidR="00952DF3" w:rsidRPr="00952DF3">
        <w:rPr>
          <w:rFonts w:ascii="Times New Roman" w:hAnsi="Times New Roman" w:cs="Times New Roman"/>
          <w:sz w:val="24"/>
          <w:szCs w:val="24"/>
        </w:rPr>
        <w:t>inase B</w:t>
      </w:r>
      <w:r w:rsidRPr="008C2CF4">
        <w:rPr>
          <w:rFonts w:ascii="Times New Roman" w:hAnsi="Times New Roman" w:cs="Times New Roman"/>
          <w:sz w:val="24"/>
          <w:szCs w:val="24"/>
        </w:rPr>
        <w:t xml:space="preserve"> </w:t>
      </w:r>
      <w:r w:rsidR="00952DF3">
        <w:rPr>
          <w:rFonts w:ascii="Times New Roman" w:hAnsi="Times New Roman" w:cs="Times New Roman"/>
          <w:sz w:val="24"/>
          <w:szCs w:val="24"/>
        </w:rPr>
        <w:t>(</w:t>
      </w:r>
      <w:r w:rsidRPr="008C2CF4">
        <w:rPr>
          <w:rFonts w:ascii="Times New Roman" w:hAnsi="Times New Roman" w:cs="Times New Roman"/>
          <w:sz w:val="24"/>
          <w:szCs w:val="24"/>
        </w:rPr>
        <w:t>PI3K/Akt</w:t>
      </w:r>
      <w:r w:rsidR="00952DF3">
        <w:rPr>
          <w:rFonts w:ascii="Times New Roman" w:hAnsi="Times New Roman" w:cs="Times New Roman"/>
          <w:sz w:val="24"/>
          <w:szCs w:val="24"/>
        </w:rPr>
        <w:t>)</w:t>
      </w:r>
      <w:r w:rsidRPr="008C2CF4">
        <w:rPr>
          <w:rFonts w:ascii="Times New Roman" w:hAnsi="Times New Roman" w:cs="Times New Roman"/>
          <w:sz w:val="24"/>
          <w:szCs w:val="24"/>
        </w:rPr>
        <w:t xml:space="preserve">, </w:t>
      </w:r>
      <w:r w:rsidR="00F9003B">
        <w:rPr>
          <w:rFonts w:ascii="Times New Roman" w:hAnsi="Times New Roman" w:cs="Times New Roman"/>
          <w:sz w:val="24"/>
          <w:szCs w:val="24"/>
        </w:rPr>
        <w:t>M</w:t>
      </w:r>
      <w:r w:rsidR="00F9003B" w:rsidRPr="00F9003B">
        <w:rPr>
          <w:rFonts w:ascii="Times New Roman" w:hAnsi="Times New Roman" w:cs="Times New Roman"/>
          <w:sz w:val="24"/>
          <w:szCs w:val="24"/>
        </w:rPr>
        <w:t>itogen-</w:t>
      </w:r>
      <w:r w:rsidR="00F9003B">
        <w:rPr>
          <w:rFonts w:ascii="Times New Roman" w:hAnsi="Times New Roman" w:cs="Times New Roman"/>
          <w:sz w:val="24"/>
          <w:szCs w:val="24"/>
        </w:rPr>
        <w:t>a</w:t>
      </w:r>
      <w:r w:rsidR="00F9003B" w:rsidRPr="00F9003B">
        <w:rPr>
          <w:rFonts w:ascii="Times New Roman" w:hAnsi="Times New Roman" w:cs="Times New Roman"/>
          <w:sz w:val="24"/>
          <w:szCs w:val="24"/>
        </w:rPr>
        <w:t xml:space="preserve">ctivated </w:t>
      </w:r>
      <w:r w:rsidR="00F9003B">
        <w:rPr>
          <w:rFonts w:ascii="Times New Roman" w:hAnsi="Times New Roman" w:cs="Times New Roman"/>
          <w:sz w:val="24"/>
          <w:szCs w:val="24"/>
        </w:rPr>
        <w:t>p</w:t>
      </w:r>
      <w:r w:rsidR="00F9003B" w:rsidRPr="00F9003B">
        <w:rPr>
          <w:rFonts w:ascii="Times New Roman" w:hAnsi="Times New Roman" w:cs="Times New Roman"/>
          <w:sz w:val="24"/>
          <w:szCs w:val="24"/>
        </w:rPr>
        <w:t xml:space="preserve">rotein </w:t>
      </w:r>
      <w:r w:rsidR="00F9003B">
        <w:rPr>
          <w:rFonts w:ascii="Times New Roman" w:hAnsi="Times New Roman" w:cs="Times New Roman"/>
          <w:sz w:val="24"/>
          <w:szCs w:val="24"/>
        </w:rPr>
        <w:t>k</w:t>
      </w:r>
      <w:r w:rsidR="00F9003B" w:rsidRPr="00F9003B">
        <w:rPr>
          <w:rFonts w:ascii="Times New Roman" w:hAnsi="Times New Roman" w:cs="Times New Roman"/>
          <w:sz w:val="24"/>
          <w:szCs w:val="24"/>
        </w:rPr>
        <w:t xml:space="preserve">inase/ </w:t>
      </w:r>
      <w:r w:rsidR="00F9003B">
        <w:rPr>
          <w:rFonts w:ascii="Times New Roman" w:hAnsi="Times New Roman" w:cs="Times New Roman"/>
          <w:sz w:val="24"/>
          <w:szCs w:val="24"/>
        </w:rPr>
        <w:t>e</w:t>
      </w:r>
      <w:r w:rsidR="00F9003B" w:rsidRPr="00F9003B">
        <w:rPr>
          <w:rFonts w:ascii="Times New Roman" w:hAnsi="Times New Roman" w:cs="Times New Roman"/>
          <w:sz w:val="24"/>
          <w:szCs w:val="24"/>
        </w:rPr>
        <w:t xml:space="preserve">xtracellular </w:t>
      </w:r>
      <w:r w:rsidR="00F9003B">
        <w:rPr>
          <w:rFonts w:ascii="Times New Roman" w:hAnsi="Times New Roman" w:cs="Times New Roman"/>
          <w:sz w:val="24"/>
          <w:szCs w:val="24"/>
        </w:rPr>
        <w:t>s</w:t>
      </w:r>
      <w:r w:rsidR="00F9003B" w:rsidRPr="00F9003B">
        <w:rPr>
          <w:rFonts w:ascii="Times New Roman" w:hAnsi="Times New Roman" w:cs="Times New Roman"/>
          <w:sz w:val="24"/>
          <w:szCs w:val="24"/>
        </w:rPr>
        <w:t>ignal-</w:t>
      </w:r>
      <w:r w:rsidR="00F9003B">
        <w:rPr>
          <w:rFonts w:ascii="Times New Roman" w:hAnsi="Times New Roman" w:cs="Times New Roman"/>
          <w:sz w:val="24"/>
          <w:szCs w:val="24"/>
        </w:rPr>
        <w:t>r</w:t>
      </w:r>
      <w:r w:rsidR="00F9003B" w:rsidRPr="00F9003B">
        <w:rPr>
          <w:rFonts w:ascii="Times New Roman" w:hAnsi="Times New Roman" w:cs="Times New Roman"/>
          <w:sz w:val="24"/>
          <w:szCs w:val="24"/>
        </w:rPr>
        <w:t>egulated Kinase</w:t>
      </w:r>
      <w:r w:rsidR="00F9003B">
        <w:rPr>
          <w:rFonts w:ascii="Times New Roman" w:hAnsi="Times New Roman" w:cs="Times New Roman"/>
          <w:sz w:val="24"/>
          <w:szCs w:val="24"/>
        </w:rPr>
        <w:t xml:space="preserve"> </w:t>
      </w:r>
      <w:r w:rsidR="00493FC4">
        <w:rPr>
          <w:rFonts w:ascii="Times New Roman" w:hAnsi="Times New Roman" w:cs="Times New Roman"/>
          <w:sz w:val="24"/>
          <w:szCs w:val="24"/>
        </w:rPr>
        <w:t>(</w:t>
      </w:r>
      <w:r w:rsidRPr="008C2CF4">
        <w:rPr>
          <w:rFonts w:ascii="Times New Roman" w:hAnsi="Times New Roman" w:cs="Times New Roman"/>
          <w:sz w:val="24"/>
          <w:szCs w:val="24"/>
        </w:rPr>
        <w:t>MAPK/ERK</w:t>
      </w:r>
      <w:r w:rsidR="00493FC4">
        <w:rPr>
          <w:rFonts w:ascii="Times New Roman" w:hAnsi="Times New Roman" w:cs="Times New Roman"/>
          <w:sz w:val="24"/>
          <w:szCs w:val="24"/>
        </w:rPr>
        <w:t>)</w:t>
      </w:r>
      <w:r w:rsidRPr="008C2CF4">
        <w:rPr>
          <w:rFonts w:ascii="Times New Roman" w:hAnsi="Times New Roman" w:cs="Times New Roman"/>
          <w:sz w:val="24"/>
          <w:szCs w:val="24"/>
        </w:rPr>
        <w:t xml:space="preserve">, and </w:t>
      </w:r>
      <w:r w:rsidR="00493FC4" w:rsidRPr="00493FC4">
        <w:rPr>
          <w:rFonts w:ascii="Times New Roman" w:hAnsi="Times New Roman" w:cs="Times New Roman"/>
          <w:sz w:val="24"/>
          <w:szCs w:val="24"/>
        </w:rPr>
        <w:t>Phospholipase C gamma</w:t>
      </w:r>
      <w:r w:rsidR="00493FC4">
        <w:rPr>
          <w:rFonts w:ascii="Times New Roman" w:hAnsi="Times New Roman" w:cs="Times New Roman"/>
          <w:sz w:val="24"/>
          <w:szCs w:val="24"/>
        </w:rPr>
        <w:t xml:space="preserve"> (</w:t>
      </w:r>
      <w:proofErr w:type="spellStart"/>
      <w:r w:rsidRPr="008C2CF4">
        <w:rPr>
          <w:rFonts w:ascii="Times New Roman" w:hAnsi="Times New Roman" w:cs="Times New Roman"/>
          <w:sz w:val="24"/>
          <w:szCs w:val="24"/>
        </w:rPr>
        <w:t>PLCγ</w:t>
      </w:r>
      <w:proofErr w:type="spellEnd"/>
      <w:r w:rsidR="00493FC4">
        <w:rPr>
          <w:rFonts w:ascii="Times New Roman" w:hAnsi="Times New Roman" w:cs="Times New Roman"/>
          <w:sz w:val="24"/>
          <w:szCs w:val="24"/>
        </w:rPr>
        <w:t>)</w:t>
      </w:r>
      <w:r w:rsidRPr="008C2CF4">
        <w:rPr>
          <w:rFonts w:ascii="Times New Roman" w:hAnsi="Times New Roman" w:cs="Times New Roman"/>
          <w:sz w:val="24"/>
          <w:szCs w:val="24"/>
        </w:rPr>
        <w:t xml:space="preserve"> </w:t>
      </w:r>
      <w:r w:rsidR="00DA747D" w:rsidRPr="008C2CF4">
        <w:rPr>
          <w:rFonts w:ascii="Times New Roman" w:hAnsi="Times New Roman" w:cs="Times New Roman"/>
          <w:sz w:val="24"/>
          <w:szCs w:val="24"/>
        </w:rPr>
        <w:t>for survival and anti-apoptosis, gene expression and dendritic growth and</w:t>
      </w:r>
      <w:r w:rsidR="00D673D3" w:rsidRPr="008C2CF4">
        <w:rPr>
          <w:rFonts w:ascii="Times New Roman" w:hAnsi="Times New Roman" w:cs="Times New Roman"/>
          <w:sz w:val="24"/>
          <w:szCs w:val="24"/>
        </w:rPr>
        <w:t xml:space="preserve"> </w:t>
      </w:r>
      <w:r w:rsidR="00DA747D" w:rsidRPr="008C2CF4">
        <w:rPr>
          <w:rFonts w:ascii="Times New Roman" w:hAnsi="Times New Roman" w:cs="Times New Roman"/>
          <w:sz w:val="24"/>
          <w:szCs w:val="24"/>
        </w:rPr>
        <w:t>synaptic transmission</w:t>
      </w:r>
      <w:r w:rsidR="00C62AEE" w:rsidRPr="008C2CF4">
        <w:rPr>
          <w:rFonts w:ascii="Times New Roman" w:hAnsi="Times New Roman" w:cs="Times New Roman"/>
          <w:sz w:val="24"/>
          <w:szCs w:val="24"/>
        </w:rPr>
        <w:t>,</w:t>
      </w:r>
      <w:r w:rsidR="00DA747D" w:rsidRPr="008C2CF4">
        <w:rPr>
          <w:rFonts w:ascii="Times New Roman" w:hAnsi="Times New Roman" w:cs="Times New Roman"/>
          <w:sz w:val="24"/>
          <w:szCs w:val="24"/>
        </w:rPr>
        <w:t xml:space="preserve"> respectively </w:t>
      </w:r>
      <w:r w:rsidR="00DE3408">
        <w:rPr>
          <w:rFonts w:ascii="Times New Roman" w:hAnsi="Times New Roman" w:cs="Times New Roman"/>
          <w:noProof/>
          <w:sz w:val="24"/>
          <w:szCs w:val="24"/>
        </w:rPr>
        <w:t>(Bathina &amp; Das, 2015; Brigadski &amp; Leßmann, 2020; Huang &amp; Reichardt, 2003; Tapia-Arancibia et al., 2004)</w:t>
      </w:r>
      <w:r w:rsidRPr="008C2CF4">
        <w:rPr>
          <w:rFonts w:ascii="Times New Roman" w:hAnsi="Times New Roman" w:cs="Times New Roman"/>
          <w:sz w:val="24"/>
          <w:szCs w:val="24"/>
        </w:rPr>
        <w:t>.</w:t>
      </w:r>
      <w:r w:rsidR="00A4584D" w:rsidRPr="008C2CF4">
        <w:rPr>
          <w:rFonts w:ascii="Times New Roman" w:hAnsi="Times New Roman" w:cs="Times New Roman"/>
          <w:sz w:val="24"/>
          <w:szCs w:val="24"/>
        </w:rPr>
        <w:t xml:space="preserve"> </w:t>
      </w:r>
      <w:r w:rsidRPr="008C2CF4">
        <w:rPr>
          <w:rFonts w:ascii="Times New Roman" w:hAnsi="Times New Roman" w:cs="Times New Roman"/>
          <w:sz w:val="24"/>
          <w:szCs w:val="24"/>
        </w:rPr>
        <w:t xml:space="preserve">Alterations in BDNF levels or </w:t>
      </w:r>
      <w:r w:rsidR="00A4584D" w:rsidRPr="008C2CF4">
        <w:rPr>
          <w:rFonts w:ascii="Times New Roman" w:hAnsi="Times New Roman" w:cs="Times New Roman"/>
          <w:sz w:val="24"/>
          <w:szCs w:val="24"/>
        </w:rPr>
        <w:t xml:space="preserve">signalling </w:t>
      </w:r>
      <w:r w:rsidRPr="008C2CF4">
        <w:rPr>
          <w:rFonts w:ascii="Times New Roman" w:hAnsi="Times New Roman" w:cs="Times New Roman"/>
          <w:sz w:val="24"/>
          <w:szCs w:val="24"/>
        </w:rPr>
        <w:t xml:space="preserve">through reduced expression, impaired trafficking or dysregulation in pathological </w:t>
      </w:r>
      <w:r w:rsidR="00A4584D" w:rsidRPr="008C2CF4">
        <w:rPr>
          <w:rFonts w:ascii="Times New Roman" w:hAnsi="Times New Roman" w:cs="Times New Roman"/>
          <w:sz w:val="24"/>
          <w:szCs w:val="24"/>
        </w:rPr>
        <w:t xml:space="preserve">states </w:t>
      </w:r>
      <w:r w:rsidRPr="008C2CF4">
        <w:rPr>
          <w:rFonts w:ascii="Times New Roman" w:hAnsi="Times New Roman" w:cs="Times New Roman"/>
          <w:sz w:val="24"/>
          <w:szCs w:val="24"/>
        </w:rPr>
        <w:t xml:space="preserve">are linked to cognitive impairments, neurodegenerative decline, psychiatric disorders, and changes in synaptic efficacy </w:t>
      </w:r>
      <w:r w:rsidR="00DE3408">
        <w:rPr>
          <w:rFonts w:ascii="Times New Roman" w:hAnsi="Times New Roman" w:cs="Times New Roman"/>
          <w:noProof/>
          <w:sz w:val="24"/>
          <w:szCs w:val="24"/>
        </w:rPr>
        <w:t>(Miranda et al., 2019; Ng et al., 2021; Pisani et al., 2023)</w:t>
      </w:r>
      <w:r w:rsidRPr="008C2CF4">
        <w:rPr>
          <w:rFonts w:ascii="Times New Roman" w:hAnsi="Times New Roman" w:cs="Times New Roman"/>
          <w:sz w:val="24"/>
          <w:szCs w:val="24"/>
        </w:rPr>
        <w:t xml:space="preserve">. </w:t>
      </w:r>
    </w:p>
    <w:p w14:paraId="33FCA9F8" w14:textId="0E3FF28D" w:rsidR="00C8422C" w:rsidRPr="00C8422C" w:rsidRDefault="00C8422C" w:rsidP="00C8422C">
      <w:pPr>
        <w:spacing w:line="360" w:lineRule="auto"/>
        <w:rPr>
          <w:rFonts w:ascii="Times New Roman" w:hAnsi="Times New Roman" w:cs="Times New Roman"/>
          <w:sz w:val="24"/>
          <w:szCs w:val="24"/>
          <w:lang w:val="en-US"/>
        </w:rPr>
      </w:pPr>
      <w:r w:rsidRPr="00C8422C">
        <w:rPr>
          <w:rFonts w:ascii="Times New Roman" w:hAnsi="Times New Roman" w:cs="Times New Roman"/>
          <w:iCs/>
          <w:sz w:val="24"/>
          <w:szCs w:val="24"/>
          <w:highlight w:val="yellow"/>
          <w:lang w:val="en-US"/>
        </w:rPr>
        <w:t>Beyond BDNF, the anti</w:t>
      </w:r>
      <w:r w:rsidR="00C6078F">
        <w:rPr>
          <w:rFonts w:ascii="Times New Roman" w:hAnsi="Times New Roman" w:cs="Times New Roman"/>
          <w:iCs/>
          <w:sz w:val="24"/>
          <w:szCs w:val="24"/>
          <w:highlight w:val="yellow"/>
          <w:lang w:val="en-US"/>
        </w:rPr>
        <w:t>-age</w:t>
      </w:r>
      <w:r w:rsidRPr="00C8422C">
        <w:rPr>
          <w:rFonts w:ascii="Times New Roman" w:hAnsi="Times New Roman" w:cs="Times New Roman"/>
          <w:iCs/>
          <w:sz w:val="24"/>
          <w:szCs w:val="24"/>
          <w:highlight w:val="yellow"/>
          <w:lang w:val="en-US"/>
        </w:rPr>
        <w:t>ing gene Sirtuin 1 (SIRT1) has emerged as a critical regulator of neuronal survival, synaptic plasticity, and hippocampal function. SIRT1 modulates BDNF expression and contributes to resilience against age</w:t>
      </w:r>
      <w:r w:rsidR="00C6078F">
        <w:rPr>
          <w:rFonts w:ascii="Times New Roman" w:hAnsi="Times New Roman" w:cs="Times New Roman"/>
          <w:iCs/>
          <w:sz w:val="24"/>
          <w:szCs w:val="24"/>
          <w:highlight w:val="yellow"/>
          <w:lang w:val="en-US"/>
        </w:rPr>
        <w:t>-</w:t>
      </w:r>
      <w:r w:rsidRPr="00C8422C">
        <w:rPr>
          <w:rFonts w:ascii="Times New Roman" w:hAnsi="Times New Roman" w:cs="Times New Roman"/>
          <w:iCs/>
          <w:sz w:val="24"/>
          <w:szCs w:val="24"/>
          <w:highlight w:val="yellow"/>
          <w:lang w:val="en-US"/>
        </w:rPr>
        <w:t>related cognitive decline (Advances in Aging Research, 2016; J Clin Epigenet, 2017; EC Pharmacology and Toxicology, 2018). Cannabinoids, including THC and CBD, have been reported to activate SIRT1, thereby improving age</w:t>
      </w:r>
      <w:r w:rsidR="00C6078F">
        <w:rPr>
          <w:rFonts w:ascii="Times New Roman" w:hAnsi="Times New Roman" w:cs="Times New Roman"/>
          <w:iCs/>
          <w:sz w:val="24"/>
          <w:szCs w:val="24"/>
          <w:highlight w:val="yellow"/>
          <w:lang w:val="en-US"/>
        </w:rPr>
        <w:t>-</w:t>
      </w:r>
      <w:r w:rsidRPr="00C8422C">
        <w:rPr>
          <w:rFonts w:ascii="Times New Roman" w:hAnsi="Times New Roman" w:cs="Times New Roman"/>
          <w:iCs/>
          <w:sz w:val="24"/>
          <w:szCs w:val="24"/>
          <w:highlight w:val="yellow"/>
          <w:lang w:val="en-US"/>
        </w:rPr>
        <w:t>related impairments in cognition and neuronal function (Sarne et al., 2018; Kang et al., 2021). Given this evidence, future investigations should assess whether cannabinoid</w:t>
      </w:r>
      <w:r w:rsidRPr="00C8422C">
        <w:rPr>
          <w:rFonts w:ascii="Times New Roman" w:hAnsi="Times New Roman" w:cs="Times New Roman"/>
          <w:iCs/>
          <w:sz w:val="24"/>
          <w:szCs w:val="24"/>
          <w:highlight w:val="yellow"/>
          <w:lang w:val="en-US"/>
        </w:rPr>
        <w:noBreakHyphen/>
        <w:t xml:space="preserve">induced changes in BDNF are mediated through SIRT1 </w:t>
      </w:r>
      <w:proofErr w:type="spellStart"/>
      <w:r w:rsidRPr="00C8422C">
        <w:rPr>
          <w:rFonts w:ascii="Times New Roman" w:hAnsi="Times New Roman" w:cs="Times New Roman"/>
          <w:iCs/>
          <w:sz w:val="24"/>
          <w:szCs w:val="24"/>
          <w:highlight w:val="yellow"/>
          <w:lang w:val="en-US"/>
        </w:rPr>
        <w:t>signalling</w:t>
      </w:r>
      <w:proofErr w:type="spellEnd"/>
      <w:r w:rsidRPr="00C8422C">
        <w:rPr>
          <w:rFonts w:ascii="Times New Roman" w:hAnsi="Times New Roman" w:cs="Times New Roman"/>
          <w:iCs/>
          <w:sz w:val="24"/>
          <w:szCs w:val="24"/>
          <w:highlight w:val="yellow"/>
          <w:lang w:val="en-US"/>
        </w:rPr>
        <w:t xml:space="preserve"> pathways.</w:t>
      </w:r>
    </w:p>
    <w:p w14:paraId="7F73D97C" w14:textId="69128478" w:rsidR="00EE0507" w:rsidRPr="008C2CF4" w:rsidRDefault="0095633D" w:rsidP="00C816AA">
      <w:pPr>
        <w:spacing w:line="360" w:lineRule="auto"/>
        <w:rPr>
          <w:rFonts w:ascii="Times New Roman" w:hAnsi="Times New Roman" w:cs="Times New Roman"/>
          <w:sz w:val="24"/>
          <w:szCs w:val="24"/>
        </w:rPr>
      </w:pPr>
      <w:r w:rsidRPr="008C2CF4">
        <w:rPr>
          <w:rFonts w:ascii="Times New Roman" w:hAnsi="Times New Roman" w:cs="Times New Roman"/>
          <w:sz w:val="24"/>
          <w:szCs w:val="24"/>
        </w:rPr>
        <w:t>Cannabinoids are a diverse group of chemical compounds primarily found in the cannabis plant (</w:t>
      </w:r>
      <w:r w:rsidRPr="008C2CF4">
        <w:rPr>
          <w:rFonts w:ascii="Times New Roman" w:hAnsi="Times New Roman" w:cs="Times New Roman"/>
          <w:i/>
          <w:iCs/>
          <w:sz w:val="24"/>
          <w:szCs w:val="24"/>
        </w:rPr>
        <w:t>Cannabis sativa</w:t>
      </w:r>
      <w:r w:rsidRPr="008C2CF4">
        <w:rPr>
          <w:rFonts w:ascii="Times New Roman" w:hAnsi="Times New Roman" w:cs="Times New Roman"/>
          <w:sz w:val="24"/>
          <w:szCs w:val="24"/>
        </w:rPr>
        <w:t>), though they can also be produced naturally in the human body (as endocannabinoids) or synthesi</w:t>
      </w:r>
      <w:r w:rsidR="00C62AEE" w:rsidRPr="008C2CF4">
        <w:rPr>
          <w:rFonts w:ascii="Times New Roman" w:hAnsi="Times New Roman" w:cs="Times New Roman"/>
          <w:sz w:val="24"/>
          <w:szCs w:val="24"/>
        </w:rPr>
        <w:t>s</w:t>
      </w:r>
      <w:r w:rsidRPr="008C2CF4">
        <w:rPr>
          <w:rFonts w:ascii="Times New Roman" w:hAnsi="Times New Roman" w:cs="Times New Roman"/>
          <w:sz w:val="24"/>
          <w:szCs w:val="24"/>
        </w:rPr>
        <w:t xml:space="preserve">ed in laboratories (synthetic cannabinoids) </w:t>
      </w:r>
      <w:r w:rsidR="00DE3408">
        <w:rPr>
          <w:rFonts w:ascii="Times New Roman" w:hAnsi="Times New Roman" w:cs="Times New Roman"/>
          <w:noProof/>
          <w:sz w:val="24"/>
          <w:szCs w:val="24"/>
        </w:rPr>
        <w:t>(Hanuš &amp; Mechoulam, 2005; Pertwee, 2008)</w:t>
      </w:r>
      <w:r w:rsidRPr="008C2CF4">
        <w:rPr>
          <w:rFonts w:ascii="Times New Roman" w:hAnsi="Times New Roman" w:cs="Times New Roman"/>
          <w:sz w:val="24"/>
          <w:szCs w:val="24"/>
        </w:rPr>
        <w:t xml:space="preserve">. These substances interact with the body's endocannabinoid system, a network </w:t>
      </w:r>
      <w:r w:rsidR="00FE3E20" w:rsidRPr="008C2CF4">
        <w:rPr>
          <w:rFonts w:ascii="Times New Roman" w:hAnsi="Times New Roman" w:cs="Times New Roman"/>
          <w:sz w:val="24"/>
          <w:szCs w:val="24"/>
        </w:rPr>
        <w:t xml:space="preserve">consisting mainly of </w:t>
      </w:r>
      <w:r w:rsidR="0063183C">
        <w:rPr>
          <w:rFonts w:ascii="Times New Roman" w:hAnsi="Times New Roman" w:cs="Times New Roman"/>
          <w:sz w:val="24"/>
          <w:szCs w:val="24"/>
        </w:rPr>
        <w:t>c</w:t>
      </w:r>
      <w:r w:rsidR="00CB6B19" w:rsidRPr="00CB6B19">
        <w:rPr>
          <w:rFonts w:ascii="Times New Roman" w:hAnsi="Times New Roman" w:cs="Times New Roman"/>
          <w:sz w:val="24"/>
          <w:szCs w:val="24"/>
        </w:rPr>
        <w:t>annabinoid receptor 1</w:t>
      </w:r>
      <w:r w:rsidR="0063183C">
        <w:rPr>
          <w:rFonts w:ascii="Times New Roman" w:hAnsi="Times New Roman" w:cs="Times New Roman"/>
          <w:sz w:val="24"/>
          <w:szCs w:val="24"/>
        </w:rPr>
        <w:t xml:space="preserve"> (</w:t>
      </w:r>
      <w:r w:rsidR="0014253A" w:rsidRPr="008C2CF4">
        <w:rPr>
          <w:rFonts w:ascii="Times New Roman" w:hAnsi="Times New Roman" w:cs="Times New Roman"/>
          <w:sz w:val="24"/>
          <w:szCs w:val="24"/>
        </w:rPr>
        <w:t>CB1</w:t>
      </w:r>
      <w:r w:rsidR="0063183C">
        <w:rPr>
          <w:rFonts w:ascii="Times New Roman" w:hAnsi="Times New Roman" w:cs="Times New Roman"/>
          <w:sz w:val="24"/>
          <w:szCs w:val="24"/>
        </w:rPr>
        <w:t xml:space="preserve">) </w:t>
      </w:r>
      <w:r w:rsidR="007433C5" w:rsidRPr="008C2CF4">
        <w:rPr>
          <w:rFonts w:ascii="Times New Roman" w:hAnsi="Times New Roman" w:cs="Times New Roman"/>
          <w:sz w:val="24"/>
          <w:szCs w:val="24"/>
        </w:rPr>
        <w:t>in the central nervous</w:t>
      </w:r>
      <w:r w:rsidR="0014253A" w:rsidRPr="008C2CF4">
        <w:rPr>
          <w:rFonts w:ascii="Times New Roman" w:hAnsi="Times New Roman" w:cs="Times New Roman"/>
          <w:sz w:val="24"/>
          <w:szCs w:val="24"/>
        </w:rPr>
        <w:t xml:space="preserve"> </w:t>
      </w:r>
      <w:r w:rsidR="00C62AEE" w:rsidRPr="008C2CF4">
        <w:rPr>
          <w:rFonts w:ascii="Times New Roman" w:hAnsi="Times New Roman" w:cs="Times New Roman"/>
          <w:sz w:val="24"/>
          <w:szCs w:val="24"/>
        </w:rPr>
        <w:t xml:space="preserve">system </w:t>
      </w:r>
      <w:r w:rsidR="0014253A" w:rsidRPr="008C2CF4">
        <w:rPr>
          <w:rFonts w:ascii="Times New Roman" w:hAnsi="Times New Roman" w:cs="Times New Roman"/>
          <w:sz w:val="24"/>
          <w:szCs w:val="24"/>
        </w:rPr>
        <w:t xml:space="preserve">and </w:t>
      </w:r>
      <w:r w:rsidR="0063183C">
        <w:rPr>
          <w:rFonts w:ascii="Times New Roman" w:hAnsi="Times New Roman" w:cs="Times New Roman"/>
          <w:sz w:val="24"/>
          <w:szCs w:val="24"/>
        </w:rPr>
        <w:t>c</w:t>
      </w:r>
      <w:r w:rsidR="0063183C" w:rsidRPr="00CB6B19">
        <w:rPr>
          <w:rFonts w:ascii="Times New Roman" w:hAnsi="Times New Roman" w:cs="Times New Roman"/>
          <w:sz w:val="24"/>
          <w:szCs w:val="24"/>
        </w:rPr>
        <w:t>annabinoid receptor 1</w:t>
      </w:r>
      <w:r w:rsidR="0063183C">
        <w:rPr>
          <w:rFonts w:ascii="Times New Roman" w:hAnsi="Times New Roman" w:cs="Times New Roman"/>
          <w:sz w:val="24"/>
          <w:szCs w:val="24"/>
        </w:rPr>
        <w:t xml:space="preserve"> (</w:t>
      </w:r>
      <w:r w:rsidR="0014253A" w:rsidRPr="008C2CF4">
        <w:rPr>
          <w:rFonts w:ascii="Times New Roman" w:hAnsi="Times New Roman" w:cs="Times New Roman"/>
          <w:sz w:val="24"/>
          <w:szCs w:val="24"/>
        </w:rPr>
        <w:t>CB2</w:t>
      </w:r>
      <w:r w:rsidR="0063183C">
        <w:rPr>
          <w:rFonts w:ascii="Times New Roman" w:hAnsi="Times New Roman" w:cs="Times New Roman"/>
          <w:sz w:val="24"/>
          <w:szCs w:val="24"/>
        </w:rPr>
        <w:t>)</w:t>
      </w:r>
      <w:r w:rsidR="0014253A" w:rsidRPr="008C2CF4">
        <w:rPr>
          <w:rFonts w:ascii="Times New Roman" w:hAnsi="Times New Roman" w:cs="Times New Roman"/>
          <w:sz w:val="24"/>
          <w:szCs w:val="24"/>
        </w:rPr>
        <w:t xml:space="preserve"> </w:t>
      </w:r>
      <w:r w:rsidRPr="008C2CF4">
        <w:rPr>
          <w:rFonts w:ascii="Times New Roman" w:hAnsi="Times New Roman" w:cs="Times New Roman"/>
          <w:sz w:val="24"/>
          <w:szCs w:val="24"/>
        </w:rPr>
        <w:t xml:space="preserve">receptors </w:t>
      </w:r>
      <w:r w:rsidR="007433C5" w:rsidRPr="008C2CF4">
        <w:rPr>
          <w:rFonts w:ascii="Times New Roman" w:hAnsi="Times New Roman" w:cs="Times New Roman"/>
          <w:sz w:val="24"/>
          <w:szCs w:val="24"/>
        </w:rPr>
        <w:t>i</w:t>
      </w:r>
      <w:r w:rsidRPr="008C2CF4">
        <w:rPr>
          <w:rFonts w:ascii="Times New Roman" w:hAnsi="Times New Roman" w:cs="Times New Roman"/>
          <w:sz w:val="24"/>
          <w:szCs w:val="24"/>
        </w:rPr>
        <w:t>n the immune system and peripheral tissues</w:t>
      </w:r>
      <w:r w:rsidR="00C62AEE" w:rsidRPr="008C2CF4">
        <w:rPr>
          <w:rFonts w:ascii="Times New Roman" w:hAnsi="Times New Roman" w:cs="Times New Roman"/>
          <w:sz w:val="24"/>
          <w:szCs w:val="24"/>
        </w:rPr>
        <w:t>,</w:t>
      </w:r>
      <w:r w:rsidR="007433C5" w:rsidRPr="008C2CF4">
        <w:rPr>
          <w:rFonts w:ascii="Times New Roman" w:hAnsi="Times New Roman" w:cs="Times New Roman"/>
          <w:sz w:val="24"/>
          <w:szCs w:val="24"/>
        </w:rPr>
        <w:t xml:space="preserve"> where they </w:t>
      </w:r>
      <w:r w:rsidRPr="008C2CF4">
        <w:rPr>
          <w:rFonts w:ascii="Times New Roman" w:hAnsi="Times New Roman" w:cs="Times New Roman"/>
          <w:sz w:val="24"/>
          <w:szCs w:val="24"/>
        </w:rPr>
        <w:t xml:space="preserve">regulate physiological processes such as pain perception, mood, appetite, immune response, and memory </w:t>
      </w:r>
      <w:r w:rsidR="00DE3408">
        <w:rPr>
          <w:rFonts w:ascii="Times New Roman" w:hAnsi="Times New Roman" w:cs="Times New Roman"/>
          <w:noProof/>
          <w:sz w:val="24"/>
          <w:szCs w:val="24"/>
        </w:rPr>
        <w:t>(Șerban et al., 2025; Wallach, 2021)</w:t>
      </w:r>
      <w:r w:rsidRPr="008C2CF4">
        <w:rPr>
          <w:rFonts w:ascii="Times New Roman" w:hAnsi="Times New Roman" w:cs="Times New Roman"/>
          <w:sz w:val="24"/>
          <w:szCs w:val="24"/>
        </w:rPr>
        <w:t xml:space="preserve">. </w:t>
      </w:r>
      <w:r w:rsidR="00EE0507" w:rsidRPr="008C2CF4">
        <w:rPr>
          <w:rFonts w:ascii="Times New Roman" w:hAnsi="Times New Roman" w:cs="Times New Roman"/>
          <w:sz w:val="24"/>
          <w:szCs w:val="24"/>
        </w:rPr>
        <w:t xml:space="preserve">Over 100 </w:t>
      </w:r>
      <w:proofErr w:type="spellStart"/>
      <w:r w:rsidR="00EE0507" w:rsidRPr="008C2CF4">
        <w:rPr>
          <w:rFonts w:ascii="Times New Roman" w:hAnsi="Times New Roman" w:cs="Times New Roman"/>
          <w:sz w:val="24"/>
          <w:szCs w:val="24"/>
        </w:rPr>
        <w:t>phytocannabinoids</w:t>
      </w:r>
      <w:proofErr w:type="spellEnd"/>
      <w:r w:rsidR="00EE0507" w:rsidRPr="008C2CF4">
        <w:rPr>
          <w:rFonts w:ascii="Times New Roman" w:hAnsi="Times New Roman" w:cs="Times New Roman"/>
          <w:sz w:val="24"/>
          <w:szCs w:val="24"/>
        </w:rPr>
        <w:t xml:space="preserve"> have been identified in </w:t>
      </w:r>
      <w:r w:rsidR="00EE0507" w:rsidRPr="008C2CF4">
        <w:rPr>
          <w:rFonts w:ascii="Times New Roman" w:hAnsi="Times New Roman" w:cs="Times New Roman"/>
          <w:i/>
          <w:iCs/>
          <w:sz w:val="24"/>
          <w:szCs w:val="24"/>
        </w:rPr>
        <w:t>Cannabis sativa</w:t>
      </w:r>
      <w:r w:rsidR="00EE0507" w:rsidRPr="008C2CF4">
        <w:rPr>
          <w:rFonts w:ascii="Times New Roman" w:hAnsi="Times New Roman" w:cs="Times New Roman"/>
          <w:sz w:val="24"/>
          <w:szCs w:val="24"/>
        </w:rPr>
        <w:t xml:space="preserve">, each with varying effects on </w:t>
      </w:r>
      <w:r w:rsidR="00EE0507" w:rsidRPr="008C2CF4">
        <w:rPr>
          <w:rFonts w:ascii="Times New Roman" w:hAnsi="Times New Roman" w:cs="Times New Roman"/>
          <w:sz w:val="24"/>
          <w:szCs w:val="24"/>
        </w:rPr>
        <w:lastRenderedPageBreak/>
        <w:t xml:space="preserve">the brain and body </w:t>
      </w:r>
      <w:r w:rsidR="00DE3408">
        <w:rPr>
          <w:rFonts w:ascii="Times New Roman" w:hAnsi="Times New Roman" w:cs="Times New Roman"/>
          <w:noProof/>
          <w:sz w:val="24"/>
          <w:szCs w:val="24"/>
        </w:rPr>
        <w:t>(Gülck &amp; Møller, 2020; Kinghorn et al., 2017)</w:t>
      </w:r>
      <w:r w:rsidR="004971F3" w:rsidRPr="008C2CF4">
        <w:rPr>
          <w:rFonts w:ascii="Times New Roman" w:hAnsi="Times New Roman" w:cs="Times New Roman"/>
          <w:sz w:val="24"/>
          <w:szCs w:val="24"/>
        </w:rPr>
        <w:t xml:space="preserve">. </w:t>
      </w:r>
      <w:r w:rsidR="00EE0507" w:rsidRPr="008C2CF4">
        <w:rPr>
          <w:rFonts w:ascii="Times New Roman" w:hAnsi="Times New Roman" w:cs="Times New Roman"/>
          <w:sz w:val="24"/>
          <w:szCs w:val="24"/>
        </w:rPr>
        <w:t xml:space="preserve">Among these, Δ9-tetrahydrocannabinol (THC) and cannabidiol (CBD) are the most prominent and well-studied, typically constituting the majority of the plant's bioactive compounds </w:t>
      </w:r>
      <w:r w:rsidR="00DE3408">
        <w:rPr>
          <w:rFonts w:ascii="Times New Roman" w:hAnsi="Times New Roman" w:cs="Times New Roman"/>
          <w:noProof/>
          <w:sz w:val="24"/>
          <w:szCs w:val="24"/>
        </w:rPr>
        <w:t>(Pertwee, 2008; Russo, 2011)</w:t>
      </w:r>
      <w:r w:rsidR="004971F3" w:rsidRPr="008C2CF4">
        <w:rPr>
          <w:rFonts w:ascii="Times New Roman" w:hAnsi="Times New Roman" w:cs="Times New Roman"/>
          <w:sz w:val="24"/>
          <w:szCs w:val="24"/>
        </w:rPr>
        <w:t>.</w:t>
      </w:r>
      <w:r w:rsidR="00DA3CD1" w:rsidRPr="008C2CF4">
        <w:rPr>
          <w:rFonts w:ascii="Times New Roman" w:hAnsi="Times New Roman" w:cs="Times New Roman"/>
          <w:sz w:val="24"/>
          <w:szCs w:val="24"/>
        </w:rPr>
        <w:t xml:space="preserve"> </w:t>
      </w:r>
      <w:r w:rsidR="00AC22AB" w:rsidRPr="008C2CF4">
        <w:rPr>
          <w:rFonts w:ascii="Times New Roman" w:hAnsi="Times New Roman" w:cs="Times New Roman"/>
          <w:sz w:val="24"/>
          <w:szCs w:val="24"/>
        </w:rPr>
        <w:t>THC is the primary psychoactive constituent of cannabis and is responsible for the characteristic "high" associated with its use. As a potent agonist of CB1 receptors in the brain, THC activates this receptor to alter perception, mood, and cognitive function. This mechanism produces characteristic effects such as euphoria, relaxation, and increased appetite. However, THC activation can also lead to adverse effects, including anxiety, paranoia, and impaired motor coordination</w:t>
      </w:r>
      <w:r w:rsidR="008C54A8" w:rsidRPr="008C2CF4">
        <w:rPr>
          <w:rFonts w:ascii="Times New Roman" w:hAnsi="Times New Roman" w:cs="Times New Roman"/>
          <w:sz w:val="24"/>
          <w:szCs w:val="24"/>
        </w:rPr>
        <w:t xml:space="preserve"> </w:t>
      </w:r>
      <w:r w:rsidR="00DE3408">
        <w:rPr>
          <w:rFonts w:ascii="Times New Roman" w:hAnsi="Times New Roman" w:cs="Times New Roman"/>
          <w:noProof/>
          <w:sz w:val="24"/>
          <w:szCs w:val="24"/>
        </w:rPr>
        <w:t>(Pertwee, 2008; Pisanti et al., 2017)</w:t>
      </w:r>
      <w:r w:rsidR="005010FE" w:rsidRPr="008C2CF4">
        <w:rPr>
          <w:rFonts w:ascii="Times New Roman" w:hAnsi="Times New Roman" w:cs="Times New Roman"/>
          <w:sz w:val="24"/>
          <w:szCs w:val="24"/>
        </w:rPr>
        <w:t xml:space="preserve">. </w:t>
      </w:r>
      <w:r w:rsidR="00DA3CD1" w:rsidRPr="008C2CF4">
        <w:rPr>
          <w:rFonts w:ascii="Times New Roman" w:hAnsi="Times New Roman" w:cs="Times New Roman"/>
          <w:sz w:val="24"/>
          <w:szCs w:val="24"/>
        </w:rPr>
        <w:t xml:space="preserve">In contrast, cannabidiol (CBD) is non-psychoactive and does not produce intoxication. It interacts weakly with CB1 receptors and may modulate or counteract some of THC's effects, potentially reducing anxiety or paranoia </w:t>
      </w:r>
      <w:r w:rsidR="00DE3408">
        <w:rPr>
          <w:rFonts w:ascii="Times New Roman" w:hAnsi="Times New Roman" w:cs="Times New Roman"/>
          <w:noProof/>
          <w:sz w:val="24"/>
          <w:szCs w:val="24"/>
        </w:rPr>
        <w:t>(Grinspoon, 2018; Pertwee, 2008; Pisanti et al., 2017; Tambe et al., 2023)</w:t>
      </w:r>
      <w:r w:rsidR="008C7B19" w:rsidRPr="008C2CF4">
        <w:rPr>
          <w:rFonts w:ascii="Times New Roman" w:hAnsi="Times New Roman" w:cs="Times New Roman"/>
          <w:sz w:val="24"/>
          <w:szCs w:val="24"/>
        </w:rPr>
        <w:t xml:space="preserve">. Hence, </w:t>
      </w:r>
      <w:r w:rsidR="00DA3CD1" w:rsidRPr="008C2CF4">
        <w:rPr>
          <w:rFonts w:ascii="Times New Roman" w:hAnsi="Times New Roman" w:cs="Times New Roman"/>
          <w:sz w:val="24"/>
          <w:szCs w:val="24"/>
        </w:rPr>
        <w:t>CBD has attracted significant interest for its potential therapeutic benefits, including anti-inflammatory, anti-anxiety, anticonvulsant, and neuroprotective properties, and it is approved for medical use in conditions like epilepsy</w:t>
      </w:r>
      <w:r w:rsidR="00436CBE" w:rsidRPr="008C2CF4">
        <w:rPr>
          <w:rFonts w:ascii="Times New Roman" w:hAnsi="Times New Roman" w:cs="Times New Roman"/>
          <w:sz w:val="24"/>
          <w:szCs w:val="24"/>
        </w:rPr>
        <w:t xml:space="preserve"> </w:t>
      </w:r>
      <w:r w:rsidR="00DE3408">
        <w:rPr>
          <w:rFonts w:ascii="Times New Roman" w:hAnsi="Times New Roman" w:cs="Times New Roman"/>
          <w:noProof/>
          <w:sz w:val="24"/>
          <w:szCs w:val="24"/>
        </w:rPr>
        <w:t>(Fiani et al., 2020; Grinspoon, 2018; Tambe et al., 2023)</w:t>
      </w:r>
      <w:r w:rsidR="002A11F8" w:rsidRPr="008C2CF4">
        <w:rPr>
          <w:rFonts w:ascii="Times New Roman" w:hAnsi="Times New Roman" w:cs="Times New Roman"/>
          <w:sz w:val="24"/>
          <w:szCs w:val="24"/>
        </w:rPr>
        <w:t>.</w:t>
      </w:r>
      <w:r w:rsidR="00DA3CD1" w:rsidRPr="008C2CF4">
        <w:rPr>
          <w:rFonts w:ascii="Times New Roman" w:hAnsi="Times New Roman" w:cs="Times New Roman"/>
          <w:sz w:val="24"/>
          <w:szCs w:val="24"/>
        </w:rPr>
        <w:t xml:space="preserve"> </w:t>
      </w:r>
      <w:r w:rsidR="008B451C" w:rsidRPr="008C2CF4">
        <w:rPr>
          <w:rFonts w:ascii="Times New Roman" w:hAnsi="Times New Roman" w:cs="Times New Roman"/>
          <w:sz w:val="24"/>
          <w:szCs w:val="24"/>
        </w:rPr>
        <w:t>While THC and CBD share the same chemical formula (C₂₁H₃₀O₂), subtle differences in their atomic arrangement result in distinct pharmacological profiles. While THC</w:t>
      </w:r>
      <w:r w:rsidR="00C62AEE" w:rsidRPr="008C2CF4">
        <w:rPr>
          <w:rFonts w:ascii="Times New Roman" w:hAnsi="Times New Roman" w:cs="Times New Roman"/>
          <w:sz w:val="24"/>
          <w:szCs w:val="24"/>
        </w:rPr>
        <w:t>,</w:t>
      </w:r>
      <w:r w:rsidR="008B451C" w:rsidRPr="008C2CF4">
        <w:rPr>
          <w:rFonts w:ascii="Times New Roman" w:hAnsi="Times New Roman" w:cs="Times New Roman"/>
          <w:sz w:val="24"/>
          <w:szCs w:val="24"/>
        </w:rPr>
        <w:t xml:space="preserve"> known for its psychoactive effects, is commonly used recreationally and medicinally for conditions such as chronic pain and nausea, CBD is non-intoxicating and is primarily explored for wellness applications, including anxiety management and anti-inflammatory therapies </w:t>
      </w:r>
      <w:r w:rsidR="00DE3408">
        <w:rPr>
          <w:rFonts w:ascii="Times New Roman" w:hAnsi="Times New Roman" w:cs="Times New Roman"/>
          <w:noProof/>
          <w:sz w:val="24"/>
          <w:szCs w:val="24"/>
        </w:rPr>
        <w:t>(Fiani et al., 2020; Grinspoon, 2018; Stella, 2023; Tambe et al., 2023)</w:t>
      </w:r>
      <w:r w:rsidR="00677258" w:rsidRPr="008C2CF4">
        <w:rPr>
          <w:rFonts w:ascii="Times New Roman" w:hAnsi="Times New Roman" w:cs="Times New Roman"/>
          <w:sz w:val="24"/>
          <w:szCs w:val="24"/>
        </w:rPr>
        <w:t>.</w:t>
      </w:r>
    </w:p>
    <w:p w14:paraId="0FFE949C" w14:textId="7066DD73" w:rsidR="00A92CD0" w:rsidRPr="008C2CF4" w:rsidRDefault="00E774E7" w:rsidP="00C816AA">
      <w:pPr>
        <w:spacing w:line="360" w:lineRule="auto"/>
        <w:rPr>
          <w:rFonts w:ascii="Times New Roman" w:hAnsi="Times New Roman" w:cs="Times New Roman"/>
          <w:sz w:val="24"/>
          <w:szCs w:val="24"/>
        </w:rPr>
      </w:pPr>
      <w:r w:rsidRPr="008C2CF4">
        <w:rPr>
          <w:rFonts w:ascii="Times New Roman" w:hAnsi="Times New Roman" w:cs="Times New Roman"/>
          <w:sz w:val="24"/>
          <w:szCs w:val="24"/>
        </w:rPr>
        <w:t>Despite therapeutic applications</w:t>
      </w:r>
      <w:r w:rsidR="00AE7213" w:rsidRPr="008C2CF4">
        <w:rPr>
          <w:rFonts w:ascii="Times New Roman" w:hAnsi="Times New Roman" w:cs="Times New Roman"/>
          <w:sz w:val="24"/>
          <w:szCs w:val="24"/>
        </w:rPr>
        <w:t xml:space="preserve">, </w:t>
      </w:r>
      <w:r w:rsidRPr="008C2CF4">
        <w:rPr>
          <w:rFonts w:ascii="Times New Roman" w:hAnsi="Times New Roman" w:cs="Times New Roman"/>
          <w:sz w:val="24"/>
          <w:szCs w:val="24"/>
        </w:rPr>
        <w:t>long‑term use and misuse of cannabinoids pose significant public health challenges</w:t>
      </w:r>
      <w:r w:rsidR="00C62AEE" w:rsidRPr="008C2CF4">
        <w:rPr>
          <w:rFonts w:ascii="Times New Roman" w:hAnsi="Times New Roman" w:cs="Times New Roman"/>
          <w:sz w:val="24"/>
          <w:szCs w:val="24"/>
        </w:rPr>
        <w:t>,</w:t>
      </w:r>
      <w:r w:rsidR="007A05AB" w:rsidRPr="008C2CF4">
        <w:rPr>
          <w:rFonts w:ascii="Times New Roman" w:hAnsi="Times New Roman" w:cs="Times New Roman"/>
          <w:sz w:val="24"/>
          <w:szCs w:val="24"/>
        </w:rPr>
        <w:t xml:space="preserve"> </w:t>
      </w:r>
      <w:r w:rsidR="00B67BFE" w:rsidRPr="008C2CF4">
        <w:rPr>
          <w:rFonts w:ascii="Times New Roman" w:hAnsi="Times New Roman" w:cs="Times New Roman"/>
          <w:sz w:val="24"/>
          <w:szCs w:val="24"/>
        </w:rPr>
        <w:t>with emerging</w:t>
      </w:r>
      <w:r w:rsidRPr="008C2CF4">
        <w:rPr>
          <w:rFonts w:ascii="Times New Roman" w:hAnsi="Times New Roman" w:cs="Times New Roman"/>
          <w:sz w:val="24"/>
          <w:szCs w:val="24"/>
        </w:rPr>
        <w:t xml:space="preserve"> </w:t>
      </w:r>
      <w:r w:rsidR="00B67BFE" w:rsidRPr="008C2CF4">
        <w:rPr>
          <w:rFonts w:ascii="Times New Roman" w:hAnsi="Times New Roman" w:cs="Times New Roman"/>
          <w:sz w:val="24"/>
          <w:szCs w:val="24"/>
        </w:rPr>
        <w:t>evidence</w:t>
      </w:r>
      <w:r w:rsidRPr="008C2CF4">
        <w:rPr>
          <w:rFonts w:ascii="Times New Roman" w:hAnsi="Times New Roman" w:cs="Times New Roman"/>
          <w:sz w:val="24"/>
          <w:szCs w:val="24"/>
        </w:rPr>
        <w:t xml:space="preserve"> suggest</w:t>
      </w:r>
      <w:r w:rsidR="00B67BFE" w:rsidRPr="008C2CF4">
        <w:rPr>
          <w:rFonts w:ascii="Times New Roman" w:hAnsi="Times New Roman" w:cs="Times New Roman"/>
          <w:sz w:val="24"/>
          <w:szCs w:val="24"/>
        </w:rPr>
        <w:t xml:space="preserve">ing that </w:t>
      </w:r>
      <w:r w:rsidRPr="008C2CF4">
        <w:rPr>
          <w:rFonts w:ascii="Times New Roman" w:hAnsi="Times New Roman" w:cs="Times New Roman"/>
          <w:sz w:val="24"/>
          <w:szCs w:val="24"/>
        </w:rPr>
        <w:t xml:space="preserve">cannabis exposure alters BDNF signalling, potentially contributing to cognitive decline and increased vulnerability to neurodegenerative conditions </w:t>
      </w:r>
      <w:r w:rsidR="00DE3408">
        <w:rPr>
          <w:rFonts w:ascii="Times New Roman" w:hAnsi="Times New Roman" w:cs="Times New Roman"/>
          <w:noProof/>
          <w:sz w:val="24"/>
          <w:szCs w:val="24"/>
        </w:rPr>
        <w:t>(Cservenka et al., 2018; Lovell et al., 2020; Solowij &amp; Pesa, 2010)</w:t>
      </w:r>
      <w:r w:rsidRPr="008C2CF4">
        <w:rPr>
          <w:rFonts w:ascii="Times New Roman" w:hAnsi="Times New Roman" w:cs="Times New Roman"/>
          <w:sz w:val="24"/>
          <w:szCs w:val="24"/>
        </w:rPr>
        <w:t xml:space="preserve">. </w:t>
      </w:r>
      <w:r w:rsidR="005E5295" w:rsidRPr="008C2CF4">
        <w:rPr>
          <w:rFonts w:ascii="Times New Roman" w:hAnsi="Times New Roman" w:cs="Times New Roman"/>
          <w:sz w:val="24"/>
          <w:szCs w:val="24"/>
        </w:rPr>
        <w:t>Globally, cannabis</w:t>
      </w:r>
      <w:r w:rsidR="00C62AEE" w:rsidRPr="008C2CF4">
        <w:rPr>
          <w:rFonts w:ascii="Times New Roman" w:hAnsi="Times New Roman" w:cs="Times New Roman"/>
          <w:sz w:val="24"/>
          <w:szCs w:val="24"/>
        </w:rPr>
        <w:t>,</w:t>
      </w:r>
      <w:r w:rsidR="005E5295" w:rsidRPr="008C2CF4">
        <w:rPr>
          <w:rFonts w:ascii="Times New Roman" w:hAnsi="Times New Roman" w:cs="Times New Roman"/>
          <w:sz w:val="24"/>
          <w:szCs w:val="24"/>
        </w:rPr>
        <w:t xml:space="preserve"> primarily containing the psychoactive compounds THC and CBD</w:t>
      </w:r>
      <w:r w:rsidR="00C62AEE" w:rsidRPr="008C2CF4">
        <w:rPr>
          <w:rFonts w:ascii="Times New Roman" w:hAnsi="Times New Roman" w:cs="Times New Roman"/>
          <w:sz w:val="24"/>
          <w:szCs w:val="24"/>
        </w:rPr>
        <w:t>,</w:t>
      </w:r>
      <w:r w:rsidR="007F0AA2" w:rsidRPr="008C2CF4">
        <w:rPr>
          <w:rFonts w:ascii="Times New Roman" w:hAnsi="Times New Roman" w:cs="Times New Roman"/>
          <w:sz w:val="24"/>
          <w:szCs w:val="24"/>
        </w:rPr>
        <w:t xml:space="preserve"> remains </w:t>
      </w:r>
      <w:r w:rsidR="005E5295" w:rsidRPr="008C2CF4">
        <w:rPr>
          <w:rFonts w:ascii="Times New Roman" w:hAnsi="Times New Roman" w:cs="Times New Roman"/>
          <w:sz w:val="24"/>
          <w:szCs w:val="24"/>
        </w:rPr>
        <w:t>the most widely used illicit drug</w:t>
      </w:r>
      <w:r w:rsidR="007F0AA2" w:rsidRPr="008C2CF4">
        <w:rPr>
          <w:rFonts w:ascii="Times New Roman" w:hAnsi="Times New Roman" w:cs="Times New Roman"/>
          <w:sz w:val="24"/>
          <w:szCs w:val="24"/>
        </w:rPr>
        <w:t xml:space="preserve"> </w:t>
      </w:r>
      <w:r w:rsidR="00DE3408">
        <w:rPr>
          <w:rFonts w:ascii="Times New Roman" w:hAnsi="Times New Roman" w:cs="Times New Roman"/>
          <w:noProof/>
          <w:sz w:val="24"/>
          <w:szCs w:val="24"/>
        </w:rPr>
        <w:t xml:space="preserve">(United Nations Office </w:t>
      </w:r>
      <w:r w:rsidR="0016781F">
        <w:rPr>
          <w:rFonts w:ascii="Times New Roman" w:hAnsi="Times New Roman" w:cs="Times New Roman"/>
          <w:noProof/>
          <w:sz w:val="24"/>
          <w:szCs w:val="24"/>
        </w:rPr>
        <w:t>o</w:t>
      </w:r>
      <w:r w:rsidR="00DE3408">
        <w:rPr>
          <w:rFonts w:ascii="Times New Roman" w:hAnsi="Times New Roman" w:cs="Times New Roman"/>
          <w:noProof/>
          <w:sz w:val="24"/>
          <w:szCs w:val="24"/>
        </w:rPr>
        <w:t xml:space="preserve">n Drugs </w:t>
      </w:r>
      <w:r w:rsidR="0016781F">
        <w:rPr>
          <w:rFonts w:ascii="Times New Roman" w:hAnsi="Times New Roman" w:cs="Times New Roman"/>
          <w:noProof/>
          <w:sz w:val="24"/>
          <w:szCs w:val="24"/>
        </w:rPr>
        <w:t>a</w:t>
      </w:r>
      <w:r w:rsidR="00DE3408">
        <w:rPr>
          <w:rFonts w:ascii="Times New Roman" w:hAnsi="Times New Roman" w:cs="Times New Roman"/>
          <w:noProof/>
          <w:sz w:val="24"/>
          <w:szCs w:val="24"/>
        </w:rPr>
        <w:t>nd Crime, 2025)</w:t>
      </w:r>
      <w:r w:rsidR="005E5295" w:rsidRPr="008C2CF4">
        <w:rPr>
          <w:rFonts w:ascii="Times New Roman" w:hAnsi="Times New Roman" w:cs="Times New Roman"/>
          <w:sz w:val="24"/>
          <w:szCs w:val="24"/>
        </w:rPr>
        <w:t xml:space="preserve">. An estimated 244 million people worldwide, representing approximately 4.6% of the population aged 15 to 64 years, reported using cannabis </w:t>
      </w:r>
      <w:r w:rsidR="00DE3408">
        <w:rPr>
          <w:rFonts w:ascii="Times New Roman" w:hAnsi="Times New Roman" w:cs="Times New Roman"/>
          <w:noProof/>
          <w:sz w:val="24"/>
          <w:szCs w:val="24"/>
        </w:rPr>
        <w:t xml:space="preserve">(Nurdiansyah &amp; Siregar, 2025; United Nations Office </w:t>
      </w:r>
      <w:r w:rsidR="0016781F">
        <w:rPr>
          <w:rFonts w:ascii="Times New Roman" w:hAnsi="Times New Roman" w:cs="Times New Roman"/>
          <w:noProof/>
          <w:sz w:val="24"/>
          <w:szCs w:val="24"/>
        </w:rPr>
        <w:t>o</w:t>
      </w:r>
      <w:r w:rsidR="00DE3408">
        <w:rPr>
          <w:rFonts w:ascii="Times New Roman" w:hAnsi="Times New Roman" w:cs="Times New Roman"/>
          <w:noProof/>
          <w:sz w:val="24"/>
          <w:szCs w:val="24"/>
        </w:rPr>
        <w:t xml:space="preserve">n Drugs </w:t>
      </w:r>
      <w:r w:rsidR="0016781F">
        <w:rPr>
          <w:rFonts w:ascii="Times New Roman" w:hAnsi="Times New Roman" w:cs="Times New Roman"/>
          <w:noProof/>
          <w:sz w:val="24"/>
          <w:szCs w:val="24"/>
        </w:rPr>
        <w:t>a</w:t>
      </w:r>
      <w:r w:rsidR="00DE3408">
        <w:rPr>
          <w:rFonts w:ascii="Times New Roman" w:hAnsi="Times New Roman" w:cs="Times New Roman"/>
          <w:noProof/>
          <w:sz w:val="24"/>
          <w:szCs w:val="24"/>
        </w:rPr>
        <w:t>nd Crime, 2025)</w:t>
      </w:r>
      <w:r w:rsidR="005E5295" w:rsidRPr="008C2CF4">
        <w:rPr>
          <w:rFonts w:ascii="Times New Roman" w:hAnsi="Times New Roman" w:cs="Times New Roman"/>
          <w:sz w:val="24"/>
          <w:szCs w:val="24"/>
        </w:rPr>
        <w:t>. Prevalence rates vary significantly across regions and are strongly influenced by legali</w:t>
      </w:r>
      <w:r w:rsidR="00C62AEE" w:rsidRPr="008C2CF4">
        <w:rPr>
          <w:rFonts w:ascii="Times New Roman" w:hAnsi="Times New Roman" w:cs="Times New Roman"/>
          <w:sz w:val="24"/>
          <w:szCs w:val="24"/>
        </w:rPr>
        <w:t>s</w:t>
      </w:r>
      <w:r w:rsidR="005E5295" w:rsidRPr="008C2CF4">
        <w:rPr>
          <w:rFonts w:ascii="Times New Roman" w:hAnsi="Times New Roman" w:cs="Times New Roman"/>
          <w:sz w:val="24"/>
          <w:szCs w:val="24"/>
        </w:rPr>
        <w:t xml:space="preserve">ation status, with higher usage reported in areas where cannabis is legal. Notable high-prevalence regions include North America (~20.2%), </w:t>
      </w:r>
      <w:r w:rsidR="005E5295" w:rsidRPr="008C2CF4">
        <w:rPr>
          <w:rFonts w:ascii="Times New Roman" w:hAnsi="Times New Roman" w:cs="Times New Roman"/>
          <w:sz w:val="24"/>
          <w:szCs w:val="24"/>
        </w:rPr>
        <w:lastRenderedPageBreak/>
        <w:t>Oceania, and parts of Africa</w:t>
      </w:r>
      <w:r w:rsidR="00875F3E" w:rsidRPr="008C2CF4">
        <w:rPr>
          <w:rFonts w:ascii="Times New Roman" w:hAnsi="Times New Roman" w:cs="Times New Roman"/>
          <w:sz w:val="24"/>
          <w:szCs w:val="24"/>
        </w:rPr>
        <w:t xml:space="preserve"> </w:t>
      </w:r>
      <w:r w:rsidR="00DE3408">
        <w:rPr>
          <w:rFonts w:ascii="Times New Roman" w:hAnsi="Times New Roman" w:cs="Times New Roman"/>
          <w:noProof/>
          <w:sz w:val="24"/>
          <w:szCs w:val="24"/>
        </w:rPr>
        <w:t xml:space="preserve">(United Nations Office </w:t>
      </w:r>
      <w:r w:rsidR="0016781F">
        <w:rPr>
          <w:rFonts w:ascii="Times New Roman" w:hAnsi="Times New Roman" w:cs="Times New Roman"/>
          <w:noProof/>
          <w:sz w:val="24"/>
          <w:szCs w:val="24"/>
        </w:rPr>
        <w:t>o</w:t>
      </w:r>
      <w:r w:rsidR="00DE3408">
        <w:rPr>
          <w:rFonts w:ascii="Times New Roman" w:hAnsi="Times New Roman" w:cs="Times New Roman"/>
          <w:noProof/>
          <w:sz w:val="24"/>
          <w:szCs w:val="24"/>
        </w:rPr>
        <w:t xml:space="preserve">n Drugs </w:t>
      </w:r>
      <w:r w:rsidR="0016781F">
        <w:rPr>
          <w:rFonts w:ascii="Times New Roman" w:hAnsi="Times New Roman" w:cs="Times New Roman"/>
          <w:noProof/>
          <w:sz w:val="24"/>
          <w:szCs w:val="24"/>
        </w:rPr>
        <w:t>a</w:t>
      </w:r>
      <w:r w:rsidR="00DE3408">
        <w:rPr>
          <w:rFonts w:ascii="Times New Roman" w:hAnsi="Times New Roman" w:cs="Times New Roman"/>
          <w:noProof/>
          <w:sz w:val="24"/>
          <w:szCs w:val="24"/>
        </w:rPr>
        <w:t>nd Crime, 2025)</w:t>
      </w:r>
      <w:r w:rsidR="0007555D" w:rsidRPr="008C2CF4">
        <w:rPr>
          <w:rFonts w:ascii="Times New Roman" w:hAnsi="Times New Roman" w:cs="Times New Roman"/>
          <w:sz w:val="24"/>
          <w:szCs w:val="24"/>
        </w:rPr>
        <w:t>.</w:t>
      </w:r>
      <w:r w:rsidR="00092BFF" w:rsidRPr="008C2CF4">
        <w:rPr>
          <w:rFonts w:ascii="Times New Roman" w:hAnsi="Times New Roman" w:cs="Times New Roman"/>
          <w:sz w:val="24"/>
          <w:szCs w:val="24"/>
        </w:rPr>
        <w:t xml:space="preserve"> </w:t>
      </w:r>
      <w:r w:rsidR="005E5295" w:rsidRPr="008C2CF4">
        <w:rPr>
          <w:rFonts w:ascii="Times New Roman" w:hAnsi="Times New Roman" w:cs="Times New Roman"/>
          <w:sz w:val="24"/>
          <w:szCs w:val="24"/>
        </w:rPr>
        <w:t xml:space="preserve">Nigeria exhibits one of the highest rates of cannabis consumption globally, despite its illegal status. Approximately 10.6 million Nigerians (10.8% of the population aged 15–64) are estimated to have used cannabis. Lifetime prevalence among adults is approximately 8.28%, with notably higher rates observed among males, urban youth, and populations in the northern and western zones of the country </w:t>
      </w:r>
      <w:r w:rsidR="00DE3408">
        <w:rPr>
          <w:rFonts w:ascii="Times New Roman" w:hAnsi="Times New Roman" w:cs="Times New Roman"/>
          <w:noProof/>
          <w:sz w:val="24"/>
          <w:szCs w:val="24"/>
        </w:rPr>
        <w:t xml:space="preserve">(Dumbili, 2020; Odeigah et al., 2025; United Nations Office </w:t>
      </w:r>
      <w:r w:rsidR="0016781F">
        <w:rPr>
          <w:rFonts w:ascii="Times New Roman" w:hAnsi="Times New Roman" w:cs="Times New Roman"/>
          <w:noProof/>
          <w:sz w:val="24"/>
          <w:szCs w:val="24"/>
        </w:rPr>
        <w:t>o</w:t>
      </w:r>
      <w:r w:rsidR="00DE3408">
        <w:rPr>
          <w:rFonts w:ascii="Times New Roman" w:hAnsi="Times New Roman" w:cs="Times New Roman"/>
          <w:noProof/>
          <w:sz w:val="24"/>
          <w:szCs w:val="24"/>
        </w:rPr>
        <w:t xml:space="preserve">n Drugs </w:t>
      </w:r>
      <w:r w:rsidR="0016781F">
        <w:rPr>
          <w:rFonts w:ascii="Times New Roman" w:hAnsi="Times New Roman" w:cs="Times New Roman"/>
          <w:noProof/>
          <w:sz w:val="24"/>
          <w:szCs w:val="24"/>
        </w:rPr>
        <w:t>a</w:t>
      </w:r>
      <w:r w:rsidR="00DE3408">
        <w:rPr>
          <w:rFonts w:ascii="Times New Roman" w:hAnsi="Times New Roman" w:cs="Times New Roman"/>
          <w:noProof/>
          <w:sz w:val="24"/>
          <w:szCs w:val="24"/>
        </w:rPr>
        <w:t>nd Crime, 2025)</w:t>
      </w:r>
      <w:r w:rsidR="00E67411" w:rsidRPr="008C2CF4">
        <w:rPr>
          <w:rFonts w:ascii="Times New Roman" w:hAnsi="Times New Roman" w:cs="Times New Roman"/>
          <w:sz w:val="24"/>
          <w:szCs w:val="24"/>
        </w:rPr>
        <w:t xml:space="preserve">. </w:t>
      </w:r>
    </w:p>
    <w:p w14:paraId="12AF4AFF" w14:textId="28162B21" w:rsidR="00F61577" w:rsidRPr="008C2CF4" w:rsidRDefault="00746F72" w:rsidP="00C816AA">
      <w:pPr>
        <w:spacing w:line="360" w:lineRule="auto"/>
        <w:rPr>
          <w:rFonts w:ascii="Times New Roman" w:hAnsi="Times New Roman" w:cs="Times New Roman"/>
          <w:sz w:val="24"/>
          <w:szCs w:val="24"/>
        </w:rPr>
      </w:pPr>
      <w:r w:rsidRPr="008C2CF4">
        <w:rPr>
          <w:rFonts w:ascii="Times New Roman" w:hAnsi="Times New Roman" w:cs="Times New Roman"/>
          <w:sz w:val="24"/>
          <w:szCs w:val="24"/>
        </w:rPr>
        <w:t>In response to the rising public health challenge posed by recreational cannabis use in Nigeria and worldwide, this study aims to evaluate the time- and dose-dependent effects of THC and CBD on serum and hippocampal BDNF levels using Wistar rat models. Given the limited research on cannabinoid exposure and brain function, this investigation utili</w:t>
      </w:r>
      <w:r w:rsidR="00C62AEE" w:rsidRPr="008C2CF4">
        <w:rPr>
          <w:rFonts w:ascii="Times New Roman" w:hAnsi="Times New Roman" w:cs="Times New Roman"/>
          <w:sz w:val="24"/>
          <w:szCs w:val="24"/>
        </w:rPr>
        <w:t>s</w:t>
      </w:r>
      <w:r w:rsidRPr="008C2CF4">
        <w:rPr>
          <w:rFonts w:ascii="Times New Roman" w:hAnsi="Times New Roman" w:cs="Times New Roman"/>
          <w:sz w:val="24"/>
          <w:szCs w:val="24"/>
        </w:rPr>
        <w:t>es BDNF signalling as a critical biomarker to assess potential long‑term neurological risks</w:t>
      </w:r>
      <w:r w:rsidR="00F61577" w:rsidRPr="008C2CF4">
        <w:rPr>
          <w:rFonts w:ascii="Times New Roman" w:hAnsi="Times New Roman" w:cs="Times New Roman"/>
          <w:sz w:val="24"/>
          <w:szCs w:val="24"/>
        </w:rPr>
        <w:t>.</w:t>
      </w:r>
    </w:p>
    <w:p w14:paraId="37B24E79" w14:textId="77777777" w:rsidR="00627AF2" w:rsidRPr="008C2CF4" w:rsidRDefault="00627AF2" w:rsidP="00C816AA">
      <w:pPr>
        <w:spacing w:line="360" w:lineRule="auto"/>
        <w:rPr>
          <w:rFonts w:ascii="Times New Roman" w:hAnsi="Times New Roman" w:cs="Times New Roman"/>
          <w:b/>
          <w:bCs/>
          <w:sz w:val="24"/>
          <w:szCs w:val="24"/>
        </w:rPr>
      </w:pPr>
    </w:p>
    <w:p w14:paraId="576590A8" w14:textId="379A5B6E" w:rsidR="00627AF2" w:rsidRPr="008C2CF4" w:rsidRDefault="00627AF2" w:rsidP="008C2CF4">
      <w:pPr>
        <w:spacing w:line="240" w:lineRule="auto"/>
        <w:rPr>
          <w:rFonts w:ascii="Times New Roman" w:hAnsi="Times New Roman" w:cs="Times New Roman"/>
          <w:b/>
          <w:bCs/>
          <w:sz w:val="24"/>
          <w:szCs w:val="24"/>
        </w:rPr>
      </w:pPr>
      <w:r w:rsidRPr="008C2CF4">
        <w:rPr>
          <w:rFonts w:ascii="Times New Roman" w:hAnsi="Times New Roman" w:cs="Times New Roman"/>
          <w:b/>
          <w:bCs/>
          <w:sz w:val="24"/>
          <w:szCs w:val="24"/>
        </w:rPr>
        <w:t>MATERIALS AND METHODS</w:t>
      </w:r>
    </w:p>
    <w:p w14:paraId="7B617B52" w14:textId="2A7E39D2" w:rsidR="002A496A" w:rsidRPr="008C2CF4" w:rsidRDefault="002A496A" w:rsidP="008C2CF4">
      <w:pPr>
        <w:spacing w:line="240" w:lineRule="auto"/>
        <w:rPr>
          <w:rFonts w:ascii="Times New Roman" w:hAnsi="Times New Roman" w:cs="Times New Roman"/>
          <w:b/>
          <w:bCs/>
          <w:sz w:val="24"/>
          <w:szCs w:val="24"/>
        </w:rPr>
      </w:pPr>
      <w:r w:rsidRPr="008C2CF4">
        <w:rPr>
          <w:rFonts w:ascii="Times New Roman" w:hAnsi="Times New Roman" w:cs="Times New Roman"/>
          <w:b/>
          <w:bCs/>
          <w:sz w:val="24"/>
          <w:szCs w:val="24"/>
        </w:rPr>
        <w:t>Chemicals and Assay Kits</w:t>
      </w:r>
    </w:p>
    <w:p w14:paraId="65C4F3F8" w14:textId="003667C0" w:rsidR="002A496A" w:rsidRPr="008C2CF4" w:rsidRDefault="00266BFC" w:rsidP="00C816AA">
      <w:pPr>
        <w:spacing w:line="360" w:lineRule="auto"/>
        <w:rPr>
          <w:rFonts w:ascii="Times New Roman" w:hAnsi="Times New Roman" w:cs="Times New Roman"/>
          <w:sz w:val="24"/>
          <w:szCs w:val="24"/>
        </w:rPr>
      </w:pPr>
      <w:r w:rsidRPr="008C2CF4">
        <w:rPr>
          <w:rFonts w:ascii="Times New Roman" w:hAnsi="Times New Roman" w:cs="Times New Roman"/>
          <w:sz w:val="24"/>
          <w:szCs w:val="24"/>
        </w:rPr>
        <w:t>The cannabinoids employed in this study were delta-9-tetrahydrocannabinol (Δ9-THC) sourced from</w:t>
      </w:r>
      <w:r w:rsidR="00446A62" w:rsidRPr="008C2CF4">
        <w:rPr>
          <w:rFonts w:ascii="Times New Roman" w:hAnsi="Times New Roman" w:cs="Times New Roman"/>
          <w:sz w:val="24"/>
          <w:szCs w:val="24"/>
        </w:rPr>
        <w:t xml:space="preserve"> </w:t>
      </w:r>
      <w:proofErr w:type="spellStart"/>
      <w:r w:rsidR="00E5240C" w:rsidRPr="008C2CF4">
        <w:rPr>
          <w:rFonts w:ascii="Times New Roman" w:hAnsi="Times New Roman" w:cs="Times New Roman"/>
          <w:sz w:val="24"/>
          <w:szCs w:val="24"/>
        </w:rPr>
        <w:t>Cannabiscare</w:t>
      </w:r>
      <w:proofErr w:type="spellEnd"/>
      <w:r w:rsidR="00E5240C" w:rsidRPr="008C2CF4">
        <w:rPr>
          <w:rFonts w:ascii="Times New Roman" w:hAnsi="Times New Roman" w:cs="Times New Roman"/>
          <w:sz w:val="24"/>
          <w:szCs w:val="24"/>
        </w:rPr>
        <w:t xml:space="preserve"> (Canada) and cannabidiol (CBD) obtained from British Cannabis™ (CBD Health Foods Limited, England).</w:t>
      </w:r>
      <w:r w:rsidR="00595446" w:rsidRPr="008C2CF4">
        <w:rPr>
          <w:rFonts w:ascii="Times New Roman" w:hAnsi="Times New Roman" w:cs="Times New Roman"/>
          <w:sz w:val="24"/>
          <w:szCs w:val="24"/>
        </w:rPr>
        <w:t xml:space="preserve"> </w:t>
      </w:r>
      <w:r w:rsidR="00E5240C" w:rsidRPr="008C2CF4">
        <w:rPr>
          <w:rFonts w:ascii="Times New Roman" w:hAnsi="Times New Roman" w:cs="Times New Roman"/>
          <w:sz w:val="24"/>
          <w:szCs w:val="24"/>
        </w:rPr>
        <w:t xml:space="preserve">Brain-derived neurotrophic factor (BDNF) concentrations were measured using a commercially available enzyme-linked immunosorbent assay (ELISA) kit </w:t>
      </w:r>
      <w:r w:rsidR="009A7F60" w:rsidRPr="008C2CF4">
        <w:rPr>
          <w:rFonts w:ascii="Times New Roman" w:hAnsi="Times New Roman" w:cs="Times New Roman"/>
          <w:sz w:val="24"/>
          <w:szCs w:val="24"/>
        </w:rPr>
        <w:t>(</w:t>
      </w:r>
      <w:r w:rsidR="00E5240C" w:rsidRPr="008C2CF4">
        <w:rPr>
          <w:rFonts w:ascii="Times New Roman" w:hAnsi="Times New Roman" w:cs="Times New Roman"/>
          <w:sz w:val="24"/>
          <w:szCs w:val="24"/>
        </w:rPr>
        <w:t>BT LAB, China)</w:t>
      </w:r>
      <w:r w:rsidR="00F55D60" w:rsidRPr="008C2CF4">
        <w:rPr>
          <w:rFonts w:ascii="Times New Roman" w:hAnsi="Times New Roman" w:cs="Times New Roman"/>
          <w:sz w:val="24"/>
          <w:szCs w:val="24"/>
        </w:rPr>
        <w:t>.</w:t>
      </w:r>
      <w:r w:rsidR="00E5240C" w:rsidRPr="008C2CF4">
        <w:rPr>
          <w:rFonts w:ascii="Times New Roman" w:hAnsi="Times New Roman" w:cs="Times New Roman"/>
          <w:sz w:val="24"/>
          <w:szCs w:val="24"/>
        </w:rPr>
        <w:t xml:space="preserve"> All procurement, handling, administration, and disposal of these controlled</w:t>
      </w:r>
      <w:r w:rsidR="00F55D60" w:rsidRPr="008C2CF4">
        <w:rPr>
          <w:rFonts w:ascii="Times New Roman" w:hAnsi="Times New Roman" w:cs="Times New Roman"/>
          <w:sz w:val="24"/>
          <w:szCs w:val="24"/>
        </w:rPr>
        <w:t xml:space="preserve"> </w:t>
      </w:r>
      <w:r w:rsidR="00E5240C" w:rsidRPr="008C2CF4">
        <w:rPr>
          <w:rFonts w:ascii="Times New Roman" w:hAnsi="Times New Roman" w:cs="Times New Roman"/>
          <w:sz w:val="24"/>
          <w:szCs w:val="24"/>
        </w:rPr>
        <w:t>substances were conducted in strict accordance with Nigerian regulations. Formal ethical and regulatory approval for their acquisition and use in research was duly obtained from the National Drug Law Enforcement Agency (NDLEA) of Nigeria</w:t>
      </w:r>
      <w:r w:rsidR="00F55D60" w:rsidRPr="008C2CF4">
        <w:rPr>
          <w:rFonts w:ascii="Times New Roman" w:hAnsi="Times New Roman" w:cs="Times New Roman"/>
          <w:sz w:val="24"/>
          <w:szCs w:val="24"/>
        </w:rPr>
        <w:t>.</w:t>
      </w:r>
    </w:p>
    <w:p w14:paraId="4FD0629C" w14:textId="2D626574" w:rsidR="002A496A" w:rsidRPr="008C2CF4" w:rsidRDefault="002A496A" w:rsidP="00C816AA">
      <w:pPr>
        <w:spacing w:line="360" w:lineRule="auto"/>
        <w:rPr>
          <w:rFonts w:ascii="Times New Roman" w:hAnsi="Times New Roman" w:cs="Times New Roman"/>
          <w:b/>
          <w:bCs/>
          <w:sz w:val="24"/>
          <w:szCs w:val="24"/>
        </w:rPr>
      </w:pPr>
      <w:r w:rsidRPr="008C2CF4">
        <w:rPr>
          <w:rFonts w:ascii="Times New Roman" w:hAnsi="Times New Roman" w:cs="Times New Roman"/>
          <w:b/>
          <w:bCs/>
          <w:sz w:val="24"/>
          <w:szCs w:val="24"/>
        </w:rPr>
        <w:t>Laboratory Animals</w:t>
      </w:r>
    </w:p>
    <w:p w14:paraId="03319CCA" w14:textId="0766DD0E" w:rsidR="00F06A4B" w:rsidRPr="008C2CF4" w:rsidRDefault="00653736" w:rsidP="00C816AA">
      <w:pPr>
        <w:spacing w:line="360" w:lineRule="auto"/>
        <w:rPr>
          <w:rFonts w:ascii="Times New Roman" w:hAnsi="Times New Roman" w:cs="Times New Roman"/>
          <w:sz w:val="24"/>
          <w:szCs w:val="24"/>
        </w:rPr>
      </w:pPr>
      <w:r w:rsidRPr="008C2CF4">
        <w:rPr>
          <w:rFonts w:ascii="Times New Roman" w:hAnsi="Times New Roman" w:cs="Times New Roman"/>
          <w:sz w:val="24"/>
          <w:szCs w:val="24"/>
        </w:rPr>
        <w:t>A total of seventy-five (75) healthy male Wistar rats, weighing 120–140</w:t>
      </w:r>
      <w:r w:rsidR="004B0C16" w:rsidRPr="008C2CF4">
        <w:rPr>
          <w:rFonts w:ascii="Times New Roman" w:hAnsi="Times New Roman" w:cs="Times New Roman"/>
          <w:sz w:val="24"/>
          <w:szCs w:val="24"/>
        </w:rPr>
        <w:t>g (</w:t>
      </w:r>
      <w:r w:rsidRPr="008C2CF4">
        <w:rPr>
          <w:rFonts w:ascii="Times New Roman" w:hAnsi="Times New Roman" w:cs="Times New Roman"/>
          <w:sz w:val="24"/>
          <w:szCs w:val="24"/>
        </w:rPr>
        <w:t>5–7 weeks), were obtained from the established animal breeding facility within the Department of Pharmacology, College of Health Sciences, University of Port Harcourt, Nigeria.</w:t>
      </w:r>
      <w:r w:rsidR="00B20F56" w:rsidRPr="008C2CF4">
        <w:rPr>
          <w:rFonts w:ascii="Times New Roman" w:hAnsi="Times New Roman" w:cs="Times New Roman"/>
          <w:sz w:val="24"/>
          <w:szCs w:val="24"/>
        </w:rPr>
        <w:t xml:space="preserve"> The animals were allowed </w:t>
      </w:r>
      <w:r w:rsidRPr="008C2CF4">
        <w:rPr>
          <w:rFonts w:ascii="Times New Roman" w:hAnsi="Times New Roman" w:cs="Times New Roman"/>
          <w:sz w:val="24"/>
          <w:szCs w:val="24"/>
        </w:rPr>
        <w:t>a two-week acclimati</w:t>
      </w:r>
      <w:r w:rsidR="00C62AEE" w:rsidRPr="008C2CF4">
        <w:rPr>
          <w:rFonts w:ascii="Times New Roman" w:hAnsi="Times New Roman" w:cs="Times New Roman"/>
          <w:sz w:val="24"/>
          <w:szCs w:val="24"/>
        </w:rPr>
        <w:t>s</w:t>
      </w:r>
      <w:r w:rsidRPr="008C2CF4">
        <w:rPr>
          <w:rFonts w:ascii="Times New Roman" w:hAnsi="Times New Roman" w:cs="Times New Roman"/>
          <w:sz w:val="24"/>
          <w:szCs w:val="24"/>
        </w:rPr>
        <w:t xml:space="preserve">ation period to allow physiological and </w:t>
      </w:r>
      <w:r w:rsidR="00B20F56" w:rsidRPr="008C2CF4">
        <w:rPr>
          <w:rFonts w:ascii="Times New Roman" w:hAnsi="Times New Roman" w:cs="Times New Roman"/>
          <w:sz w:val="24"/>
          <w:szCs w:val="24"/>
        </w:rPr>
        <w:t>behavioural</w:t>
      </w:r>
      <w:r w:rsidRPr="008C2CF4">
        <w:rPr>
          <w:rFonts w:ascii="Times New Roman" w:hAnsi="Times New Roman" w:cs="Times New Roman"/>
          <w:sz w:val="24"/>
          <w:szCs w:val="24"/>
        </w:rPr>
        <w:t xml:space="preserve"> stabili</w:t>
      </w:r>
      <w:r w:rsidR="00C62AEE" w:rsidRPr="008C2CF4">
        <w:rPr>
          <w:rFonts w:ascii="Times New Roman" w:hAnsi="Times New Roman" w:cs="Times New Roman"/>
          <w:sz w:val="24"/>
          <w:szCs w:val="24"/>
        </w:rPr>
        <w:t>s</w:t>
      </w:r>
      <w:r w:rsidRPr="008C2CF4">
        <w:rPr>
          <w:rFonts w:ascii="Times New Roman" w:hAnsi="Times New Roman" w:cs="Times New Roman"/>
          <w:sz w:val="24"/>
          <w:szCs w:val="24"/>
        </w:rPr>
        <w:t xml:space="preserve">ation to the experimental environment, reduce stress-related variability, and ensure reliable baseline conditions </w:t>
      </w:r>
      <w:r w:rsidR="00C62AEE" w:rsidRPr="008C2CF4">
        <w:rPr>
          <w:rFonts w:ascii="Times New Roman" w:hAnsi="Times New Roman" w:cs="Times New Roman"/>
          <w:sz w:val="24"/>
          <w:szCs w:val="24"/>
        </w:rPr>
        <w:t>before</w:t>
      </w:r>
      <w:r w:rsidRPr="008C2CF4">
        <w:rPr>
          <w:rFonts w:ascii="Times New Roman" w:hAnsi="Times New Roman" w:cs="Times New Roman"/>
          <w:sz w:val="24"/>
          <w:szCs w:val="24"/>
        </w:rPr>
        <w:t xml:space="preserve"> the commencement of any procedures. Th</w:t>
      </w:r>
      <w:r w:rsidR="004D5214" w:rsidRPr="008C2CF4">
        <w:rPr>
          <w:rFonts w:ascii="Times New Roman" w:hAnsi="Times New Roman" w:cs="Times New Roman"/>
          <w:sz w:val="24"/>
          <w:szCs w:val="24"/>
        </w:rPr>
        <w:t xml:space="preserve">e animals were </w:t>
      </w:r>
      <w:r w:rsidRPr="008C2CF4">
        <w:rPr>
          <w:rFonts w:ascii="Times New Roman" w:hAnsi="Times New Roman" w:cs="Times New Roman"/>
          <w:sz w:val="24"/>
          <w:szCs w:val="24"/>
        </w:rPr>
        <w:t xml:space="preserve">housed in standard cages in groups of five per cage </w:t>
      </w:r>
      <w:r w:rsidR="004D5214" w:rsidRPr="008C2CF4">
        <w:rPr>
          <w:rFonts w:ascii="Times New Roman" w:hAnsi="Times New Roman" w:cs="Times New Roman"/>
          <w:sz w:val="24"/>
          <w:szCs w:val="24"/>
        </w:rPr>
        <w:t xml:space="preserve">and </w:t>
      </w:r>
      <w:r w:rsidRPr="008C2CF4">
        <w:rPr>
          <w:rFonts w:ascii="Times New Roman" w:hAnsi="Times New Roman" w:cs="Times New Roman"/>
          <w:sz w:val="24"/>
          <w:szCs w:val="24"/>
        </w:rPr>
        <w:t xml:space="preserve">received standard commercial rat </w:t>
      </w:r>
      <w:r w:rsidRPr="008C2CF4">
        <w:rPr>
          <w:rFonts w:ascii="Times New Roman" w:hAnsi="Times New Roman" w:cs="Times New Roman"/>
          <w:sz w:val="24"/>
          <w:szCs w:val="24"/>
        </w:rPr>
        <w:lastRenderedPageBreak/>
        <w:t xml:space="preserve">chow and tap water </w:t>
      </w:r>
      <w:r w:rsidRPr="008C2CF4">
        <w:rPr>
          <w:rFonts w:ascii="Times New Roman" w:hAnsi="Times New Roman" w:cs="Times New Roman"/>
          <w:i/>
          <w:iCs/>
          <w:sz w:val="24"/>
          <w:szCs w:val="24"/>
        </w:rPr>
        <w:t>ad libitum</w:t>
      </w:r>
      <w:r w:rsidRPr="008C2CF4">
        <w:rPr>
          <w:rFonts w:ascii="Times New Roman" w:hAnsi="Times New Roman" w:cs="Times New Roman"/>
          <w:sz w:val="24"/>
          <w:szCs w:val="24"/>
        </w:rPr>
        <w:t xml:space="preserve">. Environmental conditions were maintained under controlled settings: relative humidity of 30–50%, a 12-hour light/12-hour dark cycle and an ambient room temperature of 25 ± 2°C. </w:t>
      </w:r>
    </w:p>
    <w:p w14:paraId="28F96A58" w14:textId="07061B1E" w:rsidR="002A496A" w:rsidRPr="008C2CF4" w:rsidRDefault="002A496A" w:rsidP="00C816AA">
      <w:pPr>
        <w:spacing w:after="0" w:line="360" w:lineRule="auto"/>
        <w:rPr>
          <w:rFonts w:ascii="Times New Roman" w:hAnsi="Times New Roman" w:cs="Times New Roman"/>
          <w:b/>
          <w:bCs/>
          <w:sz w:val="24"/>
          <w:szCs w:val="24"/>
        </w:rPr>
      </w:pPr>
      <w:r w:rsidRPr="008C2CF4">
        <w:rPr>
          <w:rFonts w:ascii="Times New Roman" w:hAnsi="Times New Roman" w:cs="Times New Roman"/>
          <w:b/>
          <w:bCs/>
          <w:sz w:val="24"/>
          <w:szCs w:val="24"/>
        </w:rPr>
        <w:t>Study Design</w:t>
      </w:r>
    </w:p>
    <w:p w14:paraId="03717D6D" w14:textId="7C571CD8" w:rsidR="002A496A" w:rsidRPr="008C2CF4" w:rsidRDefault="002A496A" w:rsidP="00C816AA">
      <w:pPr>
        <w:spacing w:after="0" w:line="360" w:lineRule="auto"/>
        <w:rPr>
          <w:rFonts w:ascii="Times New Roman" w:hAnsi="Times New Roman" w:cs="Times New Roman"/>
          <w:sz w:val="24"/>
          <w:szCs w:val="24"/>
        </w:rPr>
      </w:pPr>
      <w:r w:rsidRPr="008C2CF4">
        <w:rPr>
          <w:rFonts w:ascii="Times New Roman" w:hAnsi="Times New Roman" w:cs="Times New Roman"/>
          <w:sz w:val="24"/>
          <w:szCs w:val="24"/>
        </w:rPr>
        <w:t xml:space="preserve">A total of seventy-five (75) male Wistar rats were randomly assigned into three (3) phases, comprising twenty-five (25) male Wistar rats: acute, sub-chronic and chronic studies lasting 14, 28 and 56 days, respectively. In each phase, twenty-five (25) male Wistar rats were divided into five (5) groups of five (5) animals. Group 1 served as the control and received distilled water, groups 2 and 3 were treated with THC at 5 and 15 mg/kg, respectively, while groups 4 and 5 were supplemented with </w:t>
      </w:r>
      <w:r w:rsidR="000421A8" w:rsidRPr="008C2CF4">
        <w:rPr>
          <w:rFonts w:ascii="Times New Roman" w:hAnsi="Times New Roman" w:cs="Times New Roman"/>
          <w:sz w:val="24"/>
          <w:szCs w:val="24"/>
        </w:rPr>
        <w:t>CBD</w:t>
      </w:r>
      <w:r w:rsidRPr="008C2CF4">
        <w:rPr>
          <w:rFonts w:ascii="Times New Roman" w:hAnsi="Times New Roman" w:cs="Times New Roman"/>
          <w:sz w:val="24"/>
          <w:szCs w:val="24"/>
        </w:rPr>
        <w:t xml:space="preserve"> at 20 and 60 mg/kg, respectively. Treatment by oral gavage lasted for 14, 28</w:t>
      </w:r>
      <w:r w:rsidR="00E56A0E" w:rsidRPr="008C2CF4">
        <w:rPr>
          <w:rFonts w:ascii="Times New Roman" w:hAnsi="Times New Roman" w:cs="Times New Roman"/>
          <w:sz w:val="24"/>
          <w:szCs w:val="24"/>
        </w:rPr>
        <w:t xml:space="preserve"> and </w:t>
      </w:r>
      <w:r w:rsidRPr="008C2CF4">
        <w:rPr>
          <w:rFonts w:ascii="Times New Roman" w:hAnsi="Times New Roman" w:cs="Times New Roman"/>
          <w:sz w:val="24"/>
          <w:szCs w:val="24"/>
        </w:rPr>
        <w:t>56 days for the acute, sub-chronic and chronic studies, respectively.</w:t>
      </w:r>
    </w:p>
    <w:p w14:paraId="2F7688F0" w14:textId="77777777" w:rsidR="00F5587F" w:rsidRPr="008C2CF4" w:rsidRDefault="00F5587F" w:rsidP="00C816AA">
      <w:pPr>
        <w:spacing w:after="0" w:line="360" w:lineRule="auto"/>
        <w:rPr>
          <w:rFonts w:ascii="Times New Roman" w:hAnsi="Times New Roman" w:cs="Times New Roman"/>
          <w:sz w:val="24"/>
          <w:szCs w:val="24"/>
        </w:rPr>
      </w:pPr>
    </w:p>
    <w:p w14:paraId="03D4BA66" w14:textId="7EDAEB01" w:rsidR="002A496A" w:rsidRPr="008C2CF4" w:rsidRDefault="002A496A" w:rsidP="00C816AA">
      <w:pPr>
        <w:spacing w:after="0" w:line="360" w:lineRule="auto"/>
        <w:rPr>
          <w:rFonts w:ascii="Times New Roman" w:hAnsi="Times New Roman" w:cs="Times New Roman"/>
          <w:b/>
          <w:bCs/>
          <w:sz w:val="24"/>
          <w:szCs w:val="24"/>
        </w:rPr>
      </w:pPr>
      <w:r w:rsidRPr="008C2CF4">
        <w:rPr>
          <w:rFonts w:ascii="Times New Roman" w:hAnsi="Times New Roman" w:cs="Times New Roman"/>
          <w:b/>
          <w:bCs/>
          <w:sz w:val="24"/>
          <w:szCs w:val="24"/>
        </w:rPr>
        <w:t>Blood and Tissue Sample Collection</w:t>
      </w:r>
      <w:r w:rsidR="00EC0DB7" w:rsidRPr="008C2CF4">
        <w:rPr>
          <w:rFonts w:ascii="Times New Roman" w:hAnsi="Times New Roman" w:cs="Times New Roman"/>
          <w:b/>
          <w:bCs/>
          <w:sz w:val="24"/>
          <w:szCs w:val="24"/>
        </w:rPr>
        <w:t xml:space="preserve"> and BDNF Assay</w:t>
      </w:r>
    </w:p>
    <w:p w14:paraId="59FBBB99" w14:textId="6099407B" w:rsidR="004842D2" w:rsidRPr="008C2CF4" w:rsidRDefault="00E660A3" w:rsidP="00C816AA">
      <w:pPr>
        <w:spacing w:line="360" w:lineRule="auto"/>
        <w:rPr>
          <w:rFonts w:ascii="Times New Roman" w:hAnsi="Times New Roman" w:cs="Times New Roman"/>
          <w:sz w:val="24"/>
          <w:szCs w:val="24"/>
        </w:rPr>
      </w:pPr>
      <w:r w:rsidRPr="008C2CF4">
        <w:rPr>
          <w:rFonts w:ascii="Times New Roman" w:hAnsi="Times New Roman" w:cs="Times New Roman"/>
          <w:sz w:val="24"/>
          <w:szCs w:val="24"/>
        </w:rPr>
        <w:t>After the completion of each experimental phase, rats were an</w:t>
      </w:r>
      <w:r w:rsidR="00C62AEE" w:rsidRPr="008C2CF4">
        <w:rPr>
          <w:rFonts w:ascii="Times New Roman" w:hAnsi="Times New Roman" w:cs="Times New Roman"/>
          <w:sz w:val="24"/>
          <w:szCs w:val="24"/>
        </w:rPr>
        <w:t>a</w:t>
      </w:r>
      <w:r w:rsidRPr="008C2CF4">
        <w:rPr>
          <w:rFonts w:ascii="Times New Roman" w:hAnsi="Times New Roman" w:cs="Times New Roman"/>
          <w:sz w:val="24"/>
          <w:szCs w:val="24"/>
        </w:rPr>
        <w:t>estheti</w:t>
      </w:r>
      <w:r w:rsidR="00C62AEE" w:rsidRPr="008C2CF4">
        <w:rPr>
          <w:rFonts w:ascii="Times New Roman" w:hAnsi="Times New Roman" w:cs="Times New Roman"/>
          <w:sz w:val="24"/>
          <w:szCs w:val="24"/>
        </w:rPr>
        <w:t>s</w:t>
      </w:r>
      <w:r w:rsidRPr="008C2CF4">
        <w:rPr>
          <w:rFonts w:ascii="Times New Roman" w:hAnsi="Times New Roman" w:cs="Times New Roman"/>
          <w:sz w:val="24"/>
          <w:szCs w:val="24"/>
        </w:rPr>
        <w:t xml:space="preserve">ed via intraperitoneal injection of sodium pentobarbital at 50 mg/kg. </w:t>
      </w:r>
      <w:r w:rsidR="002A6DA9" w:rsidRPr="008C2CF4">
        <w:rPr>
          <w:rFonts w:ascii="Times New Roman" w:hAnsi="Times New Roman" w:cs="Times New Roman"/>
          <w:sz w:val="24"/>
          <w:szCs w:val="24"/>
        </w:rPr>
        <w:t>About 3 ml</w:t>
      </w:r>
      <w:r w:rsidRPr="008C2CF4">
        <w:rPr>
          <w:rFonts w:ascii="Times New Roman" w:hAnsi="Times New Roman" w:cs="Times New Roman"/>
          <w:sz w:val="24"/>
          <w:szCs w:val="24"/>
        </w:rPr>
        <w:t xml:space="preserve"> blood was collected via terminal cardiac puncture. Blood samples were transferred into plain sample tubes and allowed to clot at room temperature before being centrifuged at 3000 rpm for 10–15 minutes at 4°C to separate the serum. The resulting supernatant (serum) was carefully aspirated and stored at 4°C pending laboratory analysis.</w:t>
      </w:r>
      <w:r w:rsidR="002A6DA9" w:rsidRPr="008C2CF4">
        <w:rPr>
          <w:rFonts w:ascii="Times New Roman" w:hAnsi="Times New Roman" w:cs="Times New Roman"/>
          <w:sz w:val="24"/>
          <w:szCs w:val="24"/>
        </w:rPr>
        <w:t xml:space="preserve"> </w:t>
      </w:r>
    </w:p>
    <w:p w14:paraId="65584FA9" w14:textId="0605C4BB" w:rsidR="002A6DA9" w:rsidRPr="008C2CF4" w:rsidRDefault="00E660A3" w:rsidP="00C816AA">
      <w:pPr>
        <w:spacing w:line="360" w:lineRule="auto"/>
        <w:rPr>
          <w:rFonts w:ascii="Times New Roman" w:hAnsi="Times New Roman" w:cs="Times New Roman"/>
          <w:sz w:val="24"/>
          <w:szCs w:val="24"/>
        </w:rPr>
      </w:pPr>
      <w:r w:rsidRPr="008C2CF4">
        <w:rPr>
          <w:rFonts w:ascii="Times New Roman" w:hAnsi="Times New Roman" w:cs="Times New Roman"/>
          <w:sz w:val="24"/>
          <w:szCs w:val="24"/>
        </w:rPr>
        <w:t>The brain was rapidly removed following decapitation, and the hippocampus was bilaterally dissected on a cold dissection board. Each hippocampus was precisely isolated from both hemispheres, blotted to remove excess moisture, and weighed to determine fresh tissue mass. For biochemical analysis, a pooled sample of approximately 50 mg of hippocampal tissue (combined from both hemispheres</w:t>
      </w:r>
      <w:r w:rsidR="002A6DA9" w:rsidRPr="008C2CF4">
        <w:rPr>
          <w:rFonts w:ascii="Times New Roman" w:hAnsi="Times New Roman" w:cs="Times New Roman"/>
          <w:sz w:val="24"/>
          <w:szCs w:val="24"/>
        </w:rPr>
        <w:t xml:space="preserve">) </w:t>
      </w:r>
      <w:r w:rsidRPr="008C2CF4">
        <w:rPr>
          <w:rFonts w:ascii="Times New Roman" w:hAnsi="Times New Roman" w:cs="Times New Roman"/>
          <w:sz w:val="24"/>
          <w:szCs w:val="24"/>
        </w:rPr>
        <w:t>was prepared. The tissue was placed in ice-cold normal saline (0.9% NaCl; 3 mL). Homogenization was performed mechanically using a tissue grinder in an ice-water bath. The resulting homogenate was centrifuged at 3000 rpm for 10 minutes at 4°C, and the clear supernatant was collected and used directly for BDNF quantification</w:t>
      </w:r>
      <w:r w:rsidR="009D4E4F" w:rsidRPr="008C2CF4">
        <w:rPr>
          <w:rFonts w:ascii="Times New Roman" w:hAnsi="Times New Roman" w:cs="Times New Roman"/>
          <w:sz w:val="24"/>
          <w:szCs w:val="24"/>
        </w:rPr>
        <w:t xml:space="preserve"> </w:t>
      </w:r>
      <w:r w:rsidR="00DE3408">
        <w:rPr>
          <w:rFonts w:ascii="Times New Roman" w:hAnsi="Times New Roman" w:cs="Times New Roman"/>
          <w:noProof/>
          <w:sz w:val="24"/>
          <w:szCs w:val="24"/>
        </w:rPr>
        <w:t>(Chinko &amp; Precious-Abraham, 2024; Daubry et al., 2024; Krukru et al., 2026)</w:t>
      </w:r>
      <w:r w:rsidR="00E86070" w:rsidRPr="008C2CF4">
        <w:rPr>
          <w:rFonts w:ascii="Times New Roman" w:hAnsi="Times New Roman" w:cs="Times New Roman"/>
          <w:sz w:val="24"/>
          <w:szCs w:val="24"/>
        </w:rPr>
        <w:t>.</w:t>
      </w:r>
    </w:p>
    <w:p w14:paraId="71DC262D" w14:textId="61753957" w:rsidR="005F4507" w:rsidRPr="008C2CF4" w:rsidRDefault="00F94776" w:rsidP="00C816AA">
      <w:pPr>
        <w:spacing w:line="360" w:lineRule="auto"/>
        <w:rPr>
          <w:rFonts w:ascii="Times New Roman" w:hAnsi="Times New Roman" w:cs="Times New Roman"/>
          <w:sz w:val="24"/>
          <w:szCs w:val="24"/>
        </w:rPr>
      </w:pPr>
      <w:r w:rsidRPr="008C2CF4">
        <w:rPr>
          <w:rFonts w:ascii="Times New Roman" w:hAnsi="Times New Roman" w:cs="Times New Roman"/>
          <w:sz w:val="24"/>
          <w:szCs w:val="24"/>
        </w:rPr>
        <w:t xml:space="preserve">BDNF levels in serum and hippocampus were quantified via ELISA (BT LAB, China) as previously described </w:t>
      </w:r>
      <w:r w:rsidR="00DE3408">
        <w:rPr>
          <w:rFonts w:ascii="Times New Roman" w:hAnsi="Times New Roman" w:cs="Times New Roman"/>
          <w:noProof/>
          <w:sz w:val="24"/>
          <w:szCs w:val="24"/>
        </w:rPr>
        <w:t>(Krukru et al., 2026)</w:t>
      </w:r>
      <w:r w:rsidR="005F4507" w:rsidRPr="008C2CF4">
        <w:rPr>
          <w:rFonts w:ascii="Times New Roman" w:hAnsi="Times New Roman" w:cs="Times New Roman"/>
          <w:sz w:val="24"/>
          <w:szCs w:val="24"/>
        </w:rPr>
        <w:t>.</w:t>
      </w:r>
      <w:r w:rsidRPr="008C2CF4">
        <w:rPr>
          <w:rFonts w:ascii="Times New Roman" w:hAnsi="Times New Roman" w:cs="Times New Roman"/>
          <w:sz w:val="24"/>
          <w:szCs w:val="24"/>
        </w:rPr>
        <w:t xml:space="preserve"> Samples, standards, and reagents were incubated in microwells, facilitating antigen-antibody binding with HRP detection. Following substrate </w:t>
      </w:r>
      <w:r w:rsidRPr="008C2CF4">
        <w:rPr>
          <w:rFonts w:ascii="Times New Roman" w:hAnsi="Times New Roman" w:cs="Times New Roman"/>
          <w:sz w:val="24"/>
          <w:szCs w:val="24"/>
        </w:rPr>
        <w:lastRenderedPageBreak/>
        <w:t>addition and reaction termination, optical density was measured at 450 nm to determine BDNF concentrations.</w:t>
      </w:r>
    </w:p>
    <w:p w14:paraId="2941D435" w14:textId="2C18E25D" w:rsidR="002A496A" w:rsidRPr="008C2CF4" w:rsidRDefault="002A496A" w:rsidP="00C816AA">
      <w:pPr>
        <w:spacing w:after="0" w:line="360" w:lineRule="auto"/>
        <w:rPr>
          <w:rFonts w:ascii="Times New Roman" w:hAnsi="Times New Roman" w:cs="Times New Roman"/>
          <w:b/>
          <w:bCs/>
          <w:sz w:val="24"/>
          <w:szCs w:val="24"/>
        </w:rPr>
      </w:pPr>
      <w:r w:rsidRPr="008C2CF4">
        <w:rPr>
          <w:rFonts w:ascii="Times New Roman" w:hAnsi="Times New Roman" w:cs="Times New Roman"/>
          <w:b/>
          <w:bCs/>
          <w:sz w:val="24"/>
          <w:szCs w:val="24"/>
        </w:rPr>
        <w:t>Statistical Analysis</w:t>
      </w:r>
    </w:p>
    <w:p w14:paraId="7F3F4CAE" w14:textId="46B414D1" w:rsidR="00595684" w:rsidRPr="008C2CF4" w:rsidRDefault="00B625B1" w:rsidP="005010CF">
      <w:pPr>
        <w:spacing w:after="0" w:line="360" w:lineRule="auto"/>
        <w:rPr>
          <w:rFonts w:ascii="Times New Roman" w:hAnsi="Times New Roman" w:cs="Times New Roman"/>
          <w:b/>
          <w:bCs/>
          <w:sz w:val="24"/>
          <w:szCs w:val="24"/>
        </w:rPr>
      </w:pPr>
      <w:r w:rsidRPr="008C2CF4">
        <w:rPr>
          <w:rFonts w:ascii="Times New Roman" w:hAnsi="Times New Roman" w:cs="Times New Roman"/>
          <w:sz w:val="24"/>
          <w:szCs w:val="24"/>
        </w:rPr>
        <w:t>All data</w:t>
      </w:r>
      <w:r w:rsidR="00994077" w:rsidRPr="008C2CF4">
        <w:rPr>
          <w:rFonts w:ascii="Times New Roman" w:hAnsi="Times New Roman" w:cs="Times New Roman"/>
          <w:sz w:val="24"/>
          <w:szCs w:val="24"/>
        </w:rPr>
        <w:t xml:space="preserve"> obtained from this study were analysed</w:t>
      </w:r>
      <w:r w:rsidRPr="008C2CF4">
        <w:rPr>
          <w:rFonts w:ascii="Times New Roman" w:hAnsi="Times New Roman" w:cs="Times New Roman"/>
          <w:sz w:val="24"/>
          <w:szCs w:val="24"/>
        </w:rPr>
        <w:t xml:space="preserve"> using IBM SPSS Statistics version 25.0 (IBM Corp., Armonk, NY, USA). Quantitative results are presented as mean ± standard error of the mean (SEM).</w:t>
      </w:r>
      <w:r w:rsidR="003F7D6F" w:rsidRPr="008C2CF4">
        <w:rPr>
          <w:rFonts w:ascii="Times New Roman" w:hAnsi="Times New Roman" w:cs="Times New Roman"/>
          <w:sz w:val="24"/>
          <w:szCs w:val="24"/>
        </w:rPr>
        <w:t xml:space="preserve"> </w:t>
      </w:r>
      <w:r w:rsidR="005010CF" w:rsidRPr="005010CF">
        <w:rPr>
          <w:rFonts w:ascii="Times New Roman" w:hAnsi="Times New Roman" w:cs="Times New Roman"/>
          <w:sz w:val="24"/>
          <w:szCs w:val="24"/>
          <w:highlight w:val="yellow"/>
        </w:rPr>
        <w:t>Data distribution was assessed for normality using the Shapiro–Wilk test, and the homogeneity of variances was evaluated using Levene’s test prior to conducting parametric analyses. Intergroup comparisons were performed using a one-way analysis of variance (ANOVA). For post hoc pairwise comparisons, the Least Significant Difference (LSD) test was employed. Effect sizes were not calculated, which constitutes a limitation of the study. All analyses were conducted with a significance level (alpha) of 0.05, and results with a p-value less than 0.05 were considered statistically significant.</w:t>
      </w:r>
    </w:p>
    <w:p w14:paraId="6F6E5C6D" w14:textId="77777777" w:rsidR="0033350A" w:rsidRDefault="0033350A" w:rsidP="00C816AA">
      <w:pPr>
        <w:spacing w:after="0" w:line="360" w:lineRule="auto"/>
        <w:rPr>
          <w:rFonts w:ascii="Times New Roman" w:hAnsi="Times New Roman" w:cs="Times New Roman"/>
          <w:b/>
          <w:bCs/>
          <w:sz w:val="24"/>
          <w:szCs w:val="24"/>
        </w:rPr>
      </w:pPr>
    </w:p>
    <w:p w14:paraId="6F00853D" w14:textId="65CC7340" w:rsidR="00B750C8" w:rsidRPr="008C2CF4" w:rsidRDefault="00B750C8" w:rsidP="00C816AA">
      <w:pPr>
        <w:spacing w:after="0" w:line="360" w:lineRule="auto"/>
        <w:rPr>
          <w:rFonts w:ascii="Times New Roman" w:hAnsi="Times New Roman" w:cs="Times New Roman"/>
          <w:b/>
          <w:bCs/>
          <w:sz w:val="24"/>
          <w:szCs w:val="24"/>
        </w:rPr>
      </w:pPr>
      <w:r w:rsidRPr="008C2CF4">
        <w:rPr>
          <w:rFonts w:ascii="Times New Roman" w:hAnsi="Times New Roman" w:cs="Times New Roman"/>
          <w:b/>
          <w:bCs/>
          <w:sz w:val="24"/>
          <w:szCs w:val="24"/>
        </w:rPr>
        <w:t>RESULTS</w:t>
      </w:r>
    </w:p>
    <w:p w14:paraId="509941D2" w14:textId="77777777" w:rsidR="005F6668" w:rsidRPr="008C2CF4" w:rsidRDefault="005F6668" w:rsidP="00C816AA">
      <w:pPr>
        <w:spacing w:after="0" w:line="360" w:lineRule="auto"/>
        <w:rPr>
          <w:rFonts w:ascii="Times New Roman" w:hAnsi="Times New Roman" w:cs="Times New Roman"/>
          <w:bCs/>
          <w:sz w:val="24"/>
          <w:szCs w:val="24"/>
        </w:rPr>
      </w:pPr>
    </w:p>
    <w:p w14:paraId="5EC47E42" w14:textId="77777777" w:rsidR="00B750C8" w:rsidRPr="008C2CF4" w:rsidRDefault="00B750C8" w:rsidP="00C816AA">
      <w:pPr>
        <w:spacing w:after="200" w:line="360" w:lineRule="auto"/>
        <w:rPr>
          <w:rFonts w:ascii="Times New Roman" w:eastAsia="Calibri" w:hAnsi="Times New Roman" w:cs="Times New Roman"/>
          <w:bCs/>
          <w:sz w:val="24"/>
          <w:szCs w:val="24"/>
        </w:rPr>
      </w:pPr>
      <w:r w:rsidRPr="008C2CF4">
        <w:rPr>
          <w:rFonts w:ascii="Times New Roman" w:eastAsia="Calibri" w:hAnsi="Times New Roman" w:cs="Times New Roman"/>
          <w:b/>
          <w:sz w:val="24"/>
          <w:szCs w:val="24"/>
        </w:rPr>
        <w:t>Table 1</w:t>
      </w:r>
      <w:r w:rsidRPr="008C2CF4">
        <w:rPr>
          <w:rFonts w:ascii="Times New Roman" w:eastAsia="Calibri" w:hAnsi="Times New Roman" w:cs="Times New Roman"/>
          <w:bCs/>
          <w:sz w:val="24"/>
          <w:szCs w:val="24"/>
        </w:rPr>
        <w:t xml:space="preserve">: </w:t>
      </w:r>
      <w:bookmarkStart w:id="0" w:name="_Hlk203304556"/>
      <w:r w:rsidRPr="008C2CF4">
        <w:rPr>
          <w:rFonts w:ascii="Times New Roman" w:eastAsia="Calibri" w:hAnsi="Times New Roman" w:cs="Times New Roman"/>
          <w:bCs/>
          <w:snapToGrid w:val="0"/>
          <w:kern w:val="2"/>
          <w:sz w:val="24"/>
          <w:szCs w:val="24"/>
          <w:highlight w:val="white"/>
          <w:lang w:eastAsia="zh-CN"/>
        </w:rPr>
        <w:t>Changes in serum levels of Brain Derived Neurotrophic Factor (BDNF) following administration of some cannabinoids in rats</w:t>
      </w:r>
      <w:bookmarkEnd w:id="0"/>
      <w:r w:rsidRPr="008C2CF4">
        <w:rPr>
          <w:rFonts w:ascii="Times New Roman" w:eastAsia="Calibri" w:hAnsi="Times New Roman" w:cs="Times New Roman"/>
          <w:bCs/>
          <w:snapToGrid w:val="0"/>
          <w:kern w:val="2"/>
          <w:sz w:val="24"/>
          <w:szCs w:val="24"/>
          <w:lang w:eastAsia="zh-CN"/>
        </w:rPr>
        <w:t>.</w:t>
      </w:r>
    </w:p>
    <w:tbl>
      <w:tblPr>
        <w:tblStyle w:val="TableGrid"/>
        <w:tblW w:w="9516"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619"/>
        <w:gridCol w:w="2248"/>
        <w:gridCol w:w="2247"/>
      </w:tblGrid>
      <w:tr w:rsidR="00B750C8" w:rsidRPr="008C2CF4" w14:paraId="31C61858" w14:textId="77777777" w:rsidTr="00B14B42">
        <w:trPr>
          <w:trHeight w:val="20"/>
        </w:trPr>
        <w:tc>
          <w:tcPr>
            <w:tcW w:w="3402" w:type="dxa"/>
            <w:tcBorders>
              <w:top w:val="single" w:sz="4" w:space="0" w:color="auto"/>
            </w:tcBorders>
          </w:tcPr>
          <w:p w14:paraId="332C9041" w14:textId="77777777" w:rsidR="00B750C8" w:rsidRPr="008C2CF4" w:rsidRDefault="00B750C8" w:rsidP="008C2CF4">
            <w:pPr>
              <w:rPr>
                <w:rFonts w:ascii="Times New Roman" w:hAnsi="Times New Roman"/>
                <w:b/>
                <w:lang w:val="en-GB"/>
              </w:rPr>
            </w:pPr>
          </w:p>
        </w:tc>
        <w:tc>
          <w:tcPr>
            <w:tcW w:w="6114" w:type="dxa"/>
            <w:gridSpan w:val="3"/>
            <w:tcBorders>
              <w:top w:val="single" w:sz="4" w:space="0" w:color="auto"/>
              <w:bottom w:val="single" w:sz="4" w:space="0" w:color="auto"/>
            </w:tcBorders>
          </w:tcPr>
          <w:p w14:paraId="50B102D2" w14:textId="4793C322" w:rsidR="00B750C8" w:rsidRPr="008C2CF4" w:rsidRDefault="004F6CDE" w:rsidP="008C2CF4">
            <w:pPr>
              <w:jc w:val="center"/>
              <w:rPr>
                <w:rFonts w:ascii="Times New Roman" w:hAnsi="Times New Roman"/>
                <w:b/>
                <w:lang w:val="en-GB"/>
              </w:rPr>
            </w:pPr>
            <w:r w:rsidRPr="008C2CF4">
              <w:rPr>
                <w:rFonts w:ascii="Times New Roman" w:hAnsi="Times New Roman"/>
                <w:b/>
                <w:lang w:val="en-GB"/>
              </w:rPr>
              <w:t xml:space="preserve">Serum </w:t>
            </w:r>
            <w:r w:rsidR="00B750C8" w:rsidRPr="008C2CF4">
              <w:rPr>
                <w:rFonts w:ascii="Times New Roman" w:hAnsi="Times New Roman"/>
                <w:b/>
                <w:lang w:val="en-GB"/>
              </w:rPr>
              <w:t>BDNF (ng/L) Levels</w:t>
            </w:r>
          </w:p>
        </w:tc>
      </w:tr>
      <w:tr w:rsidR="00B750C8" w:rsidRPr="008C2CF4" w14:paraId="0F738E3A" w14:textId="77777777" w:rsidTr="00B14B42">
        <w:trPr>
          <w:trHeight w:val="20"/>
        </w:trPr>
        <w:tc>
          <w:tcPr>
            <w:tcW w:w="3402" w:type="dxa"/>
            <w:tcBorders>
              <w:bottom w:val="single" w:sz="4" w:space="0" w:color="auto"/>
            </w:tcBorders>
            <w:hideMark/>
          </w:tcPr>
          <w:p w14:paraId="17A0AA95" w14:textId="77777777" w:rsidR="00B750C8" w:rsidRPr="008C2CF4" w:rsidRDefault="00B750C8" w:rsidP="008C2CF4">
            <w:pPr>
              <w:rPr>
                <w:rFonts w:ascii="Times New Roman" w:hAnsi="Times New Roman"/>
                <w:b/>
                <w:lang w:val="en-GB"/>
              </w:rPr>
            </w:pPr>
            <w:r w:rsidRPr="008C2CF4">
              <w:rPr>
                <w:rFonts w:ascii="Times New Roman" w:hAnsi="Times New Roman"/>
                <w:b/>
                <w:lang w:val="en-GB"/>
              </w:rPr>
              <w:t xml:space="preserve">Groups </w:t>
            </w:r>
          </w:p>
        </w:tc>
        <w:tc>
          <w:tcPr>
            <w:tcW w:w="1619" w:type="dxa"/>
            <w:tcBorders>
              <w:top w:val="single" w:sz="4" w:space="0" w:color="auto"/>
              <w:bottom w:val="single" w:sz="4" w:space="0" w:color="auto"/>
            </w:tcBorders>
            <w:hideMark/>
          </w:tcPr>
          <w:p w14:paraId="09BCDBF7" w14:textId="77777777" w:rsidR="00B750C8" w:rsidRPr="008C2CF4" w:rsidRDefault="00B750C8" w:rsidP="008C2CF4">
            <w:pPr>
              <w:rPr>
                <w:rFonts w:ascii="Times New Roman" w:hAnsi="Times New Roman"/>
                <w:b/>
                <w:lang w:val="en-GB"/>
              </w:rPr>
            </w:pPr>
            <w:r w:rsidRPr="008C2CF4">
              <w:rPr>
                <w:rFonts w:ascii="Times New Roman" w:hAnsi="Times New Roman"/>
                <w:b/>
                <w:lang w:val="en-GB"/>
              </w:rPr>
              <w:t>Acute phase</w:t>
            </w:r>
          </w:p>
          <w:p w14:paraId="2D4F514C" w14:textId="77777777" w:rsidR="00B750C8" w:rsidRPr="008C2CF4" w:rsidRDefault="00B750C8" w:rsidP="008C2CF4">
            <w:pPr>
              <w:rPr>
                <w:rFonts w:ascii="Times New Roman" w:hAnsi="Times New Roman"/>
                <w:b/>
                <w:lang w:val="en-GB"/>
              </w:rPr>
            </w:pPr>
            <w:r w:rsidRPr="008C2CF4">
              <w:rPr>
                <w:rFonts w:ascii="Times New Roman" w:hAnsi="Times New Roman"/>
                <w:b/>
                <w:lang w:val="en-GB"/>
              </w:rPr>
              <w:t>(14 days)</w:t>
            </w:r>
          </w:p>
        </w:tc>
        <w:tc>
          <w:tcPr>
            <w:tcW w:w="2248" w:type="dxa"/>
            <w:tcBorders>
              <w:top w:val="single" w:sz="4" w:space="0" w:color="auto"/>
              <w:bottom w:val="single" w:sz="4" w:space="0" w:color="auto"/>
            </w:tcBorders>
            <w:hideMark/>
          </w:tcPr>
          <w:p w14:paraId="56EE9DC9" w14:textId="77777777" w:rsidR="00B750C8" w:rsidRPr="008C2CF4" w:rsidRDefault="00B750C8" w:rsidP="008C2CF4">
            <w:pPr>
              <w:rPr>
                <w:rFonts w:ascii="Times New Roman" w:hAnsi="Times New Roman"/>
                <w:b/>
                <w:lang w:val="en-GB"/>
              </w:rPr>
            </w:pPr>
            <w:r w:rsidRPr="008C2CF4">
              <w:rPr>
                <w:rFonts w:ascii="Times New Roman" w:hAnsi="Times New Roman"/>
                <w:b/>
                <w:lang w:val="en-GB"/>
              </w:rPr>
              <w:t>Sub-chronic phase</w:t>
            </w:r>
          </w:p>
          <w:p w14:paraId="1B28054F" w14:textId="77777777" w:rsidR="00B750C8" w:rsidRPr="008C2CF4" w:rsidRDefault="00B750C8" w:rsidP="008C2CF4">
            <w:pPr>
              <w:rPr>
                <w:rFonts w:ascii="Times New Roman" w:hAnsi="Times New Roman"/>
                <w:b/>
                <w:lang w:val="en-GB"/>
              </w:rPr>
            </w:pPr>
            <w:r w:rsidRPr="008C2CF4">
              <w:rPr>
                <w:rFonts w:ascii="Times New Roman" w:hAnsi="Times New Roman"/>
                <w:b/>
                <w:lang w:val="en-GB"/>
              </w:rPr>
              <w:t>(28 days)</w:t>
            </w:r>
          </w:p>
        </w:tc>
        <w:tc>
          <w:tcPr>
            <w:tcW w:w="2247" w:type="dxa"/>
            <w:tcBorders>
              <w:top w:val="single" w:sz="4" w:space="0" w:color="auto"/>
              <w:bottom w:val="single" w:sz="4" w:space="0" w:color="auto"/>
            </w:tcBorders>
            <w:hideMark/>
          </w:tcPr>
          <w:p w14:paraId="696060A4" w14:textId="77777777" w:rsidR="00B750C8" w:rsidRPr="008C2CF4" w:rsidRDefault="00B750C8" w:rsidP="008C2CF4">
            <w:pPr>
              <w:rPr>
                <w:rFonts w:ascii="Times New Roman" w:hAnsi="Times New Roman"/>
                <w:b/>
                <w:lang w:val="en-GB"/>
              </w:rPr>
            </w:pPr>
            <w:r w:rsidRPr="008C2CF4">
              <w:rPr>
                <w:rFonts w:ascii="Times New Roman" w:hAnsi="Times New Roman"/>
                <w:b/>
                <w:lang w:val="en-GB"/>
              </w:rPr>
              <w:t>Chronic phase</w:t>
            </w:r>
          </w:p>
          <w:p w14:paraId="31687594" w14:textId="77777777" w:rsidR="00B750C8" w:rsidRPr="008C2CF4" w:rsidRDefault="00B750C8" w:rsidP="008C2CF4">
            <w:pPr>
              <w:rPr>
                <w:rFonts w:ascii="Times New Roman" w:hAnsi="Times New Roman"/>
                <w:b/>
                <w:lang w:val="en-GB"/>
              </w:rPr>
            </w:pPr>
            <w:r w:rsidRPr="008C2CF4">
              <w:rPr>
                <w:rFonts w:ascii="Times New Roman" w:hAnsi="Times New Roman"/>
                <w:b/>
                <w:lang w:val="en-GB"/>
              </w:rPr>
              <w:t>(56 days)</w:t>
            </w:r>
          </w:p>
        </w:tc>
      </w:tr>
      <w:tr w:rsidR="00B750C8" w:rsidRPr="008C2CF4" w14:paraId="6DF2DA7B" w14:textId="77777777" w:rsidTr="00B14B42">
        <w:trPr>
          <w:trHeight w:val="20"/>
        </w:trPr>
        <w:tc>
          <w:tcPr>
            <w:tcW w:w="3402" w:type="dxa"/>
            <w:tcBorders>
              <w:top w:val="single" w:sz="4" w:space="0" w:color="auto"/>
            </w:tcBorders>
            <w:hideMark/>
          </w:tcPr>
          <w:p w14:paraId="5F240A48" w14:textId="7C876A65" w:rsidR="00B750C8" w:rsidRPr="008C2CF4" w:rsidRDefault="00B750C8" w:rsidP="008C2CF4">
            <w:pPr>
              <w:rPr>
                <w:rFonts w:ascii="Times New Roman" w:hAnsi="Times New Roman"/>
                <w:bCs/>
                <w:lang w:val="en-GB"/>
              </w:rPr>
            </w:pPr>
            <w:r w:rsidRPr="008C2CF4">
              <w:rPr>
                <w:rFonts w:ascii="Times New Roman" w:hAnsi="Times New Roman"/>
                <w:bCs/>
                <w:lang w:val="en-GB"/>
              </w:rPr>
              <w:t>Group</w:t>
            </w:r>
            <w:r w:rsidR="000805BC" w:rsidRPr="008C2CF4">
              <w:rPr>
                <w:rFonts w:ascii="Times New Roman" w:hAnsi="Times New Roman"/>
                <w:bCs/>
                <w:lang w:val="en-GB"/>
              </w:rPr>
              <w:t xml:space="preserve"> </w:t>
            </w:r>
            <w:r w:rsidRPr="008C2CF4">
              <w:rPr>
                <w:rFonts w:ascii="Times New Roman" w:hAnsi="Times New Roman"/>
                <w:bCs/>
                <w:lang w:val="en-GB"/>
              </w:rPr>
              <w:t>1 control (distilled water)</w:t>
            </w:r>
          </w:p>
        </w:tc>
        <w:tc>
          <w:tcPr>
            <w:tcW w:w="1619" w:type="dxa"/>
            <w:tcBorders>
              <w:top w:val="single" w:sz="4" w:space="0" w:color="auto"/>
            </w:tcBorders>
            <w:hideMark/>
          </w:tcPr>
          <w:p w14:paraId="04AB4360"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54.84±2.40</w:t>
            </w:r>
          </w:p>
        </w:tc>
        <w:tc>
          <w:tcPr>
            <w:tcW w:w="2248" w:type="dxa"/>
            <w:tcBorders>
              <w:top w:val="single" w:sz="4" w:space="0" w:color="auto"/>
            </w:tcBorders>
            <w:hideMark/>
          </w:tcPr>
          <w:p w14:paraId="39447DD6"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50.66±1.95</w:t>
            </w:r>
          </w:p>
        </w:tc>
        <w:tc>
          <w:tcPr>
            <w:tcW w:w="2247" w:type="dxa"/>
            <w:tcBorders>
              <w:top w:val="single" w:sz="4" w:space="0" w:color="auto"/>
            </w:tcBorders>
            <w:hideMark/>
          </w:tcPr>
          <w:p w14:paraId="139C4AEB"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39.93±2.49</w:t>
            </w:r>
          </w:p>
        </w:tc>
      </w:tr>
      <w:tr w:rsidR="00B750C8" w:rsidRPr="008C2CF4" w14:paraId="42C486DF" w14:textId="77777777" w:rsidTr="00B14B42">
        <w:trPr>
          <w:trHeight w:val="20"/>
        </w:trPr>
        <w:tc>
          <w:tcPr>
            <w:tcW w:w="3402" w:type="dxa"/>
            <w:hideMark/>
          </w:tcPr>
          <w:p w14:paraId="18B49AF8" w14:textId="7209AE7B" w:rsidR="00B750C8" w:rsidRPr="008C2CF4" w:rsidRDefault="00B750C8" w:rsidP="008C2CF4">
            <w:pPr>
              <w:rPr>
                <w:rFonts w:ascii="Times New Roman" w:hAnsi="Times New Roman"/>
                <w:bCs/>
                <w:lang w:val="en-GB"/>
              </w:rPr>
            </w:pPr>
            <w:r w:rsidRPr="008C2CF4">
              <w:rPr>
                <w:rFonts w:ascii="Times New Roman" w:hAnsi="Times New Roman"/>
                <w:bCs/>
                <w:lang w:val="en-GB"/>
              </w:rPr>
              <w:t>Group</w:t>
            </w:r>
            <w:r w:rsidR="000805BC" w:rsidRPr="008C2CF4">
              <w:rPr>
                <w:rFonts w:ascii="Times New Roman" w:hAnsi="Times New Roman"/>
                <w:bCs/>
                <w:lang w:val="en-GB"/>
              </w:rPr>
              <w:t xml:space="preserve"> </w:t>
            </w:r>
            <w:r w:rsidRPr="008C2CF4">
              <w:rPr>
                <w:rFonts w:ascii="Times New Roman" w:hAnsi="Times New Roman"/>
                <w:bCs/>
                <w:lang w:val="en-GB"/>
              </w:rPr>
              <w:t>2 (THC 5mg/kg)</w:t>
            </w:r>
          </w:p>
        </w:tc>
        <w:tc>
          <w:tcPr>
            <w:tcW w:w="1619" w:type="dxa"/>
            <w:hideMark/>
          </w:tcPr>
          <w:p w14:paraId="63A9E05A"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42.87±4.57</w:t>
            </w:r>
            <w:r w:rsidRPr="008C2CF4">
              <w:rPr>
                <w:rFonts w:ascii="Times New Roman" w:hAnsi="Times New Roman"/>
                <w:vertAlign w:val="superscript"/>
                <w:lang w:val="en-GB"/>
              </w:rPr>
              <w:t>a</w:t>
            </w:r>
          </w:p>
        </w:tc>
        <w:tc>
          <w:tcPr>
            <w:tcW w:w="2248" w:type="dxa"/>
            <w:hideMark/>
          </w:tcPr>
          <w:p w14:paraId="0710C8BF"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37.55±3.34</w:t>
            </w:r>
            <w:r w:rsidRPr="008C2CF4">
              <w:rPr>
                <w:rFonts w:ascii="Times New Roman" w:hAnsi="Times New Roman"/>
                <w:vertAlign w:val="superscript"/>
                <w:lang w:val="en-GB"/>
              </w:rPr>
              <w:t>a</w:t>
            </w:r>
          </w:p>
        </w:tc>
        <w:tc>
          <w:tcPr>
            <w:tcW w:w="2247" w:type="dxa"/>
            <w:hideMark/>
          </w:tcPr>
          <w:p w14:paraId="29F1F804"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29.75±0.73</w:t>
            </w:r>
            <w:r w:rsidRPr="008C2CF4">
              <w:rPr>
                <w:rFonts w:ascii="Times New Roman" w:hAnsi="Times New Roman"/>
                <w:vertAlign w:val="superscript"/>
                <w:lang w:val="en-GB"/>
              </w:rPr>
              <w:t>a</w:t>
            </w:r>
          </w:p>
        </w:tc>
      </w:tr>
      <w:tr w:rsidR="00B750C8" w:rsidRPr="008C2CF4" w14:paraId="0C0491F6" w14:textId="77777777" w:rsidTr="00B14B42">
        <w:trPr>
          <w:trHeight w:val="20"/>
        </w:trPr>
        <w:tc>
          <w:tcPr>
            <w:tcW w:w="3402" w:type="dxa"/>
            <w:hideMark/>
          </w:tcPr>
          <w:p w14:paraId="0876F58D" w14:textId="4F3D0B56" w:rsidR="00B750C8" w:rsidRPr="008C2CF4" w:rsidRDefault="00B750C8" w:rsidP="008C2CF4">
            <w:pPr>
              <w:rPr>
                <w:rFonts w:ascii="Times New Roman" w:hAnsi="Times New Roman"/>
                <w:bCs/>
                <w:lang w:val="en-GB"/>
              </w:rPr>
            </w:pPr>
            <w:r w:rsidRPr="008C2CF4">
              <w:rPr>
                <w:rFonts w:ascii="Times New Roman" w:hAnsi="Times New Roman"/>
                <w:bCs/>
                <w:lang w:val="en-GB"/>
              </w:rPr>
              <w:t>Grou</w:t>
            </w:r>
            <w:r w:rsidR="000805BC" w:rsidRPr="008C2CF4">
              <w:rPr>
                <w:rFonts w:ascii="Times New Roman" w:hAnsi="Times New Roman"/>
                <w:bCs/>
                <w:lang w:val="en-GB"/>
              </w:rPr>
              <w:t xml:space="preserve">p </w:t>
            </w:r>
            <w:r w:rsidRPr="008C2CF4">
              <w:rPr>
                <w:rFonts w:ascii="Times New Roman" w:hAnsi="Times New Roman"/>
                <w:bCs/>
                <w:lang w:val="en-GB"/>
              </w:rPr>
              <w:t>3 (THC 15mg/kg)</w:t>
            </w:r>
          </w:p>
        </w:tc>
        <w:tc>
          <w:tcPr>
            <w:tcW w:w="1619" w:type="dxa"/>
            <w:hideMark/>
          </w:tcPr>
          <w:p w14:paraId="56B6E236"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34.31±2.87</w:t>
            </w:r>
            <w:r w:rsidRPr="008C2CF4">
              <w:rPr>
                <w:rFonts w:ascii="Times New Roman" w:hAnsi="Times New Roman"/>
                <w:vertAlign w:val="superscript"/>
                <w:lang w:val="en-GB"/>
              </w:rPr>
              <w:t>a</w:t>
            </w:r>
          </w:p>
        </w:tc>
        <w:tc>
          <w:tcPr>
            <w:tcW w:w="2248" w:type="dxa"/>
            <w:hideMark/>
          </w:tcPr>
          <w:p w14:paraId="4111101A"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29.64±2.90</w:t>
            </w:r>
            <w:r w:rsidRPr="008C2CF4">
              <w:rPr>
                <w:rFonts w:ascii="Times New Roman" w:hAnsi="Times New Roman"/>
                <w:vertAlign w:val="superscript"/>
                <w:lang w:val="en-GB"/>
              </w:rPr>
              <w:t>a</w:t>
            </w:r>
          </w:p>
        </w:tc>
        <w:tc>
          <w:tcPr>
            <w:tcW w:w="2247" w:type="dxa"/>
            <w:hideMark/>
          </w:tcPr>
          <w:p w14:paraId="46A39128"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26.64±3.47</w:t>
            </w:r>
            <w:r w:rsidRPr="008C2CF4">
              <w:rPr>
                <w:rFonts w:ascii="Times New Roman" w:hAnsi="Times New Roman"/>
                <w:vertAlign w:val="superscript"/>
                <w:lang w:val="en-GB"/>
              </w:rPr>
              <w:t>a</w:t>
            </w:r>
          </w:p>
        </w:tc>
      </w:tr>
      <w:tr w:rsidR="00B750C8" w:rsidRPr="008C2CF4" w14:paraId="182B1A3D" w14:textId="77777777" w:rsidTr="00B14B42">
        <w:trPr>
          <w:trHeight w:val="20"/>
        </w:trPr>
        <w:tc>
          <w:tcPr>
            <w:tcW w:w="3402" w:type="dxa"/>
            <w:hideMark/>
          </w:tcPr>
          <w:p w14:paraId="26604975" w14:textId="5BFB48DC" w:rsidR="00B750C8" w:rsidRPr="008C2CF4" w:rsidRDefault="00B750C8" w:rsidP="008C2CF4">
            <w:pPr>
              <w:rPr>
                <w:rFonts w:ascii="Times New Roman" w:hAnsi="Times New Roman"/>
                <w:bCs/>
                <w:lang w:val="en-GB"/>
              </w:rPr>
            </w:pPr>
            <w:r w:rsidRPr="008C2CF4">
              <w:rPr>
                <w:rFonts w:ascii="Times New Roman" w:hAnsi="Times New Roman"/>
                <w:bCs/>
                <w:lang w:val="en-GB"/>
              </w:rPr>
              <w:t>Group</w:t>
            </w:r>
            <w:r w:rsidR="000805BC" w:rsidRPr="008C2CF4">
              <w:rPr>
                <w:rFonts w:ascii="Times New Roman" w:hAnsi="Times New Roman"/>
                <w:bCs/>
                <w:lang w:val="en-GB"/>
              </w:rPr>
              <w:t xml:space="preserve"> </w:t>
            </w:r>
            <w:r w:rsidRPr="008C2CF4">
              <w:rPr>
                <w:rFonts w:ascii="Times New Roman" w:hAnsi="Times New Roman"/>
                <w:bCs/>
                <w:lang w:val="en-GB"/>
              </w:rPr>
              <w:t>4 (</w:t>
            </w:r>
            <w:r w:rsidR="005071F8" w:rsidRPr="007073A1">
              <w:rPr>
                <w:rFonts w:ascii="Times New Roman" w:hAnsi="Times New Roman"/>
                <w:bCs/>
                <w:lang w:val="en-GB"/>
              </w:rPr>
              <w:t>CBD</w:t>
            </w:r>
            <w:r w:rsidRPr="007073A1">
              <w:rPr>
                <w:rFonts w:ascii="Times New Roman" w:hAnsi="Times New Roman"/>
                <w:bCs/>
                <w:lang w:val="en-GB"/>
              </w:rPr>
              <w:t xml:space="preserve"> </w:t>
            </w:r>
            <w:r w:rsidR="00CA13E4" w:rsidRPr="00CA13E4">
              <w:rPr>
                <w:rFonts w:ascii="Times New Roman" w:hAnsi="Times New Roman"/>
                <w:bCs/>
                <w:highlight w:val="yellow"/>
                <w:lang w:val="en-GB"/>
              </w:rPr>
              <w:t>2</w:t>
            </w:r>
            <w:r w:rsidRPr="00CA13E4">
              <w:rPr>
                <w:rFonts w:ascii="Times New Roman" w:hAnsi="Times New Roman"/>
                <w:bCs/>
                <w:highlight w:val="yellow"/>
                <w:lang w:val="en-GB"/>
              </w:rPr>
              <w:t>0mg/kg)</w:t>
            </w:r>
          </w:p>
        </w:tc>
        <w:tc>
          <w:tcPr>
            <w:tcW w:w="1619" w:type="dxa"/>
            <w:hideMark/>
          </w:tcPr>
          <w:p w14:paraId="56EEE518"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52.54±1.24</w:t>
            </w:r>
            <w:r w:rsidRPr="008C2CF4">
              <w:rPr>
                <w:rFonts w:ascii="Times New Roman" w:hAnsi="Times New Roman"/>
                <w:vertAlign w:val="superscript"/>
                <w:lang w:val="en-GB"/>
              </w:rPr>
              <w:t>b,c</w:t>
            </w:r>
          </w:p>
        </w:tc>
        <w:tc>
          <w:tcPr>
            <w:tcW w:w="2248" w:type="dxa"/>
            <w:hideMark/>
          </w:tcPr>
          <w:p w14:paraId="25D7B086"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48.72±3.46b</w:t>
            </w:r>
            <w:r w:rsidRPr="008C2CF4">
              <w:rPr>
                <w:rFonts w:ascii="Times New Roman" w:hAnsi="Times New Roman"/>
                <w:vertAlign w:val="superscript"/>
                <w:lang w:val="en-GB"/>
              </w:rPr>
              <w:t>b,c.d</w:t>
            </w:r>
          </w:p>
        </w:tc>
        <w:tc>
          <w:tcPr>
            <w:tcW w:w="2247" w:type="dxa"/>
            <w:hideMark/>
          </w:tcPr>
          <w:p w14:paraId="5E9BC03F"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30.62±0.66</w:t>
            </w:r>
            <w:r w:rsidRPr="008C2CF4">
              <w:rPr>
                <w:rFonts w:ascii="Times New Roman" w:hAnsi="Times New Roman"/>
                <w:vertAlign w:val="superscript"/>
                <w:lang w:val="en-GB"/>
              </w:rPr>
              <w:t>a</w:t>
            </w:r>
          </w:p>
        </w:tc>
      </w:tr>
      <w:tr w:rsidR="00B750C8" w:rsidRPr="008C2CF4" w14:paraId="683194D5" w14:textId="77777777" w:rsidTr="00B14B42">
        <w:trPr>
          <w:trHeight w:val="20"/>
        </w:trPr>
        <w:tc>
          <w:tcPr>
            <w:tcW w:w="3402" w:type="dxa"/>
            <w:hideMark/>
          </w:tcPr>
          <w:p w14:paraId="489A5879" w14:textId="7562AA98" w:rsidR="00B750C8" w:rsidRPr="008C2CF4" w:rsidRDefault="00B750C8" w:rsidP="008C2CF4">
            <w:pPr>
              <w:rPr>
                <w:rFonts w:ascii="Times New Roman" w:hAnsi="Times New Roman"/>
                <w:bCs/>
                <w:lang w:val="en-GB"/>
              </w:rPr>
            </w:pPr>
            <w:r w:rsidRPr="008C2CF4">
              <w:rPr>
                <w:rFonts w:ascii="Times New Roman" w:hAnsi="Times New Roman"/>
                <w:bCs/>
                <w:lang w:val="en-GB"/>
              </w:rPr>
              <w:t>Group</w:t>
            </w:r>
            <w:r w:rsidR="000805BC" w:rsidRPr="008C2CF4">
              <w:rPr>
                <w:rFonts w:ascii="Times New Roman" w:hAnsi="Times New Roman"/>
                <w:bCs/>
                <w:lang w:val="en-GB"/>
              </w:rPr>
              <w:t xml:space="preserve"> </w:t>
            </w:r>
            <w:r w:rsidRPr="008C2CF4">
              <w:rPr>
                <w:rFonts w:ascii="Times New Roman" w:hAnsi="Times New Roman"/>
                <w:bCs/>
                <w:lang w:val="en-GB"/>
              </w:rPr>
              <w:t>5 (</w:t>
            </w:r>
            <w:r w:rsidR="005071F8" w:rsidRPr="008C2CF4">
              <w:rPr>
                <w:rFonts w:ascii="Times New Roman" w:hAnsi="Times New Roman"/>
                <w:bCs/>
                <w:lang w:val="en-GB"/>
              </w:rPr>
              <w:t>CBD</w:t>
            </w:r>
            <w:r w:rsidRPr="008C2CF4">
              <w:rPr>
                <w:rFonts w:ascii="Times New Roman" w:hAnsi="Times New Roman"/>
                <w:bCs/>
                <w:lang w:val="en-GB"/>
              </w:rPr>
              <w:t xml:space="preserve"> 60mg/kg)</w:t>
            </w:r>
          </w:p>
        </w:tc>
        <w:tc>
          <w:tcPr>
            <w:tcW w:w="1619" w:type="dxa"/>
            <w:hideMark/>
          </w:tcPr>
          <w:p w14:paraId="6440EA47"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48.33±2.86</w:t>
            </w:r>
            <w:r w:rsidRPr="008C2CF4">
              <w:rPr>
                <w:rFonts w:ascii="Times New Roman" w:hAnsi="Times New Roman"/>
                <w:vertAlign w:val="superscript"/>
                <w:lang w:val="en-GB"/>
              </w:rPr>
              <w:t>d,e,g</w:t>
            </w:r>
          </w:p>
        </w:tc>
        <w:tc>
          <w:tcPr>
            <w:tcW w:w="2248" w:type="dxa"/>
            <w:hideMark/>
          </w:tcPr>
          <w:p w14:paraId="29689B35"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42.31±0.43</w:t>
            </w:r>
            <w:r w:rsidRPr="008C2CF4">
              <w:rPr>
                <w:rFonts w:ascii="Times New Roman" w:hAnsi="Times New Roman"/>
                <w:vertAlign w:val="superscript"/>
                <w:lang w:val="en-GB"/>
              </w:rPr>
              <w:t>a,d,e,g</w:t>
            </w:r>
          </w:p>
        </w:tc>
        <w:tc>
          <w:tcPr>
            <w:tcW w:w="2247" w:type="dxa"/>
            <w:hideMark/>
          </w:tcPr>
          <w:p w14:paraId="2D170BEF"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27.97±2.84</w:t>
            </w:r>
            <w:r w:rsidRPr="008C2CF4">
              <w:rPr>
                <w:rFonts w:ascii="Times New Roman" w:hAnsi="Times New Roman"/>
                <w:vertAlign w:val="superscript"/>
                <w:lang w:val="en-GB"/>
              </w:rPr>
              <w:t>a</w:t>
            </w:r>
          </w:p>
        </w:tc>
      </w:tr>
    </w:tbl>
    <w:p w14:paraId="03DCE2D8" w14:textId="26D9FE28" w:rsidR="00B750C8" w:rsidRPr="008C2CF4" w:rsidRDefault="00B750C8" w:rsidP="008C2CF4">
      <w:pPr>
        <w:spacing w:after="0" w:line="240" w:lineRule="auto"/>
        <w:jc w:val="both"/>
        <w:rPr>
          <w:rFonts w:ascii="Times New Roman" w:eastAsia="Calibri" w:hAnsi="Times New Roman" w:cs="Times New Roman"/>
          <w:sz w:val="24"/>
          <w:szCs w:val="24"/>
        </w:rPr>
      </w:pPr>
      <w:r w:rsidRPr="008C2CF4">
        <w:rPr>
          <w:rFonts w:ascii="Times New Roman" w:eastAsia="Calibri" w:hAnsi="Times New Roman" w:cs="Times New Roman"/>
          <w:sz w:val="24"/>
          <w:szCs w:val="24"/>
        </w:rPr>
        <w:t xml:space="preserve">Values are presented as Mean ± SEM, n= 5. </w:t>
      </w:r>
    </w:p>
    <w:p w14:paraId="4BF725E0" w14:textId="77777777" w:rsidR="00B750C8" w:rsidRPr="008C2CF4" w:rsidRDefault="00B750C8" w:rsidP="008C2CF4">
      <w:pPr>
        <w:spacing w:after="0" w:line="240" w:lineRule="auto"/>
        <w:jc w:val="both"/>
        <w:rPr>
          <w:rFonts w:ascii="Times New Roman" w:eastAsia="Times New Roman" w:hAnsi="Times New Roman" w:cs="Times New Roman"/>
          <w:bCs/>
          <w:sz w:val="24"/>
          <w:szCs w:val="24"/>
        </w:rPr>
      </w:pPr>
      <w:r w:rsidRPr="008C2CF4">
        <w:rPr>
          <w:rFonts w:ascii="Times New Roman" w:eastAsia="Times New Roman" w:hAnsi="Times New Roman" w:cs="Times New Roman"/>
          <w:b/>
          <w:bCs/>
          <w:sz w:val="24"/>
          <w:szCs w:val="24"/>
          <w:vertAlign w:val="superscript"/>
        </w:rPr>
        <w:t>a</w:t>
      </w:r>
      <w:r w:rsidRPr="008C2CF4">
        <w:rPr>
          <w:rFonts w:ascii="Times New Roman" w:eastAsia="Times New Roman" w:hAnsi="Times New Roman" w:cs="Times New Roman"/>
          <w:bCs/>
          <w:sz w:val="24"/>
          <w:szCs w:val="24"/>
        </w:rPr>
        <w:t xml:space="preserve"> Significant at p&lt;0.05 when compared to the mean value of group 1 </w:t>
      </w:r>
    </w:p>
    <w:p w14:paraId="6374DF0F" w14:textId="77777777" w:rsidR="00B750C8" w:rsidRPr="008C2CF4" w:rsidRDefault="00B750C8" w:rsidP="008C2CF4">
      <w:pPr>
        <w:spacing w:after="0" w:line="240" w:lineRule="auto"/>
        <w:jc w:val="both"/>
        <w:rPr>
          <w:rFonts w:ascii="Times New Roman" w:eastAsia="Times New Roman" w:hAnsi="Times New Roman" w:cs="Times New Roman"/>
          <w:bCs/>
          <w:sz w:val="24"/>
          <w:szCs w:val="24"/>
        </w:rPr>
      </w:pPr>
      <w:r w:rsidRPr="008C2CF4">
        <w:rPr>
          <w:rFonts w:ascii="Times New Roman" w:eastAsia="Times New Roman" w:hAnsi="Times New Roman" w:cs="Times New Roman"/>
          <w:b/>
          <w:bCs/>
          <w:sz w:val="24"/>
          <w:szCs w:val="24"/>
          <w:vertAlign w:val="superscript"/>
        </w:rPr>
        <w:t xml:space="preserve">b </w:t>
      </w:r>
      <w:r w:rsidRPr="008C2CF4">
        <w:rPr>
          <w:rFonts w:ascii="Times New Roman" w:eastAsia="Times New Roman" w:hAnsi="Times New Roman" w:cs="Times New Roman"/>
          <w:bCs/>
          <w:sz w:val="24"/>
          <w:szCs w:val="24"/>
        </w:rPr>
        <w:t>Significant at p&lt;0.05 when compared to the mean value of group 2</w:t>
      </w:r>
    </w:p>
    <w:p w14:paraId="159E36BE" w14:textId="77777777" w:rsidR="00B750C8" w:rsidRPr="008C2CF4" w:rsidRDefault="00B750C8" w:rsidP="008C2CF4">
      <w:pPr>
        <w:spacing w:after="0" w:line="240" w:lineRule="auto"/>
        <w:jc w:val="both"/>
        <w:rPr>
          <w:rFonts w:ascii="Times New Roman" w:eastAsia="Times New Roman" w:hAnsi="Times New Roman" w:cs="Times New Roman"/>
          <w:bCs/>
          <w:sz w:val="24"/>
          <w:szCs w:val="24"/>
        </w:rPr>
      </w:pPr>
      <w:r w:rsidRPr="008C2CF4">
        <w:rPr>
          <w:rFonts w:ascii="Times New Roman" w:eastAsia="Times New Roman" w:hAnsi="Times New Roman" w:cs="Times New Roman"/>
          <w:b/>
          <w:bCs/>
          <w:sz w:val="24"/>
          <w:szCs w:val="24"/>
          <w:vertAlign w:val="superscript"/>
        </w:rPr>
        <w:t xml:space="preserve">c </w:t>
      </w:r>
      <w:r w:rsidRPr="008C2CF4">
        <w:rPr>
          <w:rFonts w:ascii="Times New Roman" w:eastAsia="Times New Roman" w:hAnsi="Times New Roman" w:cs="Times New Roman"/>
          <w:bCs/>
          <w:sz w:val="24"/>
          <w:szCs w:val="24"/>
        </w:rPr>
        <w:t xml:space="preserve">Significant at p&lt;0.05 when compared to the mean value of group 3 </w:t>
      </w:r>
    </w:p>
    <w:p w14:paraId="71A6C6E6" w14:textId="77777777" w:rsidR="00B750C8" w:rsidRPr="008C2CF4" w:rsidRDefault="00B750C8" w:rsidP="008C2CF4">
      <w:pPr>
        <w:spacing w:after="0" w:line="240" w:lineRule="auto"/>
        <w:jc w:val="both"/>
        <w:rPr>
          <w:rFonts w:ascii="Times New Roman" w:eastAsia="Times New Roman" w:hAnsi="Times New Roman" w:cs="Times New Roman"/>
          <w:bCs/>
          <w:sz w:val="24"/>
          <w:szCs w:val="24"/>
        </w:rPr>
      </w:pPr>
      <w:r w:rsidRPr="008C2CF4">
        <w:rPr>
          <w:rFonts w:ascii="Times New Roman" w:eastAsia="Times New Roman" w:hAnsi="Times New Roman" w:cs="Times New Roman"/>
          <w:b/>
          <w:bCs/>
          <w:sz w:val="24"/>
          <w:szCs w:val="24"/>
          <w:vertAlign w:val="superscript"/>
        </w:rPr>
        <w:t xml:space="preserve">d </w:t>
      </w:r>
      <w:r w:rsidRPr="008C2CF4">
        <w:rPr>
          <w:rFonts w:ascii="Times New Roman" w:eastAsia="Times New Roman" w:hAnsi="Times New Roman" w:cs="Times New Roman"/>
          <w:bCs/>
          <w:sz w:val="24"/>
          <w:szCs w:val="24"/>
        </w:rPr>
        <w:t>Significant at p&lt;0.05 when compared to the mean value of group 4.</w:t>
      </w:r>
    </w:p>
    <w:p w14:paraId="24E36097" w14:textId="77777777" w:rsidR="006E37D8" w:rsidRPr="008C2CF4" w:rsidRDefault="006E37D8" w:rsidP="008C2CF4">
      <w:pPr>
        <w:spacing w:after="200" w:line="240" w:lineRule="auto"/>
        <w:rPr>
          <w:rFonts w:ascii="Times New Roman" w:eastAsia="Calibri" w:hAnsi="Times New Roman" w:cs="Times New Roman"/>
          <w:sz w:val="24"/>
          <w:szCs w:val="24"/>
        </w:rPr>
      </w:pPr>
    </w:p>
    <w:p w14:paraId="2539F7F2" w14:textId="38A58D80" w:rsidR="00B750C8" w:rsidRPr="0033350A" w:rsidRDefault="00B750C8" w:rsidP="0033350A">
      <w:pPr>
        <w:spacing w:after="200" w:line="360" w:lineRule="auto"/>
        <w:rPr>
          <w:rFonts w:ascii="Times New Roman" w:eastAsia="Calibri" w:hAnsi="Times New Roman" w:cs="Times New Roman"/>
          <w:sz w:val="24"/>
          <w:szCs w:val="24"/>
        </w:rPr>
      </w:pPr>
      <w:r w:rsidRPr="008C2CF4">
        <w:rPr>
          <w:rFonts w:ascii="Times New Roman" w:eastAsia="Calibri" w:hAnsi="Times New Roman" w:cs="Times New Roman"/>
          <w:sz w:val="24"/>
          <w:szCs w:val="24"/>
        </w:rPr>
        <w:t xml:space="preserve">Table 1 displays the result on the changes in serum levels of </w:t>
      </w:r>
      <w:r w:rsidR="00A13C0E" w:rsidRPr="008C2CF4">
        <w:rPr>
          <w:rFonts w:ascii="Times New Roman" w:eastAsia="Calibri" w:hAnsi="Times New Roman" w:cs="Times New Roman"/>
          <w:sz w:val="24"/>
          <w:szCs w:val="24"/>
        </w:rPr>
        <w:t xml:space="preserve">brain-derived neurotrophic factor </w:t>
      </w:r>
      <w:r w:rsidRPr="008C2CF4">
        <w:rPr>
          <w:rFonts w:ascii="Times New Roman" w:eastAsia="Calibri" w:hAnsi="Times New Roman" w:cs="Times New Roman"/>
          <w:sz w:val="24"/>
          <w:szCs w:val="24"/>
        </w:rPr>
        <w:t xml:space="preserve">(BDNF) following administration of some cannabinoids in </w:t>
      </w:r>
      <w:r w:rsidR="004317A4" w:rsidRPr="008C2CF4">
        <w:rPr>
          <w:rFonts w:ascii="Times New Roman" w:eastAsia="Calibri" w:hAnsi="Times New Roman" w:cs="Times New Roman"/>
          <w:sz w:val="24"/>
          <w:szCs w:val="24"/>
        </w:rPr>
        <w:t xml:space="preserve">male Wistar </w:t>
      </w:r>
      <w:r w:rsidRPr="008C2CF4">
        <w:rPr>
          <w:rFonts w:ascii="Times New Roman" w:eastAsia="Calibri" w:hAnsi="Times New Roman" w:cs="Times New Roman"/>
          <w:sz w:val="24"/>
          <w:szCs w:val="24"/>
        </w:rPr>
        <w:t xml:space="preserve">rats. </w:t>
      </w:r>
      <w:r w:rsidR="004317A4" w:rsidRPr="008C2CF4">
        <w:rPr>
          <w:rFonts w:ascii="Times New Roman" w:eastAsia="Calibri" w:hAnsi="Times New Roman" w:cs="Times New Roman"/>
          <w:sz w:val="24"/>
          <w:szCs w:val="24"/>
        </w:rPr>
        <w:t>THC-Treated Groups (Groups 2 &amp; 3)</w:t>
      </w:r>
      <w:r w:rsidR="00464614" w:rsidRPr="008C2CF4">
        <w:rPr>
          <w:rFonts w:ascii="Times New Roman" w:eastAsia="Calibri" w:hAnsi="Times New Roman" w:cs="Times New Roman"/>
          <w:sz w:val="24"/>
          <w:szCs w:val="24"/>
        </w:rPr>
        <w:t xml:space="preserve"> showed a </w:t>
      </w:r>
      <w:r w:rsidR="004317A4" w:rsidRPr="008C2CF4">
        <w:rPr>
          <w:rFonts w:ascii="Times New Roman" w:eastAsia="Calibri" w:hAnsi="Times New Roman" w:cs="Times New Roman"/>
          <w:sz w:val="24"/>
          <w:szCs w:val="24"/>
        </w:rPr>
        <w:t>progressive, dose-dependent suppression of serum BDNF at all time points. The higher dose (15 mg/kg) produced greater reductions than the lower dose (5 mg/kg). Both groups remained significantly lower than controls throughout the study duration.</w:t>
      </w:r>
      <w:r w:rsidR="00BD4BB5" w:rsidRPr="008C2CF4">
        <w:rPr>
          <w:rFonts w:ascii="Times New Roman" w:eastAsia="Calibri" w:hAnsi="Times New Roman" w:cs="Times New Roman"/>
          <w:sz w:val="24"/>
          <w:szCs w:val="24"/>
        </w:rPr>
        <w:t xml:space="preserve"> However, </w:t>
      </w:r>
      <w:r w:rsidR="004317A4" w:rsidRPr="008C2CF4">
        <w:rPr>
          <w:rFonts w:ascii="Times New Roman" w:eastAsia="Calibri" w:hAnsi="Times New Roman" w:cs="Times New Roman"/>
          <w:sz w:val="24"/>
          <w:szCs w:val="24"/>
        </w:rPr>
        <w:t>CBD-Treated Groups (Groups 4 &amp; 5)</w:t>
      </w:r>
      <w:r w:rsidR="00BD4BB5" w:rsidRPr="008C2CF4">
        <w:rPr>
          <w:rFonts w:ascii="Times New Roman" w:eastAsia="Calibri" w:hAnsi="Times New Roman" w:cs="Times New Roman"/>
          <w:sz w:val="24"/>
          <w:szCs w:val="24"/>
        </w:rPr>
        <w:t xml:space="preserve"> e</w:t>
      </w:r>
      <w:r w:rsidR="004317A4" w:rsidRPr="008C2CF4">
        <w:rPr>
          <w:rFonts w:ascii="Times New Roman" w:eastAsia="Calibri" w:hAnsi="Times New Roman" w:cs="Times New Roman"/>
          <w:sz w:val="24"/>
          <w:szCs w:val="24"/>
        </w:rPr>
        <w:t xml:space="preserve">xhibited </w:t>
      </w:r>
      <w:r w:rsidR="004317A4" w:rsidRPr="00EC6CD8">
        <w:rPr>
          <w:rFonts w:ascii="Times New Roman" w:eastAsia="Calibri" w:hAnsi="Times New Roman" w:cs="Times New Roman"/>
          <w:sz w:val="24"/>
          <w:szCs w:val="24"/>
        </w:rPr>
        <w:t xml:space="preserve">time-dependent </w:t>
      </w:r>
      <w:r w:rsidR="009E0336" w:rsidRPr="00EC6CD8">
        <w:rPr>
          <w:rFonts w:ascii="Times New Roman" w:eastAsia="Calibri" w:hAnsi="Times New Roman" w:cs="Times New Roman"/>
          <w:sz w:val="24"/>
          <w:szCs w:val="24"/>
        </w:rPr>
        <w:lastRenderedPageBreak/>
        <w:t>suppression patterns.</w:t>
      </w:r>
      <w:r w:rsidR="00BD4BB5" w:rsidRPr="008C2CF4">
        <w:rPr>
          <w:rFonts w:ascii="Times New Roman" w:eastAsia="Calibri" w:hAnsi="Times New Roman" w:cs="Times New Roman"/>
          <w:sz w:val="24"/>
          <w:szCs w:val="24"/>
        </w:rPr>
        <w:t xml:space="preserve"> In the a</w:t>
      </w:r>
      <w:r w:rsidR="004317A4" w:rsidRPr="008C2CF4">
        <w:rPr>
          <w:rFonts w:ascii="Times New Roman" w:eastAsia="Calibri" w:hAnsi="Times New Roman" w:cs="Times New Roman"/>
          <w:sz w:val="24"/>
          <w:szCs w:val="24"/>
        </w:rPr>
        <w:t>cute phase (14 days)</w:t>
      </w:r>
      <w:r w:rsidR="00BD4BB5" w:rsidRPr="008C2CF4">
        <w:rPr>
          <w:rFonts w:ascii="Times New Roman" w:eastAsia="Calibri" w:hAnsi="Times New Roman" w:cs="Times New Roman"/>
          <w:sz w:val="24"/>
          <w:szCs w:val="24"/>
        </w:rPr>
        <w:t>, b</w:t>
      </w:r>
      <w:r w:rsidR="004317A4" w:rsidRPr="008C2CF4">
        <w:rPr>
          <w:rFonts w:ascii="Times New Roman" w:eastAsia="Calibri" w:hAnsi="Times New Roman" w:cs="Times New Roman"/>
          <w:sz w:val="24"/>
          <w:szCs w:val="24"/>
        </w:rPr>
        <w:t xml:space="preserve">oth </w:t>
      </w:r>
      <w:r w:rsidR="004317A4" w:rsidRPr="00EC6CD8">
        <w:rPr>
          <w:rFonts w:ascii="Times New Roman" w:eastAsia="Calibri" w:hAnsi="Times New Roman" w:cs="Times New Roman"/>
          <w:sz w:val="24"/>
          <w:szCs w:val="24"/>
        </w:rPr>
        <w:t>CBD doses</w:t>
      </w:r>
      <w:r w:rsidR="00573FCE" w:rsidRPr="00EC6CD8">
        <w:rPr>
          <w:rFonts w:ascii="Times New Roman" w:eastAsia="Calibri" w:hAnsi="Times New Roman" w:cs="Times New Roman"/>
          <w:sz w:val="24"/>
          <w:szCs w:val="24"/>
        </w:rPr>
        <w:t xml:space="preserve"> (</w:t>
      </w:r>
      <w:r w:rsidR="00CA13E4" w:rsidRPr="00CA13E4">
        <w:rPr>
          <w:rFonts w:ascii="Times New Roman" w:eastAsia="Calibri" w:hAnsi="Times New Roman" w:cs="Times New Roman"/>
          <w:sz w:val="24"/>
          <w:szCs w:val="24"/>
          <w:highlight w:val="yellow"/>
        </w:rPr>
        <w:t>2</w:t>
      </w:r>
      <w:r w:rsidR="00573FCE" w:rsidRPr="00CA13E4">
        <w:rPr>
          <w:rFonts w:ascii="Times New Roman" w:eastAsia="Calibri" w:hAnsi="Times New Roman" w:cs="Times New Roman"/>
          <w:sz w:val="24"/>
          <w:szCs w:val="24"/>
          <w:highlight w:val="yellow"/>
        </w:rPr>
        <w:t>0</w:t>
      </w:r>
      <w:r w:rsidR="00573FCE" w:rsidRPr="00EC6CD8">
        <w:rPr>
          <w:rFonts w:ascii="Times New Roman" w:eastAsia="Calibri" w:hAnsi="Times New Roman" w:cs="Times New Roman"/>
          <w:sz w:val="24"/>
          <w:szCs w:val="24"/>
        </w:rPr>
        <w:t xml:space="preserve"> and </w:t>
      </w:r>
      <w:r w:rsidR="00C533F5" w:rsidRPr="00EC6CD8">
        <w:rPr>
          <w:rFonts w:ascii="Times New Roman" w:eastAsia="Calibri" w:hAnsi="Times New Roman" w:cs="Times New Roman"/>
          <w:sz w:val="24"/>
          <w:szCs w:val="24"/>
        </w:rPr>
        <w:t>60mg/kg</w:t>
      </w:r>
      <w:r w:rsidR="00C533F5" w:rsidRPr="008C2CF4">
        <w:rPr>
          <w:rFonts w:ascii="Times New Roman" w:eastAsia="Calibri" w:hAnsi="Times New Roman" w:cs="Times New Roman"/>
          <w:sz w:val="24"/>
          <w:szCs w:val="24"/>
        </w:rPr>
        <w:t>)</w:t>
      </w:r>
      <w:r w:rsidR="004317A4" w:rsidRPr="008C2CF4">
        <w:rPr>
          <w:rFonts w:ascii="Times New Roman" w:eastAsia="Calibri" w:hAnsi="Times New Roman" w:cs="Times New Roman"/>
          <w:sz w:val="24"/>
          <w:szCs w:val="24"/>
        </w:rPr>
        <w:t xml:space="preserve"> maintained BDNF levels comparable to controls, </w:t>
      </w:r>
      <w:r w:rsidR="004317A4" w:rsidRPr="00EC6CD8">
        <w:rPr>
          <w:rFonts w:ascii="Times New Roman" w:eastAsia="Calibri" w:hAnsi="Times New Roman" w:cs="Times New Roman"/>
          <w:sz w:val="24"/>
          <w:szCs w:val="24"/>
        </w:rPr>
        <w:t xml:space="preserve">with the </w:t>
      </w:r>
      <w:r w:rsidR="00EC6CD8" w:rsidRPr="00EC6CD8">
        <w:rPr>
          <w:rFonts w:ascii="Times New Roman" w:eastAsia="Calibri" w:hAnsi="Times New Roman" w:cs="Times New Roman"/>
          <w:sz w:val="24"/>
          <w:szCs w:val="24"/>
        </w:rPr>
        <w:t>3</w:t>
      </w:r>
      <w:r w:rsidR="004317A4" w:rsidRPr="00EC6CD8">
        <w:rPr>
          <w:rFonts w:ascii="Times New Roman" w:eastAsia="Calibri" w:hAnsi="Times New Roman" w:cs="Times New Roman"/>
          <w:sz w:val="24"/>
          <w:szCs w:val="24"/>
        </w:rPr>
        <w:t>0 mg/kg dose</w:t>
      </w:r>
      <w:r w:rsidR="004317A4" w:rsidRPr="008C2CF4">
        <w:rPr>
          <w:rFonts w:ascii="Times New Roman" w:eastAsia="Calibri" w:hAnsi="Times New Roman" w:cs="Times New Roman"/>
          <w:sz w:val="24"/>
          <w:szCs w:val="24"/>
        </w:rPr>
        <w:t xml:space="preserve"> showing significantly higher levels than both THC groups</w:t>
      </w:r>
      <w:r w:rsidR="00C533F5" w:rsidRPr="008C2CF4">
        <w:rPr>
          <w:rFonts w:ascii="Times New Roman" w:eastAsia="Calibri" w:hAnsi="Times New Roman" w:cs="Times New Roman"/>
          <w:sz w:val="24"/>
          <w:szCs w:val="24"/>
        </w:rPr>
        <w:t xml:space="preserve"> (p&lt;0.05)</w:t>
      </w:r>
      <w:r w:rsidR="004317A4" w:rsidRPr="008C2CF4">
        <w:rPr>
          <w:rFonts w:ascii="Times New Roman" w:eastAsia="Calibri" w:hAnsi="Times New Roman" w:cs="Times New Roman"/>
          <w:sz w:val="24"/>
          <w:szCs w:val="24"/>
        </w:rPr>
        <w:t>.</w:t>
      </w:r>
      <w:r w:rsidR="00C533F5" w:rsidRPr="008C2CF4">
        <w:rPr>
          <w:rFonts w:ascii="Times New Roman" w:eastAsia="Calibri" w:hAnsi="Times New Roman" w:cs="Times New Roman"/>
          <w:sz w:val="24"/>
          <w:szCs w:val="24"/>
        </w:rPr>
        <w:t xml:space="preserve"> In the s</w:t>
      </w:r>
      <w:r w:rsidR="004317A4" w:rsidRPr="008C2CF4">
        <w:rPr>
          <w:rFonts w:ascii="Times New Roman" w:eastAsia="Calibri" w:hAnsi="Times New Roman" w:cs="Times New Roman"/>
          <w:sz w:val="24"/>
          <w:szCs w:val="24"/>
        </w:rPr>
        <w:t xml:space="preserve">ub-chronic phase (28 </w:t>
      </w:r>
      <w:r w:rsidR="004317A4" w:rsidRPr="00EC6CD8">
        <w:rPr>
          <w:rFonts w:ascii="Times New Roman" w:eastAsia="Calibri" w:hAnsi="Times New Roman" w:cs="Times New Roman"/>
          <w:sz w:val="24"/>
          <w:szCs w:val="24"/>
        </w:rPr>
        <w:t>days)</w:t>
      </w:r>
      <w:r w:rsidR="00C533F5" w:rsidRPr="00EC6CD8">
        <w:rPr>
          <w:rFonts w:ascii="Times New Roman" w:eastAsia="Calibri" w:hAnsi="Times New Roman" w:cs="Times New Roman"/>
          <w:sz w:val="24"/>
          <w:szCs w:val="24"/>
        </w:rPr>
        <w:t xml:space="preserve">, </w:t>
      </w:r>
      <w:r w:rsidR="003231C3" w:rsidRPr="00EC6CD8">
        <w:rPr>
          <w:rFonts w:ascii="Times New Roman" w:eastAsia="Calibri" w:hAnsi="Times New Roman" w:cs="Times New Roman"/>
          <w:sz w:val="24"/>
          <w:szCs w:val="24"/>
        </w:rPr>
        <w:t xml:space="preserve">CBD </w:t>
      </w:r>
      <w:r w:rsidR="00C677D6" w:rsidRPr="00C677D6">
        <w:rPr>
          <w:rFonts w:ascii="Times New Roman" w:eastAsia="Calibri" w:hAnsi="Times New Roman" w:cs="Times New Roman"/>
          <w:sz w:val="24"/>
          <w:szCs w:val="24"/>
          <w:highlight w:val="yellow"/>
        </w:rPr>
        <w:t>2</w:t>
      </w:r>
      <w:r w:rsidR="004317A4" w:rsidRPr="00C677D6">
        <w:rPr>
          <w:rFonts w:ascii="Times New Roman" w:eastAsia="Calibri" w:hAnsi="Times New Roman" w:cs="Times New Roman"/>
          <w:sz w:val="24"/>
          <w:szCs w:val="24"/>
          <w:highlight w:val="yellow"/>
        </w:rPr>
        <w:t>0mg/kg</w:t>
      </w:r>
      <w:r w:rsidR="008C5C9B" w:rsidRPr="00EC6CD8">
        <w:rPr>
          <w:rFonts w:ascii="Times New Roman" w:eastAsia="Calibri" w:hAnsi="Times New Roman" w:cs="Times New Roman"/>
          <w:sz w:val="24"/>
          <w:szCs w:val="24"/>
        </w:rPr>
        <w:t xml:space="preserve"> was</w:t>
      </w:r>
      <w:r w:rsidR="008C5C9B" w:rsidRPr="008C2CF4">
        <w:rPr>
          <w:rFonts w:ascii="Times New Roman" w:eastAsia="Calibri" w:hAnsi="Times New Roman" w:cs="Times New Roman"/>
          <w:sz w:val="24"/>
          <w:szCs w:val="24"/>
        </w:rPr>
        <w:t xml:space="preserve"> found to be </w:t>
      </w:r>
      <w:r w:rsidR="004317A4" w:rsidRPr="008C2CF4">
        <w:rPr>
          <w:rFonts w:ascii="Times New Roman" w:eastAsia="Calibri" w:hAnsi="Times New Roman" w:cs="Times New Roman"/>
          <w:sz w:val="24"/>
          <w:szCs w:val="24"/>
        </w:rPr>
        <w:t xml:space="preserve">significantly higher than both </w:t>
      </w:r>
      <w:r w:rsidR="00C27CD9" w:rsidRPr="008C2CF4">
        <w:rPr>
          <w:rFonts w:ascii="Times New Roman" w:eastAsia="Calibri" w:hAnsi="Times New Roman" w:cs="Times New Roman"/>
          <w:sz w:val="24"/>
          <w:szCs w:val="24"/>
        </w:rPr>
        <w:t xml:space="preserve">the </w:t>
      </w:r>
      <w:r w:rsidR="004317A4" w:rsidRPr="008C2CF4">
        <w:rPr>
          <w:rFonts w:ascii="Times New Roman" w:eastAsia="Calibri" w:hAnsi="Times New Roman" w:cs="Times New Roman"/>
          <w:sz w:val="24"/>
          <w:szCs w:val="24"/>
        </w:rPr>
        <w:t xml:space="preserve">THC groups and the 60 mg/kg CBD group, while the </w:t>
      </w:r>
      <w:r w:rsidR="008C5C9B" w:rsidRPr="008C2CF4">
        <w:rPr>
          <w:rFonts w:ascii="Times New Roman" w:eastAsia="Calibri" w:hAnsi="Times New Roman" w:cs="Times New Roman"/>
          <w:sz w:val="24"/>
          <w:szCs w:val="24"/>
        </w:rPr>
        <w:t>CB</w:t>
      </w:r>
      <w:r w:rsidR="00F35CC8" w:rsidRPr="008C2CF4">
        <w:rPr>
          <w:rFonts w:ascii="Times New Roman" w:eastAsia="Calibri" w:hAnsi="Times New Roman" w:cs="Times New Roman"/>
          <w:sz w:val="24"/>
          <w:szCs w:val="24"/>
        </w:rPr>
        <w:t>D</w:t>
      </w:r>
      <w:r w:rsidR="008C5C9B" w:rsidRPr="008C2CF4">
        <w:rPr>
          <w:rFonts w:ascii="Times New Roman" w:eastAsia="Calibri" w:hAnsi="Times New Roman" w:cs="Times New Roman"/>
          <w:sz w:val="24"/>
          <w:szCs w:val="24"/>
        </w:rPr>
        <w:t xml:space="preserve"> at </w:t>
      </w:r>
      <w:r w:rsidR="004317A4" w:rsidRPr="008C2CF4">
        <w:rPr>
          <w:rFonts w:ascii="Times New Roman" w:eastAsia="Calibri" w:hAnsi="Times New Roman" w:cs="Times New Roman"/>
          <w:sz w:val="24"/>
          <w:szCs w:val="24"/>
        </w:rPr>
        <w:t>60 mg/kg show</w:t>
      </w:r>
      <w:r w:rsidR="008C5C9B" w:rsidRPr="008C2CF4">
        <w:rPr>
          <w:rFonts w:ascii="Times New Roman" w:eastAsia="Calibri" w:hAnsi="Times New Roman" w:cs="Times New Roman"/>
          <w:sz w:val="24"/>
          <w:szCs w:val="24"/>
        </w:rPr>
        <w:t>ed</w:t>
      </w:r>
      <w:r w:rsidR="004317A4" w:rsidRPr="008C2CF4">
        <w:rPr>
          <w:rFonts w:ascii="Times New Roman" w:eastAsia="Calibri" w:hAnsi="Times New Roman" w:cs="Times New Roman"/>
          <w:sz w:val="24"/>
          <w:szCs w:val="24"/>
        </w:rPr>
        <w:t xml:space="preserve"> </w:t>
      </w:r>
      <w:r w:rsidR="00A13C0E" w:rsidRPr="008C2CF4">
        <w:rPr>
          <w:rFonts w:ascii="Times New Roman" w:eastAsia="Calibri" w:hAnsi="Times New Roman" w:cs="Times New Roman"/>
          <w:sz w:val="24"/>
          <w:szCs w:val="24"/>
        </w:rPr>
        <w:t xml:space="preserve">a </w:t>
      </w:r>
      <w:r w:rsidR="004317A4" w:rsidRPr="008C2CF4">
        <w:rPr>
          <w:rFonts w:ascii="Times New Roman" w:eastAsia="Calibri" w:hAnsi="Times New Roman" w:cs="Times New Roman"/>
          <w:sz w:val="24"/>
          <w:szCs w:val="24"/>
        </w:rPr>
        <w:t>significant reduction.</w:t>
      </w:r>
      <w:r w:rsidR="008C5C9B" w:rsidRPr="008C2CF4">
        <w:rPr>
          <w:rFonts w:ascii="Times New Roman" w:eastAsia="Calibri" w:hAnsi="Times New Roman" w:cs="Times New Roman"/>
          <w:sz w:val="24"/>
          <w:szCs w:val="24"/>
        </w:rPr>
        <w:t xml:space="preserve"> At the c</w:t>
      </w:r>
      <w:r w:rsidR="004317A4" w:rsidRPr="008C2CF4">
        <w:rPr>
          <w:rFonts w:ascii="Times New Roman" w:eastAsia="Calibri" w:hAnsi="Times New Roman" w:cs="Times New Roman"/>
          <w:sz w:val="24"/>
          <w:szCs w:val="24"/>
        </w:rPr>
        <w:t>hronic phase (56 days)</w:t>
      </w:r>
      <w:r w:rsidR="00EE3ECE" w:rsidRPr="008C2CF4">
        <w:rPr>
          <w:rFonts w:ascii="Times New Roman" w:eastAsia="Calibri" w:hAnsi="Times New Roman" w:cs="Times New Roman"/>
          <w:sz w:val="24"/>
          <w:szCs w:val="24"/>
        </w:rPr>
        <w:t xml:space="preserve">, both </w:t>
      </w:r>
      <w:r w:rsidR="004317A4" w:rsidRPr="008C2CF4">
        <w:rPr>
          <w:rFonts w:ascii="Times New Roman" w:eastAsia="Calibri" w:hAnsi="Times New Roman" w:cs="Times New Roman"/>
          <w:sz w:val="24"/>
          <w:szCs w:val="24"/>
        </w:rPr>
        <w:t>CBD doses demonstrated significant BDNF suppression compared to controls, similar to the pattern observed with THC treatment.</w:t>
      </w:r>
    </w:p>
    <w:p w14:paraId="74DEF34B" w14:textId="77777777" w:rsidR="009812FE" w:rsidRPr="008C2CF4" w:rsidRDefault="009812FE" w:rsidP="008C2CF4">
      <w:pPr>
        <w:spacing w:after="200" w:line="240" w:lineRule="auto"/>
        <w:rPr>
          <w:rFonts w:ascii="Times New Roman" w:eastAsia="Calibri" w:hAnsi="Times New Roman" w:cs="Times New Roman"/>
          <w:b/>
          <w:sz w:val="24"/>
          <w:szCs w:val="24"/>
        </w:rPr>
      </w:pPr>
    </w:p>
    <w:p w14:paraId="28F4C069" w14:textId="77777777" w:rsidR="001A4CDD" w:rsidRDefault="001A4CDD" w:rsidP="008C2CF4">
      <w:pPr>
        <w:spacing w:after="200" w:line="240" w:lineRule="auto"/>
        <w:rPr>
          <w:rFonts w:ascii="Times New Roman" w:eastAsia="Calibri" w:hAnsi="Times New Roman" w:cs="Times New Roman"/>
          <w:b/>
          <w:sz w:val="24"/>
          <w:szCs w:val="24"/>
        </w:rPr>
      </w:pPr>
    </w:p>
    <w:p w14:paraId="1DC49393" w14:textId="6C7D961D" w:rsidR="00B750C8" w:rsidRPr="008C2CF4" w:rsidRDefault="00B750C8" w:rsidP="00C816AA">
      <w:pPr>
        <w:spacing w:after="200" w:line="276" w:lineRule="auto"/>
        <w:jc w:val="both"/>
        <w:rPr>
          <w:rFonts w:ascii="Times New Roman" w:eastAsia="Calibri" w:hAnsi="Times New Roman" w:cs="Times New Roman"/>
          <w:bCs/>
          <w:sz w:val="24"/>
          <w:szCs w:val="24"/>
        </w:rPr>
      </w:pPr>
      <w:r w:rsidRPr="008C2CF4">
        <w:rPr>
          <w:rFonts w:ascii="Times New Roman" w:eastAsia="Calibri" w:hAnsi="Times New Roman" w:cs="Times New Roman"/>
          <w:b/>
          <w:sz w:val="24"/>
          <w:szCs w:val="24"/>
        </w:rPr>
        <w:t>Table 2:</w:t>
      </w:r>
      <w:r w:rsidRPr="008C2CF4">
        <w:rPr>
          <w:rFonts w:ascii="Times New Roman" w:eastAsia="Calibri" w:hAnsi="Times New Roman" w:cs="Times New Roman"/>
          <w:bCs/>
          <w:sz w:val="24"/>
          <w:szCs w:val="24"/>
        </w:rPr>
        <w:t xml:space="preserve"> </w:t>
      </w:r>
      <w:r w:rsidRPr="008C2CF4">
        <w:rPr>
          <w:rFonts w:ascii="Times New Roman" w:eastAsia="Calibri" w:hAnsi="Times New Roman" w:cs="Times New Roman"/>
          <w:bCs/>
          <w:snapToGrid w:val="0"/>
          <w:kern w:val="2"/>
          <w:sz w:val="24"/>
          <w:szCs w:val="24"/>
          <w:highlight w:val="white"/>
          <w:lang w:eastAsia="zh-CN"/>
        </w:rPr>
        <w:t>Changes in Hippocampus Levels of Brain-Derived Neurotrophic Factor (BDNF) following administration of some Cannabinoids in rats</w:t>
      </w:r>
    </w:p>
    <w:tbl>
      <w:tblPr>
        <w:tblStyle w:val="TableGrid"/>
        <w:tblW w:w="9498"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560"/>
        <w:gridCol w:w="2268"/>
        <w:gridCol w:w="2268"/>
      </w:tblGrid>
      <w:tr w:rsidR="004F6CDE" w:rsidRPr="008C2CF4" w14:paraId="48845C83" w14:textId="77777777" w:rsidTr="00E04571">
        <w:trPr>
          <w:trHeight w:val="20"/>
        </w:trPr>
        <w:tc>
          <w:tcPr>
            <w:tcW w:w="3402" w:type="dxa"/>
            <w:tcBorders>
              <w:top w:val="single" w:sz="4" w:space="0" w:color="auto"/>
              <w:bottom w:val="single" w:sz="4" w:space="0" w:color="auto"/>
            </w:tcBorders>
          </w:tcPr>
          <w:p w14:paraId="65C95D9A" w14:textId="77777777" w:rsidR="004F6CDE" w:rsidRPr="008C2CF4" w:rsidRDefault="004F6CDE" w:rsidP="008C2CF4">
            <w:pPr>
              <w:rPr>
                <w:rFonts w:ascii="Times New Roman" w:hAnsi="Times New Roman"/>
                <w:b/>
                <w:lang w:val="en-GB"/>
              </w:rPr>
            </w:pPr>
          </w:p>
        </w:tc>
        <w:tc>
          <w:tcPr>
            <w:tcW w:w="6096" w:type="dxa"/>
            <w:gridSpan w:val="3"/>
            <w:tcBorders>
              <w:top w:val="single" w:sz="4" w:space="0" w:color="auto"/>
              <w:bottom w:val="single" w:sz="4" w:space="0" w:color="auto"/>
            </w:tcBorders>
          </w:tcPr>
          <w:p w14:paraId="7918D3DA" w14:textId="440808E2" w:rsidR="004F6CDE" w:rsidRPr="008C2CF4" w:rsidRDefault="004F6CDE" w:rsidP="008C2CF4">
            <w:pPr>
              <w:jc w:val="center"/>
              <w:rPr>
                <w:rFonts w:ascii="Times New Roman" w:hAnsi="Times New Roman"/>
                <w:b/>
                <w:lang w:val="en-GB"/>
              </w:rPr>
            </w:pPr>
            <w:r w:rsidRPr="008C2CF4">
              <w:rPr>
                <w:rFonts w:ascii="Times New Roman" w:hAnsi="Times New Roman"/>
                <w:b/>
                <w:lang w:val="en-GB"/>
              </w:rPr>
              <w:t>Hippocamp</w:t>
            </w:r>
            <w:r w:rsidR="00E04571" w:rsidRPr="008C2CF4">
              <w:rPr>
                <w:rFonts w:ascii="Times New Roman" w:hAnsi="Times New Roman"/>
                <w:b/>
                <w:lang w:val="en-GB"/>
              </w:rPr>
              <w:t>al</w:t>
            </w:r>
            <w:r w:rsidR="005804F3" w:rsidRPr="008C2CF4">
              <w:rPr>
                <w:rFonts w:ascii="Times New Roman" w:hAnsi="Times New Roman"/>
                <w:b/>
                <w:lang w:val="en-GB"/>
              </w:rPr>
              <w:t xml:space="preserve"> </w:t>
            </w:r>
            <w:r w:rsidRPr="008C2CF4">
              <w:rPr>
                <w:rFonts w:ascii="Times New Roman" w:hAnsi="Times New Roman"/>
                <w:b/>
                <w:lang w:val="en-GB"/>
              </w:rPr>
              <w:t>BDNF (ng/L) Levels</w:t>
            </w:r>
          </w:p>
        </w:tc>
      </w:tr>
      <w:tr w:rsidR="004F6CDE" w:rsidRPr="008C2CF4" w14:paraId="1D5B2F21" w14:textId="77777777" w:rsidTr="00E04571">
        <w:trPr>
          <w:trHeight w:val="20"/>
        </w:trPr>
        <w:tc>
          <w:tcPr>
            <w:tcW w:w="3402" w:type="dxa"/>
            <w:tcBorders>
              <w:top w:val="single" w:sz="4" w:space="0" w:color="auto"/>
              <w:bottom w:val="single" w:sz="4" w:space="0" w:color="auto"/>
            </w:tcBorders>
            <w:hideMark/>
          </w:tcPr>
          <w:p w14:paraId="18DDF36C" w14:textId="77777777" w:rsidR="004F6CDE" w:rsidRPr="008C2CF4" w:rsidRDefault="004F6CDE" w:rsidP="008C2CF4">
            <w:pPr>
              <w:rPr>
                <w:rFonts w:ascii="Times New Roman" w:hAnsi="Times New Roman"/>
                <w:b/>
                <w:lang w:val="en-GB"/>
              </w:rPr>
            </w:pPr>
            <w:r w:rsidRPr="008C2CF4">
              <w:rPr>
                <w:rFonts w:ascii="Times New Roman" w:hAnsi="Times New Roman"/>
                <w:b/>
                <w:lang w:val="en-GB"/>
              </w:rPr>
              <w:t xml:space="preserve">Groups </w:t>
            </w:r>
          </w:p>
        </w:tc>
        <w:tc>
          <w:tcPr>
            <w:tcW w:w="1560" w:type="dxa"/>
            <w:tcBorders>
              <w:top w:val="single" w:sz="4" w:space="0" w:color="auto"/>
              <w:bottom w:val="single" w:sz="4" w:space="0" w:color="auto"/>
            </w:tcBorders>
            <w:hideMark/>
          </w:tcPr>
          <w:p w14:paraId="15D023F2" w14:textId="77777777" w:rsidR="004F6CDE" w:rsidRPr="008C2CF4" w:rsidRDefault="004F6CDE" w:rsidP="008C2CF4">
            <w:pPr>
              <w:rPr>
                <w:rFonts w:ascii="Times New Roman" w:hAnsi="Times New Roman"/>
                <w:b/>
                <w:lang w:val="en-GB"/>
              </w:rPr>
            </w:pPr>
            <w:r w:rsidRPr="008C2CF4">
              <w:rPr>
                <w:rFonts w:ascii="Times New Roman" w:hAnsi="Times New Roman"/>
                <w:b/>
                <w:lang w:val="en-GB"/>
              </w:rPr>
              <w:t>Acute phase</w:t>
            </w:r>
          </w:p>
          <w:p w14:paraId="6CFFA6BF" w14:textId="77777777" w:rsidR="004F6CDE" w:rsidRPr="008C2CF4" w:rsidRDefault="004F6CDE" w:rsidP="008C2CF4">
            <w:pPr>
              <w:rPr>
                <w:rFonts w:ascii="Times New Roman" w:hAnsi="Times New Roman"/>
                <w:b/>
                <w:lang w:val="en-GB"/>
              </w:rPr>
            </w:pPr>
            <w:r w:rsidRPr="008C2CF4">
              <w:rPr>
                <w:rFonts w:ascii="Times New Roman" w:hAnsi="Times New Roman"/>
                <w:b/>
                <w:lang w:val="en-GB"/>
              </w:rPr>
              <w:t>(14 days)</w:t>
            </w:r>
          </w:p>
        </w:tc>
        <w:tc>
          <w:tcPr>
            <w:tcW w:w="2268" w:type="dxa"/>
            <w:tcBorders>
              <w:top w:val="single" w:sz="4" w:space="0" w:color="auto"/>
              <w:bottom w:val="single" w:sz="4" w:space="0" w:color="auto"/>
            </w:tcBorders>
            <w:hideMark/>
          </w:tcPr>
          <w:p w14:paraId="26ACD131" w14:textId="77777777" w:rsidR="004F6CDE" w:rsidRPr="008C2CF4" w:rsidRDefault="004F6CDE" w:rsidP="008C2CF4">
            <w:pPr>
              <w:rPr>
                <w:rFonts w:ascii="Times New Roman" w:hAnsi="Times New Roman"/>
                <w:b/>
                <w:lang w:val="en-GB"/>
              </w:rPr>
            </w:pPr>
            <w:r w:rsidRPr="008C2CF4">
              <w:rPr>
                <w:rFonts w:ascii="Times New Roman" w:hAnsi="Times New Roman"/>
                <w:b/>
                <w:lang w:val="en-GB"/>
              </w:rPr>
              <w:t>Sub-chronic phase</w:t>
            </w:r>
          </w:p>
          <w:p w14:paraId="4EE21C8B" w14:textId="77777777" w:rsidR="004F6CDE" w:rsidRPr="008C2CF4" w:rsidRDefault="004F6CDE" w:rsidP="008C2CF4">
            <w:pPr>
              <w:rPr>
                <w:rFonts w:ascii="Times New Roman" w:hAnsi="Times New Roman"/>
                <w:b/>
                <w:lang w:val="en-GB"/>
              </w:rPr>
            </w:pPr>
            <w:r w:rsidRPr="008C2CF4">
              <w:rPr>
                <w:rFonts w:ascii="Times New Roman" w:hAnsi="Times New Roman"/>
                <w:b/>
                <w:lang w:val="en-GB"/>
              </w:rPr>
              <w:t>(28 days)</w:t>
            </w:r>
          </w:p>
        </w:tc>
        <w:tc>
          <w:tcPr>
            <w:tcW w:w="2268" w:type="dxa"/>
            <w:tcBorders>
              <w:top w:val="single" w:sz="4" w:space="0" w:color="auto"/>
              <w:bottom w:val="single" w:sz="4" w:space="0" w:color="auto"/>
            </w:tcBorders>
            <w:hideMark/>
          </w:tcPr>
          <w:p w14:paraId="536DCEDF" w14:textId="77777777" w:rsidR="004F6CDE" w:rsidRPr="008C2CF4" w:rsidRDefault="004F6CDE" w:rsidP="008C2CF4">
            <w:pPr>
              <w:rPr>
                <w:rFonts w:ascii="Times New Roman" w:hAnsi="Times New Roman"/>
                <w:b/>
                <w:lang w:val="en-GB"/>
              </w:rPr>
            </w:pPr>
            <w:r w:rsidRPr="008C2CF4">
              <w:rPr>
                <w:rFonts w:ascii="Times New Roman" w:hAnsi="Times New Roman"/>
                <w:b/>
                <w:lang w:val="en-GB"/>
              </w:rPr>
              <w:t>Chronic phase</w:t>
            </w:r>
          </w:p>
          <w:p w14:paraId="36A61AB4" w14:textId="77777777" w:rsidR="004F6CDE" w:rsidRPr="008C2CF4" w:rsidRDefault="004F6CDE" w:rsidP="008C2CF4">
            <w:pPr>
              <w:rPr>
                <w:rFonts w:ascii="Times New Roman" w:hAnsi="Times New Roman"/>
                <w:b/>
                <w:lang w:val="en-GB"/>
              </w:rPr>
            </w:pPr>
            <w:r w:rsidRPr="008C2CF4">
              <w:rPr>
                <w:rFonts w:ascii="Times New Roman" w:hAnsi="Times New Roman"/>
                <w:b/>
                <w:lang w:val="en-GB"/>
              </w:rPr>
              <w:t>(56 days)</w:t>
            </w:r>
          </w:p>
        </w:tc>
      </w:tr>
      <w:tr w:rsidR="004F6CDE" w:rsidRPr="008C2CF4" w14:paraId="2CF82719" w14:textId="77777777" w:rsidTr="00E04571">
        <w:trPr>
          <w:trHeight w:val="20"/>
        </w:trPr>
        <w:tc>
          <w:tcPr>
            <w:tcW w:w="3402" w:type="dxa"/>
            <w:tcBorders>
              <w:top w:val="single" w:sz="4" w:space="0" w:color="auto"/>
            </w:tcBorders>
            <w:hideMark/>
          </w:tcPr>
          <w:p w14:paraId="4E2BC042" w14:textId="77777777" w:rsidR="004F6CDE" w:rsidRPr="008C2CF4" w:rsidRDefault="004F6CDE" w:rsidP="008C2CF4">
            <w:pPr>
              <w:rPr>
                <w:rFonts w:ascii="Times New Roman" w:hAnsi="Times New Roman"/>
                <w:bCs/>
                <w:lang w:val="en-GB"/>
              </w:rPr>
            </w:pPr>
            <w:r w:rsidRPr="008C2CF4">
              <w:rPr>
                <w:rFonts w:ascii="Times New Roman" w:hAnsi="Times New Roman"/>
                <w:bCs/>
                <w:lang w:val="en-GB"/>
              </w:rPr>
              <w:t>Group 1 control (distilled water)</w:t>
            </w:r>
          </w:p>
        </w:tc>
        <w:tc>
          <w:tcPr>
            <w:tcW w:w="1560" w:type="dxa"/>
            <w:tcBorders>
              <w:top w:val="single" w:sz="4" w:space="0" w:color="auto"/>
            </w:tcBorders>
            <w:hideMark/>
          </w:tcPr>
          <w:p w14:paraId="7F7B7173"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114.00±3.20</w:t>
            </w:r>
          </w:p>
        </w:tc>
        <w:tc>
          <w:tcPr>
            <w:tcW w:w="2268" w:type="dxa"/>
            <w:tcBorders>
              <w:top w:val="single" w:sz="4" w:space="0" w:color="auto"/>
            </w:tcBorders>
            <w:hideMark/>
          </w:tcPr>
          <w:p w14:paraId="3DBC41F0"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101.66±2.75</w:t>
            </w:r>
          </w:p>
        </w:tc>
        <w:tc>
          <w:tcPr>
            <w:tcW w:w="2268" w:type="dxa"/>
            <w:tcBorders>
              <w:top w:val="single" w:sz="4" w:space="0" w:color="auto"/>
            </w:tcBorders>
            <w:hideMark/>
          </w:tcPr>
          <w:p w14:paraId="7A3A6315"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81.93±2.29</w:t>
            </w:r>
          </w:p>
        </w:tc>
      </w:tr>
      <w:tr w:rsidR="004F6CDE" w:rsidRPr="008C2CF4" w14:paraId="20BAEBE2" w14:textId="77777777" w:rsidTr="00E04571">
        <w:trPr>
          <w:trHeight w:val="20"/>
        </w:trPr>
        <w:tc>
          <w:tcPr>
            <w:tcW w:w="3402" w:type="dxa"/>
            <w:hideMark/>
          </w:tcPr>
          <w:p w14:paraId="4700B755" w14:textId="30518413" w:rsidR="004F6CDE" w:rsidRPr="008C2CF4" w:rsidRDefault="004F6CDE" w:rsidP="008C2CF4">
            <w:pPr>
              <w:rPr>
                <w:rFonts w:ascii="Times New Roman" w:hAnsi="Times New Roman"/>
                <w:bCs/>
                <w:lang w:val="en-GB"/>
              </w:rPr>
            </w:pPr>
            <w:r w:rsidRPr="008C2CF4">
              <w:rPr>
                <w:rFonts w:ascii="Times New Roman" w:hAnsi="Times New Roman"/>
                <w:bCs/>
                <w:lang w:val="en-GB"/>
              </w:rPr>
              <w:t>Group 2 (THC 5mg/kg)</w:t>
            </w:r>
          </w:p>
        </w:tc>
        <w:tc>
          <w:tcPr>
            <w:tcW w:w="1560" w:type="dxa"/>
            <w:hideMark/>
          </w:tcPr>
          <w:p w14:paraId="01861C23"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116.87±3.27</w:t>
            </w:r>
          </w:p>
        </w:tc>
        <w:tc>
          <w:tcPr>
            <w:tcW w:w="2268" w:type="dxa"/>
            <w:hideMark/>
          </w:tcPr>
          <w:p w14:paraId="10F21F8B"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102.5±5.34</w:t>
            </w:r>
          </w:p>
        </w:tc>
        <w:tc>
          <w:tcPr>
            <w:tcW w:w="2268" w:type="dxa"/>
            <w:hideMark/>
          </w:tcPr>
          <w:p w14:paraId="33B0CD26"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77.75±1.23</w:t>
            </w:r>
          </w:p>
        </w:tc>
      </w:tr>
      <w:tr w:rsidR="004F6CDE" w:rsidRPr="008C2CF4" w14:paraId="4E2C4220" w14:textId="77777777" w:rsidTr="00E04571">
        <w:trPr>
          <w:trHeight w:val="20"/>
        </w:trPr>
        <w:tc>
          <w:tcPr>
            <w:tcW w:w="3402" w:type="dxa"/>
            <w:hideMark/>
          </w:tcPr>
          <w:p w14:paraId="3DF7FA5B" w14:textId="42448C24" w:rsidR="004F6CDE" w:rsidRPr="008C2CF4" w:rsidRDefault="004F6CDE" w:rsidP="008C2CF4">
            <w:pPr>
              <w:rPr>
                <w:rFonts w:ascii="Times New Roman" w:hAnsi="Times New Roman"/>
                <w:bCs/>
                <w:lang w:val="en-GB"/>
              </w:rPr>
            </w:pPr>
            <w:r w:rsidRPr="008C2CF4">
              <w:rPr>
                <w:rFonts w:ascii="Times New Roman" w:hAnsi="Times New Roman"/>
                <w:bCs/>
                <w:lang w:val="en-GB"/>
              </w:rPr>
              <w:t>Group 3 (THC 15mg/kg)</w:t>
            </w:r>
          </w:p>
        </w:tc>
        <w:tc>
          <w:tcPr>
            <w:tcW w:w="1560" w:type="dxa"/>
            <w:hideMark/>
          </w:tcPr>
          <w:p w14:paraId="6D4C4E8F"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102.31±2.87</w:t>
            </w:r>
            <w:r w:rsidRPr="008C2CF4">
              <w:rPr>
                <w:rFonts w:ascii="Times New Roman" w:hAnsi="Times New Roman"/>
                <w:vertAlign w:val="superscript"/>
                <w:lang w:val="en-GB"/>
              </w:rPr>
              <w:t>a</w:t>
            </w:r>
          </w:p>
        </w:tc>
        <w:tc>
          <w:tcPr>
            <w:tcW w:w="2268" w:type="dxa"/>
            <w:hideMark/>
          </w:tcPr>
          <w:p w14:paraId="236EAFD9"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83.64±2.90</w:t>
            </w:r>
            <w:r w:rsidRPr="008C2CF4">
              <w:rPr>
                <w:rFonts w:ascii="Times New Roman" w:hAnsi="Times New Roman"/>
                <w:vertAlign w:val="superscript"/>
                <w:lang w:val="en-GB"/>
              </w:rPr>
              <w:t xml:space="preserve"> a</w:t>
            </w:r>
          </w:p>
        </w:tc>
        <w:tc>
          <w:tcPr>
            <w:tcW w:w="2268" w:type="dxa"/>
            <w:hideMark/>
          </w:tcPr>
          <w:p w14:paraId="685CE0E3"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64.64±2.09</w:t>
            </w:r>
            <w:r w:rsidRPr="008C2CF4">
              <w:rPr>
                <w:rFonts w:ascii="Times New Roman" w:hAnsi="Times New Roman"/>
                <w:vertAlign w:val="superscript"/>
                <w:lang w:val="en-GB"/>
              </w:rPr>
              <w:t>a</w:t>
            </w:r>
          </w:p>
        </w:tc>
      </w:tr>
      <w:tr w:rsidR="004F6CDE" w:rsidRPr="008C2CF4" w14:paraId="4D763F72" w14:textId="77777777" w:rsidTr="00E04571">
        <w:trPr>
          <w:trHeight w:val="20"/>
        </w:trPr>
        <w:tc>
          <w:tcPr>
            <w:tcW w:w="3402" w:type="dxa"/>
            <w:hideMark/>
          </w:tcPr>
          <w:p w14:paraId="12F1A16A" w14:textId="6FBAF6FE" w:rsidR="004F6CDE" w:rsidRPr="008C2CF4" w:rsidRDefault="004F6CDE" w:rsidP="008C2CF4">
            <w:pPr>
              <w:rPr>
                <w:rFonts w:ascii="Times New Roman" w:hAnsi="Times New Roman"/>
                <w:bCs/>
                <w:lang w:val="en-GB"/>
              </w:rPr>
            </w:pPr>
            <w:r w:rsidRPr="001A4CDD">
              <w:rPr>
                <w:rFonts w:ascii="Times New Roman" w:hAnsi="Times New Roman"/>
                <w:bCs/>
                <w:lang w:val="en-GB"/>
              </w:rPr>
              <w:t xml:space="preserve">Group 4 (CBD </w:t>
            </w:r>
            <w:r w:rsidR="00C677D6" w:rsidRPr="00C677D6">
              <w:rPr>
                <w:rFonts w:ascii="Times New Roman" w:hAnsi="Times New Roman"/>
                <w:bCs/>
                <w:highlight w:val="yellow"/>
                <w:lang w:val="en-GB"/>
              </w:rPr>
              <w:t>2</w:t>
            </w:r>
            <w:r w:rsidRPr="00C677D6">
              <w:rPr>
                <w:rFonts w:ascii="Times New Roman" w:hAnsi="Times New Roman"/>
                <w:bCs/>
                <w:highlight w:val="yellow"/>
                <w:lang w:val="en-GB"/>
              </w:rPr>
              <w:t>0mg/kg)</w:t>
            </w:r>
          </w:p>
        </w:tc>
        <w:tc>
          <w:tcPr>
            <w:tcW w:w="1560" w:type="dxa"/>
            <w:hideMark/>
          </w:tcPr>
          <w:p w14:paraId="5ACA268A"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118.54±3.01</w:t>
            </w:r>
          </w:p>
        </w:tc>
        <w:tc>
          <w:tcPr>
            <w:tcW w:w="2268" w:type="dxa"/>
            <w:hideMark/>
          </w:tcPr>
          <w:p w14:paraId="18355D78"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102.72±2.34</w:t>
            </w:r>
            <w:r w:rsidRPr="008C2CF4">
              <w:rPr>
                <w:rFonts w:ascii="Times New Roman" w:hAnsi="Times New Roman"/>
                <w:vertAlign w:val="superscript"/>
                <w:lang w:val="en-GB"/>
              </w:rPr>
              <w:t>c</w:t>
            </w:r>
          </w:p>
        </w:tc>
        <w:tc>
          <w:tcPr>
            <w:tcW w:w="2268" w:type="dxa"/>
            <w:hideMark/>
          </w:tcPr>
          <w:p w14:paraId="524F7632"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80.62±0.72</w:t>
            </w:r>
            <w:r w:rsidRPr="008C2CF4">
              <w:rPr>
                <w:rFonts w:ascii="Times New Roman" w:hAnsi="Times New Roman"/>
                <w:vertAlign w:val="superscript"/>
                <w:lang w:val="en-GB"/>
              </w:rPr>
              <w:t>c</w:t>
            </w:r>
          </w:p>
        </w:tc>
      </w:tr>
      <w:tr w:rsidR="004F6CDE" w:rsidRPr="008C2CF4" w14:paraId="7B779E23" w14:textId="77777777" w:rsidTr="00E04571">
        <w:trPr>
          <w:trHeight w:val="20"/>
        </w:trPr>
        <w:tc>
          <w:tcPr>
            <w:tcW w:w="3402" w:type="dxa"/>
            <w:hideMark/>
          </w:tcPr>
          <w:p w14:paraId="4C6CC5BD" w14:textId="3EF2E6DE" w:rsidR="004F6CDE" w:rsidRPr="008C2CF4" w:rsidRDefault="004F6CDE" w:rsidP="008C2CF4">
            <w:pPr>
              <w:rPr>
                <w:rFonts w:ascii="Times New Roman" w:hAnsi="Times New Roman"/>
                <w:bCs/>
                <w:lang w:val="en-GB"/>
              </w:rPr>
            </w:pPr>
            <w:r w:rsidRPr="008C2CF4">
              <w:rPr>
                <w:rFonts w:ascii="Times New Roman" w:hAnsi="Times New Roman"/>
                <w:bCs/>
                <w:lang w:val="en-GB"/>
              </w:rPr>
              <w:t>Group 5 (CBD 60mg/kg)</w:t>
            </w:r>
          </w:p>
        </w:tc>
        <w:tc>
          <w:tcPr>
            <w:tcW w:w="1560" w:type="dxa"/>
            <w:hideMark/>
          </w:tcPr>
          <w:p w14:paraId="03EACEE3"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103.33±1.86</w:t>
            </w:r>
            <w:r w:rsidRPr="008C2CF4">
              <w:rPr>
                <w:rFonts w:ascii="Times New Roman" w:hAnsi="Times New Roman"/>
                <w:vertAlign w:val="superscript"/>
                <w:lang w:val="en-GB"/>
              </w:rPr>
              <w:t>a</w:t>
            </w:r>
          </w:p>
        </w:tc>
        <w:tc>
          <w:tcPr>
            <w:tcW w:w="2268" w:type="dxa"/>
            <w:hideMark/>
          </w:tcPr>
          <w:p w14:paraId="620F8B2B"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89.31±0.43</w:t>
            </w:r>
            <w:r w:rsidRPr="008C2CF4">
              <w:rPr>
                <w:rFonts w:ascii="Times New Roman" w:hAnsi="Times New Roman"/>
                <w:vertAlign w:val="superscript"/>
                <w:lang w:val="en-GB"/>
              </w:rPr>
              <w:t>b</w:t>
            </w:r>
          </w:p>
        </w:tc>
        <w:tc>
          <w:tcPr>
            <w:tcW w:w="2268" w:type="dxa"/>
            <w:hideMark/>
          </w:tcPr>
          <w:p w14:paraId="095ACD03"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62.97±2.82</w:t>
            </w:r>
            <w:r w:rsidRPr="008C2CF4">
              <w:rPr>
                <w:rFonts w:ascii="Times New Roman" w:hAnsi="Times New Roman"/>
                <w:vertAlign w:val="superscript"/>
                <w:lang w:val="en-GB"/>
              </w:rPr>
              <w:t>a,b.d</w:t>
            </w:r>
          </w:p>
        </w:tc>
      </w:tr>
    </w:tbl>
    <w:p w14:paraId="2722E084" w14:textId="3F2F2DB4" w:rsidR="00B750C8" w:rsidRPr="008C2CF4" w:rsidRDefault="00B750C8" w:rsidP="008C2CF4">
      <w:pPr>
        <w:spacing w:after="0" w:line="240" w:lineRule="auto"/>
        <w:jc w:val="both"/>
        <w:rPr>
          <w:rFonts w:ascii="Times New Roman" w:eastAsia="Calibri" w:hAnsi="Times New Roman" w:cs="Times New Roman"/>
          <w:sz w:val="24"/>
          <w:szCs w:val="24"/>
        </w:rPr>
      </w:pPr>
      <w:r w:rsidRPr="008C2CF4">
        <w:rPr>
          <w:rFonts w:ascii="Times New Roman" w:eastAsia="Calibri" w:hAnsi="Times New Roman" w:cs="Times New Roman"/>
          <w:sz w:val="24"/>
          <w:szCs w:val="24"/>
        </w:rPr>
        <w:t xml:space="preserve">Values are presented as Mean ± SEM, n= 5. </w:t>
      </w:r>
    </w:p>
    <w:p w14:paraId="000BFC67" w14:textId="77777777" w:rsidR="00B750C8" w:rsidRPr="008C2CF4" w:rsidRDefault="00B750C8" w:rsidP="008C2CF4">
      <w:pPr>
        <w:spacing w:after="0" w:line="240" w:lineRule="auto"/>
        <w:jc w:val="both"/>
        <w:rPr>
          <w:rFonts w:ascii="Times New Roman" w:eastAsia="Times New Roman" w:hAnsi="Times New Roman" w:cs="Times New Roman"/>
          <w:bCs/>
          <w:sz w:val="24"/>
          <w:szCs w:val="24"/>
        </w:rPr>
      </w:pPr>
      <w:r w:rsidRPr="008C2CF4">
        <w:rPr>
          <w:rFonts w:ascii="Times New Roman" w:eastAsia="Times New Roman" w:hAnsi="Times New Roman" w:cs="Times New Roman"/>
          <w:b/>
          <w:bCs/>
          <w:sz w:val="24"/>
          <w:szCs w:val="24"/>
          <w:vertAlign w:val="superscript"/>
        </w:rPr>
        <w:t>a</w:t>
      </w:r>
      <w:r w:rsidRPr="008C2CF4">
        <w:rPr>
          <w:rFonts w:ascii="Times New Roman" w:eastAsia="Times New Roman" w:hAnsi="Times New Roman" w:cs="Times New Roman"/>
          <w:bCs/>
          <w:sz w:val="24"/>
          <w:szCs w:val="24"/>
        </w:rPr>
        <w:t xml:space="preserve"> Significant at p&lt;0.05 when compared to the mean value of group 1 </w:t>
      </w:r>
    </w:p>
    <w:p w14:paraId="66DEA3BA" w14:textId="77777777" w:rsidR="00B750C8" w:rsidRPr="008C2CF4" w:rsidRDefault="00B750C8" w:rsidP="008C2CF4">
      <w:pPr>
        <w:spacing w:after="0" w:line="240" w:lineRule="auto"/>
        <w:jc w:val="both"/>
        <w:rPr>
          <w:rFonts w:ascii="Times New Roman" w:eastAsia="Times New Roman" w:hAnsi="Times New Roman" w:cs="Times New Roman"/>
          <w:bCs/>
          <w:sz w:val="24"/>
          <w:szCs w:val="24"/>
        </w:rPr>
      </w:pPr>
      <w:r w:rsidRPr="008C2CF4">
        <w:rPr>
          <w:rFonts w:ascii="Times New Roman" w:eastAsia="Times New Roman" w:hAnsi="Times New Roman" w:cs="Times New Roman"/>
          <w:b/>
          <w:bCs/>
          <w:sz w:val="24"/>
          <w:szCs w:val="24"/>
          <w:vertAlign w:val="superscript"/>
        </w:rPr>
        <w:t xml:space="preserve">b </w:t>
      </w:r>
      <w:r w:rsidRPr="008C2CF4">
        <w:rPr>
          <w:rFonts w:ascii="Times New Roman" w:eastAsia="Times New Roman" w:hAnsi="Times New Roman" w:cs="Times New Roman"/>
          <w:bCs/>
          <w:sz w:val="24"/>
          <w:szCs w:val="24"/>
        </w:rPr>
        <w:t xml:space="preserve">Significant at p&lt;0.05 when compared to the mean value of group 2 </w:t>
      </w:r>
    </w:p>
    <w:p w14:paraId="063C0C23" w14:textId="77777777" w:rsidR="00B750C8" w:rsidRPr="008C2CF4" w:rsidRDefault="00B750C8" w:rsidP="008C2CF4">
      <w:pPr>
        <w:spacing w:after="0" w:line="240" w:lineRule="auto"/>
        <w:jc w:val="both"/>
        <w:rPr>
          <w:rFonts w:ascii="Times New Roman" w:eastAsia="Times New Roman" w:hAnsi="Times New Roman" w:cs="Times New Roman"/>
          <w:bCs/>
          <w:sz w:val="24"/>
          <w:szCs w:val="24"/>
        </w:rPr>
      </w:pPr>
      <w:r w:rsidRPr="008C2CF4">
        <w:rPr>
          <w:rFonts w:ascii="Times New Roman" w:eastAsia="Times New Roman" w:hAnsi="Times New Roman" w:cs="Times New Roman"/>
          <w:b/>
          <w:bCs/>
          <w:sz w:val="24"/>
          <w:szCs w:val="24"/>
          <w:vertAlign w:val="superscript"/>
        </w:rPr>
        <w:t xml:space="preserve">c </w:t>
      </w:r>
      <w:r w:rsidRPr="008C2CF4">
        <w:rPr>
          <w:rFonts w:ascii="Times New Roman" w:eastAsia="Times New Roman" w:hAnsi="Times New Roman" w:cs="Times New Roman"/>
          <w:bCs/>
          <w:sz w:val="24"/>
          <w:szCs w:val="24"/>
        </w:rPr>
        <w:t>Significant at p&lt;0.05 when compared to the mean value of group 3</w:t>
      </w:r>
    </w:p>
    <w:p w14:paraId="48AA5B9A" w14:textId="77777777" w:rsidR="00B750C8" w:rsidRPr="008C2CF4" w:rsidRDefault="00B750C8" w:rsidP="008C2CF4">
      <w:pPr>
        <w:spacing w:after="0" w:line="240" w:lineRule="auto"/>
        <w:jc w:val="both"/>
        <w:rPr>
          <w:rFonts w:ascii="Times New Roman" w:eastAsia="Calibri" w:hAnsi="Times New Roman" w:cs="Times New Roman"/>
          <w:sz w:val="24"/>
          <w:szCs w:val="24"/>
        </w:rPr>
      </w:pPr>
      <w:r w:rsidRPr="008C2CF4">
        <w:rPr>
          <w:rFonts w:ascii="Times New Roman" w:eastAsia="Times New Roman" w:hAnsi="Times New Roman" w:cs="Times New Roman"/>
          <w:b/>
          <w:bCs/>
          <w:sz w:val="24"/>
          <w:szCs w:val="24"/>
          <w:vertAlign w:val="superscript"/>
        </w:rPr>
        <w:t xml:space="preserve">d </w:t>
      </w:r>
      <w:r w:rsidRPr="008C2CF4">
        <w:rPr>
          <w:rFonts w:ascii="Times New Roman" w:eastAsia="Times New Roman" w:hAnsi="Times New Roman" w:cs="Times New Roman"/>
          <w:bCs/>
          <w:sz w:val="24"/>
          <w:szCs w:val="24"/>
        </w:rPr>
        <w:t>Significant at p&lt;0.05 when compared to the mean value of group 4.</w:t>
      </w:r>
    </w:p>
    <w:p w14:paraId="4A890853" w14:textId="77777777" w:rsidR="00B750C8" w:rsidRPr="008C2CF4" w:rsidRDefault="00B750C8" w:rsidP="008C2CF4">
      <w:pPr>
        <w:spacing w:after="200" w:line="240" w:lineRule="auto"/>
        <w:rPr>
          <w:rFonts w:ascii="Times New Roman" w:eastAsia="Calibri" w:hAnsi="Times New Roman" w:cs="Times New Roman"/>
          <w:b/>
          <w:sz w:val="24"/>
          <w:szCs w:val="24"/>
        </w:rPr>
      </w:pPr>
    </w:p>
    <w:p w14:paraId="33C0278A" w14:textId="5AAC048E" w:rsidR="00C16620" w:rsidRPr="008C2CF4" w:rsidRDefault="00765349" w:rsidP="00C816AA">
      <w:pPr>
        <w:spacing w:before="100" w:beforeAutospacing="1" w:after="100" w:afterAutospacing="1" w:line="360" w:lineRule="auto"/>
        <w:rPr>
          <w:rFonts w:ascii="Times New Roman" w:eastAsia="Times New Roman" w:hAnsi="Times New Roman" w:cs="Times New Roman"/>
          <w:sz w:val="24"/>
          <w:szCs w:val="24"/>
          <w:lang w:eastAsia="en-GB"/>
          <w14:ligatures w14:val="none"/>
        </w:rPr>
      </w:pPr>
      <w:r w:rsidRPr="008C2CF4">
        <w:rPr>
          <w:rFonts w:ascii="Times New Roman" w:eastAsia="Calibri" w:hAnsi="Times New Roman" w:cs="Times New Roman"/>
          <w:sz w:val="24"/>
          <w:szCs w:val="24"/>
        </w:rPr>
        <w:t>Table 2</w:t>
      </w:r>
      <w:r w:rsidR="00377E79" w:rsidRPr="008C2CF4">
        <w:rPr>
          <w:rFonts w:ascii="Times New Roman" w:eastAsia="Calibri" w:hAnsi="Times New Roman" w:cs="Times New Roman"/>
          <w:sz w:val="24"/>
          <w:szCs w:val="24"/>
        </w:rPr>
        <w:t xml:space="preserve"> highlights the effects of THC and CBD supplementation in Male Wistar rats</w:t>
      </w:r>
      <w:r w:rsidR="00371CD3" w:rsidRPr="008C2CF4">
        <w:rPr>
          <w:rFonts w:ascii="Times New Roman" w:eastAsia="Calibri" w:hAnsi="Times New Roman" w:cs="Times New Roman"/>
          <w:sz w:val="24"/>
          <w:szCs w:val="24"/>
        </w:rPr>
        <w:t xml:space="preserve"> </w:t>
      </w:r>
      <w:r w:rsidR="00F54EBF" w:rsidRPr="008C2CF4">
        <w:rPr>
          <w:rFonts w:ascii="Times New Roman" w:eastAsia="Calibri" w:hAnsi="Times New Roman" w:cs="Times New Roman"/>
          <w:sz w:val="24"/>
          <w:szCs w:val="24"/>
        </w:rPr>
        <w:t>on hippocampal</w:t>
      </w:r>
      <w:r w:rsidR="00371CD3" w:rsidRPr="008C2CF4">
        <w:rPr>
          <w:rFonts w:ascii="Times New Roman" w:eastAsia="Times New Roman" w:hAnsi="Times New Roman" w:cs="Times New Roman"/>
          <w:sz w:val="24"/>
          <w:szCs w:val="24"/>
          <w:lang w:eastAsia="en-GB"/>
          <w14:ligatures w14:val="none"/>
        </w:rPr>
        <w:t xml:space="preserve"> </w:t>
      </w:r>
      <w:r w:rsidR="00F54EBF" w:rsidRPr="008C2CF4">
        <w:rPr>
          <w:rFonts w:ascii="Times New Roman" w:eastAsia="Times New Roman" w:hAnsi="Times New Roman" w:cs="Times New Roman"/>
          <w:sz w:val="24"/>
          <w:szCs w:val="24"/>
          <w:lang w:eastAsia="en-GB"/>
          <w14:ligatures w14:val="none"/>
        </w:rPr>
        <w:t xml:space="preserve">BDNF </w:t>
      </w:r>
      <w:r w:rsidR="00371CD3" w:rsidRPr="008C2CF4">
        <w:rPr>
          <w:rFonts w:ascii="Times New Roman" w:eastAsia="Times New Roman" w:hAnsi="Times New Roman" w:cs="Times New Roman"/>
          <w:sz w:val="24"/>
          <w:szCs w:val="24"/>
          <w:lang w:eastAsia="en-GB"/>
          <w14:ligatures w14:val="none"/>
        </w:rPr>
        <w:t>levels</w:t>
      </w:r>
      <w:r w:rsidR="00F54EBF" w:rsidRPr="008C2CF4">
        <w:rPr>
          <w:rFonts w:ascii="Times New Roman" w:eastAsia="Times New Roman" w:hAnsi="Times New Roman" w:cs="Times New Roman"/>
          <w:sz w:val="24"/>
          <w:szCs w:val="24"/>
          <w:lang w:eastAsia="en-GB"/>
          <w14:ligatures w14:val="none"/>
        </w:rPr>
        <w:t xml:space="preserve">. </w:t>
      </w:r>
      <w:r w:rsidR="00C16620" w:rsidRPr="00C16620">
        <w:rPr>
          <w:rFonts w:ascii="Times New Roman" w:eastAsia="Times New Roman" w:hAnsi="Times New Roman" w:cs="Times New Roman"/>
          <w:sz w:val="24"/>
          <w:szCs w:val="24"/>
          <w:lang w:eastAsia="en-GB"/>
          <w14:ligatures w14:val="none"/>
        </w:rPr>
        <w:t>THC-Treated Groups (Groups 2 &amp; 3)</w:t>
      </w:r>
      <w:r w:rsidR="00F54EBF" w:rsidRPr="008C2CF4">
        <w:rPr>
          <w:rFonts w:ascii="Times New Roman" w:eastAsia="Times New Roman" w:hAnsi="Times New Roman" w:cs="Times New Roman"/>
          <w:sz w:val="24"/>
          <w:szCs w:val="24"/>
          <w:lang w:eastAsia="en-GB"/>
          <w14:ligatures w14:val="none"/>
        </w:rPr>
        <w:t xml:space="preserve"> showed </w:t>
      </w:r>
      <w:r w:rsidR="00777699" w:rsidRPr="008C2CF4">
        <w:rPr>
          <w:rFonts w:ascii="Times New Roman" w:eastAsia="Times New Roman" w:hAnsi="Times New Roman" w:cs="Times New Roman"/>
          <w:sz w:val="24"/>
          <w:szCs w:val="24"/>
          <w:lang w:eastAsia="en-GB"/>
          <w14:ligatures w14:val="none"/>
        </w:rPr>
        <w:t>time</w:t>
      </w:r>
      <w:r w:rsidR="00C16620" w:rsidRPr="00C16620">
        <w:rPr>
          <w:rFonts w:ascii="Times New Roman" w:eastAsia="Times New Roman" w:hAnsi="Times New Roman" w:cs="Times New Roman"/>
          <w:sz w:val="24"/>
          <w:szCs w:val="24"/>
          <w:lang w:eastAsia="en-GB"/>
          <w14:ligatures w14:val="none"/>
        </w:rPr>
        <w:t>-dependent effects</w:t>
      </w:r>
      <w:r w:rsidR="00F860B6" w:rsidRPr="008C2CF4">
        <w:rPr>
          <w:rFonts w:ascii="Times New Roman" w:eastAsia="Times New Roman" w:hAnsi="Times New Roman" w:cs="Times New Roman"/>
          <w:sz w:val="24"/>
          <w:szCs w:val="24"/>
          <w:lang w:eastAsia="en-GB"/>
          <w14:ligatures w14:val="none"/>
        </w:rPr>
        <w:t xml:space="preserve">. Although THC at 5mg/kg did not show any alterations throughout the study, THC at 15mg/kg showed </w:t>
      </w:r>
      <w:r w:rsidR="00C27CD9" w:rsidRPr="008C2CF4">
        <w:rPr>
          <w:rFonts w:ascii="Times New Roman" w:eastAsia="Times New Roman" w:hAnsi="Times New Roman" w:cs="Times New Roman"/>
          <w:sz w:val="24"/>
          <w:szCs w:val="24"/>
          <w:lang w:eastAsia="en-GB"/>
          <w14:ligatures w14:val="none"/>
        </w:rPr>
        <w:t xml:space="preserve">a </w:t>
      </w:r>
      <w:r w:rsidR="00F860B6" w:rsidRPr="008C2CF4">
        <w:rPr>
          <w:rFonts w:ascii="Times New Roman" w:eastAsia="Times New Roman" w:hAnsi="Times New Roman" w:cs="Times New Roman"/>
          <w:sz w:val="24"/>
          <w:szCs w:val="24"/>
          <w:lang w:eastAsia="en-GB"/>
          <w14:ligatures w14:val="none"/>
        </w:rPr>
        <w:t>progressive</w:t>
      </w:r>
      <w:r w:rsidR="00C27CD9" w:rsidRPr="008C2CF4">
        <w:rPr>
          <w:rFonts w:ascii="Times New Roman" w:eastAsia="Times New Roman" w:hAnsi="Times New Roman" w:cs="Times New Roman"/>
          <w:sz w:val="24"/>
          <w:szCs w:val="24"/>
          <w:lang w:eastAsia="en-GB"/>
          <w14:ligatures w14:val="none"/>
        </w:rPr>
        <w:t>,</w:t>
      </w:r>
      <w:r w:rsidR="00F860B6" w:rsidRPr="008C2CF4">
        <w:rPr>
          <w:rFonts w:ascii="Times New Roman" w:eastAsia="Times New Roman" w:hAnsi="Times New Roman" w:cs="Times New Roman"/>
          <w:sz w:val="24"/>
          <w:szCs w:val="24"/>
          <w:lang w:eastAsia="en-GB"/>
          <w14:ligatures w14:val="none"/>
        </w:rPr>
        <w:t xml:space="preserve"> significant reduction of BDNF at the sub-chronic </w:t>
      </w:r>
      <w:r w:rsidR="00B64963" w:rsidRPr="00C16620">
        <w:rPr>
          <w:rFonts w:ascii="Times New Roman" w:eastAsia="Times New Roman" w:hAnsi="Times New Roman" w:cs="Times New Roman"/>
          <w:sz w:val="24"/>
          <w:szCs w:val="24"/>
          <w:lang w:eastAsia="en-GB"/>
          <w14:ligatures w14:val="none"/>
        </w:rPr>
        <w:t>phase (83.64±2.90 ng/L) and continuing through the chronic phase (64.64±2.09 ng/L).</w:t>
      </w:r>
      <w:r w:rsidR="00F67EA9" w:rsidRPr="008C2CF4">
        <w:rPr>
          <w:rFonts w:ascii="Times New Roman" w:eastAsia="Times New Roman" w:hAnsi="Times New Roman" w:cs="Times New Roman"/>
          <w:sz w:val="24"/>
          <w:szCs w:val="24"/>
          <w:lang w:eastAsia="en-GB"/>
          <w14:ligatures w14:val="none"/>
        </w:rPr>
        <w:t xml:space="preserve"> The CB</w:t>
      </w:r>
      <w:r w:rsidR="00341B10" w:rsidRPr="008C2CF4">
        <w:rPr>
          <w:rFonts w:ascii="Times New Roman" w:eastAsia="Times New Roman" w:hAnsi="Times New Roman" w:cs="Times New Roman"/>
          <w:sz w:val="24"/>
          <w:szCs w:val="24"/>
          <w:lang w:eastAsia="en-GB"/>
          <w14:ligatures w14:val="none"/>
        </w:rPr>
        <w:t>D</w:t>
      </w:r>
      <w:r w:rsidR="00C27CD9" w:rsidRPr="008C2CF4">
        <w:rPr>
          <w:rFonts w:ascii="Times New Roman" w:eastAsia="Times New Roman" w:hAnsi="Times New Roman" w:cs="Times New Roman"/>
          <w:sz w:val="24"/>
          <w:szCs w:val="24"/>
          <w:lang w:eastAsia="en-GB"/>
          <w14:ligatures w14:val="none"/>
        </w:rPr>
        <w:t>-</w:t>
      </w:r>
      <w:r w:rsidR="00F67EA9" w:rsidRPr="008C2CF4">
        <w:rPr>
          <w:rFonts w:ascii="Times New Roman" w:eastAsia="Times New Roman" w:hAnsi="Times New Roman" w:cs="Times New Roman"/>
          <w:sz w:val="24"/>
          <w:szCs w:val="24"/>
          <w:lang w:eastAsia="en-GB"/>
          <w14:ligatures w14:val="none"/>
        </w:rPr>
        <w:t xml:space="preserve">treated groups demonstrated </w:t>
      </w:r>
      <w:r w:rsidR="00415514" w:rsidRPr="008C2CF4">
        <w:rPr>
          <w:rFonts w:ascii="Times New Roman" w:eastAsia="Times New Roman" w:hAnsi="Times New Roman" w:cs="Times New Roman"/>
          <w:sz w:val="24"/>
          <w:szCs w:val="24"/>
          <w:lang w:eastAsia="en-GB"/>
          <w14:ligatures w14:val="none"/>
        </w:rPr>
        <w:t>dose-</w:t>
      </w:r>
      <w:r w:rsidR="00C54BFA" w:rsidRPr="008C2CF4">
        <w:rPr>
          <w:rFonts w:ascii="Times New Roman" w:eastAsia="Times New Roman" w:hAnsi="Times New Roman" w:cs="Times New Roman"/>
          <w:sz w:val="24"/>
          <w:szCs w:val="24"/>
          <w:lang w:eastAsia="en-GB"/>
          <w14:ligatures w14:val="none"/>
        </w:rPr>
        <w:t>dependent effects</w:t>
      </w:r>
      <w:r w:rsidR="00341B10" w:rsidRPr="008C2CF4">
        <w:rPr>
          <w:rFonts w:ascii="Times New Roman" w:eastAsia="Times New Roman" w:hAnsi="Times New Roman" w:cs="Times New Roman"/>
          <w:sz w:val="24"/>
          <w:szCs w:val="24"/>
          <w:lang w:eastAsia="en-GB"/>
          <w14:ligatures w14:val="none"/>
        </w:rPr>
        <w:t xml:space="preserve">. </w:t>
      </w:r>
      <w:r w:rsidR="009F11B3" w:rsidRPr="008C2CF4">
        <w:rPr>
          <w:rFonts w:ascii="Times New Roman" w:eastAsia="Times New Roman" w:hAnsi="Times New Roman" w:cs="Times New Roman"/>
          <w:sz w:val="24"/>
          <w:szCs w:val="24"/>
          <w:lang w:eastAsia="en-GB"/>
          <w14:ligatures w14:val="none"/>
        </w:rPr>
        <w:t xml:space="preserve">Hippocampal BDNF CBD at </w:t>
      </w:r>
      <w:r w:rsidR="00C677D6" w:rsidRPr="00C677D6">
        <w:rPr>
          <w:rFonts w:ascii="Times New Roman" w:eastAsia="Times New Roman" w:hAnsi="Times New Roman" w:cs="Times New Roman"/>
          <w:sz w:val="24"/>
          <w:szCs w:val="24"/>
          <w:highlight w:val="yellow"/>
          <w:lang w:eastAsia="en-GB"/>
          <w14:ligatures w14:val="none"/>
        </w:rPr>
        <w:t>2</w:t>
      </w:r>
      <w:r w:rsidR="009F11B3" w:rsidRPr="00C677D6">
        <w:rPr>
          <w:rFonts w:ascii="Times New Roman" w:eastAsia="Times New Roman" w:hAnsi="Times New Roman" w:cs="Times New Roman"/>
          <w:sz w:val="24"/>
          <w:szCs w:val="24"/>
          <w:highlight w:val="yellow"/>
          <w:lang w:eastAsia="en-GB"/>
          <w14:ligatures w14:val="none"/>
        </w:rPr>
        <w:t>0mg/kg</w:t>
      </w:r>
      <w:r w:rsidR="00C54BFA" w:rsidRPr="008C2CF4">
        <w:rPr>
          <w:rFonts w:ascii="Times New Roman" w:eastAsia="Times New Roman" w:hAnsi="Times New Roman" w:cs="Times New Roman"/>
          <w:sz w:val="24"/>
          <w:szCs w:val="24"/>
          <w:lang w:eastAsia="en-GB"/>
          <w14:ligatures w14:val="none"/>
        </w:rPr>
        <w:t xml:space="preserve"> </w:t>
      </w:r>
      <w:r w:rsidR="00C16620" w:rsidRPr="00C16620">
        <w:rPr>
          <w:rFonts w:ascii="Times New Roman" w:eastAsia="Times New Roman" w:hAnsi="Times New Roman" w:cs="Times New Roman"/>
          <w:sz w:val="24"/>
          <w:szCs w:val="24"/>
          <w:lang w:eastAsia="en-GB"/>
          <w14:ligatures w14:val="none"/>
        </w:rPr>
        <w:t>remain</w:t>
      </w:r>
      <w:r w:rsidR="00C54BFA" w:rsidRPr="008C2CF4">
        <w:rPr>
          <w:rFonts w:ascii="Times New Roman" w:eastAsia="Times New Roman" w:hAnsi="Times New Roman" w:cs="Times New Roman"/>
          <w:sz w:val="24"/>
          <w:szCs w:val="24"/>
          <w:lang w:eastAsia="en-GB"/>
          <w14:ligatures w14:val="none"/>
        </w:rPr>
        <w:t>ed</w:t>
      </w:r>
      <w:r w:rsidR="00C16620" w:rsidRPr="00C16620">
        <w:rPr>
          <w:rFonts w:ascii="Times New Roman" w:eastAsia="Times New Roman" w:hAnsi="Times New Roman" w:cs="Times New Roman"/>
          <w:sz w:val="24"/>
          <w:szCs w:val="24"/>
          <w:lang w:eastAsia="en-GB"/>
          <w14:ligatures w14:val="none"/>
        </w:rPr>
        <w:t xml:space="preserve"> comparable to controls at all time points</w:t>
      </w:r>
      <w:r w:rsidR="00C27CD9" w:rsidRPr="008C2CF4">
        <w:rPr>
          <w:rFonts w:ascii="Times New Roman" w:eastAsia="Times New Roman" w:hAnsi="Times New Roman" w:cs="Times New Roman"/>
          <w:sz w:val="24"/>
          <w:szCs w:val="24"/>
          <w:lang w:eastAsia="en-GB"/>
          <w14:ligatures w14:val="none"/>
        </w:rPr>
        <w:t>,</w:t>
      </w:r>
      <w:r w:rsidR="000907D7" w:rsidRPr="008C2CF4">
        <w:rPr>
          <w:rFonts w:ascii="Times New Roman" w:eastAsia="Times New Roman" w:hAnsi="Times New Roman" w:cs="Times New Roman"/>
          <w:sz w:val="24"/>
          <w:szCs w:val="24"/>
          <w:lang w:eastAsia="en-GB"/>
          <w14:ligatures w14:val="none"/>
        </w:rPr>
        <w:t xml:space="preserve"> with </w:t>
      </w:r>
      <w:r w:rsidR="00C16620" w:rsidRPr="00C16620">
        <w:rPr>
          <w:rFonts w:ascii="Times New Roman" w:eastAsia="Times New Roman" w:hAnsi="Times New Roman" w:cs="Times New Roman"/>
          <w:sz w:val="24"/>
          <w:szCs w:val="24"/>
          <w:lang w:eastAsia="en-GB"/>
          <w14:ligatures w14:val="none"/>
        </w:rPr>
        <w:t>significantly higher levels than the high-dose THC group at sub-chronic and chronic phases</w:t>
      </w:r>
      <w:r w:rsidR="00D66F21" w:rsidRPr="008C2CF4">
        <w:rPr>
          <w:rFonts w:ascii="Times New Roman" w:eastAsia="Times New Roman" w:hAnsi="Times New Roman" w:cs="Times New Roman"/>
          <w:sz w:val="24"/>
          <w:szCs w:val="24"/>
          <w:lang w:eastAsia="en-GB"/>
          <w14:ligatures w14:val="none"/>
        </w:rPr>
        <w:t xml:space="preserve"> (p&lt;0.05)</w:t>
      </w:r>
      <w:r w:rsidR="00C16620" w:rsidRPr="00C16620">
        <w:rPr>
          <w:rFonts w:ascii="Times New Roman" w:eastAsia="Times New Roman" w:hAnsi="Times New Roman" w:cs="Times New Roman"/>
          <w:sz w:val="24"/>
          <w:szCs w:val="24"/>
          <w:lang w:eastAsia="en-GB"/>
          <w14:ligatures w14:val="none"/>
        </w:rPr>
        <w:t>.</w:t>
      </w:r>
      <w:r w:rsidR="00D66F21" w:rsidRPr="008C2CF4">
        <w:rPr>
          <w:rFonts w:ascii="Times New Roman" w:eastAsia="Times New Roman" w:hAnsi="Times New Roman" w:cs="Times New Roman"/>
          <w:sz w:val="24"/>
          <w:szCs w:val="24"/>
          <w:lang w:eastAsia="en-GB"/>
          <w14:ligatures w14:val="none"/>
        </w:rPr>
        <w:t xml:space="preserve"> However, CBD at 60mg/kg showed </w:t>
      </w:r>
      <w:r w:rsidR="00C16620" w:rsidRPr="00C16620">
        <w:rPr>
          <w:rFonts w:ascii="Times New Roman" w:eastAsia="Times New Roman" w:hAnsi="Times New Roman" w:cs="Times New Roman"/>
          <w:sz w:val="24"/>
          <w:szCs w:val="24"/>
          <w:lang w:eastAsia="en-GB"/>
          <w14:ligatures w14:val="none"/>
        </w:rPr>
        <w:t xml:space="preserve">early and sustained suppression, with significant reductions evident from the acute phase (103.33±1.86 ng/L) and persisting through </w:t>
      </w:r>
      <w:r w:rsidR="00C27CD9" w:rsidRPr="008C2CF4">
        <w:rPr>
          <w:rFonts w:ascii="Times New Roman" w:eastAsia="Times New Roman" w:hAnsi="Times New Roman" w:cs="Times New Roman"/>
          <w:sz w:val="24"/>
          <w:szCs w:val="24"/>
          <w:lang w:eastAsia="en-GB"/>
          <w14:ligatures w14:val="none"/>
        </w:rPr>
        <w:t xml:space="preserve">the </w:t>
      </w:r>
      <w:r w:rsidR="00C16620" w:rsidRPr="00C16620">
        <w:rPr>
          <w:rFonts w:ascii="Times New Roman" w:eastAsia="Times New Roman" w:hAnsi="Times New Roman" w:cs="Times New Roman"/>
          <w:sz w:val="24"/>
          <w:szCs w:val="24"/>
          <w:lang w:eastAsia="en-GB"/>
          <w14:ligatures w14:val="none"/>
        </w:rPr>
        <w:t>chronic phase (62.97±2.82 ng/L), comparable to the effects of high-dose T</w:t>
      </w:r>
      <w:r w:rsidR="00437B1A" w:rsidRPr="008C2CF4">
        <w:rPr>
          <w:rFonts w:ascii="Times New Roman" w:eastAsia="Times New Roman" w:hAnsi="Times New Roman" w:cs="Times New Roman"/>
          <w:sz w:val="24"/>
          <w:szCs w:val="24"/>
          <w:lang w:eastAsia="en-GB"/>
          <w14:ligatures w14:val="none"/>
        </w:rPr>
        <w:t xml:space="preserve">HC. </w:t>
      </w:r>
    </w:p>
    <w:p w14:paraId="4FF6969A" w14:textId="60F9838B" w:rsidR="00020D93" w:rsidRPr="008C2CF4" w:rsidRDefault="00020D93" w:rsidP="008C2CF4">
      <w:pPr>
        <w:spacing w:after="200" w:line="240" w:lineRule="auto"/>
        <w:rPr>
          <w:rFonts w:ascii="Times New Roman" w:eastAsia="Calibri" w:hAnsi="Times New Roman" w:cs="Times New Roman"/>
          <w:b/>
          <w:sz w:val="24"/>
          <w:szCs w:val="24"/>
        </w:rPr>
      </w:pPr>
      <w:r w:rsidRPr="008C2CF4">
        <w:rPr>
          <w:rFonts w:ascii="Times New Roman" w:eastAsia="Calibri" w:hAnsi="Times New Roman" w:cs="Times New Roman"/>
          <w:b/>
          <w:sz w:val="24"/>
          <w:szCs w:val="24"/>
        </w:rPr>
        <w:lastRenderedPageBreak/>
        <w:t>DISCUSSION</w:t>
      </w:r>
    </w:p>
    <w:p w14:paraId="479F062C" w14:textId="1BE41254" w:rsidR="004E735D" w:rsidRPr="008C2CF4" w:rsidRDefault="00BA08E7" w:rsidP="00C816AA">
      <w:pPr>
        <w:spacing w:after="200" w:line="360" w:lineRule="auto"/>
        <w:rPr>
          <w:rFonts w:ascii="Times New Roman" w:eastAsia="Calibri" w:hAnsi="Times New Roman" w:cs="Times New Roman"/>
          <w:sz w:val="24"/>
          <w:szCs w:val="24"/>
        </w:rPr>
      </w:pPr>
      <w:r w:rsidRPr="008C2CF4">
        <w:rPr>
          <w:rFonts w:ascii="Times New Roman" w:eastAsia="Calibri" w:hAnsi="Times New Roman" w:cs="Times New Roman"/>
          <w:sz w:val="24"/>
          <w:szCs w:val="24"/>
        </w:rPr>
        <w:t>Delta-9-tetrahydrocannabinol (THC) and cannabidiol (CBD) are the two primary cannabinoids found in the cannabis plant</w:t>
      </w:r>
      <w:r w:rsidR="00B937F1" w:rsidRPr="008C2CF4">
        <w:rPr>
          <w:rFonts w:ascii="Times New Roman" w:eastAsia="Calibri" w:hAnsi="Times New Roman" w:cs="Times New Roman"/>
          <w:sz w:val="24"/>
          <w:szCs w:val="24"/>
        </w:rPr>
        <w:t xml:space="preserve">. </w:t>
      </w:r>
      <w:r w:rsidR="00EE3AEC" w:rsidRPr="008C2CF4">
        <w:rPr>
          <w:rFonts w:ascii="Times New Roman" w:eastAsia="Calibri" w:hAnsi="Times New Roman" w:cs="Times New Roman"/>
          <w:sz w:val="24"/>
          <w:szCs w:val="24"/>
        </w:rPr>
        <w:t>Both are used in the treatment of various medical conditions. However, long-term use and misuse of cannabis raise public health concerns, as growing evidence links cannabis exposure to cognitive decline and increased risk of neurodegenerative diseases.</w:t>
      </w:r>
      <w:r w:rsidR="00450FF0" w:rsidRPr="008C2CF4">
        <w:rPr>
          <w:rFonts w:ascii="Times New Roman" w:eastAsia="Calibri" w:hAnsi="Times New Roman" w:cs="Times New Roman"/>
          <w:sz w:val="24"/>
          <w:szCs w:val="24"/>
        </w:rPr>
        <w:t xml:space="preserve"> </w:t>
      </w:r>
      <w:r w:rsidR="00EE3AEC" w:rsidRPr="008C2CF4">
        <w:rPr>
          <w:rFonts w:ascii="Times New Roman" w:eastAsia="Calibri" w:hAnsi="Times New Roman" w:cs="Times New Roman"/>
          <w:sz w:val="24"/>
          <w:szCs w:val="24"/>
        </w:rPr>
        <w:t>This study examined how THC and CBD, given at different doses and for different lengths of time, affect brain health. To do this, we measured levels of Brain-Derived Neurotrophic Factor (BDNF)</w:t>
      </w:r>
      <w:r w:rsidR="00C27CD9" w:rsidRPr="008C2CF4">
        <w:rPr>
          <w:rFonts w:ascii="Times New Roman" w:eastAsia="Calibri" w:hAnsi="Times New Roman" w:cs="Times New Roman"/>
          <w:sz w:val="24"/>
          <w:szCs w:val="24"/>
        </w:rPr>
        <w:t>,</w:t>
      </w:r>
      <w:r w:rsidR="00450FF0" w:rsidRPr="008C2CF4">
        <w:rPr>
          <w:rFonts w:ascii="Times New Roman" w:eastAsia="Calibri" w:hAnsi="Times New Roman" w:cs="Times New Roman"/>
          <w:sz w:val="24"/>
          <w:szCs w:val="24"/>
        </w:rPr>
        <w:t xml:space="preserve"> </w:t>
      </w:r>
      <w:r w:rsidR="00EE3AEC" w:rsidRPr="008C2CF4">
        <w:rPr>
          <w:rFonts w:ascii="Times New Roman" w:eastAsia="Calibri" w:hAnsi="Times New Roman" w:cs="Times New Roman"/>
          <w:sz w:val="24"/>
          <w:szCs w:val="24"/>
        </w:rPr>
        <w:t>a key protein that supports brain cell health and function</w:t>
      </w:r>
      <w:r w:rsidR="009F225A" w:rsidRPr="008C2CF4">
        <w:rPr>
          <w:rFonts w:ascii="Times New Roman" w:eastAsia="Calibri" w:hAnsi="Times New Roman" w:cs="Times New Roman"/>
          <w:sz w:val="24"/>
          <w:szCs w:val="24"/>
        </w:rPr>
        <w:t xml:space="preserve"> </w:t>
      </w:r>
      <w:r w:rsidR="00EE3AEC" w:rsidRPr="008C2CF4">
        <w:rPr>
          <w:rFonts w:ascii="Times New Roman" w:eastAsia="Calibri" w:hAnsi="Times New Roman" w:cs="Times New Roman"/>
          <w:sz w:val="24"/>
          <w:szCs w:val="24"/>
        </w:rPr>
        <w:t>in both the blood (serum) and the hippocampus, a brain region critical for memory and learning.</w:t>
      </w:r>
    </w:p>
    <w:p w14:paraId="462D33D4" w14:textId="07AA0E56" w:rsidR="00072077" w:rsidRPr="008C2CF4" w:rsidRDefault="008D66DC" w:rsidP="00C816AA">
      <w:pPr>
        <w:spacing w:after="200" w:line="360" w:lineRule="auto"/>
        <w:rPr>
          <w:rFonts w:ascii="Times New Roman" w:eastAsia="Calibri" w:hAnsi="Times New Roman" w:cs="Times New Roman"/>
          <w:sz w:val="24"/>
          <w:szCs w:val="24"/>
        </w:rPr>
      </w:pPr>
      <w:r w:rsidRPr="008C2CF4">
        <w:rPr>
          <w:rFonts w:ascii="Times New Roman" w:eastAsia="Calibri" w:hAnsi="Times New Roman" w:cs="Times New Roman"/>
          <w:sz w:val="24"/>
          <w:szCs w:val="24"/>
        </w:rPr>
        <w:t>This study demonstrates that Δ9‑tetrahydrocannabinol (THC) and cannabidiol (CBD) significantly reduce brain-derived neurotrophic factor (BDNF) levels in both serum and hippocampal tissues of male Wistar rats, with effects varying in a dose- and time-dependent manner. THC induced the most pronounced suppression, particularly at higher doses and during chronic exposure</w:t>
      </w:r>
      <w:r w:rsidRPr="00B452D1">
        <w:rPr>
          <w:rFonts w:ascii="Times New Roman" w:eastAsia="Calibri" w:hAnsi="Times New Roman" w:cs="Times New Roman"/>
          <w:sz w:val="24"/>
          <w:szCs w:val="24"/>
        </w:rPr>
        <w:t xml:space="preserve">. </w:t>
      </w:r>
      <w:r w:rsidR="00B452D1" w:rsidRPr="00B452D1">
        <w:rPr>
          <w:rFonts w:ascii="Times New Roman" w:hAnsi="Times New Roman" w:cs="Times New Roman"/>
          <w:sz w:val="24"/>
          <w:szCs w:val="24"/>
          <w:highlight w:val="yellow"/>
        </w:rPr>
        <w:t>These findings suggest that prolonged cannabinoid exposure may disrupt neurotrophic support mechanisms, as reflected by altered BDNF levels, indicating potential vulnerability to impaired neuroplasticity.</w:t>
      </w:r>
      <w:r w:rsidR="00B452D1" w:rsidRPr="00B452D1">
        <w:rPr>
          <w:rFonts w:ascii="Times New Roman" w:hAnsi="Times New Roman" w:cs="Times New Roman"/>
          <w:sz w:val="20"/>
          <w:szCs w:val="20"/>
          <w:highlight w:val="yellow"/>
        </w:rPr>
        <w:t xml:space="preserve"> </w:t>
      </w:r>
      <w:r w:rsidR="00612308" w:rsidRPr="00612308">
        <w:rPr>
          <w:rFonts w:ascii="Times New Roman" w:hAnsi="Times New Roman" w:cs="Times New Roman"/>
          <w:sz w:val="24"/>
          <w:szCs w:val="24"/>
          <w:highlight w:val="yellow"/>
        </w:rPr>
        <w:t>Cannabinoids are known to influence intracellular signalling cascades through CB1 receptor modulation, including pathways involving cyclic AMP and CREB, which regulate BDNF expression.</w:t>
      </w:r>
      <w:r w:rsidR="00612308" w:rsidRPr="00612308">
        <w:rPr>
          <w:rFonts w:ascii="Times New Roman" w:eastAsia="Calibri" w:hAnsi="Times New Roman" w:cs="Times New Roman"/>
          <w:noProof/>
          <w:sz w:val="24"/>
          <w:szCs w:val="24"/>
        </w:rPr>
        <w:t xml:space="preserve"> </w:t>
      </w:r>
      <w:r w:rsidR="00612308" w:rsidRPr="00612308">
        <w:rPr>
          <w:rFonts w:ascii="Times New Roman" w:hAnsi="Times New Roman" w:cs="Times New Roman"/>
          <w:sz w:val="24"/>
          <w:szCs w:val="24"/>
          <w:highlight w:val="yellow"/>
        </w:rPr>
        <w:t xml:space="preserve">(Keefe et al., 2017; </w:t>
      </w:r>
      <w:proofErr w:type="spellStart"/>
      <w:r w:rsidR="00612308" w:rsidRPr="00612308">
        <w:rPr>
          <w:rFonts w:ascii="Times New Roman" w:hAnsi="Times New Roman" w:cs="Times New Roman"/>
          <w:sz w:val="24"/>
          <w:szCs w:val="24"/>
          <w:highlight w:val="yellow"/>
        </w:rPr>
        <w:t>Koshimizu</w:t>
      </w:r>
      <w:proofErr w:type="spellEnd"/>
      <w:r w:rsidR="00612308" w:rsidRPr="00612308">
        <w:rPr>
          <w:rFonts w:ascii="Times New Roman" w:hAnsi="Times New Roman" w:cs="Times New Roman"/>
          <w:sz w:val="24"/>
          <w:szCs w:val="24"/>
          <w:highlight w:val="yellow"/>
        </w:rPr>
        <w:t xml:space="preserve"> et al., 2009).  Although these molecular pathways were not directly assessed in th</w:t>
      </w:r>
      <w:r w:rsidR="00612308">
        <w:rPr>
          <w:rFonts w:ascii="Times New Roman" w:hAnsi="Times New Roman" w:cs="Times New Roman"/>
          <w:sz w:val="24"/>
          <w:szCs w:val="24"/>
          <w:highlight w:val="yellow"/>
        </w:rPr>
        <w:t>is</w:t>
      </w:r>
      <w:r w:rsidR="00612308" w:rsidRPr="00612308">
        <w:rPr>
          <w:rFonts w:ascii="Times New Roman" w:hAnsi="Times New Roman" w:cs="Times New Roman"/>
          <w:sz w:val="24"/>
          <w:szCs w:val="24"/>
          <w:highlight w:val="yellow"/>
        </w:rPr>
        <w:t xml:space="preserve"> study, previous literature suggests that cannabinoid-induced alterations in BDNF may involve such signalling mechanisms. Further investigations incorporating molecular and oxidative stress markers are required to confirm these pathways.</w:t>
      </w:r>
      <w:r w:rsidR="00612308">
        <w:rPr>
          <w:rFonts w:ascii="Times New Roman" w:hAnsi="Times New Roman" w:cs="Times New Roman"/>
          <w:sz w:val="20"/>
          <w:szCs w:val="20"/>
        </w:rPr>
        <w:t xml:space="preserve"> </w:t>
      </w:r>
      <w:r w:rsidR="00B40BBC" w:rsidRPr="008C2CF4">
        <w:rPr>
          <w:rFonts w:ascii="Times New Roman" w:eastAsia="Calibri" w:hAnsi="Times New Roman" w:cs="Times New Roman"/>
          <w:sz w:val="24"/>
          <w:szCs w:val="24"/>
        </w:rPr>
        <w:t xml:space="preserve">The progressive decline in BDNF observed across acute, sub‑chronic, and chronic phases </w:t>
      </w:r>
      <w:r w:rsidR="00F935F6">
        <w:rPr>
          <w:rFonts w:ascii="Times New Roman" w:eastAsia="Calibri" w:hAnsi="Times New Roman" w:cs="Times New Roman"/>
          <w:sz w:val="24"/>
          <w:szCs w:val="24"/>
        </w:rPr>
        <w:t xml:space="preserve">may </w:t>
      </w:r>
      <w:r w:rsidR="00B40BBC" w:rsidRPr="008C2CF4">
        <w:rPr>
          <w:rFonts w:ascii="Times New Roman" w:eastAsia="Calibri" w:hAnsi="Times New Roman" w:cs="Times New Roman"/>
          <w:sz w:val="24"/>
          <w:szCs w:val="24"/>
        </w:rPr>
        <w:t>suggest persistent suppression of the cAMP/CREB pathway</w:t>
      </w:r>
      <w:r w:rsidR="00A569DE" w:rsidRPr="008C2CF4">
        <w:rPr>
          <w:rFonts w:ascii="Times New Roman" w:eastAsia="Calibri" w:hAnsi="Times New Roman" w:cs="Times New Roman"/>
          <w:sz w:val="24"/>
          <w:szCs w:val="24"/>
        </w:rPr>
        <w:t>.</w:t>
      </w:r>
      <w:r w:rsidR="00072077" w:rsidRPr="008C2CF4">
        <w:rPr>
          <w:rFonts w:ascii="Times New Roman" w:eastAsia="Calibri" w:hAnsi="Times New Roman" w:cs="Times New Roman"/>
          <w:sz w:val="24"/>
          <w:szCs w:val="24"/>
        </w:rPr>
        <w:t xml:space="preserve"> Beyond receptor-mediated signalling, THC disrupts mitochondrial bioenergetics</w:t>
      </w:r>
      <w:r w:rsidR="00CC1539" w:rsidRPr="008C2CF4">
        <w:rPr>
          <w:rFonts w:ascii="Times New Roman" w:eastAsia="Calibri" w:hAnsi="Times New Roman" w:cs="Times New Roman"/>
          <w:sz w:val="24"/>
          <w:szCs w:val="24"/>
        </w:rPr>
        <w:t xml:space="preserve"> by </w:t>
      </w:r>
      <w:r w:rsidR="00072077" w:rsidRPr="008C2CF4">
        <w:rPr>
          <w:rFonts w:ascii="Times New Roman" w:eastAsia="Calibri" w:hAnsi="Times New Roman" w:cs="Times New Roman"/>
          <w:sz w:val="24"/>
          <w:szCs w:val="24"/>
        </w:rPr>
        <w:t xml:space="preserve">increasing reactive oxygen species (ROS) while reducing ATP synthesis </w:t>
      </w:r>
      <w:r w:rsidR="00DE3408">
        <w:rPr>
          <w:rFonts w:ascii="Times New Roman" w:eastAsia="Calibri" w:hAnsi="Times New Roman" w:cs="Times New Roman"/>
          <w:noProof/>
          <w:sz w:val="24"/>
          <w:szCs w:val="24"/>
        </w:rPr>
        <w:t>(Chen et al., 2017)</w:t>
      </w:r>
      <w:r w:rsidR="00072077" w:rsidRPr="008C2CF4">
        <w:rPr>
          <w:rFonts w:ascii="Times New Roman" w:eastAsia="Calibri" w:hAnsi="Times New Roman" w:cs="Times New Roman"/>
          <w:sz w:val="24"/>
          <w:szCs w:val="24"/>
        </w:rPr>
        <w:t xml:space="preserve">. This </w:t>
      </w:r>
      <w:r w:rsidR="00612308" w:rsidRPr="0058755D">
        <w:rPr>
          <w:rFonts w:ascii="Times New Roman" w:eastAsia="Calibri" w:hAnsi="Times New Roman" w:cs="Times New Roman"/>
          <w:sz w:val="24"/>
          <w:szCs w:val="24"/>
          <w:highlight w:val="yellow"/>
        </w:rPr>
        <w:t>may</w:t>
      </w:r>
      <w:r w:rsidR="00612308">
        <w:rPr>
          <w:rFonts w:ascii="Times New Roman" w:eastAsia="Calibri" w:hAnsi="Times New Roman" w:cs="Times New Roman"/>
          <w:sz w:val="24"/>
          <w:szCs w:val="24"/>
        </w:rPr>
        <w:t xml:space="preserve"> </w:t>
      </w:r>
      <w:r w:rsidR="00072077" w:rsidRPr="008C2CF4">
        <w:rPr>
          <w:rFonts w:ascii="Times New Roman" w:eastAsia="Calibri" w:hAnsi="Times New Roman" w:cs="Times New Roman"/>
          <w:sz w:val="24"/>
          <w:szCs w:val="24"/>
        </w:rPr>
        <w:t xml:space="preserve">create a vicious cycle: the reduction in BDNF, which normally supports mitochondrial function and antioxidant pathways, </w:t>
      </w:r>
      <w:r w:rsidR="00612308" w:rsidRPr="0058755D">
        <w:rPr>
          <w:rFonts w:ascii="Times New Roman" w:eastAsia="Calibri" w:hAnsi="Times New Roman" w:cs="Times New Roman"/>
          <w:sz w:val="24"/>
          <w:szCs w:val="24"/>
          <w:highlight w:val="yellow"/>
        </w:rPr>
        <w:t>may</w:t>
      </w:r>
      <w:r w:rsidR="00612308">
        <w:rPr>
          <w:rFonts w:ascii="Times New Roman" w:eastAsia="Calibri" w:hAnsi="Times New Roman" w:cs="Times New Roman"/>
          <w:sz w:val="24"/>
          <w:szCs w:val="24"/>
        </w:rPr>
        <w:t xml:space="preserve"> </w:t>
      </w:r>
      <w:r w:rsidR="00072077" w:rsidRPr="008C2CF4">
        <w:rPr>
          <w:rFonts w:ascii="Times New Roman" w:eastAsia="Calibri" w:hAnsi="Times New Roman" w:cs="Times New Roman"/>
          <w:sz w:val="24"/>
          <w:szCs w:val="24"/>
        </w:rPr>
        <w:t>exacerbate oxidative stress and amplif</w:t>
      </w:r>
      <w:r w:rsidR="00612308">
        <w:rPr>
          <w:rFonts w:ascii="Times New Roman" w:eastAsia="Calibri" w:hAnsi="Times New Roman" w:cs="Times New Roman"/>
          <w:sz w:val="24"/>
          <w:szCs w:val="24"/>
        </w:rPr>
        <w:t>y</w:t>
      </w:r>
      <w:r w:rsidR="00072077" w:rsidRPr="008C2CF4">
        <w:rPr>
          <w:rFonts w:ascii="Times New Roman" w:eastAsia="Calibri" w:hAnsi="Times New Roman" w:cs="Times New Roman"/>
          <w:sz w:val="24"/>
          <w:szCs w:val="24"/>
        </w:rPr>
        <w:t xml:space="preserve"> neuronal vulnerability </w:t>
      </w:r>
      <w:r w:rsidR="00DE3408">
        <w:rPr>
          <w:rFonts w:ascii="Times New Roman" w:eastAsia="Calibri" w:hAnsi="Times New Roman" w:cs="Times New Roman"/>
          <w:noProof/>
          <w:sz w:val="24"/>
          <w:szCs w:val="24"/>
        </w:rPr>
        <w:t>(Chen et al., 2017; Coluk et al., 2025; Krukru et al., 2026)</w:t>
      </w:r>
      <w:r w:rsidR="00072077" w:rsidRPr="008C2CF4">
        <w:rPr>
          <w:rFonts w:ascii="Times New Roman" w:eastAsia="Calibri" w:hAnsi="Times New Roman" w:cs="Times New Roman"/>
          <w:sz w:val="24"/>
          <w:szCs w:val="24"/>
        </w:rPr>
        <w:t>. The hippocampus is especially susceptible to injury due to its high metabolic demand, correlating with the pronounced BDNF reduction observed following chronic THC exposure. Concurrent neuroinflammatory processes</w:t>
      </w:r>
      <w:r w:rsidR="0058755D">
        <w:rPr>
          <w:rFonts w:ascii="Times New Roman" w:eastAsia="Calibri" w:hAnsi="Times New Roman" w:cs="Times New Roman"/>
          <w:sz w:val="24"/>
          <w:szCs w:val="24"/>
        </w:rPr>
        <w:t xml:space="preserve"> </w:t>
      </w:r>
      <w:r w:rsidR="0058755D" w:rsidRPr="0058755D">
        <w:rPr>
          <w:rFonts w:ascii="Times New Roman" w:eastAsia="Calibri" w:hAnsi="Times New Roman" w:cs="Times New Roman"/>
          <w:sz w:val="24"/>
          <w:szCs w:val="24"/>
          <w:highlight w:val="yellow"/>
        </w:rPr>
        <w:t>may</w:t>
      </w:r>
      <w:r w:rsidR="00072077" w:rsidRPr="008C2CF4">
        <w:rPr>
          <w:rFonts w:ascii="Times New Roman" w:eastAsia="Calibri" w:hAnsi="Times New Roman" w:cs="Times New Roman"/>
          <w:sz w:val="24"/>
          <w:szCs w:val="24"/>
        </w:rPr>
        <w:t xml:space="preserve"> compound this effect, as chronic cannabis use activates microglia and astrocytes to release </w:t>
      </w:r>
      <w:r w:rsidR="00072077" w:rsidRPr="008C2CF4">
        <w:rPr>
          <w:rFonts w:ascii="Times New Roman" w:eastAsia="Calibri" w:hAnsi="Times New Roman" w:cs="Times New Roman"/>
          <w:sz w:val="24"/>
          <w:szCs w:val="24"/>
        </w:rPr>
        <w:lastRenderedPageBreak/>
        <w:t xml:space="preserve">pro‑inflammatory cytokines </w:t>
      </w:r>
      <w:r w:rsidR="007A5E29" w:rsidRPr="008C2CF4">
        <w:rPr>
          <w:rFonts w:ascii="Times New Roman" w:eastAsia="Calibri" w:hAnsi="Times New Roman" w:cs="Times New Roman"/>
          <w:sz w:val="24"/>
          <w:szCs w:val="24"/>
        </w:rPr>
        <w:t xml:space="preserve">like </w:t>
      </w:r>
      <w:r w:rsidR="009D6500">
        <w:rPr>
          <w:rFonts w:ascii="Times New Roman" w:eastAsia="Calibri" w:hAnsi="Times New Roman" w:cs="Times New Roman"/>
          <w:sz w:val="24"/>
          <w:szCs w:val="24"/>
        </w:rPr>
        <w:t>t</w:t>
      </w:r>
      <w:r w:rsidR="000219D0" w:rsidRPr="000219D0">
        <w:rPr>
          <w:rFonts w:ascii="Times New Roman" w:eastAsia="Calibri" w:hAnsi="Times New Roman" w:cs="Times New Roman"/>
          <w:sz w:val="24"/>
          <w:szCs w:val="24"/>
        </w:rPr>
        <w:t>umour necrosis factor-alpha</w:t>
      </w:r>
      <w:r w:rsidR="009D6500">
        <w:rPr>
          <w:rFonts w:ascii="Times New Roman" w:eastAsia="Calibri" w:hAnsi="Times New Roman" w:cs="Times New Roman"/>
          <w:sz w:val="24"/>
          <w:szCs w:val="24"/>
        </w:rPr>
        <w:t xml:space="preserve"> (</w:t>
      </w:r>
      <w:r w:rsidR="00072077" w:rsidRPr="008C2CF4">
        <w:rPr>
          <w:rFonts w:ascii="Times New Roman" w:eastAsia="Calibri" w:hAnsi="Times New Roman" w:cs="Times New Roman"/>
          <w:sz w:val="24"/>
          <w:szCs w:val="24"/>
        </w:rPr>
        <w:t>TNFα</w:t>
      </w:r>
      <w:r w:rsidR="009D6500">
        <w:rPr>
          <w:rFonts w:ascii="Times New Roman" w:eastAsia="Calibri" w:hAnsi="Times New Roman" w:cs="Times New Roman"/>
          <w:sz w:val="24"/>
          <w:szCs w:val="24"/>
        </w:rPr>
        <w:t>)</w:t>
      </w:r>
      <w:r w:rsidR="004B143A" w:rsidRPr="008C2CF4">
        <w:rPr>
          <w:rFonts w:ascii="Times New Roman" w:eastAsia="Calibri" w:hAnsi="Times New Roman" w:cs="Times New Roman"/>
          <w:sz w:val="24"/>
          <w:szCs w:val="24"/>
        </w:rPr>
        <w:t xml:space="preserve"> and</w:t>
      </w:r>
      <w:r w:rsidR="00072077" w:rsidRPr="008C2CF4">
        <w:rPr>
          <w:rFonts w:ascii="Times New Roman" w:eastAsia="Calibri" w:hAnsi="Times New Roman" w:cs="Times New Roman"/>
          <w:sz w:val="24"/>
          <w:szCs w:val="24"/>
        </w:rPr>
        <w:t xml:space="preserve"> </w:t>
      </w:r>
      <w:r w:rsidR="009D6500">
        <w:rPr>
          <w:rFonts w:ascii="Times New Roman" w:eastAsia="Calibri" w:hAnsi="Times New Roman" w:cs="Times New Roman"/>
          <w:sz w:val="24"/>
          <w:szCs w:val="24"/>
        </w:rPr>
        <w:t>i</w:t>
      </w:r>
      <w:r w:rsidR="009D6500" w:rsidRPr="009D6500">
        <w:rPr>
          <w:rFonts w:ascii="Times New Roman" w:eastAsia="Calibri" w:hAnsi="Times New Roman" w:cs="Times New Roman"/>
          <w:sz w:val="24"/>
          <w:szCs w:val="24"/>
        </w:rPr>
        <w:t>nterleukin-1 beta</w:t>
      </w:r>
      <w:r w:rsidR="00633FD6">
        <w:rPr>
          <w:rFonts w:ascii="Times New Roman" w:eastAsia="Calibri" w:hAnsi="Times New Roman" w:cs="Times New Roman"/>
          <w:sz w:val="24"/>
          <w:szCs w:val="24"/>
        </w:rPr>
        <w:t xml:space="preserve"> (</w:t>
      </w:r>
      <w:r w:rsidR="00072077" w:rsidRPr="008C2CF4">
        <w:rPr>
          <w:rFonts w:ascii="Times New Roman" w:eastAsia="Calibri" w:hAnsi="Times New Roman" w:cs="Times New Roman"/>
          <w:sz w:val="24"/>
          <w:szCs w:val="24"/>
        </w:rPr>
        <w:t>IL‑1β</w:t>
      </w:r>
      <w:r w:rsidR="00633FD6">
        <w:rPr>
          <w:rFonts w:ascii="Times New Roman" w:eastAsia="Calibri" w:hAnsi="Times New Roman" w:cs="Times New Roman"/>
          <w:sz w:val="24"/>
          <w:szCs w:val="24"/>
        </w:rPr>
        <w:t>)</w:t>
      </w:r>
      <w:r w:rsidR="00DC26DC">
        <w:rPr>
          <w:rFonts w:ascii="Times New Roman" w:eastAsia="Calibri" w:hAnsi="Times New Roman" w:cs="Times New Roman"/>
          <w:sz w:val="24"/>
          <w:szCs w:val="24"/>
        </w:rPr>
        <w:t>,</w:t>
      </w:r>
      <w:r w:rsidR="00C8786A" w:rsidRPr="008C2CF4">
        <w:rPr>
          <w:rFonts w:ascii="Times New Roman" w:eastAsia="Calibri" w:hAnsi="Times New Roman" w:cs="Times New Roman"/>
          <w:sz w:val="24"/>
          <w:szCs w:val="24"/>
        </w:rPr>
        <w:t xml:space="preserve"> </w:t>
      </w:r>
      <w:r w:rsidR="00072077" w:rsidRPr="008C2CF4">
        <w:rPr>
          <w:rFonts w:ascii="Times New Roman" w:eastAsia="Calibri" w:hAnsi="Times New Roman" w:cs="Times New Roman"/>
          <w:sz w:val="24"/>
          <w:szCs w:val="24"/>
        </w:rPr>
        <w:t xml:space="preserve">which further suppress BDNF synthesis and disrupt synaptic plasticity </w:t>
      </w:r>
      <w:r w:rsidR="00DE3408">
        <w:rPr>
          <w:rFonts w:ascii="Times New Roman" w:eastAsia="Calibri" w:hAnsi="Times New Roman" w:cs="Times New Roman"/>
          <w:noProof/>
          <w:sz w:val="24"/>
          <w:szCs w:val="24"/>
        </w:rPr>
        <w:t>(Cservenka et al., 2018; Steiner &amp; Wotjak, 2008)</w:t>
      </w:r>
      <w:r w:rsidR="007B7C17" w:rsidRPr="008C2CF4">
        <w:rPr>
          <w:rFonts w:ascii="Times New Roman" w:eastAsia="Calibri" w:hAnsi="Times New Roman" w:cs="Times New Roman"/>
          <w:sz w:val="24"/>
          <w:szCs w:val="24"/>
        </w:rPr>
        <w:t>.</w:t>
      </w:r>
    </w:p>
    <w:p w14:paraId="3D2D11D5" w14:textId="6CF9D259" w:rsidR="006B6A70" w:rsidRPr="008C2CF4" w:rsidRDefault="00C30271" w:rsidP="00C816AA">
      <w:pPr>
        <w:spacing w:after="200" w:line="360" w:lineRule="auto"/>
        <w:rPr>
          <w:rFonts w:ascii="Times New Roman" w:eastAsia="Calibri" w:hAnsi="Times New Roman" w:cs="Times New Roman"/>
          <w:sz w:val="24"/>
          <w:szCs w:val="24"/>
        </w:rPr>
      </w:pPr>
      <w:r w:rsidRPr="008C2CF4">
        <w:rPr>
          <w:rFonts w:ascii="Times New Roman" w:eastAsia="Calibri" w:hAnsi="Times New Roman" w:cs="Times New Roman"/>
          <w:sz w:val="24"/>
          <w:szCs w:val="24"/>
        </w:rPr>
        <w:t xml:space="preserve">The observed reductions in hippocampal BDNF align closely with the cognitive and </w:t>
      </w:r>
      <w:r w:rsidR="00FB39A1" w:rsidRPr="008C2CF4">
        <w:rPr>
          <w:rFonts w:ascii="Times New Roman" w:eastAsia="Calibri" w:hAnsi="Times New Roman" w:cs="Times New Roman"/>
          <w:sz w:val="24"/>
          <w:szCs w:val="24"/>
        </w:rPr>
        <w:t>behavioural</w:t>
      </w:r>
      <w:r w:rsidRPr="008C2CF4">
        <w:rPr>
          <w:rFonts w:ascii="Times New Roman" w:eastAsia="Calibri" w:hAnsi="Times New Roman" w:cs="Times New Roman"/>
          <w:sz w:val="24"/>
          <w:szCs w:val="24"/>
        </w:rPr>
        <w:t xml:space="preserve"> deficits commonly associated with cannabinoid exposure. Chronic cannabis use is clinically linked to impairments in memory, attention, and executive function, with hippocampal dysfunction identified as a central mediator </w:t>
      </w:r>
      <w:r w:rsidR="00DE3408">
        <w:rPr>
          <w:rFonts w:ascii="Times New Roman" w:eastAsia="Calibri" w:hAnsi="Times New Roman" w:cs="Times New Roman"/>
          <w:noProof/>
          <w:sz w:val="24"/>
          <w:szCs w:val="24"/>
        </w:rPr>
        <w:t>(Lovell et al., 2020; Pisanti et al., 2017; Solowij &amp; Pesa, 2010)</w:t>
      </w:r>
      <w:r w:rsidRPr="008C2CF4">
        <w:rPr>
          <w:rFonts w:ascii="Times New Roman" w:eastAsia="Calibri" w:hAnsi="Times New Roman" w:cs="Times New Roman"/>
          <w:sz w:val="24"/>
          <w:szCs w:val="24"/>
        </w:rPr>
        <w:t xml:space="preserve">. </w:t>
      </w:r>
      <w:r w:rsidR="002B46FD" w:rsidRPr="008C2CF4">
        <w:rPr>
          <w:rFonts w:ascii="Times New Roman" w:eastAsia="Calibri" w:hAnsi="Times New Roman" w:cs="Times New Roman"/>
          <w:sz w:val="24"/>
          <w:szCs w:val="24"/>
        </w:rPr>
        <w:t>A</w:t>
      </w:r>
      <w:r w:rsidRPr="008C2CF4">
        <w:rPr>
          <w:rFonts w:ascii="Times New Roman" w:eastAsia="Calibri" w:hAnsi="Times New Roman" w:cs="Times New Roman"/>
          <w:sz w:val="24"/>
          <w:szCs w:val="24"/>
        </w:rPr>
        <w:t>dolescent exposure has been shown to disrupt hippocampal development, resulting in long‑term learning deficits and emotional dysregulation</w:t>
      </w:r>
      <w:r w:rsidR="00EE4D24" w:rsidRPr="008C2CF4">
        <w:rPr>
          <w:rFonts w:ascii="Times New Roman" w:eastAsia="Calibri" w:hAnsi="Times New Roman" w:cs="Times New Roman"/>
          <w:sz w:val="24"/>
          <w:szCs w:val="24"/>
        </w:rPr>
        <w:t xml:space="preserve"> </w:t>
      </w:r>
      <w:r w:rsidR="00DE3408">
        <w:rPr>
          <w:rFonts w:ascii="Times New Roman" w:eastAsia="Calibri" w:hAnsi="Times New Roman" w:cs="Times New Roman"/>
          <w:noProof/>
          <w:sz w:val="24"/>
          <w:szCs w:val="24"/>
        </w:rPr>
        <w:t>(Micalizzi et al., 2020; Mooney-Leber &amp; Gould, 2018; Watt &amp; Karl, 2025)</w:t>
      </w:r>
      <w:r w:rsidRPr="008C2CF4">
        <w:rPr>
          <w:rFonts w:ascii="Times New Roman" w:eastAsia="Calibri" w:hAnsi="Times New Roman" w:cs="Times New Roman"/>
          <w:sz w:val="24"/>
          <w:szCs w:val="24"/>
        </w:rPr>
        <w:t>. These clinical observations are corroborated by animal studies</w:t>
      </w:r>
      <w:r w:rsidR="00156DFA" w:rsidRPr="008C2CF4">
        <w:rPr>
          <w:rFonts w:ascii="Times New Roman" w:eastAsia="Calibri" w:hAnsi="Times New Roman" w:cs="Times New Roman"/>
          <w:sz w:val="24"/>
          <w:szCs w:val="24"/>
        </w:rPr>
        <w:t xml:space="preserve">. It has been shown that early </w:t>
      </w:r>
      <w:r w:rsidRPr="008C2CF4">
        <w:rPr>
          <w:rFonts w:ascii="Times New Roman" w:eastAsia="Calibri" w:hAnsi="Times New Roman" w:cs="Times New Roman"/>
          <w:sz w:val="24"/>
          <w:szCs w:val="24"/>
        </w:rPr>
        <w:t>exposure to psychoactive substances reduced hippocampal BDNF and impaired spatial memory</w:t>
      </w:r>
      <w:r w:rsidR="00156DFA" w:rsidRPr="008C2CF4">
        <w:rPr>
          <w:rFonts w:ascii="Times New Roman" w:eastAsia="Calibri" w:hAnsi="Times New Roman" w:cs="Times New Roman"/>
          <w:sz w:val="24"/>
          <w:szCs w:val="24"/>
        </w:rPr>
        <w:t xml:space="preserve"> </w:t>
      </w:r>
      <w:r w:rsidR="00DE3408">
        <w:rPr>
          <w:rFonts w:ascii="Times New Roman" w:eastAsia="Calibri" w:hAnsi="Times New Roman" w:cs="Times New Roman"/>
          <w:noProof/>
          <w:sz w:val="24"/>
          <w:szCs w:val="24"/>
        </w:rPr>
        <w:t>(Atallah et al., 2026; Heldt et al., 2007; Quinn et al., 2008)</w:t>
      </w:r>
      <w:r w:rsidR="00747B10" w:rsidRPr="008C2CF4">
        <w:rPr>
          <w:rFonts w:ascii="Times New Roman" w:eastAsia="Calibri" w:hAnsi="Times New Roman" w:cs="Times New Roman"/>
          <w:sz w:val="24"/>
          <w:szCs w:val="24"/>
        </w:rPr>
        <w:t xml:space="preserve"> as the </w:t>
      </w:r>
      <w:r w:rsidR="006B6A70" w:rsidRPr="008C2CF4">
        <w:rPr>
          <w:rFonts w:ascii="Times New Roman" w:eastAsia="Calibri" w:hAnsi="Times New Roman" w:cs="Times New Roman"/>
          <w:sz w:val="24"/>
          <w:szCs w:val="24"/>
        </w:rPr>
        <w:t xml:space="preserve">BDNF impairs </w:t>
      </w:r>
      <w:proofErr w:type="spellStart"/>
      <w:r w:rsidR="006B6A70" w:rsidRPr="008C2CF4">
        <w:rPr>
          <w:rFonts w:ascii="Times New Roman" w:eastAsia="Calibri" w:hAnsi="Times New Roman" w:cs="Times New Roman"/>
          <w:sz w:val="24"/>
          <w:szCs w:val="24"/>
        </w:rPr>
        <w:t>TrkB</w:t>
      </w:r>
      <w:proofErr w:type="spellEnd"/>
      <w:r w:rsidR="006B6A70" w:rsidRPr="008C2CF4">
        <w:rPr>
          <w:rFonts w:ascii="Times New Roman" w:eastAsia="Calibri" w:hAnsi="Times New Roman" w:cs="Times New Roman"/>
          <w:sz w:val="24"/>
          <w:szCs w:val="24"/>
        </w:rPr>
        <w:t>‑mediated signalling pathways essential for synaptic connectivity, thereby weakening the neural substrates of learning, memory, and mood regulation. This provides a direct biological explanation for the cognitive impairments, mood disturbances, and learning deficits frequently observed in chronic cannabis users.</w:t>
      </w:r>
    </w:p>
    <w:p w14:paraId="69713D4E" w14:textId="732ABDAA" w:rsidR="00CE08FF" w:rsidRDefault="00C620FD" w:rsidP="00C816AA">
      <w:pPr>
        <w:spacing w:after="200" w:line="360" w:lineRule="auto"/>
        <w:rPr>
          <w:rFonts w:ascii="Times New Roman" w:eastAsia="Calibri" w:hAnsi="Times New Roman" w:cs="Times New Roman"/>
          <w:sz w:val="24"/>
          <w:szCs w:val="24"/>
        </w:rPr>
      </w:pPr>
      <w:r w:rsidRPr="008C2CF4">
        <w:rPr>
          <w:rFonts w:ascii="Times New Roman" w:eastAsia="Calibri" w:hAnsi="Times New Roman" w:cs="Times New Roman"/>
          <w:sz w:val="24"/>
          <w:szCs w:val="24"/>
        </w:rPr>
        <w:t>While THC consistently suppressed BDNF, CBD exhibited transient protective effects, characteri</w:t>
      </w:r>
      <w:r w:rsidR="004B143A" w:rsidRPr="008C2CF4">
        <w:rPr>
          <w:rFonts w:ascii="Times New Roman" w:eastAsia="Calibri" w:hAnsi="Times New Roman" w:cs="Times New Roman"/>
          <w:sz w:val="24"/>
          <w:szCs w:val="24"/>
        </w:rPr>
        <w:t>s</w:t>
      </w:r>
      <w:r w:rsidRPr="008C2CF4">
        <w:rPr>
          <w:rFonts w:ascii="Times New Roman" w:eastAsia="Calibri" w:hAnsi="Times New Roman" w:cs="Times New Roman"/>
          <w:sz w:val="24"/>
          <w:szCs w:val="24"/>
        </w:rPr>
        <w:t xml:space="preserve">ed by marginal increases in hippocampal BDNF during acute exposure. This observation aligns with the documented neuroprotective and anxiolytic properties of CBD </w:t>
      </w:r>
      <w:r w:rsidR="00DE3408">
        <w:rPr>
          <w:rFonts w:ascii="Times New Roman" w:eastAsia="Calibri" w:hAnsi="Times New Roman" w:cs="Times New Roman"/>
          <w:noProof/>
          <w:sz w:val="24"/>
          <w:szCs w:val="24"/>
        </w:rPr>
        <w:t>(Devinsky et al., 2017; Tambe et al., 2023)</w:t>
      </w:r>
      <w:r w:rsidR="002167EA" w:rsidRPr="008C2CF4">
        <w:rPr>
          <w:rFonts w:ascii="Times New Roman" w:eastAsia="Calibri" w:hAnsi="Times New Roman" w:cs="Times New Roman"/>
          <w:sz w:val="24"/>
          <w:szCs w:val="24"/>
        </w:rPr>
        <w:t xml:space="preserve">. </w:t>
      </w:r>
      <w:r w:rsidR="00020D93" w:rsidRPr="008C2CF4">
        <w:rPr>
          <w:rFonts w:ascii="Times New Roman" w:eastAsia="Calibri" w:hAnsi="Times New Roman" w:cs="Times New Roman"/>
          <w:sz w:val="24"/>
          <w:szCs w:val="24"/>
        </w:rPr>
        <w:t xml:space="preserve">However, </w:t>
      </w:r>
      <w:r w:rsidR="00C25E9C" w:rsidRPr="008C2CF4">
        <w:rPr>
          <w:rFonts w:ascii="Times New Roman" w:eastAsia="Calibri" w:hAnsi="Times New Roman" w:cs="Times New Roman"/>
          <w:sz w:val="24"/>
          <w:szCs w:val="24"/>
        </w:rPr>
        <w:t xml:space="preserve">our data revealed that </w:t>
      </w:r>
      <w:r w:rsidR="00020D93" w:rsidRPr="008C2CF4">
        <w:rPr>
          <w:rFonts w:ascii="Times New Roman" w:eastAsia="Calibri" w:hAnsi="Times New Roman" w:cs="Times New Roman"/>
          <w:sz w:val="24"/>
          <w:szCs w:val="24"/>
        </w:rPr>
        <w:t>chronic CBD administration ultimately led to reductions in BDNF, suggesting that its protective potential is limited under prolonged exposure. This contrast highlights the distinct neurobiological profiles of THC and CBD</w:t>
      </w:r>
      <w:r w:rsidR="00CE08FF" w:rsidRPr="008C2CF4">
        <w:rPr>
          <w:rFonts w:ascii="Times New Roman" w:eastAsia="Calibri" w:hAnsi="Times New Roman" w:cs="Times New Roman"/>
          <w:sz w:val="24"/>
          <w:szCs w:val="24"/>
        </w:rPr>
        <w:t xml:space="preserve">. </w:t>
      </w:r>
    </w:p>
    <w:p w14:paraId="75F7F168" w14:textId="26E3B2CB" w:rsidR="0083077C" w:rsidRDefault="0083077C" w:rsidP="00C816AA">
      <w:pPr>
        <w:spacing w:after="200" w:line="360" w:lineRule="auto"/>
        <w:rPr>
          <w:rFonts w:ascii="Times New Roman" w:eastAsia="Calibri" w:hAnsi="Times New Roman" w:cs="Times New Roman"/>
          <w:sz w:val="24"/>
          <w:szCs w:val="24"/>
        </w:rPr>
      </w:pPr>
      <w:r w:rsidRPr="00C8422C">
        <w:rPr>
          <w:rFonts w:ascii="Times New Roman" w:eastAsia="Calibri" w:hAnsi="Times New Roman" w:cs="Times New Roman"/>
          <w:sz w:val="24"/>
          <w:szCs w:val="24"/>
          <w:highlight w:val="yellow"/>
        </w:rPr>
        <w:t>SIRT1 is a key regulator of BDNF transcription and hippocampal plasticity, and its activation has been linked to improved neuronal survival and reversal of age</w:t>
      </w:r>
      <w:r>
        <w:rPr>
          <w:rFonts w:ascii="Times New Roman" w:eastAsia="Calibri" w:hAnsi="Times New Roman" w:cs="Times New Roman"/>
          <w:sz w:val="24"/>
          <w:szCs w:val="24"/>
          <w:highlight w:val="yellow"/>
        </w:rPr>
        <w:t>-</w:t>
      </w:r>
      <w:r w:rsidRPr="00C8422C">
        <w:rPr>
          <w:rFonts w:ascii="Times New Roman" w:eastAsia="Calibri" w:hAnsi="Times New Roman" w:cs="Times New Roman"/>
          <w:sz w:val="24"/>
          <w:szCs w:val="24"/>
          <w:highlight w:val="yellow"/>
        </w:rPr>
        <w:t>related cognitive impairments (Sarne et al., 2018). Both THC and CBD have been reported to activate SIRT1, with CBD shown to induce autophagy and protect neural cells from mitochondrial dysfunction via SIRT1</w:t>
      </w:r>
      <w:r w:rsidRPr="00C8422C">
        <w:rPr>
          <w:rFonts w:ascii="Times New Roman" w:eastAsia="Calibri" w:hAnsi="Times New Roman" w:cs="Times New Roman"/>
          <w:sz w:val="24"/>
          <w:szCs w:val="24"/>
          <w:highlight w:val="yellow"/>
        </w:rPr>
        <w:noBreakHyphen/>
        <w:t>mediated inhibition of NF</w:t>
      </w:r>
      <w:r w:rsidRPr="00C8422C">
        <w:rPr>
          <w:rFonts w:ascii="Times New Roman" w:eastAsia="Calibri" w:hAnsi="Times New Roman" w:cs="Times New Roman"/>
          <w:sz w:val="24"/>
          <w:szCs w:val="24"/>
          <w:highlight w:val="yellow"/>
        </w:rPr>
        <w:noBreakHyphen/>
      </w:r>
      <w:proofErr w:type="spellStart"/>
      <w:r w:rsidRPr="00C8422C">
        <w:rPr>
          <w:rFonts w:ascii="Times New Roman" w:eastAsia="Calibri" w:hAnsi="Times New Roman" w:cs="Times New Roman"/>
          <w:sz w:val="24"/>
          <w:szCs w:val="24"/>
          <w:highlight w:val="yellow"/>
        </w:rPr>
        <w:t>κB</w:t>
      </w:r>
      <w:proofErr w:type="spellEnd"/>
      <w:r w:rsidRPr="00C8422C">
        <w:rPr>
          <w:rFonts w:ascii="Times New Roman" w:eastAsia="Calibri" w:hAnsi="Times New Roman" w:cs="Times New Roman"/>
          <w:sz w:val="24"/>
          <w:szCs w:val="24"/>
          <w:highlight w:val="yellow"/>
        </w:rPr>
        <w:t xml:space="preserve"> and NOTCH pathways (Kang et al., 2021). Although SIRT1 was not measured in this study, future </w:t>
      </w:r>
      <w:r>
        <w:rPr>
          <w:rFonts w:ascii="Times New Roman" w:eastAsia="Calibri" w:hAnsi="Times New Roman" w:cs="Times New Roman"/>
          <w:sz w:val="24"/>
          <w:szCs w:val="24"/>
          <w:highlight w:val="yellow"/>
        </w:rPr>
        <w:t>studies could</w:t>
      </w:r>
      <w:r w:rsidRPr="00C8422C">
        <w:rPr>
          <w:rFonts w:ascii="Times New Roman" w:eastAsia="Calibri" w:hAnsi="Times New Roman" w:cs="Times New Roman"/>
          <w:sz w:val="24"/>
          <w:szCs w:val="24"/>
          <w:highlight w:val="yellow"/>
        </w:rPr>
        <w:t xml:space="preserve"> determine whether the dose and time</w:t>
      </w:r>
      <w:r>
        <w:rPr>
          <w:rFonts w:ascii="Times New Roman" w:eastAsia="Calibri" w:hAnsi="Times New Roman" w:cs="Times New Roman"/>
          <w:sz w:val="24"/>
          <w:szCs w:val="24"/>
          <w:highlight w:val="yellow"/>
        </w:rPr>
        <w:t>-</w:t>
      </w:r>
      <w:r w:rsidRPr="00C8422C">
        <w:rPr>
          <w:rFonts w:ascii="Times New Roman" w:eastAsia="Calibri" w:hAnsi="Times New Roman" w:cs="Times New Roman"/>
          <w:sz w:val="24"/>
          <w:szCs w:val="24"/>
          <w:highlight w:val="yellow"/>
        </w:rPr>
        <w:t xml:space="preserve">dependent effects of cannabinoids on BDNF are mediated through </w:t>
      </w:r>
      <w:r w:rsidRPr="00C8422C">
        <w:rPr>
          <w:rFonts w:ascii="Times New Roman" w:eastAsia="Calibri" w:hAnsi="Times New Roman" w:cs="Times New Roman"/>
          <w:sz w:val="24"/>
          <w:szCs w:val="24"/>
          <w:highlight w:val="yellow"/>
        </w:rPr>
        <w:lastRenderedPageBreak/>
        <w:t>SIRT1 signalling. Such analyses would clarify whether the observed BDNF reductions reflect direct suppression or secondary regulation through SIRT1 pathways.</w:t>
      </w:r>
    </w:p>
    <w:p w14:paraId="6171CC04" w14:textId="2D0CC961" w:rsidR="00CA7EF5" w:rsidRDefault="00A475B1" w:rsidP="00C816AA">
      <w:pPr>
        <w:spacing w:after="200" w:line="360" w:lineRule="auto"/>
      </w:pPr>
      <w:r w:rsidRPr="008C2CF4">
        <w:rPr>
          <w:rFonts w:ascii="Times New Roman" w:eastAsia="Calibri" w:hAnsi="Times New Roman" w:cs="Times New Roman"/>
          <w:sz w:val="24"/>
          <w:szCs w:val="24"/>
        </w:rPr>
        <w:t xml:space="preserve">In summary, </w:t>
      </w:r>
      <w:r w:rsidR="0024207F" w:rsidRPr="008C2CF4">
        <w:rPr>
          <w:rFonts w:ascii="Times New Roman" w:eastAsia="Calibri" w:hAnsi="Times New Roman" w:cs="Times New Roman"/>
          <w:sz w:val="24"/>
          <w:szCs w:val="24"/>
        </w:rPr>
        <w:t xml:space="preserve">both THC and CBD </w:t>
      </w:r>
      <w:r w:rsidR="00E50FAF" w:rsidRPr="008C2CF4">
        <w:rPr>
          <w:rFonts w:ascii="Times New Roman" w:eastAsia="Calibri" w:hAnsi="Times New Roman" w:cs="Times New Roman"/>
          <w:sz w:val="24"/>
          <w:szCs w:val="24"/>
        </w:rPr>
        <w:t>appear</w:t>
      </w:r>
      <w:r w:rsidR="0024207F" w:rsidRPr="008C2CF4">
        <w:rPr>
          <w:rFonts w:ascii="Times New Roman" w:eastAsia="Calibri" w:hAnsi="Times New Roman" w:cs="Times New Roman"/>
          <w:sz w:val="24"/>
          <w:szCs w:val="24"/>
        </w:rPr>
        <w:t xml:space="preserve"> to have suppressed </w:t>
      </w:r>
      <w:r w:rsidR="00902FEA" w:rsidRPr="008C2CF4">
        <w:rPr>
          <w:rFonts w:ascii="Times New Roman" w:eastAsia="Calibri" w:hAnsi="Times New Roman" w:cs="Times New Roman"/>
          <w:sz w:val="24"/>
          <w:szCs w:val="24"/>
        </w:rPr>
        <w:t xml:space="preserve">serum </w:t>
      </w:r>
      <w:r w:rsidR="007C15AC" w:rsidRPr="008C2CF4">
        <w:rPr>
          <w:rFonts w:ascii="Times New Roman" w:eastAsia="Calibri" w:hAnsi="Times New Roman" w:cs="Times New Roman"/>
          <w:sz w:val="24"/>
          <w:szCs w:val="24"/>
        </w:rPr>
        <w:t>BDNF</w:t>
      </w:r>
      <w:r w:rsidR="004B7926" w:rsidRPr="008C2CF4">
        <w:rPr>
          <w:rFonts w:ascii="Times New Roman" w:eastAsia="Calibri" w:hAnsi="Times New Roman" w:cs="Times New Roman"/>
          <w:sz w:val="24"/>
          <w:szCs w:val="24"/>
        </w:rPr>
        <w:t xml:space="preserve"> over</w:t>
      </w:r>
      <w:r w:rsidR="00B93508">
        <w:rPr>
          <w:rFonts w:ascii="Times New Roman" w:eastAsia="Calibri" w:hAnsi="Times New Roman" w:cs="Times New Roman"/>
          <w:sz w:val="24"/>
          <w:szCs w:val="24"/>
        </w:rPr>
        <w:t xml:space="preserve"> time,</w:t>
      </w:r>
      <w:r w:rsidR="004B7926" w:rsidRPr="008C2CF4">
        <w:rPr>
          <w:rFonts w:ascii="Times New Roman" w:eastAsia="Calibri" w:hAnsi="Times New Roman" w:cs="Times New Roman"/>
          <w:sz w:val="24"/>
          <w:szCs w:val="24"/>
        </w:rPr>
        <w:t xml:space="preserve"> with THC showing </w:t>
      </w:r>
      <w:r w:rsidR="007C15AC" w:rsidRPr="008C2CF4">
        <w:rPr>
          <w:rFonts w:ascii="Times New Roman" w:eastAsia="Calibri" w:hAnsi="Times New Roman" w:cs="Times New Roman"/>
          <w:sz w:val="24"/>
          <w:szCs w:val="24"/>
        </w:rPr>
        <w:t xml:space="preserve">consistent dose-dependence and CBD exhibiting a </w:t>
      </w:r>
      <w:r w:rsidR="009E0336" w:rsidRPr="00AF3549">
        <w:rPr>
          <w:rFonts w:ascii="Times New Roman" w:eastAsia="Calibri" w:hAnsi="Times New Roman" w:cs="Times New Roman"/>
          <w:sz w:val="24"/>
          <w:szCs w:val="24"/>
        </w:rPr>
        <w:t>progressive, time</w:t>
      </w:r>
      <w:r w:rsidR="00B93508">
        <w:rPr>
          <w:rFonts w:ascii="Times New Roman" w:eastAsia="Calibri" w:hAnsi="Times New Roman" w:cs="Times New Roman"/>
          <w:sz w:val="24"/>
          <w:szCs w:val="24"/>
        </w:rPr>
        <w:t>-</w:t>
      </w:r>
      <w:r w:rsidR="009E0336" w:rsidRPr="00AF3549">
        <w:rPr>
          <w:rFonts w:ascii="Times New Roman" w:eastAsia="Calibri" w:hAnsi="Times New Roman" w:cs="Times New Roman"/>
          <w:sz w:val="24"/>
          <w:szCs w:val="24"/>
        </w:rPr>
        <w:t>dependent decline,</w:t>
      </w:r>
      <w:r w:rsidR="007C15AC" w:rsidRPr="008C2CF4">
        <w:rPr>
          <w:rFonts w:ascii="Times New Roman" w:eastAsia="Calibri" w:hAnsi="Times New Roman" w:cs="Times New Roman"/>
          <w:sz w:val="24"/>
          <w:szCs w:val="24"/>
        </w:rPr>
        <w:t xml:space="preserve"> where initial preservation gave way to chronic suppression. Hippocampal BDNF revealed tissue-specific resilience, with low-dose THC causing no effect and low-dose CBD maintaining neuroprotective levels, while high doses of both </w:t>
      </w:r>
      <w:r w:rsidR="00E50FAF" w:rsidRPr="008C2CF4">
        <w:rPr>
          <w:rFonts w:ascii="Times New Roman" w:eastAsia="Calibri" w:hAnsi="Times New Roman" w:cs="Times New Roman"/>
          <w:sz w:val="24"/>
          <w:szCs w:val="24"/>
        </w:rPr>
        <w:t>THC and CBD</w:t>
      </w:r>
      <w:r w:rsidR="007C15AC" w:rsidRPr="008C2CF4">
        <w:rPr>
          <w:rFonts w:ascii="Times New Roman" w:eastAsia="Calibri" w:hAnsi="Times New Roman" w:cs="Times New Roman"/>
          <w:sz w:val="24"/>
          <w:szCs w:val="24"/>
        </w:rPr>
        <w:t xml:space="preserve"> produced significant neurotoxic-like suppression.</w:t>
      </w:r>
      <w:r w:rsidR="00F935F6" w:rsidRPr="00F935F6">
        <w:t xml:space="preserve"> </w:t>
      </w:r>
    </w:p>
    <w:p w14:paraId="38976BA3" w14:textId="4F0A55CA" w:rsidR="004348FB" w:rsidRPr="008C2CF4" w:rsidRDefault="004348FB" w:rsidP="00C816AA">
      <w:pPr>
        <w:spacing w:after="200" w:line="360" w:lineRule="auto"/>
        <w:rPr>
          <w:rFonts w:ascii="Times New Roman" w:eastAsia="Calibri" w:hAnsi="Times New Roman" w:cs="Times New Roman"/>
          <w:sz w:val="24"/>
          <w:szCs w:val="24"/>
        </w:rPr>
      </w:pPr>
      <w:r w:rsidRPr="00F935F6">
        <w:rPr>
          <w:rFonts w:ascii="Times New Roman" w:eastAsia="Calibri" w:hAnsi="Times New Roman" w:cs="Times New Roman"/>
          <w:sz w:val="24"/>
          <w:szCs w:val="24"/>
          <w:highlight w:val="yellow"/>
        </w:rPr>
        <w:t>A key limitation of this study is the relatively small sample size (n=5 per group), which may reduce statistical power and limit generalizability. Larger cohorts and additional mechanistic assays are needed to validate these findings.</w:t>
      </w:r>
      <w:r w:rsidRPr="00745964">
        <w:t xml:space="preserve"> </w:t>
      </w:r>
      <w:r w:rsidRPr="00745964">
        <w:rPr>
          <w:rFonts w:ascii="Times New Roman" w:eastAsia="Calibri" w:hAnsi="Times New Roman" w:cs="Times New Roman"/>
          <w:sz w:val="24"/>
          <w:szCs w:val="24"/>
          <w:highlight w:val="yellow"/>
        </w:rPr>
        <w:t>Peripheral BDNF levels may not fully reflect central neuronal activity, as serum BDNF can originate from platelets and other peripheral sources.</w:t>
      </w:r>
    </w:p>
    <w:p w14:paraId="039D52A4" w14:textId="77777777" w:rsidR="009A1323" w:rsidRPr="008C2CF4" w:rsidRDefault="00ED65D8" w:rsidP="00C816AA">
      <w:pPr>
        <w:spacing w:after="0" w:line="360" w:lineRule="auto"/>
        <w:rPr>
          <w:rFonts w:ascii="Times New Roman" w:eastAsia="Calibri" w:hAnsi="Times New Roman" w:cs="Times New Roman"/>
          <w:b/>
          <w:sz w:val="24"/>
          <w:szCs w:val="24"/>
        </w:rPr>
      </w:pPr>
      <w:r w:rsidRPr="008C2CF4">
        <w:rPr>
          <w:rFonts w:ascii="Times New Roman" w:eastAsia="Calibri" w:hAnsi="Times New Roman" w:cs="Times New Roman"/>
          <w:b/>
          <w:sz w:val="24"/>
          <w:szCs w:val="24"/>
        </w:rPr>
        <w:t>CONCLUSION</w:t>
      </w:r>
    </w:p>
    <w:p w14:paraId="19EFAF1E" w14:textId="47D915D8" w:rsidR="00C16620" w:rsidRDefault="00B475AB" w:rsidP="00C816AA">
      <w:pPr>
        <w:spacing w:after="0" w:line="360" w:lineRule="auto"/>
        <w:rPr>
          <w:rFonts w:ascii="Times New Roman" w:eastAsia="Calibri" w:hAnsi="Times New Roman" w:cs="Times New Roman"/>
          <w:sz w:val="24"/>
          <w:szCs w:val="24"/>
          <w:shd w:val="clear" w:color="auto" w:fill="FFFFFF"/>
        </w:rPr>
      </w:pPr>
      <w:r w:rsidRPr="008C2CF4">
        <w:rPr>
          <w:rFonts w:ascii="Times New Roman" w:eastAsia="Calibri" w:hAnsi="Times New Roman" w:cs="Times New Roman"/>
          <w:sz w:val="24"/>
          <w:szCs w:val="24"/>
          <w:shd w:val="clear" w:color="auto" w:fill="FFFFFF"/>
        </w:rPr>
        <w:t xml:space="preserve">This study demonstrates that cannabinoids exert profound and complex modulation of BDNF in </w:t>
      </w:r>
      <w:r w:rsidR="004B143A" w:rsidRPr="008C2CF4">
        <w:rPr>
          <w:rFonts w:ascii="Times New Roman" w:eastAsia="Calibri" w:hAnsi="Times New Roman" w:cs="Times New Roman"/>
          <w:sz w:val="24"/>
          <w:szCs w:val="24"/>
          <w:shd w:val="clear" w:color="auto" w:fill="FFFFFF"/>
        </w:rPr>
        <w:t xml:space="preserve">a </w:t>
      </w:r>
      <w:r w:rsidRPr="008C2CF4">
        <w:rPr>
          <w:rFonts w:ascii="Times New Roman" w:eastAsia="Calibri" w:hAnsi="Times New Roman" w:cs="Times New Roman"/>
          <w:sz w:val="24"/>
          <w:szCs w:val="24"/>
          <w:shd w:val="clear" w:color="auto" w:fill="FFFFFF"/>
        </w:rPr>
        <w:t xml:space="preserve">dose-dependent, time-dependent, and tissue-specific </w:t>
      </w:r>
      <w:r w:rsidR="009A1323" w:rsidRPr="008C2CF4">
        <w:rPr>
          <w:rFonts w:ascii="Times New Roman" w:eastAsia="Calibri" w:hAnsi="Times New Roman" w:cs="Times New Roman"/>
          <w:sz w:val="24"/>
          <w:szCs w:val="24"/>
          <w:shd w:val="clear" w:color="auto" w:fill="FFFFFF"/>
        </w:rPr>
        <w:t>manner. This</w:t>
      </w:r>
      <w:r w:rsidRPr="008C2CF4">
        <w:rPr>
          <w:rFonts w:ascii="Times New Roman" w:eastAsia="Calibri" w:hAnsi="Times New Roman" w:cs="Times New Roman"/>
          <w:sz w:val="24"/>
          <w:szCs w:val="24"/>
          <w:shd w:val="clear" w:color="auto" w:fill="FFFFFF"/>
        </w:rPr>
        <w:t xml:space="preserve"> pattern raises concerns regarding chronic high-dose THC use, as sustained BDNF downregulation may impair neuroplasticity.</w:t>
      </w:r>
      <w:r w:rsidR="00A13843" w:rsidRPr="008C2CF4">
        <w:rPr>
          <w:rFonts w:ascii="Times New Roman" w:eastAsia="Calibri" w:hAnsi="Times New Roman" w:cs="Times New Roman"/>
          <w:sz w:val="24"/>
          <w:szCs w:val="24"/>
          <w:shd w:val="clear" w:color="auto" w:fill="FFFFFF"/>
        </w:rPr>
        <w:t xml:space="preserve"> </w:t>
      </w:r>
      <w:r w:rsidR="009A1323" w:rsidRPr="008C2CF4">
        <w:rPr>
          <w:rFonts w:ascii="Times New Roman" w:eastAsia="Calibri" w:hAnsi="Times New Roman" w:cs="Times New Roman"/>
          <w:sz w:val="24"/>
          <w:szCs w:val="24"/>
          <w:shd w:val="clear" w:color="auto" w:fill="FFFFFF"/>
        </w:rPr>
        <w:t>Also,</w:t>
      </w:r>
      <w:r w:rsidR="00A13843" w:rsidRPr="008C2CF4">
        <w:rPr>
          <w:rFonts w:ascii="Times New Roman" w:eastAsia="Calibri" w:hAnsi="Times New Roman" w:cs="Times New Roman"/>
          <w:sz w:val="24"/>
          <w:szCs w:val="24"/>
          <w:shd w:val="clear" w:color="auto" w:fill="FFFFFF"/>
        </w:rPr>
        <w:t xml:space="preserve"> </w:t>
      </w:r>
      <w:r w:rsidRPr="008C2CF4">
        <w:rPr>
          <w:rFonts w:ascii="Times New Roman" w:eastAsia="Calibri" w:hAnsi="Times New Roman" w:cs="Times New Roman"/>
          <w:sz w:val="24"/>
          <w:szCs w:val="24"/>
          <w:shd w:val="clear" w:color="auto" w:fill="FFFFFF"/>
        </w:rPr>
        <w:t>CBD exhibits a narrow therapeutic window</w:t>
      </w:r>
      <w:r w:rsidR="00A13843" w:rsidRPr="008C2CF4">
        <w:rPr>
          <w:rFonts w:ascii="Times New Roman" w:eastAsia="Calibri" w:hAnsi="Times New Roman" w:cs="Times New Roman"/>
          <w:sz w:val="24"/>
          <w:szCs w:val="24"/>
          <w:shd w:val="clear" w:color="auto" w:fill="FFFFFF"/>
        </w:rPr>
        <w:t xml:space="preserve"> preserving hippocampal BDNF </w:t>
      </w:r>
      <w:r w:rsidRPr="008C2CF4">
        <w:rPr>
          <w:rFonts w:ascii="Times New Roman" w:eastAsia="Calibri" w:hAnsi="Times New Roman" w:cs="Times New Roman"/>
          <w:sz w:val="24"/>
          <w:szCs w:val="24"/>
          <w:shd w:val="clear" w:color="auto" w:fill="FFFFFF"/>
        </w:rPr>
        <w:t>a</w:t>
      </w:r>
      <w:r w:rsidR="00A13843" w:rsidRPr="008C2CF4">
        <w:rPr>
          <w:rFonts w:ascii="Times New Roman" w:eastAsia="Calibri" w:hAnsi="Times New Roman" w:cs="Times New Roman"/>
          <w:sz w:val="24"/>
          <w:szCs w:val="24"/>
          <w:shd w:val="clear" w:color="auto" w:fill="FFFFFF"/>
        </w:rPr>
        <w:t>t</w:t>
      </w:r>
      <w:r w:rsidRPr="008C2CF4">
        <w:rPr>
          <w:rFonts w:ascii="Times New Roman" w:eastAsia="Calibri" w:hAnsi="Times New Roman" w:cs="Times New Roman"/>
          <w:sz w:val="24"/>
          <w:szCs w:val="24"/>
          <w:shd w:val="clear" w:color="auto" w:fill="FFFFFF"/>
        </w:rPr>
        <w:t xml:space="preserve"> moderate </w:t>
      </w:r>
      <w:r w:rsidRPr="00AF3549">
        <w:rPr>
          <w:rFonts w:ascii="Times New Roman" w:eastAsia="Calibri" w:hAnsi="Times New Roman" w:cs="Times New Roman"/>
          <w:sz w:val="24"/>
          <w:szCs w:val="24"/>
          <w:shd w:val="clear" w:color="auto" w:fill="FFFFFF"/>
        </w:rPr>
        <w:t>dose (</w:t>
      </w:r>
      <w:r w:rsidR="002720DC" w:rsidRPr="002720DC">
        <w:rPr>
          <w:rFonts w:ascii="Times New Roman" w:eastAsia="Calibri" w:hAnsi="Times New Roman" w:cs="Times New Roman"/>
          <w:sz w:val="24"/>
          <w:szCs w:val="24"/>
          <w:highlight w:val="yellow"/>
          <w:shd w:val="clear" w:color="auto" w:fill="FFFFFF"/>
        </w:rPr>
        <w:t>20</w:t>
      </w:r>
      <w:r w:rsidRPr="002720DC">
        <w:rPr>
          <w:rFonts w:ascii="Times New Roman" w:eastAsia="Calibri" w:hAnsi="Times New Roman" w:cs="Times New Roman"/>
          <w:sz w:val="24"/>
          <w:szCs w:val="24"/>
          <w:highlight w:val="yellow"/>
          <w:shd w:val="clear" w:color="auto" w:fill="FFFFFF"/>
        </w:rPr>
        <w:t xml:space="preserve"> mg/kg</w:t>
      </w:r>
      <w:r w:rsidRPr="00AF3549">
        <w:rPr>
          <w:rFonts w:ascii="Times New Roman" w:eastAsia="Calibri" w:hAnsi="Times New Roman" w:cs="Times New Roman"/>
          <w:sz w:val="24"/>
          <w:szCs w:val="24"/>
          <w:shd w:val="clear" w:color="auto" w:fill="FFFFFF"/>
        </w:rPr>
        <w:t>),</w:t>
      </w:r>
      <w:r w:rsidRPr="008C2CF4">
        <w:rPr>
          <w:rFonts w:ascii="Times New Roman" w:eastAsia="Calibri" w:hAnsi="Times New Roman" w:cs="Times New Roman"/>
          <w:sz w:val="24"/>
          <w:szCs w:val="24"/>
          <w:shd w:val="clear" w:color="auto" w:fill="FFFFFF"/>
        </w:rPr>
        <w:t xml:space="preserve"> </w:t>
      </w:r>
      <w:r w:rsidR="00A13843" w:rsidRPr="008C2CF4">
        <w:rPr>
          <w:rFonts w:ascii="Times New Roman" w:eastAsia="Calibri" w:hAnsi="Times New Roman" w:cs="Times New Roman"/>
          <w:sz w:val="24"/>
          <w:szCs w:val="24"/>
          <w:shd w:val="clear" w:color="auto" w:fill="FFFFFF"/>
        </w:rPr>
        <w:t xml:space="preserve">which </w:t>
      </w:r>
      <w:r w:rsidR="00160D4A" w:rsidRPr="008C2CF4">
        <w:rPr>
          <w:rFonts w:ascii="Times New Roman" w:eastAsia="Calibri" w:hAnsi="Times New Roman" w:cs="Times New Roman"/>
          <w:sz w:val="24"/>
          <w:szCs w:val="24"/>
          <w:shd w:val="clear" w:color="auto" w:fill="FFFFFF"/>
        </w:rPr>
        <w:t>suggest</w:t>
      </w:r>
      <w:r w:rsidR="004B143A" w:rsidRPr="008C2CF4">
        <w:rPr>
          <w:rFonts w:ascii="Times New Roman" w:eastAsia="Calibri" w:hAnsi="Times New Roman" w:cs="Times New Roman"/>
          <w:sz w:val="24"/>
          <w:szCs w:val="24"/>
          <w:shd w:val="clear" w:color="auto" w:fill="FFFFFF"/>
        </w:rPr>
        <w:t>s</w:t>
      </w:r>
      <w:r w:rsidRPr="008C2CF4">
        <w:rPr>
          <w:rFonts w:ascii="Times New Roman" w:eastAsia="Calibri" w:hAnsi="Times New Roman" w:cs="Times New Roman"/>
          <w:sz w:val="24"/>
          <w:szCs w:val="24"/>
          <w:shd w:val="clear" w:color="auto" w:fill="FFFFFF"/>
        </w:rPr>
        <w:t xml:space="preserve"> potential neuroprotective properties; however, at a higher dose (60 mg/kg) or with chronic administration, </w:t>
      </w:r>
      <w:r w:rsidR="00160D4A" w:rsidRPr="008C2CF4">
        <w:rPr>
          <w:rFonts w:ascii="Times New Roman" w:eastAsia="Calibri" w:hAnsi="Times New Roman" w:cs="Times New Roman"/>
          <w:sz w:val="24"/>
          <w:szCs w:val="24"/>
          <w:shd w:val="clear" w:color="auto" w:fill="FFFFFF"/>
        </w:rPr>
        <w:t>it</w:t>
      </w:r>
      <w:r w:rsidRPr="008C2CF4">
        <w:rPr>
          <w:rFonts w:ascii="Times New Roman" w:eastAsia="Calibri" w:hAnsi="Times New Roman" w:cs="Times New Roman"/>
          <w:sz w:val="24"/>
          <w:szCs w:val="24"/>
          <w:shd w:val="clear" w:color="auto" w:fill="FFFFFF"/>
        </w:rPr>
        <w:t xml:space="preserve"> induces BDNF suppression comparable to THC.</w:t>
      </w:r>
      <w:r w:rsidR="00D24FBF" w:rsidRPr="008C2CF4">
        <w:rPr>
          <w:rFonts w:ascii="Times New Roman" w:eastAsia="Calibri" w:hAnsi="Times New Roman" w:cs="Times New Roman"/>
          <w:sz w:val="24"/>
          <w:szCs w:val="24"/>
          <w:shd w:val="clear" w:color="auto" w:fill="FFFFFF"/>
        </w:rPr>
        <w:t xml:space="preserve"> These findings support differential regulation of THC and CBD, acknowledging CBD's potential therapeutic value at controlled doses while recogni</w:t>
      </w:r>
      <w:r w:rsidR="004B143A" w:rsidRPr="008C2CF4">
        <w:rPr>
          <w:rFonts w:ascii="Times New Roman" w:eastAsia="Calibri" w:hAnsi="Times New Roman" w:cs="Times New Roman"/>
          <w:sz w:val="24"/>
          <w:szCs w:val="24"/>
          <w:shd w:val="clear" w:color="auto" w:fill="FFFFFF"/>
        </w:rPr>
        <w:t>s</w:t>
      </w:r>
      <w:r w:rsidR="00D24FBF" w:rsidRPr="008C2CF4">
        <w:rPr>
          <w:rFonts w:ascii="Times New Roman" w:eastAsia="Calibri" w:hAnsi="Times New Roman" w:cs="Times New Roman"/>
          <w:sz w:val="24"/>
          <w:szCs w:val="24"/>
          <w:shd w:val="clear" w:color="auto" w:fill="FFFFFF"/>
        </w:rPr>
        <w:t>ing that high-dose or chronic use carries risks.</w:t>
      </w:r>
    </w:p>
    <w:p w14:paraId="6E27D050" w14:textId="086F8CE5" w:rsidR="004D6B5C" w:rsidRDefault="004D6B5C" w:rsidP="00C816AA">
      <w:pPr>
        <w:spacing w:after="0" w:line="360" w:lineRule="auto"/>
        <w:rPr>
          <w:rFonts w:ascii="Times New Roman" w:eastAsia="Calibri" w:hAnsi="Times New Roman" w:cs="Times New Roman"/>
          <w:sz w:val="24"/>
          <w:szCs w:val="24"/>
          <w:shd w:val="clear" w:color="auto" w:fill="FFFFFF"/>
        </w:rPr>
      </w:pPr>
    </w:p>
    <w:p w14:paraId="0E62B7A7" w14:textId="0DF70F49" w:rsidR="004D6B5C" w:rsidRPr="00444C46" w:rsidRDefault="004D6B5C" w:rsidP="004D6B5C">
      <w:pPr>
        <w:spacing w:after="0" w:line="360" w:lineRule="auto"/>
        <w:rPr>
          <w:rFonts w:ascii="Times New Roman" w:eastAsia="Calibri" w:hAnsi="Times New Roman" w:cs="Times New Roman"/>
          <w:b/>
          <w:sz w:val="24"/>
          <w:szCs w:val="24"/>
          <w:shd w:val="clear" w:color="auto" w:fill="FFFFFF"/>
        </w:rPr>
      </w:pPr>
      <w:r w:rsidRPr="00444C46">
        <w:rPr>
          <w:rFonts w:ascii="Times New Roman" w:eastAsia="Calibri" w:hAnsi="Times New Roman" w:cs="Times New Roman"/>
          <w:b/>
          <w:sz w:val="24"/>
          <w:szCs w:val="24"/>
          <w:shd w:val="clear" w:color="auto" w:fill="FFFFFF"/>
        </w:rPr>
        <w:t xml:space="preserve">Ethical </w:t>
      </w:r>
      <w:r w:rsidR="00444C46">
        <w:rPr>
          <w:rFonts w:ascii="Times New Roman" w:eastAsia="Calibri" w:hAnsi="Times New Roman" w:cs="Times New Roman"/>
          <w:b/>
          <w:sz w:val="24"/>
          <w:szCs w:val="24"/>
          <w:shd w:val="clear" w:color="auto" w:fill="FFFFFF"/>
        </w:rPr>
        <w:t>Approval</w:t>
      </w:r>
      <w:bookmarkStart w:id="1" w:name="_GoBack"/>
      <w:bookmarkEnd w:id="1"/>
    </w:p>
    <w:p w14:paraId="3A7CDC2C" w14:textId="175206FA" w:rsidR="004D6B5C" w:rsidRDefault="004D6B5C" w:rsidP="004D6B5C">
      <w:pPr>
        <w:spacing w:after="0" w:line="360" w:lineRule="auto"/>
        <w:rPr>
          <w:rFonts w:ascii="Times New Roman" w:eastAsia="Calibri" w:hAnsi="Times New Roman" w:cs="Times New Roman"/>
          <w:sz w:val="24"/>
          <w:szCs w:val="24"/>
          <w:shd w:val="clear" w:color="auto" w:fill="FFFFFF"/>
        </w:rPr>
      </w:pPr>
      <w:r w:rsidRPr="004D6B5C">
        <w:rPr>
          <w:rFonts w:ascii="Times New Roman" w:eastAsia="Calibri" w:hAnsi="Times New Roman" w:cs="Times New Roman"/>
          <w:sz w:val="24"/>
          <w:szCs w:val="24"/>
          <w:shd w:val="clear" w:color="auto" w:fill="FFFFFF"/>
        </w:rPr>
        <w:t>All animal handling, housing, and experimental procedures adhered to institutional ethical standards and national guidelines for the care and use of laboratory animals in Nigeria</w:t>
      </w:r>
      <w:proofErr w:type="gramStart"/>
      <w:r w:rsidRPr="004D6B5C">
        <w:rPr>
          <w:rFonts w:ascii="Times New Roman" w:eastAsia="Calibri" w:hAnsi="Times New Roman" w:cs="Times New Roman"/>
          <w:sz w:val="24"/>
          <w:szCs w:val="24"/>
          <w:shd w:val="clear" w:color="auto" w:fill="FFFFFF"/>
        </w:rPr>
        <w:t>. .</w:t>
      </w:r>
      <w:proofErr w:type="gramEnd"/>
      <w:r w:rsidRPr="004D6B5C">
        <w:rPr>
          <w:rFonts w:ascii="Times New Roman" w:eastAsia="Calibri" w:hAnsi="Times New Roman" w:cs="Times New Roman"/>
          <w:sz w:val="24"/>
          <w:szCs w:val="24"/>
          <w:shd w:val="clear" w:color="auto" w:fill="FFFFFF"/>
        </w:rPr>
        <w:t xml:space="preserve"> Animals were sacrificed using sodium </w:t>
      </w:r>
      <w:proofErr w:type="gramStart"/>
      <w:r w:rsidRPr="004D6B5C">
        <w:rPr>
          <w:rFonts w:ascii="Times New Roman" w:eastAsia="Calibri" w:hAnsi="Times New Roman" w:cs="Times New Roman"/>
          <w:sz w:val="24"/>
          <w:szCs w:val="24"/>
          <w:shd w:val="clear" w:color="auto" w:fill="FFFFFF"/>
        </w:rPr>
        <w:t>pentobarbital  (</w:t>
      </w:r>
      <w:proofErr w:type="gramEnd"/>
      <w:r w:rsidRPr="004D6B5C">
        <w:rPr>
          <w:rFonts w:ascii="Times New Roman" w:eastAsia="Calibri" w:hAnsi="Times New Roman" w:cs="Times New Roman"/>
          <w:sz w:val="24"/>
          <w:szCs w:val="24"/>
          <w:shd w:val="clear" w:color="auto" w:fill="FFFFFF"/>
        </w:rPr>
        <w:t>50 mg/kg, intraperitoneal) followed by decapitation. This method was selected to ensure rapid loss of consciousness and minimise suffering, consistent with humane endpoints. The study protocol was reviewed and approved by the University of Port Harcourt Research Ethics Committee (UPH/CEREMAD/REC/MM99/029).</w:t>
      </w:r>
    </w:p>
    <w:p w14:paraId="40E26928" w14:textId="77777777" w:rsidR="004D6B5C" w:rsidRDefault="004D6B5C" w:rsidP="004D6B5C">
      <w:pPr>
        <w:spacing w:after="0" w:line="360" w:lineRule="auto"/>
        <w:rPr>
          <w:rFonts w:ascii="Times New Roman" w:eastAsia="Calibri" w:hAnsi="Times New Roman" w:cs="Times New Roman"/>
          <w:sz w:val="24"/>
          <w:szCs w:val="24"/>
          <w:shd w:val="clear" w:color="auto" w:fill="FFFFFF"/>
        </w:rPr>
      </w:pPr>
    </w:p>
    <w:p w14:paraId="5842196C" w14:textId="77777777" w:rsidR="001E5D07" w:rsidRPr="00B93508" w:rsidRDefault="001E5D07" w:rsidP="001E5D07">
      <w:pPr>
        <w:pStyle w:val="NoSpacing"/>
        <w:rPr>
          <w:rFonts w:ascii="Times New Roman" w:hAnsi="Times New Roman" w:cs="Times New Roman"/>
          <w:sz w:val="24"/>
          <w:szCs w:val="24"/>
          <w:highlight w:val="yellow"/>
        </w:rPr>
      </w:pPr>
      <w:bookmarkStart w:id="2" w:name="_Hlk219284361"/>
      <w:bookmarkStart w:id="3" w:name="_Hlk198031404"/>
      <w:r w:rsidRPr="00B93508">
        <w:rPr>
          <w:rFonts w:ascii="Times New Roman" w:hAnsi="Times New Roman" w:cs="Times New Roman"/>
          <w:sz w:val="24"/>
          <w:szCs w:val="24"/>
          <w:highlight w:val="yellow"/>
        </w:rPr>
        <w:t>Disclaimer (Artificial intelligence)</w:t>
      </w:r>
    </w:p>
    <w:p w14:paraId="7AD61740" w14:textId="77777777" w:rsidR="001E5D07" w:rsidRPr="00B93508" w:rsidRDefault="001E5D07" w:rsidP="001E5D07">
      <w:pPr>
        <w:pStyle w:val="NoSpacing"/>
        <w:rPr>
          <w:rFonts w:ascii="Times New Roman" w:hAnsi="Times New Roman" w:cs="Times New Roman"/>
          <w:sz w:val="24"/>
          <w:szCs w:val="24"/>
          <w:highlight w:val="yellow"/>
        </w:rPr>
      </w:pPr>
    </w:p>
    <w:p w14:paraId="0246FC59" w14:textId="77777777" w:rsidR="001E5D07" w:rsidRPr="00B93508" w:rsidRDefault="001E5D07" w:rsidP="001E5D07">
      <w:pPr>
        <w:pStyle w:val="NoSpacing"/>
        <w:rPr>
          <w:rFonts w:ascii="Times New Roman" w:hAnsi="Times New Roman" w:cs="Times New Roman"/>
          <w:sz w:val="24"/>
          <w:szCs w:val="24"/>
          <w:highlight w:val="yellow"/>
        </w:rPr>
      </w:pPr>
      <w:r w:rsidRPr="00B93508">
        <w:rPr>
          <w:rFonts w:ascii="Times New Roman" w:hAnsi="Times New Roman" w:cs="Times New Roman"/>
          <w:sz w:val="24"/>
          <w:szCs w:val="24"/>
          <w:highlight w:val="yellow"/>
        </w:rPr>
        <w:t>Author(s) hereby declare that NO generative AI technologies such as Large Language Models (ChatGPT, COPILOT, etc.) and text-to-image generators have been used during the writing or editing of this manuscript</w:t>
      </w:r>
      <w:bookmarkEnd w:id="2"/>
      <w:r w:rsidRPr="00B93508">
        <w:rPr>
          <w:rFonts w:ascii="Times New Roman" w:hAnsi="Times New Roman" w:cs="Times New Roman"/>
          <w:sz w:val="24"/>
          <w:szCs w:val="24"/>
          <w:highlight w:val="yellow"/>
        </w:rPr>
        <w:t xml:space="preserve">. </w:t>
      </w:r>
    </w:p>
    <w:bookmarkEnd w:id="3"/>
    <w:p w14:paraId="7AC1F221" w14:textId="77777777" w:rsidR="00CB5C59" w:rsidRPr="00B93508" w:rsidRDefault="00CB5C59" w:rsidP="00C816AA">
      <w:pPr>
        <w:spacing w:after="0" w:line="360" w:lineRule="auto"/>
        <w:rPr>
          <w:rFonts w:ascii="Times New Roman" w:eastAsia="Calibri" w:hAnsi="Times New Roman" w:cs="Times New Roman"/>
          <w:b/>
          <w:sz w:val="24"/>
          <w:szCs w:val="24"/>
        </w:rPr>
      </w:pPr>
    </w:p>
    <w:p w14:paraId="4112A137" w14:textId="77777777" w:rsidR="00C816AA" w:rsidRPr="00C816AA" w:rsidRDefault="00C816AA" w:rsidP="00C816AA">
      <w:pPr>
        <w:spacing w:after="0" w:line="360" w:lineRule="auto"/>
        <w:rPr>
          <w:rFonts w:ascii="Times New Roman" w:eastAsia="Calibri" w:hAnsi="Times New Roman" w:cs="Times New Roman"/>
          <w:b/>
          <w:sz w:val="24"/>
          <w:szCs w:val="24"/>
        </w:rPr>
      </w:pPr>
    </w:p>
    <w:p w14:paraId="34F71B0A" w14:textId="1F4ECA60" w:rsidR="00C165D3" w:rsidRPr="00C816AA" w:rsidRDefault="00E774E7" w:rsidP="002C5229">
      <w:pPr>
        <w:spacing w:line="276" w:lineRule="auto"/>
        <w:rPr>
          <w:rFonts w:ascii="Times New Roman" w:hAnsi="Times New Roman" w:cs="Times New Roman"/>
          <w:b/>
          <w:bCs/>
          <w:sz w:val="24"/>
          <w:szCs w:val="24"/>
        </w:rPr>
      </w:pPr>
      <w:r w:rsidRPr="00C816AA">
        <w:rPr>
          <w:rFonts w:ascii="Times New Roman" w:hAnsi="Times New Roman" w:cs="Times New Roman"/>
          <w:b/>
          <w:bCs/>
          <w:sz w:val="24"/>
          <w:szCs w:val="24"/>
        </w:rPr>
        <w:t>REFERENCES</w:t>
      </w:r>
    </w:p>
    <w:p w14:paraId="7B5E8421" w14:textId="77777777" w:rsidR="00E54382" w:rsidRPr="00E54382" w:rsidRDefault="00E54382" w:rsidP="00E54382">
      <w:pPr>
        <w:pStyle w:val="EndNoteBibliography"/>
        <w:spacing w:after="0"/>
        <w:ind w:left="720" w:hanging="720"/>
        <w:rPr>
          <w:rFonts w:ascii="Times New Roman" w:hAnsi="Times New Roman" w:cs="Times New Roman"/>
          <w:sz w:val="24"/>
          <w:szCs w:val="24"/>
        </w:rPr>
      </w:pPr>
      <w:r w:rsidRPr="00E64959">
        <w:rPr>
          <w:rFonts w:ascii="Times New Roman" w:hAnsi="Times New Roman" w:cs="Times New Roman"/>
          <w:sz w:val="24"/>
          <w:szCs w:val="24"/>
          <w:highlight w:val="yellow"/>
        </w:rPr>
        <w:t xml:space="preserve">Advances in Aging Research. (2016). Anti-aging genes improve appetite regulation and reverse cell senescence and apoptosis in global populations. </w:t>
      </w:r>
      <w:r w:rsidRPr="00E64959">
        <w:rPr>
          <w:rFonts w:ascii="Times New Roman" w:hAnsi="Times New Roman" w:cs="Times New Roman"/>
          <w:i/>
          <w:iCs/>
          <w:sz w:val="24"/>
          <w:szCs w:val="24"/>
          <w:highlight w:val="yellow"/>
        </w:rPr>
        <w:t>Advances in Aging Research, 5</w:t>
      </w:r>
      <w:r w:rsidRPr="00E64959">
        <w:rPr>
          <w:rFonts w:ascii="Times New Roman" w:hAnsi="Times New Roman" w:cs="Times New Roman"/>
          <w:sz w:val="24"/>
          <w:szCs w:val="24"/>
          <w:highlight w:val="yellow"/>
        </w:rPr>
        <w:t>(1), 9–26. https://doi.org/10.4236/aar.2016.51002</w:t>
      </w:r>
      <w:r w:rsidRPr="00E54382">
        <w:rPr>
          <w:rFonts w:ascii="Times New Roman" w:hAnsi="Times New Roman" w:cs="Times New Roman"/>
          <w:sz w:val="24"/>
          <w:szCs w:val="24"/>
        </w:rPr>
        <w:t xml:space="preserve"> </w:t>
      </w:r>
    </w:p>
    <w:p w14:paraId="37243D8B" w14:textId="47D9A626"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Araque, A., Parpura, V., Sanzgiri, R. P., &amp; Haydon, P. G. (1999). Tripartite synapses: glia, the unacknowledged partner. </w:t>
      </w:r>
      <w:r w:rsidRPr="00C816AA">
        <w:rPr>
          <w:rFonts w:ascii="Times New Roman" w:hAnsi="Times New Roman" w:cs="Times New Roman"/>
          <w:i/>
          <w:sz w:val="24"/>
          <w:szCs w:val="24"/>
        </w:rPr>
        <w:t>Trends Neurosci</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22</w:t>
      </w:r>
      <w:r w:rsidRPr="00C816AA">
        <w:rPr>
          <w:rFonts w:ascii="Times New Roman" w:hAnsi="Times New Roman" w:cs="Times New Roman"/>
          <w:sz w:val="24"/>
          <w:szCs w:val="24"/>
        </w:rPr>
        <w:t xml:space="preserve">(5), 208-215. </w:t>
      </w:r>
      <w:r w:rsidRPr="00DE3408">
        <w:rPr>
          <w:rFonts w:ascii="Times New Roman" w:hAnsi="Times New Roman" w:cs="Times New Roman"/>
          <w:sz w:val="24"/>
          <w:szCs w:val="24"/>
        </w:rPr>
        <w:t>https://doi.org/10.1016/s0166-2236(98)01349-6</w:t>
      </w:r>
      <w:r w:rsidRPr="00C816AA">
        <w:rPr>
          <w:rFonts w:ascii="Times New Roman" w:hAnsi="Times New Roman" w:cs="Times New Roman"/>
          <w:sz w:val="24"/>
          <w:szCs w:val="24"/>
        </w:rPr>
        <w:t xml:space="preserve"> </w:t>
      </w:r>
    </w:p>
    <w:p w14:paraId="59AA6A2E" w14:textId="6F706F15"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Atallah, E., Obeid, S., El Khoury-Malhame, M., &amp; Sfeir, M. (2026). </w:t>
      </w:r>
      <w:r w:rsidRPr="00C816AA">
        <w:rPr>
          <w:rFonts w:ascii="Times New Roman" w:hAnsi="Times New Roman" w:cs="Times New Roman"/>
          <w:i/>
          <w:sz w:val="24"/>
          <w:szCs w:val="24"/>
        </w:rPr>
        <w:t>Cannabis and Neurodegenerative Disorders</w:t>
      </w:r>
      <w:r w:rsidRPr="00C816AA">
        <w:rPr>
          <w:rFonts w:ascii="Times New Roman" w:hAnsi="Times New Roman" w:cs="Times New Roman"/>
          <w:sz w:val="24"/>
          <w:szCs w:val="24"/>
        </w:rPr>
        <w:t xml:space="preserve"> (Ist ed.). Imprint CRC Press. </w:t>
      </w:r>
      <w:r w:rsidRPr="00DE3408">
        <w:rPr>
          <w:rFonts w:ascii="Times New Roman" w:hAnsi="Times New Roman" w:cs="Times New Roman"/>
          <w:sz w:val="24"/>
          <w:szCs w:val="24"/>
        </w:rPr>
        <w:t>https://doi.org/10.1201/9781003478485</w:t>
      </w:r>
      <w:r w:rsidRPr="00C816AA">
        <w:rPr>
          <w:rFonts w:ascii="Times New Roman" w:hAnsi="Times New Roman" w:cs="Times New Roman"/>
          <w:sz w:val="24"/>
          <w:szCs w:val="24"/>
        </w:rPr>
        <w:t xml:space="preserve"> </w:t>
      </w:r>
    </w:p>
    <w:p w14:paraId="3B7CB786" w14:textId="7FC322D7" w:rsid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Bathina, S., &amp; Das, U. N. (2015). Brain-derived neurotrophic factor and its clinical implications. </w:t>
      </w:r>
      <w:r w:rsidRPr="00C816AA">
        <w:rPr>
          <w:rFonts w:ascii="Times New Roman" w:hAnsi="Times New Roman" w:cs="Times New Roman"/>
          <w:i/>
          <w:sz w:val="24"/>
          <w:szCs w:val="24"/>
        </w:rPr>
        <w:t>Arch Med Sci</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11</w:t>
      </w:r>
      <w:r w:rsidRPr="00C816AA">
        <w:rPr>
          <w:rFonts w:ascii="Times New Roman" w:hAnsi="Times New Roman" w:cs="Times New Roman"/>
          <w:sz w:val="24"/>
          <w:szCs w:val="24"/>
        </w:rPr>
        <w:t xml:space="preserve">(6), 1164-1178. </w:t>
      </w:r>
      <w:r w:rsidRPr="00DE3408">
        <w:rPr>
          <w:rFonts w:ascii="Times New Roman" w:hAnsi="Times New Roman" w:cs="Times New Roman"/>
          <w:sz w:val="24"/>
          <w:szCs w:val="24"/>
        </w:rPr>
        <w:t>https://doi.org/10.5114/aoms.2015.56342</w:t>
      </w:r>
      <w:r w:rsidRPr="00C816AA">
        <w:rPr>
          <w:rFonts w:ascii="Times New Roman" w:hAnsi="Times New Roman" w:cs="Times New Roman"/>
          <w:sz w:val="24"/>
          <w:szCs w:val="24"/>
        </w:rPr>
        <w:t xml:space="preserve"> </w:t>
      </w:r>
    </w:p>
    <w:p w14:paraId="35879416" w14:textId="27041179" w:rsidR="001F2822" w:rsidRPr="001F2822" w:rsidRDefault="001F2822" w:rsidP="001F2822">
      <w:pPr>
        <w:pStyle w:val="EndNoteBibliography"/>
        <w:spacing w:after="0"/>
        <w:ind w:left="720" w:hanging="720"/>
        <w:rPr>
          <w:rFonts w:ascii="Times New Roman" w:hAnsi="Times New Roman" w:cs="Times New Roman"/>
          <w:sz w:val="24"/>
          <w:szCs w:val="24"/>
          <w:highlight w:val="yellow"/>
        </w:rPr>
      </w:pPr>
      <w:r w:rsidRPr="007F7F65">
        <w:rPr>
          <w:rFonts w:ascii="Times New Roman" w:hAnsi="Times New Roman" w:cs="Times New Roman"/>
          <w:sz w:val="24"/>
          <w:szCs w:val="24"/>
        </w:rPr>
        <w:t>Berezin A</w:t>
      </w:r>
      <w:r>
        <w:rPr>
          <w:rFonts w:ascii="Times New Roman" w:hAnsi="Times New Roman" w:cs="Times New Roman"/>
          <w:sz w:val="24"/>
          <w:szCs w:val="24"/>
        </w:rPr>
        <w:t xml:space="preserve">. </w:t>
      </w:r>
      <w:r w:rsidRPr="007F7F65">
        <w:rPr>
          <w:rFonts w:ascii="Times New Roman" w:hAnsi="Times New Roman" w:cs="Times New Roman"/>
          <w:sz w:val="24"/>
          <w:szCs w:val="24"/>
        </w:rPr>
        <w:t>E</w:t>
      </w:r>
      <w:r>
        <w:rPr>
          <w:rFonts w:ascii="Times New Roman" w:hAnsi="Times New Roman" w:cs="Times New Roman"/>
          <w:sz w:val="24"/>
          <w:szCs w:val="24"/>
        </w:rPr>
        <w:t xml:space="preserve">. </w:t>
      </w:r>
      <w:r w:rsidRPr="00E64959">
        <w:rPr>
          <w:rFonts w:ascii="Times New Roman" w:hAnsi="Times New Roman" w:cs="Times New Roman"/>
          <w:sz w:val="24"/>
          <w:szCs w:val="24"/>
          <w:highlight w:val="yellow"/>
        </w:rPr>
        <w:t xml:space="preserve">(2017). Single gene inactivation with implications to diabetes and multiple organ dysfunction syndrome. </w:t>
      </w:r>
      <w:r w:rsidRPr="00E64959">
        <w:rPr>
          <w:rFonts w:ascii="Times New Roman" w:hAnsi="Times New Roman" w:cs="Times New Roman"/>
          <w:i/>
          <w:iCs/>
          <w:sz w:val="24"/>
          <w:szCs w:val="24"/>
          <w:highlight w:val="yellow"/>
        </w:rPr>
        <w:t>Journal of Clinical Epigenetics, 3</w:t>
      </w:r>
      <w:r w:rsidRPr="00E64959">
        <w:rPr>
          <w:rFonts w:ascii="Times New Roman" w:hAnsi="Times New Roman" w:cs="Times New Roman"/>
          <w:sz w:val="24"/>
          <w:szCs w:val="24"/>
          <w:highlight w:val="yellow"/>
        </w:rPr>
        <w:t xml:space="preserve">(3), 24. https://doi.org/10.21767/2472-1158.100024 </w:t>
      </w:r>
    </w:p>
    <w:p w14:paraId="28136047" w14:textId="059886D2"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Brigadski, T., &amp; Leßmann, V. (2020). The physiology of regulated BDNF release. </w:t>
      </w:r>
      <w:r w:rsidRPr="00C816AA">
        <w:rPr>
          <w:rFonts w:ascii="Times New Roman" w:hAnsi="Times New Roman" w:cs="Times New Roman"/>
          <w:i/>
          <w:sz w:val="24"/>
          <w:szCs w:val="24"/>
        </w:rPr>
        <w:t>Cell and Tissue Research</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382</w:t>
      </w:r>
      <w:r w:rsidRPr="00C816AA">
        <w:rPr>
          <w:rFonts w:ascii="Times New Roman" w:hAnsi="Times New Roman" w:cs="Times New Roman"/>
          <w:sz w:val="24"/>
          <w:szCs w:val="24"/>
        </w:rPr>
        <w:t xml:space="preserve">(1), 15-45. </w:t>
      </w:r>
      <w:r w:rsidRPr="00DE3408">
        <w:rPr>
          <w:rFonts w:ascii="Times New Roman" w:hAnsi="Times New Roman" w:cs="Times New Roman"/>
          <w:sz w:val="24"/>
          <w:szCs w:val="24"/>
        </w:rPr>
        <w:t>https://doi.org/10.5114/aoms.2015.56342</w:t>
      </w:r>
      <w:r w:rsidRPr="00C816AA">
        <w:rPr>
          <w:rFonts w:ascii="Times New Roman" w:hAnsi="Times New Roman" w:cs="Times New Roman"/>
          <w:sz w:val="24"/>
          <w:szCs w:val="24"/>
        </w:rPr>
        <w:t xml:space="preserve"> </w:t>
      </w:r>
    </w:p>
    <w:p w14:paraId="2596746C" w14:textId="64B02E0A"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Chen, S. D., Wu, C. L., Hwang, W. C., &amp; Yang, D. I. (2017). More Insight into BDNF against Neurodegeneration: Anti-Apoptosis, Anti-Oxidation, and Suppression of Autophagy. </w:t>
      </w:r>
      <w:r w:rsidRPr="00C816AA">
        <w:rPr>
          <w:rFonts w:ascii="Times New Roman" w:hAnsi="Times New Roman" w:cs="Times New Roman"/>
          <w:i/>
          <w:sz w:val="24"/>
          <w:szCs w:val="24"/>
        </w:rPr>
        <w:t>Int J Mol Sci</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18</w:t>
      </w:r>
      <w:r w:rsidRPr="00C816AA">
        <w:rPr>
          <w:rFonts w:ascii="Times New Roman" w:hAnsi="Times New Roman" w:cs="Times New Roman"/>
          <w:sz w:val="24"/>
          <w:szCs w:val="24"/>
        </w:rPr>
        <w:t xml:space="preserve">(3). </w:t>
      </w:r>
      <w:r w:rsidRPr="00DE3408">
        <w:rPr>
          <w:rFonts w:ascii="Times New Roman" w:hAnsi="Times New Roman" w:cs="Times New Roman"/>
          <w:sz w:val="24"/>
          <w:szCs w:val="24"/>
        </w:rPr>
        <w:t>https://doi.org/10.3390/ijms18030545</w:t>
      </w:r>
      <w:r w:rsidRPr="00C816AA">
        <w:rPr>
          <w:rFonts w:ascii="Times New Roman" w:hAnsi="Times New Roman" w:cs="Times New Roman"/>
          <w:sz w:val="24"/>
          <w:szCs w:val="24"/>
        </w:rPr>
        <w:t xml:space="preserve"> </w:t>
      </w:r>
    </w:p>
    <w:p w14:paraId="31AA598B" w14:textId="36967B0F"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Chinko, B. C., &amp; Precious-Abraham, A. D. (2024). Wound healing activity of hydromethanolic Dioscorea bulbifera extract on male wistar rat excision wound models. </w:t>
      </w:r>
      <w:r w:rsidRPr="00C816AA">
        <w:rPr>
          <w:rFonts w:ascii="Times New Roman" w:hAnsi="Times New Roman" w:cs="Times New Roman"/>
          <w:i/>
          <w:sz w:val="24"/>
          <w:szCs w:val="24"/>
        </w:rPr>
        <w:t>Pharmacological Research-Modern Chinese Medicine</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11</w:t>
      </w:r>
      <w:r w:rsidRPr="00C816AA">
        <w:rPr>
          <w:rFonts w:ascii="Times New Roman" w:hAnsi="Times New Roman" w:cs="Times New Roman"/>
          <w:sz w:val="24"/>
          <w:szCs w:val="24"/>
        </w:rPr>
        <w:t xml:space="preserve">, 100425. </w:t>
      </w:r>
      <w:r w:rsidRPr="00DE3408">
        <w:rPr>
          <w:rFonts w:ascii="Times New Roman" w:hAnsi="Times New Roman" w:cs="Times New Roman"/>
          <w:sz w:val="24"/>
          <w:szCs w:val="24"/>
        </w:rPr>
        <w:t>https://doi.org/10.1016/j.prmcm.2024.100425</w:t>
      </w:r>
      <w:r w:rsidRPr="00C816AA">
        <w:rPr>
          <w:rFonts w:ascii="Times New Roman" w:hAnsi="Times New Roman" w:cs="Times New Roman"/>
          <w:sz w:val="24"/>
          <w:szCs w:val="24"/>
        </w:rPr>
        <w:t xml:space="preserve"> </w:t>
      </w:r>
    </w:p>
    <w:p w14:paraId="6F5E752A" w14:textId="489F917F"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Coluk, Y., Yildirim, G., Yildirmak, S., &amp; Peker, E. G. G. (2025). Altered brain-derived neurotrophic factor levels and oxidative stress in REM sleep deprivation: a rat model study. </w:t>
      </w:r>
      <w:r w:rsidRPr="00C816AA">
        <w:rPr>
          <w:rFonts w:ascii="Times New Roman" w:hAnsi="Times New Roman" w:cs="Times New Roman"/>
          <w:i/>
          <w:sz w:val="24"/>
          <w:szCs w:val="24"/>
        </w:rPr>
        <w:t>BMC neurology</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25</w:t>
      </w:r>
      <w:r w:rsidRPr="00C816AA">
        <w:rPr>
          <w:rFonts w:ascii="Times New Roman" w:hAnsi="Times New Roman" w:cs="Times New Roman"/>
          <w:sz w:val="24"/>
          <w:szCs w:val="24"/>
        </w:rPr>
        <w:t xml:space="preserve">(1), 122. </w:t>
      </w:r>
      <w:r w:rsidRPr="00DE3408">
        <w:rPr>
          <w:rFonts w:ascii="Times New Roman" w:hAnsi="Times New Roman" w:cs="Times New Roman"/>
          <w:sz w:val="24"/>
          <w:szCs w:val="24"/>
        </w:rPr>
        <w:t>https://doi.org/10.1186/s12883-025-04127-2</w:t>
      </w:r>
      <w:r w:rsidRPr="00C816AA">
        <w:rPr>
          <w:rFonts w:ascii="Times New Roman" w:hAnsi="Times New Roman" w:cs="Times New Roman"/>
          <w:sz w:val="24"/>
          <w:szCs w:val="24"/>
        </w:rPr>
        <w:t xml:space="preserve"> </w:t>
      </w:r>
    </w:p>
    <w:p w14:paraId="186AD88E" w14:textId="5A31D24A"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Cservenka, A., Lahanas, S., &amp; Dotson-Bossert, J. (2018). Marijuana Use and Hypothalamic-Pituitary-Adrenal Axis Functioning in Humans. </w:t>
      </w:r>
      <w:r w:rsidRPr="00C816AA">
        <w:rPr>
          <w:rFonts w:ascii="Times New Roman" w:hAnsi="Times New Roman" w:cs="Times New Roman"/>
          <w:i/>
          <w:sz w:val="24"/>
          <w:szCs w:val="24"/>
        </w:rPr>
        <w:t>Front Psychiatry</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9</w:t>
      </w:r>
      <w:r w:rsidRPr="00C816AA">
        <w:rPr>
          <w:rFonts w:ascii="Times New Roman" w:hAnsi="Times New Roman" w:cs="Times New Roman"/>
          <w:sz w:val="24"/>
          <w:szCs w:val="24"/>
        </w:rPr>
        <w:t xml:space="preserve">, 472. </w:t>
      </w:r>
      <w:r w:rsidRPr="00DE3408">
        <w:rPr>
          <w:rFonts w:ascii="Times New Roman" w:hAnsi="Times New Roman" w:cs="Times New Roman"/>
          <w:sz w:val="24"/>
          <w:szCs w:val="24"/>
        </w:rPr>
        <w:t>https://doi.org/10.3389/fpsyt.2018.00472</w:t>
      </w:r>
      <w:r w:rsidRPr="00C816AA">
        <w:rPr>
          <w:rFonts w:ascii="Times New Roman" w:hAnsi="Times New Roman" w:cs="Times New Roman"/>
          <w:sz w:val="24"/>
          <w:szCs w:val="24"/>
        </w:rPr>
        <w:t xml:space="preserve"> </w:t>
      </w:r>
    </w:p>
    <w:p w14:paraId="124CE9EB" w14:textId="0CF340E0"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Daubry, T. M. E., Adienbo, O. M., Ovili-Odili, B. Z., &amp; Chinko, B. C. (2024). N-Acetyl Cysteine and Zinc Sulfate Attenuates Acute Crude Oil-Induced Oxidative Stress and Testicular Structural Damage in Male Wistar Rats. </w:t>
      </w:r>
      <w:r w:rsidRPr="00C816AA">
        <w:rPr>
          <w:rFonts w:ascii="Times New Roman" w:hAnsi="Times New Roman" w:cs="Times New Roman"/>
          <w:i/>
          <w:sz w:val="24"/>
          <w:szCs w:val="24"/>
        </w:rPr>
        <w:t>Asian Journal of Biology</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20</w:t>
      </w:r>
      <w:r w:rsidRPr="00C816AA">
        <w:rPr>
          <w:rFonts w:ascii="Times New Roman" w:hAnsi="Times New Roman" w:cs="Times New Roman"/>
          <w:sz w:val="24"/>
          <w:szCs w:val="24"/>
        </w:rPr>
        <w:t xml:space="preserve">(11), 98-108. </w:t>
      </w:r>
      <w:r w:rsidRPr="00DE3408">
        <w:rPr>
          <w:rFonts w:ascii="Times New Roman" w:hAnsi="Times New Roman" w:cs="Times New Roman"/>
          <w:sz w:val="24"/>
          <w:szCs w:val="24"/>
        </w:rPr>
        <w:t>https://doi.org/10.9734/ajob/2024/v20i11453</w:t>
      </w:r>
      <w:r w:rsidRPr="00C816AA">
        <w:rPr>
          <w:rFonts w:ascii="Times New Roman" w:hAnsi="Times New Roman" w:cs="Times New Roman"/>
          <w:sz w:val="24"/>
          <w:szCs w:val="24"/>
        </w:rPr>
        <w:t xml:space="preserve"> </w:t>
      </w:r>
    </w:p>
    <w:p w14:paraId="514A118B" w14:textId="6D1CCA46"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lastRenderedPageBreak/>
        <w:t xml:space="preserve">Devinsky, O., Cross, J. H., Laux, L., Marsh, E., Miller, I., Nabbout, R., Scheffer, I. E., Thiele, E. A., &amp; Wright, S. (2017). Trial of Cannabidiol for Drug-Resistant Seizures in the Dravet Syndrome. </w:t>
      </w:r>
      <w:r w:rsidRPr="00C816AA">
        <w:rPr>
          <w:rFonts w:ascii="Times New Roman" w:hAnsi="Times New Roman" w:cs="Times New Roman"/>
          <w:i/>
          <w:sz w:val="24"/>
          <w:szCs w:val="24"/>
        </w:rPr>
        <w:t>N Engl J Med</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376</w:t>
      </w:r>
      <w:r w:rsidRPr="00C816AA">
        <w:rPr>
          <w:rFonts w:ascii="Times New Roman" w:hAnsi="Times New Roman" w:cs="Times New Roman"/>
          <w:sz w:val="24"/>
          <w:szCs w:val="24"/>
        </w:rPr>
        <w:t xml:space="preserve">(21), 2011-2020. </w:t>
      </w:r>
      <w:r w:rsidRPr="00DE3408">
        <w:rPr>
          <w:rFonts w:ascii="Times New Roman" w:hAnsi="Times New Roman" w:cs="Times New Roman"/>
          <w:sz w:val="24"/>
          <w:szCs w:val="24"/>
        </w:rPr>
        <w:t>https://doi.org/10.1056/NEJMoa1611618</w:t>
      </w:r>
      <w:r w:rsidRPr="00C816AA">
        <w:rPr>
          <w:rFonts w:ascii="Times New Roman" w:hAnsi="Times New Roman" w:cs="Times New Roman"/>
          <w:sz w:val="24"/>
          <w:szCs w:val="24"/>
        </w:rPr>
        <w:t xml:space="preserve"> </w:t>
      </w:r>
    </w:p>
    <w:p w14:paraId="21FB8BD7" w14:textId="15A89ED3"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Dumbili, E. W. (2020). Cannabis normalization among young adults in a Nigerian city. </w:t>
      </w:r>
      <w:r w:rsidRPr="00C816AA">
        <w:rPr>
          <w:rFonts w:ascii="Times New Roman" w:hAnsi="Times New Roman" w:cs="Times New Roman"/>
          <w:i/>
          <w:sz w:val="24"/>
          <w:szCs w:val="24"/>
        </w:rPr>
        <w:t>Journal of Drug Issues</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50</w:t>
      </w:r>
      <w:r w:rsidRPr="00C816AA">
        <w:rPr>
          <w:rFonts w:ascii="Times New Roman" w:hAnsi="Times New Roman" w:cs="Times New Roman"/>
          <w:sz w:val="24"/>
          <w:szCs w:val="24"/>
        </w:rPr>
        <w:t xml:space="preserve">(3), 286-302. </w:t>
      </w:r>
      <w:r w:rsidRPr="00DE3408">
        <w:rPr>
          <w:rFonts w:ascii="Times New Roman" w:hAnsi="Times New Roman" w:cs="Times New Roman"/>
          <w:sz w:val="24"/>
          <w:szCs w:val="24"/>
        </w:rPr>
        <w:t>https://doi.org/10.1177/0022042620912</w:t>
      </w:r>
      <w:r w:rsidRPr="00C816AA">
        <w:rPr>
          <w:rFonts w:ascii="Times New Roman" w:hAnsi="Times New Roman" w:cs="Times New Roman"/>
          <w:sz w:val="24"/>
          <w:szCs w:val="24"/>
        </w:rPr>
        <w:t xml:space="preserve"> </w:t>
      </w:r>
    </w:p>
    <w:p w14:paraId="10999406" w14:textId="1CB0C8C8"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Fiani, B., Sarhadi, K. J., Soula, M., Zafar, A., &amp; Quadri, S. A. (2020). Current application of cannabidiol (CBD) in the management and treatment of neurological disorders. </w:t>
      </w:r>
      <w:r w:rsidRPr="00C816AA">
        <w:rPr>
          <w:rFonts w:ascii="Times New Roman" w:hAnsi="Times New Roman" w:cs="Times New Roman"/>
          <w:i/>
          <w:sz w:val="24"/>
          <w:szCs w:val="24"/>
        </w:rPr>
        <w:t>Neurological Sciences</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41</w:t>
      </w:r>
      <w:r w:rsidRPr="00C816AA">
        <w:rPr>
          <w:rFonts w:ascii="Times New Roman" w:hAnsi="Times New Roman" w:cs="Times New Roman"/>
          <w:sz w:val="24"/>
          <w:szCs w:val="24"/>
        </w:rPr>
        <w:t xml:space="preserve">(11), 3085-3098. </w:t>
      </w:r>
      <w:r w:rsidRPr="00DE3408">
        <w:rPr>
          <w:rFonts w:ascii="Times New Roman" w:hAnsi="Times New Roman" w:cs="Times New Roman"/>
          <w:sz w:val="24"/>
          <w:szCs w:val="24"/>
        </w:rPr>
        <w:t>https://doi.org/10.1007/s10072-020-04514-2</w:t>
      </w:r>
      <w:r w:rsidRPr="00C816AA">
        <w:rPr>
          <w:rFonts w:ascii="Times New Roman" w:hAnsi="Times New Roman" w:cs="Times New Roman"/>
          <w:sz w:val="24"/>
          <w:szCs w:val="24"/>
        </w:rPr>
        <w:t xml:space="preserve"> </w:t>
      </w:r>
    </w:p>
    <w:p w14:paraId="4C0477ED" w14:textId="77777777"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Grinspoon, P. (2018). Cannabidiol (CBD)—what we know and what we don’t. </w:t>
      </w:r>
      <w:r w:rsidRPr="00C816AA">
        <w:rPr>
          <w:rFonts w:ascii="Times New Roman" w:hAnsi="Times New Roman" w:cs="Times New Roman"/>
          <w:i/>
          <w:sz w:val="24"/>
          <w:szCs w:val="24"/>
        </w:rPr>
        <w:t>Harvard Health Blog</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24</w:t>
      </w:r>
      <w:r w:rsidRPr="00C816AA">
        <w:rPr>
          <w:rFonts w:ascii="Times New Roman" w:hAnsi="Times New Roman" w:cs="Times New Roman"/>
          <w:sz w:val="24"/>
          <w:szCs w:val="24"/>
        </w:rPr>
        <w:t xml:space="preserve">. </w:t>
      </w:r>
    </w:p>
    <w:p w14:paraId="5FC5FFDF" w14:textId="35FE9C5A"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Gülck, T., &amp; Møller, B. L. (2020). Phytocannabinoids: origins and biosynthesis. </w:t>
      </w:r>
      <w:r w:rsidRPr="00C816AA">
        <w:rPr>
          <w:rFonts w:ascii="Times New Roman" w:hAnsi="Times New Roman" w:cs="Times New Roman"/>
          <w:i/>
          <w:sz w:val="24"/>
          <w:szCs w:val="24"/>
        </w:rPr>
        <w:t>Trends in plant science</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25</w:t>
      </w:r>
      <w:r w:rsidRPr="00C816AA">
        <w:rPr>
          <w:rFonts w:ascii="Times New Roman" w:hAnsi="Times New Roman" w:cs="Times New Roman"/>
          <w:sz w:val="24"/>
          <w:szCs w:val="24"/>
        </w:rPr>
        <w:t xml:space="preserve">(10), 985-1004. </w:t>
      </w:r>
      <w:r w:rsidRPr="00DE3408">
        <w:rPr>
          <w:rFonts w:ascii="Times New Roman" w:hAnsi="Times New Roman" w:cs="Times New Roman"/>
          <w:sz w:val="24"/>
          <w:szCs w:val="24"/>
        </w:rPr>
        <w:t>https://doi.org/10.1016/j.tplants.2020.05.005</w:t>
      </w:r>
      <w:r w:rsidRPr="00C816AA">
        <w:rPr>
          <w:rFonts w:ascii="Times New Roman" w:hAnsi="Times New Roman" w:cs="Times New Roman"/>
          <w:sz w:val="24"/>
          <w:szCs w:val="24"/>
        </w:rPr>
        <w:t xml:space="preserve"> </w:t>
      </w:r>
    </w:p>
    <w:p w14:paraId="2DAD86B3" w14:textId="2EA6420C"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Hanuš, L. O., &amp; Mechoulam, R. (2005). Cannabinoid chemistry: an overview. </w:t>
      </w:r>
      <w:r w:rsidRPr="00C816AA">
        <w:rPr>
          <w:rFonts w:ascii="Times New Roman" w:hAnsi="Times New Roman" w:cs="Times New Roman"/>
          <w:i/>
          <w:sz w:val="24"/>
          <w:szCs w:val="24"/>
        </w:rPr>
        <w:t>Cannabinoids as therapeutics</w:t>
      </w:r>
      <w:r w:rsidRPr="00C816AA">
        <w:rPr>
          <w:rFonts w:ascii="Times New Roman" w:hAnsi="Times New Roman" w:cs="Times New Roman"/>
          <w:sz w:val="24"/>
          <w:szCs w:val="24"/>
        </w:rPr>
        <w:t xml:space="preserve">, 23-46. </w:t>
      </w:r>
      <w:r w:rsidRPr="00DE3408">
        <w:rPr>
          <w:rFonts w:ascii="Times New Roman" w:hAnsi="Times New Roman" w:cs="Times New Roman"/>
          <w:sz w:val="24"/>
          <w:szCs w:val="24"/>
        </w:rPr>
        <w:t>https://doi.org/10.1007/3-7643-7358-X_2</w:t>
      </w:r>
      <w:r w:rsidRPr="00C816AA">
        <w:rPr>
          <w:rFonts w:ascii="Times New Roman" w:hAnsi="Times New Roman" w:cs="Times New Roman"/>
          <w:sz w:val="24"/>
          <w:szCs w:val="24"/>
        </w:rPr>
        <w:t xml:space="preserve"> </w:t>
      </w:r>
    </w:p>
    <w:p w14:paraId="31E54471" w14:textId="6EFFE433"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Heldt, S. A., Stanek, L., Chhatwal, J. P., &amp; Ressler, K. J. (2007). Hippocampus-specific deletion of BDNF in adult mice impairs spatial memory and extinction of aversive memories. </w:t>
      </w:r>
      <w:r w:rsidRPr="00C816AA">
        <w:rPr>
          <w:rFonts w:ascii="Times New Roman" w:hAnsi="Times New Roman" w:cs="Times New Roman"/>
          <w:i/>
          <w:sz w:val="24"/>
          <w:szCs w:val="24"/>
        </w:rPr>
        <w:t>Mol Psychiatry</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12</w:t>
      </w:r>
      <w:r w:rsidRPr="00C816AA">
        <w:rPr>
          <w:rFonts w:ascii="Times New Roman" w:hAnsi="Times New Roman" w:cs="Times New Roman"/>
          <w:sz w:val="24"/>
          <w:szCs w:val="24"/>
        </w:rPr>
        <w:t xml:space="preserve">(7), 656-670. </w:t>
      </w:r>
      <w:r w:rsidRPr="00DE3408">
        <w:rPr>
          <w:rFonts w:ascii="Times New Roman" w:hAnsi="Times New Roman" w:cs="Times New Roman"/>
          <w:sz w:val="24"/>
          <w:szCs w:val="24"/>
        </w:rPr>
        <w:t>https://doi.org/10.1038/sj.mp.4001957</w:t>
      </w:r>
      <w:r w:rsidRPr="00C816AA">
        <w:rPr>
          <w:rFonts w:ascii="Times New Roman" w:hAnsi="Times New Roman" w:cs="Times New Roman"/>
          <w:sz w:val="24"/>
          <w:szCs w:val="24"/>
        </w:rPr>
        <w:t xml:space="preserve"> </w:t>
      </w:r>
    </w:p>
    <w:p w14:paraId="096350FC" w14:textId="4193E5B5"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Herculano-Houzel, S. (2009). The human brain in numbers: a linearly scaled-up primate brain. </w:t>
      </w:r>
      <w:r w:rsidRPr="00C816AA">
        <w:rPr>
          <w:rFonts w:ascii="Times New Roman" w:hAnsi="Times New Roman" w:cs="Times New Roman"/>
          <w:i/>
          <w:sz w:val="24"/>
          <w:szCs w:val="24"/>
        </w:rPr>
        <w:t>Front Hum Neurosci</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3</w:t>
      </w:r>
      <w:r w:rsidRPr="00C816AA">
        <w:rPr>
          <w:rFonts w:ascii="Times New Roman" w:hAnsi="Times New Roman" w:cs="Times New Roman"/>
          <w:sz w:val="24"/>
          <w:szCs w:val="24"/>
        </w:rPr>
        <w:t xml:space="preserve">, 31. </w:t>
      </w:r>
      <w:r w:rsidRPr="00DE3408">
        <w:rPr>
          <w:rFonts w:ascii="Times New Roman" w:hAnsi="Times New Roman" w:cs="Times New Roman"/>
          <w:sz w:val="24"/>
          <w:szCs w:val="24"/>
        </w:rPr>
        <w:t>https://doi.org/10.3389/neuro.09.031.2009</w:t>
      </w:r>
      <w:r w:rsidRPr="00C816AA">
        <w:rPr>
          <w:rFonts w:ascii="Times New Roman" w:hAnsi="Times New Roman" w:cs="Times New Roman"/>
          <w:sz w:val="24"/>
          <w:szCs w:val="24"/>
        </w:rPr>
        <w:t xml:space="preserve"> </w:t>
      </w:r>
    </w:p>
    <w:p w14:paraId="5A81AE57" w14:textId="543E3602"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Herculano-Houzel, S. (2012). The remarkable, yet not extraordinary, human brain as a scaled-up primate brain and its associated cost. </w:t>
      </w:r>
      <w:r w:rsidRPr="00C816AA">
        <w:rPr>
          <w:rFonts w:ascii="Times New Roman" w:hAnsi="Times New Roman" w:cs="Times New Roman"/>
          <w:i/>
          <w:sz w:val="24"/>
          <w:szCs w:val="24"/>
        </w:rPr>
        <w:t>Proc Natl Acad Sci U S A</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109 Suppl 1</w:t>
      </w:r>
      <w:r w:rsidRPr="00C816AA">
        <w:rPr>
          <w:rFonts w:ascii="Times New Roman" w:hAnsi="Times New Roman" w:cs="Times New Roman"/>
          <w:sz w:val="24"/>
          <w:szCs w:val="24"/>
        </w:rPr>
        <w:t xml:space="preserve">(Suppl 1), 10661-10668. </w:t>
      </w:r>
      <w:r w:rsidRPr="00DE3408">
        <w:rPr>
          <w:rFonts w:ascii="Times New Roman" w:hAnsi="Times New Roman" w:cs="Times New Roman"/>
          <w:sz w:val="24"/>
          <w:szCs w:val="24"/>
        </w:rPr>
        <w:t>https://doi.org/10.1073/pnas.1201895109</w:t>
      </w:r>
      <w:r w:rsidRPr="00C816AA">
        <w:rPr>
          <w:rFonts w:ascii="Times New Roman" w:hAnsi="Times New Roman" w:cs="Times New Roman"/>
          <w:sz w:val="24"/>
          <w:szCs w:val="24"/>
        </w:rPr>
        <w:t xml:space="preserve"> </w:t>
      </w:r>
    </w:p>
    <w:p w14:paraId="6AC55B2D" w14:textId="6C254667"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Huang, E. J., &amp; Reichardt, L. F. (2003). Trk receptors: roles in neuronal signal transduction. </w:t>
      </w:r>
      <w:r w:rsidRPr="00C816AA">
        <w:rPr>
          <w:rFonts w:ascii="Times New Roman" w:hAnsi="Times New Roman" w:cs="Times New Roman"/>
          <w:i/>
          <w:sz w:val="24"/>
          <w:szCs w:val="24"/>
        </w:rPr>
        <w:t>Annu Rev Biochem</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72</w:t>
      </w:r>
      <w:r w:rsidRPr="00C816AA">
        <w:rPr>
          <w:rFonts w:ascii="Times New Roman" w:hAnsi="Times New Roman" w:cs="Times New Roman"/>
          <w:sz w:val="24"/>
          <w:szCs w:val="24"/>
        </w:rPr>
        <w:t xml:space="preserve">, 609-642. </w:t>
      </w:r>
      <w:r w:rsidRPr="00DE3408">
        <w:rPr>
          <w:rFonts w:ascii="Times New Roman" w:hAnsi="Times New Roman" w:cs="Times New Roman"/>
          <w:sz w:val="24"/>
          <w:szCs w:val="24"/>
        </w:rPr>
        <w:t>https://doi.org/10.1146/annurev.biochem.72.121801.161629</w:t>
      </w:r>
      <w:r w:rsidRPr="00C816AA">
        <w:rPr>
          <w:rFonts w:ascii="Times New Roman" w:hAnsi="Times New Roman" w:cs="Times New Roman"/>
          <w:sz w:val="24"/>
          <w:szCs w:val="24"/>
        </w:rPr>
        <w:t xml:space="preserve"> </w:t>
      </w:r>
    </w:p>
    <w:p w14:paraId="15614AFA" w14:textId="77777777" w:rsidR="00E64959" w:rsidRPr="00E64959" w:rsidRDefault="00E64959" w:rsidP="00E64959">
      <w:pPr>
        <w:pStyle w:val="EndNoteBibliography"/>
        <w:spacing w:after="0"/>
        <w:ind w:left="720" w:hanging="720"/>
        <w:rPr>
          <w:rFonts w:ascii="Times New Roman" w:hAnsi="Times New Roman" w:cs="Times New Roman"/>
          <w:sz w:val="24"/>
          <w:szCs w:val="24"/>
        </w:rPr>
      </w:pPr>
      <w:r w:rsidRPr="00E64959">
        <w:rPr>
          <w:rFonts w:ascii="Times New Roman" w:hAnsi="Times New Roman" w:cs="Times New Roman"/>
          <w:sz w:val="24"/>
          <w:szCs w:val="24"/>
          <w:highlight w:val="yellow"/>
        </w:rPr>
        <w:t xml:space="preserve">Kang, S., Li, J., Yao, Z., &amp; Liu, J. (2021). Cannabidiol induces autophagy to protect neural cells from mitochondrial dysfunction by upregulating SIRT1 to inhibit NF-κB and NOTCH pathways. </w:t>
      </w:r>
      <w:r w:rsidRPr="00E64959">
        <w:rPr>
          <w:rFonts w:ascii="Times New Roman" w:hAnsi="Times New Roman" w:cs="Times New Roman"/>
          <w:i/>
          <w:iCs/>
          <w:sz w:val="24"/>
          <w:szCs w:val="24"/>
          <w:highlight w:val="yellow"/>
        </w:rPr>
        <w:t>Frontiers in Cellular Neuroscience, 15</w:t>
      </w:r>
      <w:r w:rsidRPr="00E64959">
        <w:rPr>
          <w:rFonts w:ascii="Times New Roman" w:hAnsi="Times New Roman" w:cs="Times New Roman"/>
          <w:sz w:val="24"/>
          <w:szCs w:val="24"/>
          <w:highlight w:val="yellow"/>
        </w:rPr>
        <w:t>, 654340. https://doi.org/10.3389/fncel.2021.654340</w:t>
      </w:r>
    </w:p>
    <w:p w14:paraId="335B6731" w14:textId="44B9AB15"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Keefe, K. M., Sheikh, I. S., &amp; Smith, G. M. (2017). Targeting Neurotrophins to Specific Populations of Neurons: NGF, BDNF, and NT-3 and Their Relevance for Treatment of Spinal Cord Injury. </w:t>
      </w:r>
      <w:r w:rsidRPr="00C816AA">
        <w:rPr>
          <w:rFonts w:ascii="Times New Roman" w:hAnsi="Times New Roman" w:cs="Times New Roman"/>
          <w:i/>
          <w:sz w:val="24"/>
          <w:szCs w:val="24"/>
        </w:rPr>
        <w:t>Int J Mol Sci</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18</w:t>
      </w:r>
      <w:r w:rsidRPr="00C816AA">
        <w:rPr>
          <w:rFonts w:ascii="Times New Roman" w:hAnsi="Times New Roman" w:cs="Times New Roman"/>
          <w:sz w:val="24"/>
          <w:szCs w:val="24"/>
        </w:rPr>
        <w:t xml:space="preserve">(3). </w:t>
      </w:r>
      <w:r w:rsidRPr="00DE3408">
        <w:rPr>
          <w:rFonts w:ascii="Times New Roman" w:hAnsi="Times New Roman" w:cs="Times New Roman"/>
          <w:sz w:val="24"/>
          <w:szCs w:val="24"/>
        </w:rPr>
        <w:t>https://doi.org/10.3390/ijms18030548</w:t>
      </w:r>
      <w:r w:rsidRPr="00C816AA">
        <w:rPr>
          <w:rFonts w:ascii="Times New Roman" w:hAnsi="Times New Roman" w:cs="Times New Roman"/>
          <w:sz w:val="24"/>
          <w:szCs w:val="24"/>
        </w:rPr>
        <w:t xml:space="preserve"> </w:t>
      </w:r>
    </w:p>
    <w:p w14:paraId="172E55A6" w14:textId="113F0149"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Kinghorn, A. D., Falk, H., Gibbons, S., &amp; Kobayashi, J. (2017). </w:t>
      </w:r>
      <w:r w:rsidRPr="00C816AA">
        <w:rPr>
          <w:rFonts w:ascii="Times New Roman" w:hAnsi="Times New Roman" w:cs="Times New Roman"/>
          <w:i/>
          <w:sz w:val="24"/>
          <w:szCs w:val="24"/>
        </w:rPr>
        <w:t>Phytocannabinoids</w:t>
      </w:r>
      <w:r w:rsidRPr="00C816AA">
        <w:rPr>
          <w:rFonts w:ascii="Times New Roman" w:hAnsi="Times New Roman" w:cs="Times New Roman"/>
          <w:sz w:val="24"/>
          <w:szCs w:val="24"/>
        </w:rPr>
        <w:t xml:space="preserve">. Springer. </w:t>
      </w:r>
      <w:r w:rsidRPr="00DE3408">
        <w:rPr>
          <w:rFonts w:ascii="Times New Roman" w:hAnsi="Times New Roman" w:cs="Times New Roman"/>
          <w:sz w:val="24"/>
          <w:szCs w:val="24"/>
        </w:rPr>
        <w:t>https://doi.org/10.1007/978-3-319-45541-9</w:t>
      </w:r>
      <w:r w:rsidRPr="00C816AA">
        <w:rPr>
          <w:rFonts w:ascii="Times New Roman" w:hAnsi="Times New Roman" w:cs="Times New Roman"/>
          <w:sz w:val="24"/>
          <w:szCs w:val="24"/>
        </w:rPr>
        <w:t xml:space="preserve"> </w:t>
      </w:r>
    </w:p>
    <w:p w14:paraId="0E2F920C" w14:textId="2F5A6E20"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Koch, C. (2025). The Brain: Neurons, Synapses, and Neural Networks. In </w:t>
      </w:r>
      <w:r w:rsidRPr="00C816AA">
        <w:rPr>
          <w:rFonts w:ascii="Times New Roman" w:hAnsi="Times New Roman" w:cs="Times New Roman"/>
          <w:i/>
          <w:sz w:val="24"/>
          <w:szCs w:val="24"/>
        </w:rPr>
        <w:t>Encyclopedia of Religious Psychology and Behavior</w:t>
      </w:r>
      <w:r w:rsidRPr="00C816AA">
        <w:rPr>
          <w:rFonts w:ascii="Times New Roman" w:hAnsi="Times New Roman" w:cs="Times New Roman"/>
          <w:sz w:val="24"/>
          <w:szCs w:val="24"/>
        </w:rPr>
        <w:t xml:space="preserve"> (pp. 1-4). Springer. </w:t>
      </w:r>
      <w:r w:rsidRPr="00DE3408">
        <w:rPr>
          <w:rFonts w:ascii="Times New Roman" w:hAnsi="Times New Roman" w:cs="Times New Roman"/>
          <w:sz w:val="24"/>
          <w:szCs w:val="24"/>
        </w:rPr>
        <w:t>https://doi.org/10.1007/978-3-031-38971-9_734-1</w:t>
      </w:r>
      <w:r w:rsidRPr="00C816AA">
        <w:rPr>
          <w:rFonts w:ascii="Times New Roman" w:hAnsi="Times New Roman" w:cs="Times New Roman"/>
          <w:sz w:val="24"/>
          <w:szCs w:val="24"/>
        </w:rPr>
        <w:t xml:space="preserve"> </w:t>
      </w:r>
    </w:p>
    <w:p w14:paraId="67172270" w14:textId="3E7C7D32"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Koshimizu, H., Kiyosue, K., Hara, T., Hazama, S., Suzuki, S., Uegaki, K., Nagappan, G., Zaitsev, E., Hirokawa, T., Tatsu, Y., Ogura, A., Lu, B., &amp; Kojima, M. (2009). Multiple functions of precursor BDNF to CNS neurons: negative regulation of neurite growth, spine formation and cell survival. </w:t>
      </w:r>
      <w:r w:rsidRPr="00C816AA">
        <w:rPr>
          <w:rFonts w:ascii="Times New Roman" w:hAnsi="Times New Roman" w:cs="Times New Roman"/>
          <w:i/>
          <w:sz w:val="24"/>
          <w:szCs w:val="24"/>
        </w:rPr>
        <w:t>Mol Brain</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2</w:t>
      </w:r>
      <w:r w:rsidRPr="00C816AA">
        <w:rPr>
          <w:rFonts w:ascii="Times New Roman" w:hAnsi="Times New Roman" w:cs="Times New Roman"/>
          <w:sz w:val="24"/>
          <w:szCs w:val="24"/>
        </w:rPr>
        <w:t xml:space="preserve">, 27. </w:t>
      </w:r>
      <w:r w:rsidRPr="00DE3408">
        <w:rPr>
          <w:rFonts w:ascii="Times New Roman" w:hAnsi="Times New Roman" w:cs="Times New Roman"/>
          <w:sz w:val="24"/>
          <w:szCs w:val="24"/>
        </w:rPr>
        <w:t>https://doi.org/10.1186/1756-6606-2-27</w:t>
      </w:r>
      <w:r w:rsidRPr="00C816AA">
        <w:rPr>
          <w:rFonts w:ascii="Times New Roman" w:hAnsi="Times New Roman" w:cs="Times New Roman"/>
          <w:sz w:val="24"/>
          <w:szCs w:val="24"/>
        </w:rPr>
        <w:t xml:space="preserve"> </w:t>
      </w:r>
    </w:p>
    <w:p w14:paraId="400363E5" w14:textId="1403A75E"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lastRenderedPageBreak/>
        <w:t xml:space="preserve">Krukru, E. E., Chinko, B. C., &amp; Dapper, V. D. (2026). Opioid-Induced Dysregulation of BDNF Signalling: A Study of Acute, Sub-Chronic, and Chronic Exposure in a Rodent Model. </w:t>
      </w:r>
      <w:r w:rsidRPr="00C816AA">
        <w:rPr>
          <w:rFonts w:ascii="Times New Roman" w:hAnsi="Times New Roman" w:cs="Times New Roman"/>
          <w:i/>
          <w:sz w:val="24"/>
          <w:szCs w:val="24"/>
        </w:rPr>
        <w:t>Biomedical Sciences</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12</w:t>
      </w:r>
      <w:r w:rsidRPr="00C816AA">
        <w:rPr>
          <w:rFonts w:ascii="Times New Roman" w:hAnsi="Times New Roman" w:cs="Times New Roman"/>
          <w:sz w:val="24"/>
          <w:szCs w:val="24"/>
        </w:rPr>
        <w:t xml:space="preserve">(1), </w:t>
      </w:r>
      <w:r w:rsidR="0051352B" w:rsidRPr="00893CE2">
        <w:rPr>
          <w:rFonts w:ascii="Times New Roman" w:hAnsi="Times New Roman" w:cs="Times New Roman"/>
          <w:sz w:val="24"/>
          <w:szCs w:val="24"/>
          <w:highlight w:val="yellow"/>
        </w:rPr>
        <w:t>10</w:t>
      </w:r>
      <w:r w:rsidRPr="00893CE2">
        <w:rPr>
          <w:rFonts w:ascii="Times New Roman" w:hAnsi="Times New Roman" w:cs="Times New Roman"/>
          <w:sz w:val="24"/>
          <w:szCs w:val="24"/>
          <w:highlight w:val="yellow"/>
        </w:rPr>
        <w:t>-</w:t>
      </w:r>
      <w:r w:rsidR="00893CE2" w:rsidRPr="00893CE2">
        <w:rPr>
          <w:rFonts w:ascii="Times New Roman" w:hAnsi="Times New Roman" w:cs="Times New Roman"/>
          <w:sz w:val="24"/>
          <w:szCs w:val="24"/>
          <w:highlight w:val="yellow"/>
        </w:rPr>
        <w:t>16</w:t>
      </w:r>
      <w:r w:rsidRPr="00C816AA">
        <w:rPr>
          <w:rFonts w:ascii="Times New Roman" w:hAnsi="Times New Roman" w:cs="Times New Roman"/>
          <w:sz w:val="24"/>
          <w:szCs w:val="24"/>
        </w:rPr>
        <w:t xml:space="preserve">. </w:t>
      </w:r>
    </w:p>
    <w:p w14:paraId="0F1AA637" w14:textId="3815A1BF"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Lovell, M. E., Akhurst, J., Padgett, C., Garry, M. I., &amp; Matthews, A. (2020). Cognitive outcomes associated with long-term, regular, recreational cannabis use in adults: A meta-analysis. </w:t>
      </w:r>
      <w:r w:rsidRPr="00C816AA">
        <w:rPr>
          <w:rFonts w:ascii="Times New Roman" w:hAnsi="Times New Roman" w:cs="Times New Roman"/>
          <w:i/>
          <w:sz w:val="24"/>
          <w:szCs w:val="24"/>
        </w:rPr>
        <w:t>Exp Clin Psychopharmacol</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28</w:t>
      </w:r>
      <w:r w:rsidRPr="00C816AA">
        <w:rPr>
          <w:rFonts w:ascii="Times New Roman" w:hAnsi="Times New Roman" w:cs="Times New Roman"/>
          <w:sz w:val="24"/>
          <w:szCs w:val="24"/>
        </w:rPr>
        <w:t xml:space="preserve">(4), 471-494. </w:t>
      </w:r>
      <w:r w:rsidRPr="00DE3408">
        <w:rPr>
          <w:rFonts w:ascii="Times New Roman" w:hAnsi="Times New Roman" w:cs="Times New Roman"/>
          <w:sz w:val="24"/>
          <w:szCs w:val="24"/>
        </w:rPr>
        <w:t>https://doi.org/10.1037/pha0000326</w:t>
      </w:r>
      <w:r w:rsidRPr="00C816AA">
        <w:rPr>
          <w:rFonts w:ascii="Times New Roman" w:hAnsi="Times New Roman" w:cs="Times New Roman"/>
          <w:sz w:val="24"/>
          <w:szCs w:val="24"/>
        </w:rPr>
        <w:t xml:space="preserve"> </w:t>
      </w:r>
    </w:p>
    <w:p w14:paraId="44849102" w14:textId="77777777" w:rsid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Maldonado, K. A., &amp; Alsayouri, K. (2023). Physiology, brain. In </w:t>
      </w:r>
      <w:r w:rsidRPr="00C816AA">
        <w:rPr>
          <w:rFonts w:ascii="Times New Roman" w:hAnsi="Times New Roman" w:cs="Times New Roman"/>
          <w:i/>
          <w:sz w:val="24"/>
          <w:szCs w:val="24"/>
        </w:rPr>
        <w:t>StatPearls [Internet]</w:t>
      </w:r>
      <w:r w:rsidRPr="00C816AA">
        <w:rPr>
          <w:rFonts w:ascii="Times New Roman" w:hAnsi="Times New Roman" w:cs="Times New Roman"/>
          <w:sz w:val="24"/>
          <w:szCs w:val="24"/>
        </w:rPr>
        <w:t xml:space="preserve">. StatPearls Publishing. </w:t>
      </w:r>
    </w:p>
    <w:p w14:paraId="30604FE9" w14:textId="54FBDA68" w:rsidR="00457219" w:rsidRPr="00C816AA" w:rsidRDefault="00457219" w:rsidP="00457219">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highlight w:val="yellow"/>
        </w:rPr>
        <w:t xml:space="preserve">Martins, I. J. </w:t>
      </w:r>
      <w:r w:rsidRPr="00E64959">
        <w:rPr>
          <w:rFonts w:ascii="Times New Roman" w:hAnsi="Times New Roman" w:cs="Times New Roman"/>
          <w:sz w:val="24"/>
          <w:szCs w:val="24"/>
          <w:highlight w:val="yellow"/>
        </w:rPr>
        <w:t xml:space="preserve">(2018). Sirtuin 1, a diagnostic protein marker and its relevance to chronic disease and therapeutic drug interventions. </w:t>
      </w:r>
      <w:r w:rsidRPr="00E64959">
        <w:rPr>
          <w:rFonts w:ascii="Times New Roman" w:hAnsi="Times New Roman" w:cs="Times New Roman"/>
          <w:i/>
          <w:iCs/>
          <w:sz w:val="24"/>
          <w:szCs w:val="24"/>
          <w:highlight w:val="yellow"/>
        </w:rPr>
        <w:t>EC Pharmacology and Toxicology, 6</w:t>
      </w:r>
      <w:r w:rsidRPr="00E64959">
        <w:rPr>
          <w:rFonts w:ascii="Times New Roman" w:hAnsi="Times New Roman" w:cs="Times New Roman"/>
          <w:sz w:val="24"/>
          <w:szCs w:val="24"/>
          <w:highlight w:val="yellow"/>
        </w:rPr>
        <w:t>(4), 209–215.</w:t>
      </w:r>
    </w:p>
    <w:p w14:paraId="0A2BB6C7" w14:textId="365F8662"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Micalizzi, L., Brick, L. A., Thomas, S. A., Wolff, J., Esposito-Smythers, C., &amp; Spirito, A. (2020). Cannabis Use and Emotional Awareness Difficulties in Adolescents with Co-Occurring Substance Use and Psychiatric Disorders. </w:t>
      </w:r>
      <w:r w:rsidRPr="00C816AA">
        <w:rPr>
          <w:rFonts w:ascii="Times New Roman" w:hAnsi="Times New Roman" w:cs="Times New Roman"/>
          <w:i/>
          <w:sz w:val="24"/>
          <w:szCs w:val="24"/>
        </w:rPr>
        <w:t>Subst Use Misuse</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55</w:t>
      </w:r>
      <w:r w:rsidRPr="00C816AA">
        <w:rPr>
          <w:rFonts w:ascii="Times New Roman" w:hAnsi="Times New Roman" w:cs="Times New Roman"/>
          <w:sz w:val="24"/>
          <w:szCs w:val="24"/>
        </w:rPr>
        <w:t xml:space="preserve">(7), 1146-1154. </w:t>
      </w:r>
      <w:r w:rsidRPr="00DE3408">
        <w:rPr>
          <w:rFonts w:ascii="Times New Roman" w:hAnsi="Times New Roman" w:cs="Times New Roman"/>
          <w:sz w:val="24"/>
          <w:szCs w:val="24"/>
        </w:rPr>
        <w:t>https://doi.org/10.1080/10826084.2020.1729202</w:t>
      </w:r>
      <w:r w:rsidRPr="00C816AA">
        <w:rPr>
          <w:rFonts w:ascii="Times New Roman" w:hAnsi="Times New Roman" w:cs="Times New Roman"/>
          <w:sz w:val="24"/>
          <w:szCs w:val="24"/>
        </w:rPr>
        <w:t xml:space="preserve"> </w:t>
      </w:r>
    </w:p>
    <w:p w14:paraId="1C49CED4" w14:textId="66D9F73E"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Miranda, M., Morici, J. F., Zanoni, M. B., &amp; Bekinschtein, P. (2019). Brain-Derived Neurotrophic Factor: A Key Molecule for Memory in the Healthy and the Pathological Brain. </w:t>
      </w:r>
      <w:r w:rsidRPr="00C816AA">
        <w:rPr>
          <w:rFonts w:ascii="Times New Roman" w:hAnsi="Times New Roman" w:cs="Times New Roman"/>
          <w:i/>
          <w:sz w:val="24"/>
          <w:szCs w:val="24"/>
        </w:rPr>
        <w:t>Front Cell Neurosci</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13</w:t>
      </w:r>
      <w:r w:rsidRPr="00C816AA">
        <w:rPr>
          <w:rFonts w:ascii="Times New Roman" w:hAnsi="Times New Roman" w:cs="Times New Roman"/>
          <w:sz w:val="24"/>
          <w:szCs w:val="24"/>
        </w:rPr>
        <w:t xml:space="preserve">, 363. </w:t>
      </w:r>
      <w:r w:rsidRPr="00DE3408">
        <w:rPr>
          <w:rFonts w:ascii="Times New Roman" w:hAnsi="Times New Roman" w:cs="Times New Roman"/>
          <w:sz w:val="24"/>
          <w:szCs w:val="24"/>
        </w:rPr>
        <w:t>https://doi.org/10.3389/fncel.2019.00363</w:t>
      </w:r>
      <w:r w:rsidRPr="00C816AA">
        <w:rPr>
          <w:rFonts w:ascii="Times New Roman" w:hAnsi="Times New Roman" w:cs="Times New Roman"/>
          <w:sz w:val="24"/>
          <w:szCs w:val="24"/>
        </w:rPr>
        <w:t xml:space="preserve"> </w:t>
      </w:r>
    </w:p>
    <w:p w14:paraId="3740AF18" w14:textId="3752B7CA"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Mooney-Leber, S. M., &amp; Gould, T. J. (2018). The long-term cognitive consequences of adolescent exposure to recreational drugs of abuse. </w:t>
      </w:r>
      <w:r w:rsidRPr="00C816AA">
        <w:rPr>
          <w:rFonts w:ascii="Times New Roman" w:hAnsi="Times New Roman" w:cs="Times New Roman"/>
          <w:i/>
          <w:sz w:val="24"/>
          <w:szCs w:val="24"/>
        </w:rPr>
        <w:t>Learn Mem</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25</w:t>
      </w:r>
      <w:r w:rsidRPr="00C816AA">
        <w:rPr>
          <w:rFonts w:ascii="Times New Roman" w:hAnsi="Times New Roman" w:cs="Times New Roman"/>
          <w:sz w:val="24"/>
          <w:szCs w:val="24"/>
        </w:rPr>
        <w:t xml:space="preserve">(9), 481-491. </w:t>
      </w:r>
      <w:r w:rsidRPr="00DE3408">
        <w:rPr>
          <w:rFonts w:ascii="Times New Roman" w:hAnsi="Times New Roman" w:cs="Times New Roman"/>
          <w:sz w:val="24"/>
          <w:szCs w:val="24"/>
        </w:rPr>
        <w:t>https://doi.org/10.1101/lm.046672.117</w:t>
      </w:r>
      <w:r w:rsidRPr="00C816AA">
        <w:rPr>
          <w:rFonts w:ascii="Times New Roman" w:hAnsi="Times New Roman" w:cs="Times New Roman"/>
          <w:sz w:val="24"/>
          <w:szCs w:val="24"/>
        </w:rPr>
        <w:t xml:space="preserve"> </w:t>
      </w:r>
    </w:p>
    <w:p w14:paraId="2ACAA267" w14:textId="4F5A093E"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Ng, T. K. S., Coughlan, C., Heyn, P. C., Tagawa, A., Carollo, J. J., Kua, E. H., &amp; Mahendran, R. (2021). Increased plasma brain-derived neurotrophic factor (BDNF) as a potential biomarker for and compensatory mechanism in mild cognitive impairment: a case-control study. </w:t>
      </w:r>
      <w:r w:rsidRPr="00C816AA">
        <w:rPr>
          <w:rFonts w:ascii="Times New Roman" w:hAnsi="Times New Roman" w:cs="Times New Roman"/>
          <w:i/>
          <w:sz w:val="24"/>
          <w:szCs w:val="24"/>
        </w:rPr>
        <w:t>Aging (Albany NY)</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13</w:t>
      </w:r>
      <w:r w:rsidRPr="00C816AA">
        <w:rPr>
          <w:rFonts w:ascii="Times New Roman" w:hAnsi="Times New Roman" w:cs="Times New Roman"/>
          <w:sz w:val="24"/>
          <w:szCs w:val="24"/>
        </w:rPr>
        <w:t xml:space="preserve">(19), 22666-22689. </w:t>
      </w:r>
      <w:r w:rsidRPr="00DE3408">
        <w:rPr>
          <w:rFonts w:ascii="Times New Roman" w:hAnsi="Times New Roman" w:cs="Times New Roman"/>
          <w:sz w:val="24"/>
          <w:szCs w:val="24"/>
        </w:rPr>
        <w:t>https://doi.org/10.18632/aging.203598</w:t>
      </w:r>
      <w:r w:rsidRPr="00C816AA">
        <w:rPr>
          <w:rFonts w:ascii="Times New Roman" w:hAnsi="Times New Roman" w:cs="Times New Roman"/>
          <w:sz w:val="24"/>
          <w:szCs w:val="24"/>
        </w:rPr>
        <w:t xml:space="preserve"> </w:t>
      </w:r>
    </w:p>
    <w:p w14:paraId="773D92E1" w14:textId="32750B21"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Nurdiansyah, M. R. D., &amp; Siregar, W. Z. B. (2025). United Nations Office on Drugs and Crime's Efforts to Prevent the Distribution of Synthetic Drugs in Southeast Asia: through the Regional Frameworks Programme 2022-2026. </w:t>
      </w:r>
      <w:r w:rsidRPr="00C816AA">
        <w:rPr>
          <w:rFonts w:ascii="Times New Roman" w:hAnsi="Times New Roman" w:cs="Times New Roman"/>
          <w:i/>
          <w:sz w:val="24"/>
          <w:szCs w:val="24"/>
        </w:rPr>
        <w:t>SIYAR Journal</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5</w:t>
      </w:r>
      <w:r w:rsidRPr="00C816AA">
        <w:rPr>
          <w:rFonts w:ascii="Times New Roman" w:hAnsi="Times New Roman" w:cs="Times New Roman"/>
          <w:sz w:val="24"/>
          <w:szCs w:val="24"/>
        </w:rPr>
        <w:t xml:space="preserve">(2), 218-244. </w:t>
      </w:r>
      <w:r w:rsidRPr="00DE3408">
        <w:rPr>
          <w:rFonts w:ascii="Times New Roman" w:hAnsi="Times New Roman" w:cs="Times New Roman"/>
          <w:sz w:val="24"/>
          <w:szCs w:val="24"/>
        </w:rPr>
        <w:t>https://doi.org/10.15642/siyar.2025.5.2.218-244</w:t>
      </w:r>
      <w:r w:rsidRPr="00C816AA">
        <w:rPr>
          <w:rFonts w:ascii="Times New Roman" w:hAnsi="Times New Roman" w:cs="Times New Roman"/>
          <w:sz w:val="24"/>
          <w:szCs w:val="24"/>
        </w:rPr>
        <w:t xml:space="preserve"> </w:t>
      </w:r>
    </w:p>
    <w:p w14:paraId="0ED7B4F0" w14:textId="28598432"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Odeigah, O. W., Dumbili, E. W., &amp; Nelson, E.-U. (2025). Cannabis use patterns, prevalence, and risk factors in Nigeria: a systematic review and meta-analysis. </w:t>
      </w:r>
      <w:r w:rsidRPr="00C816AA">
        <w:rPr>
          <w:rFonts w:ascii="Times New Roman" w:hAnsi="Times New Roman" w:cs="Times New Roman"/>
          <w:i/>
          <w:sz w:val="24"/>
          <w:szCs w:val="24"/>
        </w:rPr>
        <w:t>Journal of Cannabis Research</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7</w:t>
      </w:r>
      <w:r w:rsidRPr="00C816AA">
        <w:rPr>
          <w:rFonts w:ascii="Times New Roman" w:hAnsi="Times New Roman" w:cs="Times New Roman"/>
          <w:sz w:val="24"/>
          <w:szCs w:val="24"/>
        </w:rPr>
        <w:t xml:space="preserve">(1), 1-13. </w:t>
      </w:r>
      <w:r w:rsidRPr="00DE3408">
        <w:rPr>
          <w:rFonts w:ascii="Times New Roman" w:hAnsi="Times New Roman" w:cs="Times New Roman"/>
          <w:sz w:val="24"/>
          <w:szCs w:val="24"/>
        </w:rPr>
        <w:t>https://doi.org/10.1186/s42238-025-00337-0</w:t>
      </w:r>
      <w:r w:rsidRPr="00C816AA">
        <w:rPr>
          <w:rFonts w:ascii="Times New Roman" w:hAnsi="Times New Roman" w:cs="Times New Roman"/>
          <w:sz w:val="24"/>
          <w:szCs w:val="24"/>
        </w:rPr>
        <w:t xml:space="preserve"> </w:t>
      </w:r>
    </w:p>
    <w:p w14:paraId="6901E628" w14:textId="1766B226"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Perea, G., Navarrete, M., &amp; Araque, A. (2009). Tripartite synapses: astrocytes process and control synaptic information. </w:t>
      </w:r>
      <w:r w:rsidRPr="00C816AA">
        <w:rPr>
          <w:rFonts w:ascii="Times New Roman" w:hAnsi="Times New Roman" w:cs="Times New Roman"/>
          <w:i/>
          <w:sz w:val="24"/>
          <w:szCs w:val="24"/>
        </w:rPr>
        <w:t>Trends Neurosci</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32</w:t>
      </w:r>
      <w:r w:rsidRPr="00C816AA">
        <w:rPr>
          <w:rFonts w:ascii="Times New Roman" w:hAnsi="Times New Roman" w:cs="Times New Roman"/>
          <w:sz w:val="24"/>
          <w:szCs w:val="24"/>
        </w:rPr>
        <w:t xml:space="preserve">(8), 421-431. </w:t>
      </w:r>
      <w:r w:rsidRPr="00DE3408">
        <w:rPr>
          <w:rFonts w:ascii="Times New Roman" w:hAnsi="Times New Roman" w:cs="Times New Roman"/>
          <w:sz w:val="24"/>
          <w:szCs w:val="24"/>
        </w:rPr>
        <w:t>https://doi.org/10.1016/j.tins.2009.05.001</w:t>
      </w:r>
      <w:r w:rsidRPr="00C816AA">
        <w:rPr>
          <w:rFonts w:ascii="Times New Roman" w:hAnsi="Times New Roman" w:cs="Times New Roman"/>
          <w:sz w:val="24"/>
          <w:szCs w:val="24"/>
        </w:rPr>
        <w:t xml:space="preserve"> </w:t>
      </w:r>
    </w:p>
    <w:p w14:paraId="1E77267F" w14:textId="296F5C98"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Pertwee, R. G. (2008). The diverse CB1 and CB2 receptor pharmacology of three plant cannabinoids: delta9-tetrahydrocannabinol, cannabidiol and delta9-tetrahydrocannabivarin. </w:t>
      </w:r>
      <w:r w:rsidRPr="00C816AA">
        <w:rPr>
          <w:rFonts w:ascii="Times New Roman" w:hAnsi="Times New Roman" w:cs="Times New Roman"/>
          <w:i/>
          <w:sz w:val="24"/>
          <w:szCs w:val="24"/>
        </w:rPr>
        <w:t>Br J Pharmacol</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153</w:t>
      </w:r>
      <w:r w:rsidRPr="00C816AA">
        <w:rPr>
          <w:rFonts w:ascii="Times New Roman" w:hAnsi="Times New Roman" w:cs="Times New Roman"/>
          <w:sz w:val="24"/>
          <w:szCs w:val="24"/>
        </w:rPr>
        <w:t xml:space="preserve">(2), 199-215. </w:t>
      </w:r>
      <w:r w:rsidRPr="00DE3408">
        <w:rPr>
          <w:rFonts w:ascii="Times New Roman" w:hAnsi="Times New Roman" w:cs="Times New Roman"/>
          <w:sz w:val="24"/>
          <w:szCs w:val="24"/>
        </w:rPr>
        <w:t>https://doi.org/10.1038/sj.bjp.0707442</w:t>
      </w:r>
      <w:r w:rsidRPr="00C816AA">
        <w:rPr>
          <w:rFonts w:ascii="Times New Roman" w:hAnsi="Times New Roman" w:cs="Times New Roman"/>
          <w:sz w:val="24"/>
          <w:szCs w:val="24"/>
        </w:rPr>
        <w:t xml:space="preserve"> </w:t>
      </w:r>
    </w:p>
    <w:p w14:paraId="49C17B2C" w14:textId="35DA86BD"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lastRenderedPageBreak/>
        <w:t xml:space="preserve">Pisani, A., Paciello, F., Del Vecchio, V., Malesci, R., De Corso, E., Cantone, E., &amp; Fetoni, A. R. (2023). The Role of BDNF as a Biomarker in Cognitive and Sensory Neurodegeneration. </w:t>
      </w:r>
      <w:r w:rsidRPr="00C816AA">
        <w:rPr>
          <w:rFonts w:ascii="Times New Roman" w:hAnsi="Times New Roman" w:cs="Times New Roman"/>
          <w:i/>
          <w:sz w:val="24"/>
          <w:szCs w:val="24"/>
        </w:rPr>
        <w:t>J Pers Med</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13</w:t>
      </w:r>
      <w:r w:rsidRPr="00C816AA">
        <w:rPr>
          <w:rFonts w:ascii="Times New Roman" w:hAnsi="Times New Roman" w:cs="Times New Roman"/>
          <w:sz w:val="24"/>
          <w:szCs w:val="24"/>
        </w:rPr>
        <w:t xml:space="preserve">(4). </w:t>
      </w:r>
      <w:r w:rsidRPr="00DE3408">
        <w:rPr>
          <w:rFonts w:ascii="Times New Roman" w:hAnsi="Times New Roman" w:cs="Times New Roman"/>
          <w:sz w:val="24"/>
          <w:szCs w:val="24"/>
        </w:rPr>
        <w:t>https://doi.org/10.3390/jpm13040652</w:t>
      </w:r>
      <w:r w:rsidRPr="00C816AA">
        <w:rPr>
          <w:rFonts w:ascii="Times New Roman" w:hAnsi="Times New Roman" w:cs="Times New Roman"/>
          <w:sz w:val="24"/>
          <w:szCs w:val="24"/>
        </w:rPr>
        <w:t xml:space="preserve"> </w:t>
      </w:r>
    </w:p>
    <w:p w14:paraId="2D5CA1A8" w14:textId="15563C8F"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Pisanti, S., Malfitano, A. M., Ciaglia, E., Lamberti, A., Ranieri, R., Cuomo, G., Abate, M., Faggiana, G., Proto, M. C., Fiore, D., Laezza, C., &amp; Bifulco, M. (2017). Cannabidiol: State of the art and new challenges for therapeutic applications. </w:t>
      </w:r>
      <w:r w:rsidRPr="00C816AA">
        <w:rPr>
          <w:rFonts w:ascii="Times New Roman" w:hAnsi="Times New Roman" w:cs="Times New Roman"/>
          <w:i/>
          <w:sz w:val="24"/>
          <w:szCs w:val="24"/>
        </w:rPr>
        <w:t>Pharmacol Ther</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175</w:t>
      </w:r>
      <w:r w:rsidRPr="00C816AA">
        <w:rPr>
          <w:rFonts w:ascii="Times New Roman" w:hAnsi="Times New Roman" w:cs="Times New Roman"/>
          <w:sz w:val="24"/>
          <w:szCs w:val="24"/>
        </w:rPr>
        <w:t xml:space="preserve">, 133-150. </w:t>
      </w:r>
      <w:r w:rsidRPr="00DE3408">
        <w:rPr>
          <w:rFonts w:ascii="Times New Roman" w:hAnsi="Times New Roman" w:cs="Times New Roman"/>
          <w:sz w:val="24"/>
          <w:szCs w:val="24"/>
        </w:rPr>
        <w:t>https://doi.org/10.1016/j.pharmthera.2017.02.041</w:t>
      </w:r>
      <w:r w:rsidRPr="00C816AA">
        <w:rPr>
          <w:rFonts w:ascii="Times New Roman" w:hAnsi="Times New Roman" w:cs="Times New Roman"/>
          <w:sz w:val="24"/>
          <w:szCs w:val="24"/>
        </w:rPr>
        <w:t xml:space="preserve"> </w:t>
      </w:r>
    </w:p>
    <w:p w14:paraId="34F30078" w14:textId="00DE5D9D"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Quinn, H. R., Matsumoto, I., Callaghan, P. D., Long, L. E., Arnold, J. C., Gunasekaran, N., Thompson, M. R., Dawson, B., Mallet, P. E., &amp; Kashem, M. A. (2008). Adolescent rats find repeated Δ9-THC less aversive than adult rats but display greater residual cognitive deficits and changes in hippocampal protein expression following exposure. </w:t>
      </w:r>
      <w:r w:rsidRPr="00C816AA">
        <w:rPr>
          <w:rFonts w:ascii="Times New Roman" w:hAnsi="Times New Roman" w:cs="Times New Roman"/>
          <w:i/>
          <w:sz w:val="24"/>
          <w:szCs w:val="24"/>
        </w:rPr>
        <w:t>Neuropsychopharmacology</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33</w:t>
      </w:r>
      <w:r w:rsidRPr="00C816AA">
        <w:rPr>
          <w:rFonts w:ascii="Times New Roman" w:hAnsi="Times New Roman" w:cs="Times New Roman"/>
          <w:sz w:val="24"/>
          <w:szCs w:val="24"/>
        </w:rPr>
        <w:t xml:space="preserve">(5), 1113-1126. </w:t>
      </w:r>
      <w:r w:rsidRPr="00DE3408">
        <w:rPr>
          <w:rFonts w:ascii="Times New Roman" w:hAnsi="Times New Roman" w:cs="Times New Roman"/>
          <w:sz w:val="24"/>
          <w:szCs w:val="24"/>
        </w:rPr>
        <w:t>https://doi.org/10.1038/sj.npp.1301475</w:t>
      </w:r>
      <w:r w:rsidRPr="00C816AA">
        <w:rPr>
          <w:rFonts w:ascii="Times New Roman" w:hAnsi="Times New Roman" w:cs="Times New Roman"/>
          <w:sz w:val="24"/>
          <w:szCs w:val="24"/>
        </w:rPr>
        <w:t xml:space="preserve"> </w:t>
      </w:r>
    </w:p>
    <w:p w14:paraId="69AA1414" w14:textId="18A83268"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Russo, E. B. (2011). Taming THC: potential cannabis synergy and phytocannabinoid-terpenoid entourage effects. </w:t>
      </w:r>
      <w:r w:rsidRPr="00C816AA">
        <w:rPr>
          <w:rFonts w:ascii="Times New Roman" w:hAnsi="Times New Roman" w:cs="Times New Roman"/>
          <w:i/>
          <w:sz w:val="24"/>
          <w:szCs w:val="24"/>
        </w:rPr>
        <w:t>Br J Pharmacol</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163</w:t>
      </w:r>
      <w:r w:rsidRPr="00C816AA">
        <w:rPr>
          <w:rFonts w:ascii="Times New Roman" w:hAnsi="Times New Roman" w:cs="Times New Roman"/>
          <w:sz w:val="24"/>
          <w:szCs w:val="24"/>
        </w:rPr>
        <w:t xml:space="preserve">(7), 1344-1364. </w:t>
      </w:r>
      <w:r w:rsidRPr="00DE3408">
        <w:rPr>
          <w:rFonts w:ascii="Times New Roman" w:hAnsi="Times New Roman" w:cs="Times New Roman"/>
          <w:sz w:val="24"/>
          <w:szCs w:val="24"/>
        </w:rPr>
        <w:t>https://doi.org/10.1111/j.1476-5381.2011.01238.x</w:t>
      </w:r>
      <w:r w:rsidRPr="00C816AA">
        <w:rPr>
          <w:rFonts w:ascii="Times New Roman" w:hAnsi="Times New Roman" w:cs="Times New Roman"/>
          <w:sz w:val="24"/>
          <w:szCs w:val="24"/>
        </w:rPr>
        <w:t xml:space="preserve"> </w:t>
      </w:r>
    </w:p>
    <w:p w14:paraId="6443F9C7" w14:textId="77777777" w:rsidR="00E64959" w:rsidRPr="00E64959" w:rsidRDefault="00E64959" w:rsidP="00E64959">
      <w:pPr>
        <w:pStyle w:val="EndNoteBibliography"/>
        <w:spacing w:after="0"/>
        <w:ind w:left="720" w:hanging="720"/>
        <w:rPr>
          <w:rFonts w:ascii="Times New Roman" w:hAnsi="Times New Roman" w:cs="Times New Roman"/>
          <w:sz w:val="24"/>
          <w:szCs w:val="24"/>
        </w:rPr>
      </w:pPr>
      <w:r w:rsidRPr="00E64959">
        <w:rPr>
          <w:rFonts w:ascii="Times New Roman" w:hAnsi="Times New Roman" w:cs="Times New Roman"/>
          <w:sz w:val="24"/>
          <w:szCs w:val="24"/>
          <w:highlight w:val="yellow"/>
        </w:rPr>
        <w:t xml:space="preserve">Sarne, Y., Toledano, R., Rachmany, L., Sasson, E., &amp; Doron, R. (2018). Reversal of age-related cognitive impairments in mice by an extremely low dose of tetrahydrocannabinol. </w:t>
      </w:r>
      <w:r w:rsidRPr="00E64959">
        <w:rPr>
          <w:rFonts w:ascii="Times New Roman" w:hAnsi="Times New Roman" w:cs="Times New Roman"/>
          <w:i/>
          <w:iCs/>
          <w:sz w:val="24"/>
          <w:szCs w:val="24"/>
          <w:highlight w:val="yellow"/>
        </w:rPr>
        <w:t>Neurobiology of Aging, 61</w:t>
      </w:r>
      <w:r w:rsidRPr="00E64959">
        <w:rPr>
          <w:rFonts w:ascii="Times New Roman" w:hAnsi="Times New Roman" w:cs="Times New Roman"/>
          <w:sz w:val="24"/>
          <w:szCs w:val="24"/>
          <w:highlight w:val="yellow"/>
        </w:rPr>
        <w:t>, 177–186. https://doi.org/10.1016/j.neurobiolaging.2017.09.014</w:t>
      </w:r>
      <w:r w:rsidRPr="00E64959">
        <w:rPr>
          <w:rFonts w:ascii="Times New Roman" w:hAnsi="Times New Roman" w:cs="Times New Roman"/>
          <w:sz w:val="24"/>
          <w:szCs w:val="24"/>
        </w:rPr>
        <w:t xml:space="preserve"> </w:t>
      </w:r>
    </w:p>
    <w:p w14:paraId="44187885" w14:textId="14F2F63F"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Șerban, M., Toader, C., &amp; Covache-Busuioc, R.-A. (2025). The Endocannabinoid System in Human Disease: Molecular Signaling, Receptor Pharmacology, and Therapeutic Innovation. </w:t>
      </w:r>
      <w:r w:rsidRPr="00C816AA">
        <w:rPr>
          <w:rFonts w:ascii="Times New Roman" w:hAnsi="Times New Roman" w:cs="Times New Roman"/>
          <w:i/>
          <w:sz w:val="24"/>
          <w:szCs w:val="24"/>
        </w:rPr>
        <w:t>International journal of molecular sciences</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26</w:t>
      </w:r>
      <w:r w:rsidRPr="00C816AA">
        <w:rPr>
          <w:rFonts w:ascii="Times New Roman" w:hAnsi="Times New Roman" w:cs="Times New Roman"/>
          <w:sz w:val="24"/>
          <w:szCs w:val="24"/>
        </w:rPr>
        <w:t xml:space="preserve">(22), 11132. </w:t>
      </w:r>
      <w:r w:rsidRPr="00DE3408">
        <w:rPr>
          <w:rFonts w:ascii="Times New Roman" w:hAnsi="Times New Roman" w:cs="Times New Roman"/>
          <w:sz w:val="24"/>
          <w:szCs w:val="24"/>
        </w:rPr>
        <w:t>https://doi.org/10.3390/ijms262211132</w:t>
      </w:r>
      <w:r w:rsidRPr="00C816AA">
        <w:rPr>
          <w:rFonts w:ascii="Times New Roman" w:hAnsi="Times New Roman" w:cs="Times New Roman"/>
          <w:sz w:val="24"/>
          <w:szCs w:val="24"/>
        </w:rPr>
        <w:t xml:space="preserve"> </w:t>
      </w:r>
    </w:p>
    <w:p w14:paraId="508EB28F" w14:textId="138DCA5A"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Solowij, N., &amp; Pesa, N. (2010). Cognitive abnormalities and cannabis use. </w:t>
      </w:r>
      <w:r w:rsidRPr="00C816AA">
        <w:rPr>
          <w:rFonts w:ascii="Times New Roman" w:hAnsi="Times New Roman" w:cs="Times New Roman"/>
          <w:i/>
          <w:sz w:val="24"/>
          <w:szCs w:val="24"/>
        </w:rPr>
        <w:t>Braz J Psychiatry</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32 Suppl 1</w:t>
      </w:r>
      <w:r w:rsidRPr="00C816AA">
        <w:rPr>
          <w:rFonts w:ascii="Times New Roman" w:hAnsi="Times New Roman" w:cs="Times New Roman"/>
          <w:sz w:val="24"/>
          <w:szCs w:val="24"/>
        </w:rPr>
        <w:t xml:space="preserve">, S31-40. </w:t>
      </w:r>
      <w:r w:rsidRPr="00DE3408">
        <w:rPr>
          <w:rFonts w:ascii="Times New Roman" w:hAnsi="Times New Roman" w:cs="Times New Roman"/>
          <w:sz w:val="24"/>
          <w:szCs w:val="24"/>
        </w:rPr>
        <w:t>https://doi.org/10.3390/ijms262211132</w:t>
      </w:r>
      <w:r w:rsidRPr="00C816AA">
        <w:rPr>
          <w:rFonts w:ascii="Times New Roman" w:hAnsi="Times New Roman" w:cs="Times New Roman"/>
          <w:sz w:val="24"/>
          <w:szCs w:val="24"/>
        </w:rPr>
        <w:t xml:space="preserve"> (Anormalidades cognitivas no uso da cannabis.) </w:t>
      </w:r>
    </w:p>
    <w:p w14:paraId="0B39C8D6" w14:textId="1B03338B"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Steiner, M. A., &amp; Wotjak, C. T. (2008). Role of the endocannabinoid system in regulation of the hypothalamic-pituitary-adrenocortical axis. In I. D. Neumann &amp; R. Landgraf (Eds.), </w:t>
      </w:r>
      <w:r w:rsidRPr="00C816AA">
        <w:rPr>
          <w:rFonts w:ascii="Times New Roman" w:hAnsi="Times New Roman" w:cs="Times New Roman"/>
          <w:i/>
          <w:sz w:val="24"/>
          <w:szCs w:val="24"/>
        </w:rPr>
        <w:t>Progress in Brain Research</w:t>
      </w:r>
      <w:r w:rsidRPr="00C816AA">
        <w:rPr>
          <w:rFonts w:ascii="Times New Roman" w:hAnsi="Times New Roman" w:cs="Times New Roman"/>
          <w:sz w:val="24"/>
          <w:szCs w:val="24"/>
        </w:rPr>
        <w:t xml:space="preserve"> (Vol. 170, pp. 397-432). Elsevier. </w:t>
      </w:r>
      <w:r w:rsidRPr="00DE3408">
        <w:rPr>
          <w:rFonts w:ascii="Times New Roman" w:hAnsi="Times New Roman" w:cs="Times New Roman"/>
          <w:sz w:val="24"/>
          <w:szCs w:val="24"/>
        </w:rPr>
        <w:t>https://doi.org/https://doi.org/10.1016/S0079-6123(08)00433-0</w:t>
      </w:r>
      <w:r w:rsidRPr="00C816AA">
        <w:rPr>
          <w:rFonts w:ascii="Times New Roman" w:hAnsi="Times New Roman" w:cs="Times New Roman"/>
          <w:sz w:val="24"/>
          <w:szCs w:val="24"/>
        </w:rPr>
        <w:t xml:space="preserve"> </w:t>
      </w:r>
    </w:p>
    <w:p w14:paraId="4E46E9EA" w14:textId="45E5C270"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Stella, N. (2023). THC and CBD: Similarities and differences between siblings. </w:t>
      </w:r>
      <w:r w:rsidRPr="00C816AA">
        <w:rPr>
          <w:rFonts w:ascii="Times New Roman" w:hAnsi="Times New Roman" w:cs="Times New Roman"/>
          <w:i/>
          <w:sz w:val="24"/>
          <w:szCs w:val="24"/>
        </w:rPr>
        <w:t>Neuron</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111</w:t>
      </w:r>
      <w:r w:rsidRPr="00C816AA">
        <w:rPr>
          <w:rFonts w:ascii="Times New Roman" w:hAnsi="Times New Roman" w:cs="Times New Roman"/>
          <w:sz w:val="24"/>
          <w:szCs w:val="24"/>
        </w:rPr>
        <w:t xml:space="preserve">(3), 302-327. </w:t>
      </w:r>
      <w:r w:rsidRPr="00DE3408">
        <w:rPr>
          <w:rFonts w:ascii="Times New Roman" w:hAnsi="Times New Roman" w:cs="Times New Roman"/>
          <w:sz w:val="24"/>
          <w:szCs w:val="24"/>
        </w:rPr>
        <w:t>https://doi.org/https://doi.org/10.1016/j.neuron.2022.12.022</w:t>
      </w:r>
      <w:r w:rsidRPr="00C816AA">
        <w:rPr>
          <w:rFonts w:ascii="Times New Roman" w:hAnsi="Times New Roman" w:cs="Times New Roman"/>
          <w:sz w:val="24"/>
          <w:szCs w:val="24"/>
        </w:rPr>
        <w:t xml:space="preserve"> </w:t>
      </w:r>
    </w:p>
    <w:p w14:paraId="36EA04AB" w14:textId="49F7D220"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Tambe, S. M., Mali, S., Amin, P. D., &amp; Oliveira, M. (2023). Neuroprotective potential of cannabidiol: Molecular mechanisms and clinical implications. </w:t>
      </w:r>
      <w:r w:rsidRPr="00C816AA">
        <w:rPr>
          <w:rFonts w:ascii="Times New Roman" w:hAnsi="Times New Roman" w:cs="Times New Roman"/>
          <w:i/>
          <w:sz w:val="24"/>
          <w:szCs w:val="24"/>
        </w:rPr>
        <w:t>Journal of integrative medicine</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21</w:t>
      </w:r>
      <w:r w:rsidRPr="00C816AA">
        <w:rPr>
          <w:rFonts w:ascii="Times New Roman" w:hAnsi="Times New Roman" w:cs="Times New Roman"/>
          <w:sz w:val="24"/>
          <w:szCs w:val="24"/>
        </w:rPr>
        <w:t xml:space="preserve">(3), 236-244. </w:t>
      </w:r>
      <w:r w:rsidRPr="00DE3408">
        <w:rPr>
          <w:rFonts w:ascii="Times New Roman" w:hAnsi="Times New Roman" w:cs="Times New Roman"/>
          <w:sz w:val="24"/>
          <w:szCs w:val="24"/>
        </w:rPr>
        <w:t>https://doi.org/10.1016/j.joim.2023.03.004</w:t>
      </w:r>
      <w:r w:rsidRPr="00C816AA">
        <w:rPr>
          <w:rFonts w:ascii="Times New Roman" w:hAnsi="Times New Roman" w:cs="Times New Roman"/>
          <w:sz w:val="24"/>
          <w:szCs w:val="24"/>
        </w:rPr>
        <w:t xml:space="preserve"> </w:t>
      </w:r>
    </w:p>
    <w:p w14:paraId="54D2EAFE" w14:textId="2B9EE95B"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Tapia-Arancibia, L., Rage, F., Givalois, L., &amp; Arancibia, S. (2004). Physiology of BDNF: focus on hypothalamic function. </w:t>
      </w:r>
      <w:r w:rsidRPr="00C816AA">
        <w:rPr>
          <w:rFonts w:ascii="Times New Roman" w:hAnsi="Times New Roman" w:cs="Times New Roman"/>
          <w:i/>
          <w:sz w:val="24"/>
          <w:szCs w:val="24"/>
        </w:rPr>
        <w:t>Frontiers in neuroendocrinology</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25</w:t>
      </w:r>
      <w:r w:rsidRPr="00C816AA">
        <w:rPr>
          <w:rFonts w:ascii="Times New Roman" w:hAnsi="Times New Roman" w:cs="Times New Roman"/>
          <w:sz w:val="24"/>
          <w:szCs w:val="24"/>
        </w:rPr>
        <w:t xml:space="preserve">(2), 77-107. </w:t>
      </w:r>
      <w:r w:rsidRPr="00DE3408">
        <w:rPr>
          <w:rFonts w:ascii="Times New Roman" w:hAnsi="Times New Roman" w:cs="Times New Roman"/>
          <w:sz w:val="24"/>
          <w:szCs w:val="24"/>
        </w:rPr>
        <w:t>https://doi.org/10.1016/j.yfrne.2004.04.001</w:t>
      </w:r>
      <w:r w:rsidRPr="00C816AA">
        <w:rPr>
          <w:rFonts w:ascii="Times New Roman" w:hAnsi="Times New Roman" w:cs="Times New Roman"/>
          <w:sz w:val="24"/>
          <w:szCs w:val="24"/>
        </w:rPr>
        <w:t xml:space="preserve"> </w:t>
      </w:r>
    </w:p>
    <w:p w14:paraId="3F1C7232" w14:textId="77777777" w:rsidR="0027665F" w:rsidRDefault="0027665F" w:rsidP="002C5229">
      <w:pPr>
        <w:pStyle w:val="EndNoteBibliography"/>
        <w:spacing w:after="0" w:line="276" w:lineRule="auto"/>
        <w:ind w:left="720" w:hanging="720"/>
        <w:rPr>
          <w:rFonts w:ascii="Times New Roman" w:hAnsi="Times New Roman" w:cs="Times New Roman"/>
          <w:sz w:val="24"/>
          <w:szCs w:val="24"/>
          <w:lang w:val="en-GB"/>
        </w:rPr>
      </w:pPr>
      <w:r w:rsidRPr="0027665F">
        <w:rPr>
          <w:rFonts w:ascii="Times New Roman" w:hAnsi="Times New Roman" w:cs="Times New Roman"/>
          <w:sz w:val="24"/>
          <w:szCs w:val="24"/>
          <w:highlight w:val="yellow"/>
          <w:lang w:val="en-GB"/>
        </w:rPr>
        <w:t>National Research Council. Institute for Laboratory Animal Research: Guide for the care and use of laboratory animals. 2010. The National Academies Press. Washington D. C</w:t>
      </w:r>
      <w:r w:rsidRPr="0027665F">
        <w:rPr>
          <w:rFonts w:ascii="Times New Roman" w:hAnsi="Times New Roman" w:cs="Times New Roman"/>
          <w:sz w:val="24"/>
          <w:szCs w:val="24"/>
          <w:lang w:val="en-GB"/>
        </w:rPr>
        <w:t xml:space="preserve"> </w:t>
      </w:r>
    </w:p>
    <w:p w14:paraId="256DED88" w14:textId="7651E71E"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United Nations Office On Drugs And Crime. (2025). </w:t>
      </w:r>
      <w:r w:rsidRPr="00C816AA">
        <w:rPr>
          <w:rFonts w:ascii="Times New Roman" w:hAnsi="Times New Roman" w:cs="Times New Roman"/>
          <w:i/>
          <w:sz w:val="24"/>
          <w:szCs w:val="24"/>
        </w:rPr>
        <w:t>World Drug Report 2025</w:t>
      </w:r>
      <w:r w:rsidRPr="00C816AA">
        <w:rPr>
          <w:rFonts w:ascii="Times New Roman" w:hAnsi="Times New Roman" w:cs="Times New Roman"/>
          <w:sz w:val="24"/>
          <w:szCs w:val="24"/>
        </w:rPr>
        <w:t xml:space="preserve"> </w:t>
      </w:r>
      <w:r w:rsidRPr="00DE3408">
        <w:rPr>
          <w:rFonts w:ascii="Times New Roman" w:hAnsi="Times New Roman" w:cs="Times New Roman"/>
          <w:sz w:val="24"/>
          <w:szCs w:val="24"/>
        </w:rPr>
        <w:t>https://www.unodc.org/unodc/data-and-analysis/world-drug-report-2025.html</w:t>
      </w:r>
      <w:r w:rsidRPr="00C816AA">
        <w:rPr>
          <w:rFonts w:ascii="Times New Roman" w:hAnsi="Times New Roman" w:cs="Times New Roman"/>
          <w:sz w:val="24"/>
          <w:szCs w:val="24"/>
        </w:rPr>
        <w:t xml:space="preserve"> </w:t>
      </w:r>
    </w:p>
    <w:p w14:paraId="3632128B" w14:textId="26DDDC68"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lastRenderedPageBreak/>
        <w:t xml:space="preserve">von Bartheld, C. S. (2018). Myths and truths about the cellular composition of the human brain: A review of influential concepts. </w:t>
      </w:r>
      <w:r w:rsidRPr="00C816AA">
        <w:rPr>
          <w:rFonts w:ascii="Times New Roman" w:hAnsi="Times New Roman" w:cs="Times New Roman"/>
          <w:i/>
          <w:sz w:val="24"/>
          <w:szCs w:val="24"/>
        </w:rPr>
        <w:t>J Chem Neuroanat</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93</w:t>
      </w:r>
      <w:r w:rsidRPr="00C816AA">
        <w:rPr>
          <w:rFonts w:ascii="Times New Roman" w:hAnsi="Times New Roman" w:cs="Times New Roman"/>
          <w:sz w:val="24"/>
          <w:szCs w:val="24"/>
        </w:rPr>
        <w:t xml:space="preserve">, 2-15. </w:t>
      </w:r>
      <w:r w:rsidRPr="00DE3408">
        <w:rPr>
          <w:rFonts w:ascii="Times New Roman" w:hAnsi="Times New Roman" w:cs="Times New Roman"/>
          <w:sz w:val="24"/>
          <w:szCs w:val="24"/>
        </w:rPr>
        <w:t>https://doi.org/10.1016/j.jchemneu.2017.08.004</w:t>
      </w:r>
      <w:r w:rsidRPr="00C816AA">
        <w:rPr>
          <w:rFonts w:ascii="Times New Roman" w:hAnsi="Times New Roman" w:cs="Times New Roman"/>
          <w:sz w:val="24"/>
          <w:szCs w:val="24"/>
        </w:rPr>
        <w:t xml:space="preserve"> </w:t>
      </w:r>
    </w:p>
    <w:p w14:paraId="7BFE9B6D" w14:textId="5108BDBC"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von Bartheld, C. S., Bahney, J., &amp; Herculano-Houzel, S. (2016). The search for true numbers of neurons and glial cells in the human brain: A review of 150 years of cell counting. </w:t>
      </w:r>
      <w:r w:rsidRPr="00C816AA">
        <w:rPr>
          <w:rFonts w:ascii="Times New Roman" w:hAnsi="Times New Roman" w:cs="Times New Roman"/>
          <w:i/>
          <w:sz w:val="24"/>
          <w:szCs w:val="24"/>
        </w:rPr>
        <w:t>J Comp Neurol</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524</w:t>
      </w:r>
      <w:r w:rsidRPr="00C816AA">
        <w:rPr>
          <w:rFonts w:ascii="Times New Roman" w:hAnsi="Times New Roman" w:cs="Times New Roman"/>
          <w:sz w:val="24"/>
          <w:szCs w:val="24"/>
        </w:rPr>
        <w:t xml:space="preserve">(18), 3865-3895. </w:t>
      </w:r>
      <w:r w:rsidRPr="00DE3408">
        <w:rPr>
          <w:rFonts w:ascii="Times New Roman" w:hAnsi="Times New Roman" w:cs="Times New Roman"/>
          <w:sz w:val="24"/>
          <w:szCs w:val="24"/>
        </w:rPr>
        <w:t>https://doi.org/10.1002/cne.24040</w:t>
      </w:r>
      <w:r w:rsidRPr="00C816AA">
        <w:rPr>
          <w:rFonts w:ascii="Times New Roman" w:hAnsi="Times New Roman" w:cs="Times New Roman"/>
          <w:sz w:val="24"/>
          <w:szCs w:val="24"/>
        </w:rPr>
        <w:t xml:space="preserve"> </w:t>
      </w:r>
    </w:p>
    <w:p w14:paraId="48FE9041" w14:textId="3C546583"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Wallach, J. (2021). Chapter 5 - Medicinal Cannabis: an overview for health-care providers. In A. Adejare (Ed.), </w:t>
      </w:r>
      <w:r w:rsidRPr="00C816AA">
        <w:rPr>
          <w:rFonts w:ascii="Times New Roman" w:hAnsi="Times New Roman" w:cs="Times New Roman"/>
          <w:i/>
          <w:sz w:val="24"/>
          <w:szCs w:val="24"/>
        </w:rPr>
        <w:t>Remington (Twenty-third Edition)</w:t>
      </w:r>
      <w:r w:rsidRPr="00C816AA">
        <w:rPr>
          <w:rFonts w:ascii="Times New Roman" w:hAnsi="Times New Roman" w:cs="Times New Roman"/>
          <w:sz w:val="24"/>
          <w:szCs w:val="24"/>
        </w:rPr>
        <w:t xml:space="preserve"> (pp. 75-101). Academic Press. </w:t>
      </w:r>
      <w:r w:rsidRPr="00DE3408">
        <w:rPr>
          <w:rFonts w:ascii="Times New Roman" w:hAnsi="Times New Roman" w:cs="Times New Roman"/>
          <w:sz w:val="24"/>
          <w:szCs w:val="24"/>
        </w:rPr>
        <w:t>https://doi.org/https://doi.org/10.1016/B978-0-12-820007-0.00005-2</w:t>
      </w:r>
      <w:r w:rsidRPr="00C816AA">
        <w:rPr>
          <w:rFonts w:ascii="Times New Roman" w:hAnsi="Times New Roman" w:cs="Times New Roman"/>
          <w:sz w:val="24"/>
          <w:szCs w:val="24"/>
        </w:rPr>
        <w:t xml:space="preserve"> </w:t>
      </w:r>
    </w:p>
    <w:p w14:paraId="76BB7454" w14:textId="3EADF3A2" w:rsidR="00C816AA" w:rsidRDefault="00C816AA" w:rsidP="002C5229">
      <w:pPr>
        <w:pStyle w:val="EndNoteBibliography"/>
        <w:spacing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Watt, G., &amp; Karl, T. (2025). Early Cannabis Use in the Context of Developmental Brain Disorders: A Particular Focus on Schizophrenia and Autism Spectrum Disorder. In </w:t>
      </w:r>
      <w:r w:rsidRPr="00C816AA">
        <w:rPr>
          <w:rFonts w:ascii="Times New Roman" w:hAnsi="Times New Roman" w:cs="Times New Roman"/>
          <w:i/>
          <w:sz w:val="24"/>
          <w:szCs w:val="24"/>
        </w:rPr>
        <w:t>Cannabis and the Developing Brain</w:t>
      </w:r>
      <w:r w:rsidRPr="00C816AA">
        <w:rPr>
          <w:rFonts w:ascii="Times New Roman" w:hAnsi="Times New Roman" w:cs="Times New Roman"/>
          <w:sz w:val="24"/>
          <w:szCs w:val="24"/>
        </w:rPr>
        <w:t xml:space="preserve"> (pp. 329-350). Springer. </w:t>
      </w:r>
      <w:r w:rsidRPr="00DE3408">
        <w:rPr>
          <w:rFonts w:ascii="Times New Roman" w:hAnsi="Times New Roman" w:cs="Times New Roman"/>
          <w:sz w:val="24"/>
          <w:szCs w:val="24"/>
        </w:rPr>
        <w:t>https://doi.org/10.1007/978-3-031-87990-6_14</w:t>
      </w:r>
      <w:r w:rsidRPr="00C816AA">
        <w:rPr>
          <w:rFonts w:ascii="Times New Roman" w:hAnsi="Times New Roman" w:cs="Times New Roman"/>
          <w:sz w:val="24"/>
          <w:szCs w:val="24"/>
        </w:rPr>
        <w:t xml:space="preserve"> </w:t>
      </w:r>
    </w:p>
    <w:p w14:paraId="2A0A249E" w14:textId="69D103C0" w:rsidR="002423CB" w:rsidRPr="00C816AA" w:rsidRDefault="002423CB" w:rsidP="002C5229">
      <w:pPr>
        <w:spacing w:line="276" w:lineRule="auto"/>
        <w:rPr>
          <w:rFonts w:ascii="Times New Roman" w:hAnsi="Times New Roman" w:cs="Times New Roman"/>
          <w:sz w:val="24"/>
          <w:szCs w:val="24"/>
        </w:rPr>
      </w:pPr>
    </w:p>
    <w:sectPr w:rsidR="002423CB" w:rsidRPr="00C816AA" w:rsidSect="008A7A9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90E0B" w14:textId="77777777" w:rsidR="003A752F" w:rsidRDefault="003A752F" w:rsidP="000F3DFD">
      <w:pPr>
        <w:spacing w:after="0" w:line="240" w:lineRule="auto"/>
      </w:pPr>
      <w:r>
        <w:separator/>
      </w:r>
    </w:p>
  </w:endnote>
  <w:endnote w:type="continuationSeparator" w:id="0">
    <w:p w14:paraId="441599A0" w14:textId="77777777" w:rsidR="003A752F" w:rsidRDefault="003A752F" w:rsidP="000F3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347BF" w14:textId="77777777" w:rsidR="004C6F48" w:rsidRDefault="004C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904966"/>
      <w:docPartObj>
        <w:docPartGallery w:val="Page Numbers (Bottom of Page)"/>
        <w:docPartUnique/>
      </w:docPartObj>
    </w:sdtPr>
    <w:sdtEndPr>
      <w:rPr>
        <w:noProof/>
      </w:rPr>
    </w:sdtEndPr>
    <w:sdtContent>
      <w:p w14:paraId="7FAE0641" w14:textId="05CFCB36" w:rsidR="000F3DFD" w:rsidRDefault="000F3D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19B45E" w14:textId="77777777" w:rsidR="000F3DFD" w:rsidRDefault="000F3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8B269" w14:textId="77777777" w:rsidR="004C6F48" w:rsidRDefault="004C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61AAC" w14:textId="77777777" w:rsidR="003A752F" w:rsidRDefault="003A752F" w:rsidP="000F3DFD">
      <w:pPr>
        <w:spacing w:after="0" w:line="240" w:lineRule="auto"/>
      </w:pPr>
      <w:r>
        <w:separator/>
      </w:r>
    </w:p>
  </w:footnote>
  <w:footnote w:type="continuationSeparator" w:id="0">
    <w:p w14:paraId="19F2B82B" w14:textId="77777777" w:rsidR="003A752F" w:rsidRDefault="003A752F" w:rsidP="000F3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8EFED" w14:textId="0274CAB7" w:rsidR="004C6F48" w:rsidRDefault="003A752F">
    <w:pPr>
      <w:pStyle w:val="Header"/>
    </w:pPr>
    <w:r>
      <w:rPr>
        <w:noProof/>
      </w:rPr>
      <w:pict w14:anchorId="19198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086126" o:spid="_x0000_s2051"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B1BF6" w14:textId="01F2A5C8" w:rsidR="004C6F48" w:rsidRDefault="003A752F">
    <w:pPr>
      <w:pStyle w:val="Header"/>
    </w:pPr>
    <w:r>
      <w:rPr>
        <w:noProof/>
      </w:rPr>
      <w:pict w14:anchorId="334F3D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08612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6B98A" w14:textId="2F64A095" w:rsidR="004C6F48" w:rsidRDefault="003A752F">
    <w:pPr>
      <w:pStyle w:val="Header"/>
    </w:pPr>
    <w:r>
      <w:rPr>
        <w:noProof/>
      </w:rPr>
      <w:pict w14:anchorId="288C74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086125" o:spid="_x0000_s2049" type="#_x0000_t136" style="position:absolute;margin-left:0;margin-top:0;width:535.8pt;height:100.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032CF"/>
    <w:multiLevelType w:val="multilevel"/>
    <w:tmpl w:val="C5B8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C410B7"/>
    <w:multiLevelType w:val="multilevel"/>
    <w:tmpl w:val="CE3E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3MjcwMzYyMrAwNzNS0lEKTi0uzszPAymwqAUArAm0TiwAAAA="/>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x9tf9evk90wrrers99xtsw5prv50ev2wev5&quot;&gt;EndNote Library&lt;record-ids&gt;&lt;item&gt;2140&lt;/item&gt;&lt;item&gt;2760&lt;/item&gt;&lt;item&gt;2761&lt;/item&gt;&lt;item&gt;2779&lt;/item&gt;&lt;item&gt;2792&lt;/item&gt;&lt;item&gt;2793&lt;/item&gt;&lt;item&gt;2794&lt;/item&gt;&lt;item&gt;2795&lt;/item&gt;&lt;item&gt;2796&lt;/item&gt;&lt;item&gt;2799&lt;/item&gt;&lt;item&gt;2800&lt;/item&gt;&lt;item&gt;2801&lt;/item&gt;&lt;item&gt;2802&lt;/item&gt;&lt;item&gt;2803&lt;/item&gt;&lt;item&gt;2804&lt;/item&gt;&lt;item&gt;2805&lt;/item&gt;&lt;item&gt;2806&lt;/item&gt;&lt;item&gt;2807&lt;/item&gt;&lt;item&gt;2808&lt;/item&gt;&lt;item&gt;2809&lt;/item&gt;&lt;item&gt;2810&lt;/item&gt;&lt;item&gt;2811&lt;/item&gt;&lt;item&gt;2812&lt;/item&gt;&lt;item&gt;2813&lt;/item&gt;&lt;item&gt;2814&lt;/item&gt;&lt;item&gt;2816&lt;/item&gt;&lt;item&gt;2817&lt;/item&gt;&lt;item&gt;2818&lt;/item&gt;&lt;item&gt;2819&lt;/item&gt;&lt;item&gt;2820&lt;/item&gt;&lt;item&gt;2821&lt;/item&gt;&lt;item&gt;2823&lt;/item&gt;&lt;item&gt;2825&lt;/item&gt;&lt;item&gt;2826&lt;/item&gt;&lt;item&gt;2827&lt;/item&gt;&lt;item&gt;2828&lt;/item&gt;&lt;item&gt;2829&lt;/item&gt;&lt;item&gt;2831&lt;/item&gt;&lt;item&gt;2832&lt;/item&gt;&lt;item&gt;2833&lt;/item&gt;&lt;item&gt;2834&lt;/item&gt;&lt;item&gt;2836&lt;/item&gt;&lt;item&gt;2837&lt;/item&gt;&lt;item&gt;2838&lt;/item&gt;&lt;item&gt;2839&lt;/item&gt;&lt;item&gt;2840&lt;/item&gt;&lt;item&gt;2841&lt;/item&gt;&lt;item&gt;2843&lt;/item&gt;&lt;item&gt;2845&lt;/item&gt;&lt;/record-ids&gt;&lt;/item&gt;&lt;/Libraries&gt;"/>
  </w:docVars>
  <w:rsids>
    <w:rsidRoot w:val="002423CB"/>
    <w:rsid w:val="00002F27"/>
    <w:rsid w:val="000074DB"/>
    <w:rsid w:val="000126EC"/>
    <w:rsid w:val="00020D93"/>
    <w:rsid w:val="000219D0"/>
    <w:rsid w:val="00040F01"/>
    <w:rsid w:val="000421A8"/>
    <w:rsid w:val="000446D5"/>
    <w:rsid w:val="00044B2C"/>
    <w:rsid w:val="00053A39"/>
    <w:rsid w:val="00072077"/>
    <w:rsid w:val="0007555D"/>
    <w:rsid w:val="000805BC"/>
    <w:rsid w:val="00087EB8"/>
    <w:rsid w:val="000907D7"/>
    <w:rsid w:val="00092BFF"/>
    <w:rsid w:val="000971A1"/>
    <w:rsid w:val="000A08D1"/>
    <w:rsid w:val="000B5B35"/>
    <w:rsid w:val="000B6764"/>
    <w:rsid w:val="000B7CE5"/>
    <w:rsid w:val="000C1AFA"/>
    <w:rsid w:val="000C5462"/>
    <w:rsid w:val="000D3FDB"/>
    <w:rsid w:val="000E2CAE"/>
    <w:rsid w:val="000F0C43"/>
    <w:rsid w:val="000F3DFD"/>
    <w:rsid w:val="001013B9"/>
    <w:rsid w:val="00110200"/>
    <w:rsid w:val="00113748"/>
    <w:rsid w:val="00117F83"/>
    <w:rsid w:val="00127E8A"/>
    <w:rsid w:val="0014253A"/>
    <w:rsid w:val="00147990"/>
    <w:rsid w:val="0015373D"/>
    <w:rsid w:val="00156DFA"/>
    <w:rsid w:val="00160D4A"/>
    <w:rsid w:val="001620EF"/>
    <w:rsid w:val="0016677D"/>
    <w:rsid w:val="0016781F"/>
    <w:rsid w:val="001A4CDD"/>
    <w:rsid w:val="001B1DCF"/>
    <w:rsid w:val="001B30BA"/>
    <w:rsid w:val="001B5B78"/>
    <w:rsid w:val="001C4401"/>
    <w:rsid w:val="001D6A06"/>
    <w:rsid w:val="001D7E4B"/>
    <w:rsid w:val="001E5D07"/>
    <w:rsid w:val="001F2822"/>
    <w:rsid w:val="00200C2C"/>
    <w:rsid w:val="0020101C"/>
    <w:rsid w:val="0020169B"/>
    <w:rsid w:val="00206A2A"/>
    <w:rsid w:val="002167EA"/>
    <w:rsid w:val="002169E8"/>
    <w:rsid w:val="00222329"/>
    <w:rsid w:val="0023039E"/>
    <w:rsid w:val="00237530"/>
    <w:rsid w:val="0024207F"/>
    <w:rsid w:val="002423CB"/>
    <w:rsid w:val="0024531C"/>
    <w:rsid w:val="002471F4"/>
    <w:rsid w:val="00251D79"/>
    <w:rsid w:val="00265CFE"/>
    <w:rsid w:val="00266BFC"/>
    <w:rsid w:val="002720DC"/>
    <w:rsid w:val="0027665F"/>
    <w:rsid w:val="00293529"/>
    <w:rsid w:val="00296E01"/>
    <w:rsid w:val="002A11F8"/>
    <w:rsid w:val="002A496A"/>
    <w:rsid w:val="002A63C9"/>
    <w:rsid w:val="002A6DA9"/>
    <w:rsid w:val="002B46FD"/>
    <w:rsid w:val="002B49F3"/>
    <w:rsid w:val="002C5229"/>
    <w:rsid w:val="002C7378"/>
    <w:rsid w:val="002D420A"/>
    <w:rsid w:val="002D48AE"/>
    <w:rsid w:val="002D4F00"/>
    <w:rsid w:val="002D5468"/>
    <w:rsid w:val="002F0396"/>
    <w:rsid w:val="002F08E0"/>
    <w:rsid w:val="0031609B"/>
    <w:rsid w:val="003231C3"/>
    <w:rsid w:val="00326F16"/>
    <w:rsid w:val="0033350A"/>
    <w:rsid w:val="00337611"/>
    <w:rsid w:val="003400F2"/>
    <w:rsid w:val="00341B10"/>
    <w:rsid w:val="0036334A"/>
    <w:rsid w:val="00367617"/>
    <w:rsid w:val="00367C6B"/>
    <w:rsid w:val="00371CD3"/>
    <w:rsid w:val="00377E79"/>
    <w:rsid w:val="00380BA6"/>
    <w:rsid w:val="00386D58"/>
    <w:rsid w:val="00386D67"/>
    <w:rsid w:val="00396BFD"/>
    <w:rsid w:val="003A1100"/>
    <w:rsid w:val="003A5B7F"/>
    <w:rsid w:val="003A6779"/>
    <w:rsid w:val="003A7385"/>
    <w:rsid w:val="003A752F"/>
    <w:rsid w:val="003B36DD"/>
    <w:rsid w:val="003B64FB"/>
    <w:rsid w:val="003B6CCE"/>
    <w:rsid w:val="003C2996"/>
    <w:rsid w:val="003C5C89"/>
    <w:rsid w:val="003C7CDA"/>
    <w:rsid w:val="003D2320"/>
    <w:rsid w:val="003D543C"/>
    <w:rsid w:val="003D67AE"/>
    <w:rsid w:val="003E62DF"/>
    <w:rsid w:val="003F75B9"/>
    <w:rsid w:val="003F7D6F"/>
    <w:rsid w:val="00400D6E"/>
    <w:rsid w:val="00410F9E"/>
    <w:rsid w:val="0041156A"/>
    <w:rsid w:val="00415514"/>
    <w:rsid w:val="004179B5"/>
    <w:rsid w:val="00423438"/>
    <w:rsid w:val="004248F0"/>
    <w:rsid w:val="00424EFA"/>
    <w:rsid w:val="004317A4"/>
    <w:rsid w:val="00431D9D"/>
    <w:rsid w:val="004348FB"/>
    <w:rsid w:val="00436CBE"/>
    <w:rsid w:val="00437B1A"/>
    <w:rsid w:val="00444C46"/>
    <w:rsid w:val="00444D39"/>
    <w:rsid w:val="00446638"/>
    <w:rsid w:val="00446A62"/>
    <w:rsid w:val="004508AF"/>
    <w:rsid w:val="00450FF0"/>
    <w:rsid w:val="00452AF3"/>
    <w:rsid w:val="00457219"/>
    <w:rsid w:val="00464614"/>
    <w:rsid w:val="004842D2"/>
    <w:rsid w:val="00493FC4"/>
    <w:rsid w:val="004955B9"/>
    <w:rsid w:val="004971F3"/>
    <w:rsid w:val="004A6298"/>
    <w:rsid w:val="004A6C15"/>
    <w:rsid w:val="004B0C16"/>
    <w:rsid w:val="004B143A"/>
    <w:rsid w:val="004B7926"/>
    <w:rsid w:val="004C495B"/>
    <w:rsid w:val="004C5B08"/>
    <w:rsid w:val="004C6F48"/>
    <w:rsid w:val="004D31B3"/>
    <w:rsid w:val="004D5214"/>
    <w:rsid w:val="004D6B5C"/>
    <w:rsid w:val="004E2BCA"/>
    <w:rsid w:val="004E57A6"/>
    <w:rsid w:val="004E735D"/>
    <w:rsid w:val="004E7F7D"/>
    <w:rsid w:val="004F05F4"/>
    <w:rsid w:val="004F6CDE"/>
    <w:rsid w:val="00500225"/>
    <w:rsid w:val="005010CF"/>
    <w:rsid w:val="005010FE"/>
    <w:rsid w:val="005071F8"/>
    <w:rsid w:val="00512B7A"/>
    <w:rsid w:val="0051352B"/>
    <w:rsid w:val="00516429"/>
    <w:rsid w:val="0052708C"/>
    <w:rsid w:val="0053646F"/>
    <w:rsid w:val="00544981"/>
    <w:rsid w:val="00554839"/>
    <w:rsid w:val="00557CA0"/>
    <w:rsid w:val="00562D7B"/>
    <w:rsid w:val="00573FCE"/>
    <w:rsid w:val="0057454D"/>
    <w:rsid w:val="005804F3"/>
    <w:rsid w:val="0058448E"/>
    <w:rsid w:val="005858E3"/>
    <w:rsid w:val="0058755D"/>
    <w:rsid w:val="0059071B"/>
    <w:rsid w:val="00595446"/>
    <w:rsid w:val="00595684"/>
    <w:rsid w:val="005B6A1A"/>
    <w:rsid w:val="005C4156"/>
    <w:rsid w:val="005C5759"/>
    <w:rsid w:val="005D5548"/>
    <w:rsid w:val="005E5295"/>
    <w:rsid w:val="005E708D"/>
    <w:rsid w:val="005F1B7A"/>
    <w:rsid w:val="005F2EC8"/>
    <w:rsid w:val="005F4507"/>
    <w:rsid w:val="005F6668"/>
    <w:rsid w:val="00604C8D"/>
    <w:rsid w:val="00610380"/>
    <w:rsid w:val="00612308"/>
    <w:rsid w:val="00620ABA"/>
    <w:rsid w:val="0062386C"/>
    <w:rsid w:val="00623A0B"/>
    <w:rsid w:val="00623F0C"/>
    <w:rsid w:val="00627AF2"/>
    <w:rsid w:val="00627F12"/>
    <w:rsid w:val="0063183C"/>
    <w:rsid w:val="00633ABB"/>
    <w:rsid w:val="00633FD6"/>
    <w:rsid w:val="006350EF"/>
    <w:rsid w:val="00650A46"/>
    <w:rsid w:val="00653736"/>
    <w:rsid w:val="00656F0E"/>
    <w:rsid w:val="00677258"/>
    <w:rsid w:val="00680C94"/>
    <w:rsid w:val="006A0B90"/>
    <w:rsid w:val="006A0EE8"/>
    <w:rsid w:val="006B5F51"/>
    <w:rsid w:val="006B6A70"/>
    <w:rsid w:val="006E37D8"/>
    <w:rsid w:val="006E53F0"/>
    <w:rsid w:val="006F1FD9"/>
    <w:rsid w:val="006F7529"/>
    <w:rsid w:val="007047E1"/>
    <w:rsid w:val="007073A1"/>
    <w:rsid w:val="00717927"/>
    <w:rsid w:val="00721CD9"/>
    <w:rsid w:val="00727C94"/>
    <w:rsid w:val="007433C5"/>
    <w:rsid w:val="00745964"/>
    <w:rsid w:val="00746F72"/>
    <w:rsid w:val="00747B10"/>
    <w:rsid w:val="0076244B"/>
    <w:rsid w:val="00765349"/>
    <w:rsid w:val="00777699"/>
    <w:rsid w:val="0078693C"/>
    <w:rsid w:val="00791A62"/>
    <w:rsid w:val="007A05AB"/>
    <w:rsid w:val="007A3E85"/>
    <w:rsid w:val="007A4345"/>
    <w:rsid w:val="007A5707"/>
    <w:rsid w:val="007A5E29"/>
    <w:rsid w:val="007A7120"/>
    <w:rsid w:val="007B16A7"/>
    <w:rsid w:val="007B1833"/>
    <w:rsid w:val="007B7C17"/>
    <w:rsid w:val="007C15AC"/>
    <w:rsid w:val="007C164B"/>
    <w:rsid w:val="007D699C"/>
    <w:rsid w:val="007E7CC9"/>
    <w:rsid w:val="007F0AA2"/>
    <w:rsid w:val="007F7F65"/>
    <w:rsid w:val="00801FEE"/>
    <w:rsid w:val="00803446"/>
    <w:rsid w:val="00814478"/>
    <w:rsid w:val="0081655C"/>
    <w:rsid w:val="0082373B"/>
    <w:rsid w:val="008239A3"/>
    <w:rsid w:val="008241E5"/>
    <w:rsid w:val="0083077C"/>
    <w:rsid w:val="00830E82"/>
    <w:rsid w:val="00856C37"/>
    <w:rsid w:val="00857140"/>
    <w:rsid w:val="00874763"/>
    <w:rsid w:val="00875F3E"/>
    <w:rsid w:val="008873BC"/>
    <w:rsid w:val="00893CE2"/>
    <w:rsid w:val="008A7A92"/>
    <w:rsid w:val="008B451C"/>
    <w:rsid w:val="008B6295"/>
    <w:rsid w:val="008C20D9"/>
    <w:rsid w:val="008C2CF4"/>
    <w:rsid w:val="008C54A8"/>
    <w:rsid w:val="008C5C9B"/>
    <w:rsid w:val="008C7B19"/>
    <w:rsid w:val="008D66DC"/>
    <w:rsid w:val="008E0958"/>
    <w:rsid w:val="008F1AAD"/>
    <w:rsid w:val="00902FEA"/>
    <w:rsid w:val="00910907"/>
    <w:rsid w:val="0092756D"/>
    <w:rsid w:val="00942994"/>
    <w:rsid w:val="00944127"/>
    <w:rsid w:val="00952DF3"/>
    <w:rsid w:val="009554AD"/>
    <w:rsid w:val="0095633D"/>
    <w:rsid w:val="009627C2"/>
    <w:rsid w:val="00964833"/>
    <w:rsid w:val="00976C5D"/>
    <w:rsid w:val="009812FE"/>
    <w:rsid w:val="00991855"/>
    <w:rsid w:val="00994077"/>
    <w:rsid w:val="009A1323"/>
    <w:rsid w:val="009A7F60"/>
    <w:rsid w:val="009B5F68"/>
    <w:rsid w:val="009C72AC"/>
    <w:rsid w:val="009D4E4F"/>
    <w:rsid w:val="009D6500"/>
    <w:rsid w:val="009E0336"/>
    <w:rsid w:val="009E1969"/>
    <w:rsid w:val="009E38ED"/>
    <w:rsid w:val="009F11B3"/>
    <w:rsid w:val="009F225A"/>
    <w:rsid w:val="00A13843"/>
    <w:rsid w:val="00A13ADD"/>
    <w:rsid w:val="00A13C0E"/>
    <w:rsid w:val="00A15B29"/>
    <w:rsid w:val="00A17125"/>
    <w:rsid w:val="00A316EC"/>
    <w:rsid w:val="00A3751D"/>
    <w:rsid w:val="00A41DAF"/>
    <w:rsid w:val="00A43167"/>
    <w:rsid w:val="00A4584D"/>
    <w:rsid w:val="00A475B1"/>
    <w:rsid w:val="00A47CCC"/>
    <w:rsid w:val="00A56335"/>
    <w:rsid w:val="00A569DE"/>
    <w:rsid w:val="00A63EF1"/>
    <w:rsid w:val="00A64BEF"/>
    <w:rsid w:val="00A76526"/>
    <w:rsid w:val="00A87C30"/>
    <w:rsid w:val="00A92CD0"/>
    <w:rsid w:val="00AA3111"/>
    <w:rsid w:val="00AB00C7"/>
    <w:rsid w:val="00AB4113"/>
    <w:rsid w:val="00AC0E49"/>
    <w:rsid w:val="00AC22AB"/>
    <w:rsid w:val="00AC3FED"/>
    <w:rsid w:val="00AC422B"/>
    <w:rsid w:val="00AE0E3F"/>
    <w:rsid w:val="00AE7213"/>
    <w:rsid w:val="00AF3549"/>
    <w:rsid w:val="00AF7793"/>
    <w:rsid w:val="00B14B42"/>
    <w:rsid w:val="00B16993"/>
    <w:rsid w:val="00B20F56"/>
    <w:rsid w:val="00B313D3"/>
    <w:rsid w:val="00B319BD"/>
    <w:rsid w:val="00B40BBC"/>
    <w:rsid w:val="00B452D1"/>
    <w:rsid w:val="00B475AB"/>
    <w:rsid w:val="00B57CAE"/>
    <w:rsid w:val="00B625B1"/>
    <w:rsid w:val="00B64963"/>
    <w:rsid w:val="00B67BFE"/>
    <w:rsid w:val="00B70951"/>
    <w:rsid w:val="00B70EBE"/>
    <w:rsid w:val="00B7238C"/>
    <w:rsid w:val="00B750C8"/>
    <w:rsid w:val="00B76A92"/>
    <w:rsid w:val="00B93508"/>
    <w:rsid w:val="00B937F1"/>
    <w:rsid w:val="00B97A4C"/>
    <w:rsid w:val="00BA08E7"/>
    <w:rsid w:val="00BA1EAF"/>
    <w:rsid w:val="00BB3C2E"/>
    <w:rsid w:val="00BB5AE8"/>
    <w:rsid w:val="00BB6C41"/>
    <w:rsid w:val="00BB6DEC"/>
    <w:rsid w:val="00BD4A0D"/>
    <w:rsid w:val="00BD4BB5"/>
    <w:rsid w:val="00BF7AC6"/>
    <w:rsid w:val="00C0091F"/>
    <w:rsid w:val="00C15165"/>
    <w:rsid w:val="00C165D3"/>
    <w:rsid w:val="00C16620"/>
    <w:rsid w:val="00C24A1B"/>
    <w:rsid w:val="00C25E9C"/>
    <w:rsid w:val="00C27CD9"/>
    <w:rsid w:val="00C30271"/>
    <w:rsid w:val="00C43DFD"/>
    <w:rsid w:val="00C44FA9"/>
    <w:rsid w:val="00C533F5"/>
    <w:rsid w:val="00C53FC3"/>
    <w:rsid w:val="00C54BFA"/>
    <w:rsid w:val="00C6078F"/>
    <w:rsid w:val="00C620FD"/>
    <w:rsid w:val="00C62AEE"/>
    <w:rsid w:val="00C670CB"/>
    <w:rsid w:val="00C677D6"/>
    <w:rsid w:val="00C73A90"/>
    <w:rsid w:val="00C81019"/>
    <w:rsid w:val="00C816AA"/>
    <w:rsid w:val="00C8422C"/>
    <w:rsid w:val="00C8786A"/>
    <w:rsid w:val="00C942DA"/>
    <w:rsid w:val="00C9462B"/>
    <w:rsid w:val="00CA13E4"/>
    <w:rsid w:val="00CA7EF5"/>
    <w:rsid w:val="00CB2209"/>
    <w:rsid w:val="00CB4724"/>
    <w:rsid w:val="00CB5C59"/>
    <w:rsid w:val="00CB6B19"/>
    <w:rsid w:val="00CC1539"/>
    <w:rsid w:val="00CC2711"/>
    <w:rsid w:val="00CD330B"/>
    <w:rsid w:val="00CD5528"/>
    <w:rsid w:val="00CE08FF"/>
    <w:rsid w:val="00CE3686"/>
    <w:rsid w:val="00CF1A6C"/>
    <w:rsid w:val="00CF2223"/>
    <w:rsid w:val="00D00095"/>
    <w:rsid w:val="00D10623"/>
    <w:rsid w:val="00D1372B"/>
    <w:rsid w:val="00D152D5"/>
    <w:rsid w:val="00D244D2"/>
    <w:rsid w:val="00D24FBF"/>
    <w:rsid w:val="00D35F74"/>
    <w:rsid w:val="00D40F53"/>
    <w:rsid w:val="00D43166"/>
    <w:rsid w:val="00D53A5B"/>
    <w:rsid w:val="00D63112"/>
    <w:rsid w:val="00D66F21"/>
    <w:rsid w:val="00D673D3"/>
    <w:rsid w:val="00D8051B"/>
    <w:rsid w:val="00D97AAB"/>
    <w:rsid w:val="00DA3CD1"/>
    <w:rsid w:val="00DA747D"/>
    <w:rsid w:val="00DB15DD"/>
    <w:rsid w:val="00DB3666"/>
    <w:rsid w:val="00DC25CD"/>
    <w:rsid w:val="00DC26DC"/>
    <w:rsid w:val="00DC44DD"/>
    <w:rsid w:val="00DD34CC"/>
    <w:rsid w:val="00DE3408"/>
    <w:rsid w:val="00DF6E66"/>
    <w:rsid w:val="00E0429E"/>
    <w:rsid w:val="00E04571"/>
    <w:rsid w:val="00E143B8"/>
    <w:rsid w:val="00E1455E"/>
    <w:rsid w:val="00E145E9"/>
    <w:rsid w:val="00E151D5"/>
    <w:rsid w:val="00E2502B"/>
    <w:rsid w:val="00E40D63"/>
    <w:rsid w:val="00E50FAF"/>
    <w:rsid w:val="00E5240C"/>
    <w:rsid w:val="00E533FB"/>
    <w:rsid w:val="00E53D6E"/>
    <w:rsid w:val="00E54382"/>
    <w:rsid w:val="00E56A0E"/>
    <w:rsid w:val="00E64959"/>
    <w:rsid w:val="00E660A3"/>
    <w:rsid w:val="00E67411"/>
    <w:rsid w:val="00E774E7"/>
    <w:rsid w:val="00E86070"/>
    <w:rsid w:val="00E87D25"/>
    <w:rsid w:val="00E95FE2"/>
    <w:rsid w:val="00EA5945"/>
    <w:rsid w:val="00EC0DB7"/>
    <w:rsid w:val="00EC3A66"/>
    <w:rsid w:val="00EC6CD8"/>
    <w:rsid w:val="00ED65D8"/>
    <w:rsid w:val="00EE0507"/>
    <w:rsid w:val="00EE2071"/>
    <w:rsid w:val="00EE3AEC"/>
    <w:rsid w:val="00EE3ECE"/>
    <w:rsid w:val="00EE4D24"/>
    <w:rsid w:val="00F009A3"/>
    <w:rsid w:val="00F06A4B"/>
    <w:rsid w:val="00F13818"/>
    <w:rsid w:val="00F34213"/>
    <w:rsid w:val="00F35CC8"/>
    <w:rsid w:val="00F423E9"/>
    <w:rsid w:val="00F45158"/>
    <w:rsid w:val="00F52206"/>
    <w:rsid w:val="00F54EBF"/>
    <w:rsid w:val="00F5587F"/>
    <w:rsid w:val="00F55D60"/>
    <w:rsid w:val="00F61577"/>
    <w:rsid w:val="00F63FD5"/>
    <w:rsid w:val="00F658DA"/>
    <w:rsid w:val="00F67EA9"/>
    <w:rsid w:val="00F82678"/>
    <w:rsid w:val="00F860B6"/>
    <w:rsid w:val="00F9003B"/>
    <w:rsid w:val="00F9277E"/>
    <w:rsid w:val="00F935F6"/>
    <w:rsid w:val="00F94776"/>
    <w:rsid w:val="00F95BB8"/>
    <w:rsid w:val="00FA044A"/>
    <w:rsid w:val="00FA6AB4"/>
    <w:rsid w:val="00FB39A1"/>
    <w:rsid w:val="00FC57AF"/>
    <w:rsid w:val="00FC73E0"/>
    <w:rsid w:val="00FD121B"/>
    <w:rsid w:val="00FD2409"/>
    <w:rsid w:val="00FE19E8"/>
    <w:rsid w:val="00FE2073"/>
    <w:rsid w:val="00FE3E20"/>
    <w:rsid w:val="00FE5A58"/>
    <w:rsid w:val="00FE7C33"/>
    <w:rsid w:val="00FF4AC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EE4574"/>
  <w15:chartTrackingRefBased/>
  <w15:docId w15:val="{E782D82B-DF26-4AB7-AA8B-EB38A6B97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3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23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423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23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23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23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3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3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3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3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23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423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23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23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23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3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3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3CB"/>
    <w:rPr>
      <w:rFonts w:eastAsiaTheme="majorEastAsia" w:cstheme="majorBidi"/>
      <w:color w:val="272727" w:themeColor="text1" w:themeTint="D8"/>
    </w:rPr>
  </w:style>
  <w:style w:type="paragraph" w:styleId="Title">
    <w:name w:val="Title"/>
    <w:basedOn w:val="Normal"/>
    <w:next w:val="Normal"/>
    <w:link w:val="TitleChar"/>
    <w:uiPriority w:val="10"/>
    <w:qFormat/>
    <w:rsid w:val="002423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3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3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3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3CB"/>
    <w:pPr>
      <w:spacing w:before="160"/>
      <w:jc w:val="center"/>
    </w:pPr>
    <w:rPr>
      <w:i/>
      <w:iCs/>
      <w:color w:val="404040" w:themeColor="text1" w:themeTint="BF"/>
    </w:rPr>
  </w:style>
  <w:style w:type="character" w:customStyle="1" w:styleId="QuoteChar">
    <w:name w:val="Quote Char"/>
    <w:basedOn w:val="DefaultParagraphFont"/>
    <w:link w:val="Quote"/>
    <w:uiPriority w:val="29"/>
    <w:rsid w:val="002423CB"/>
    <w:rPr>
      <w:i/>
      <w:iCs/>
      <w:color w:val="404040" w:themeColor="text1" w:themeTint="BF"/>
    </w:rPr>
  </w:style>
  <w:style w:type="paragraph" w:styleId="ListParagraph">
    <w:name w:val="List Paragraph"/>
    <w:basedOn w:val="Normal"/>
    <w:uiPriority w:val="34"/>
    <w:qFormat/>
    <w:rsid w:val="002423CB"/>
    <w:pPr>
      <w:ind w:left="720"/>
      <w:contextualSpacing/>
    </w:pPr>
  </w:style>
  <w:style w:type="character" w:styleId="IntenseEmphasis">
    <w:name w:val="Intense Emphasis"/>
    <w:basedOn w:val="DefaultParagraphFont"/>
    <w:uiPriority w:val="21"/>
    <w:qFormat/>
    <w:rsid w:val="002423CB"/>
    <w:rPr>
      <w:i/>
      <w:iCs/>
      <w:color w:val="2F5496" w:themeColor="accent1" w:themeShade="BF"/>
    </w:rPr>
  </w:style>
  <w:style w:type="paragraph" w:styleId="IntenseQuote">
    <w:name w:val="Intense Quote"/>
    <w:basedOn w:val="Normal"/>
    <w:next w:val="Normal"/>
    <w:link w:val="IntenseQuoteChar"/>
    <w:uiPriority w:val="30"/>
    <w:qFormat/>
    <w:rsid w:val="002423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23CB"/>
    <w:rPr>
      <w:i/>
      <w:iCs/>
      <w:color w:val="2F5496" w:themeColor="accent1" w:themeShade="BF"/>
    </w:rPr>
  </w:style>
  <w:style w:type="character" w:styleId="IntenseReference">
    <w:name w:val="Intense Reference"/>
    <w:basedOn w:val="DefaultParagraphFont"/>
    <w:uiPriority w:val="32"/>
    <w:qFormat/>
    <w:rsid w:val="002423CB"/>
    <w:rPr>
      <w:b/>
      <w:bCs/>
      <w:smallCaps/>
      <w:color w:val="2F5496" w:themeColor="accent1" w:themeShade="BF"/>
      <w:spacing w:val="5"/>
    </w:rPr>
  </w:style>
  <w:style w:type="paragraph" w:customStyle="1" w:styleId="EndNoteBibliographyTitle">
    <w:name w:val="EndNote Bibliography Title"/>
    <w:basedOn w:val="Normal"/>
    <w:link w:val="EndNoteBibliographyTitleChar"/>
    <w:rsid w:val="00C165D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165D3"/>
    <w:rPr>
      <w:rFonts w:ascii="Calibri" w:hAnsi="Calibri" w:cs="Calibri"/>
      <w:noProof/>
      <w:lang w:val="en-US"/>
    </w:rPr>
  </w:style>
  <w:style w:type="paragraph" w:customStyle="1" w:styleId="EndNoteBibliography">
    <w:name w:val="EndNote Bibliography"/>
    <w:basedOn w:val="Normal"/>
    <w:link w:val="EndNoteBibliographyChar"/>
    <w:rsid w:val="00C165D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C165D3"/>
    <w:rPr>
      <w:rFonts w:ascii="Calibri" w:hAnsi="Calibri" w:cs="Calibri"/>
      <w:noProof/>
      <w:lang w:val="en-US"/>
    </w:rPr>
  </w:style>
  <w:style w:type="paragraph" w:styleId="Header">
    <w:name w:val="header"/>
    <w:basedOn w:val="Normal"/>
    <w:link w:val="HeaderChar"/>
    <w:uiPriority w:val="99"/>
    <w:unhideWhenUsed/>
    <w:rsid w:val="000F3D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DFD"/>
  </w:style>
  <w:style w:type="paragraph" w:styleId="Footer">
    <w:name w:val="footer"/>
    <w:basedOn w:val="Normal"/>
    <w:link w:val="FooterChar"/>
    <w:uiPriority w:val="99"/>
    <w:unhideWhenUsed/>
    <w:rsid w:val="000F3D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DFD"/>
  </w:style>
  <w:style w:type="table" w:styleId="TableGrid">
    <w:name w:val="Table Grid"/>
    <w:basedOn w:val="TableNormal"/>
    <w:uiPriority w:val="39"/>
    <w:rsid w:val="00B750C8"/>
    <w:pPr>
      <w:spacing w:after="0" w:line="240" w:lineRule="auto"/>
    </w:pPr>
    <w:rPr>
      <w:rFonts w:ascii="Calibri" w:eastAsia="Calibri" w:hAnsi="Calibri" w:cs="Times New Roman"/>
      <w:kern w:val="2"/>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C16620"/>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styleId="Strong">
    <w:name w:val="Strong"/>
    <w:basedOn w:val="DefaultParagraphFont"/>
    <w:uiPriority w:val="22"/>
    <w:qFormat/>
    <w:rsid w:val="00C16620"/>
    <w:rPr>
      <w:b/>
      <w:bCs/>
    </w:rPr>
  </w:style>
  <w:style w:type="character" w:styleId="Hyperlink">
    <w:name w:val="Hyperlink"/>
    <w:basedOn w:val="DefaultParagraphFont"/>
    <w:uiPriority w:val="99"/>
    <w:unhideWhenUsed/>
    <w:rsid w:val="00F52206"/>
    <w:rPr>
      <w:color w:val="0563C1" w:themeColor="hyperlink"/>
      <w:u w:val="single"/>
    </w:rPr>
  </w:style>
  <w:style w:type="character" w:styleId="UnresolvedMention">
    <w:name w:val="Unresolved Mention"/>
    <w:basedOn w:val="DefaultParagraphFont"/>
    <w:uiPriority w:val="99"/>
    <w:semiHidden/>
    <w:unhideWhenUsed/>
    <w:rsid w:val="00F52206"/>
    <w:rPr>
      <w:color w:val="605E5C"/>
      <w:shd w:val="clear" w:color="auto" w:fill="E1DFDD"/>
    </w:rPr>
  </w:style>
  <w:style w:type="paragraph" w:styleId="NoSpacing">
    <w:name w:val="No Spacing"/>
    <w:uiPriority w:val="1"/>
    <w:qFormat/>
    <w:rsid w:val="001E5D07"/>
    <w:pPr>
      <w:spacing w:after="0" w:line="240" w:lineRule="auto"/>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74005">
      <w:bodyDiv w:val="1"/>
      <w:marLeft w:val="0"/>
      <w:marRight w:val="0"/>
      <w:marTop w:val="0"/>
      <w:marBottom w:val="0"/>
      <w:divBdr>
        <w:top w:val="none" w:sz="0" w:space="0" w:color="auto"/>
        <w:left w:val="none" w:sz="0" w:space="0" w:color="auto"/>
        <w:bottom w:val="none" w:sz="0" w:space="0" w:color="auto"/>
        <w:right w:val="none" w:sz="0" w:space="0" w:color="auto"/>
      </w:divBdr>
    </w:div>
    <w:div w:id="1870217713">
      <w:bodyDiv w:val="1"/>
      <w:marLeft w:val="0"/>
      <w:marRight w:val="0"/>
      <w:marTop w:val="0"/>
      <w:marBottom w:val="0"/>
      <w:divBdr>
        <w:top w:val="none" w:sz="0" w:space="0" w:color="auto"/>
        <w:left w:val="none" w:sz="0" w:space="0" w:color="auto"/>
        <w:bottom w:val="none" w:sz="0" w:space="0" w:color="auto"/>
        <w:right w:val="none" w:sz="0" w:space="0" w:color="auto"/>
      </w:divBdr>
      <w:divsChild>
        <w:div w:id="1979459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75654-F775-4317-B488-6B09E3462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15</Pages>
  <Words>5719</Words>
  <Characters>32600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Bruno. C. Chinko</dc:creator>
  <cp:keywords/>
  <dc:description/>
  <cp:lastModifiedBy>SDI 1020</cp:lastModifiedBy>
  <cp:revision>44</cp:revision>
  <dcterms:created xsi:type="dcterms:W3CDTF">2026-02-25T11:09:00Z</dcterms:created>
  <dcterms:modified xsi:type="dcterms:W3CDTF">2026-03-12T12:04:00Z</dcterms:modified>
</cp:coreProperties>
</file>