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3644" w:rsidRDefault="0002316D">
      <w:pPr>
        <w:pStyle w:val="BodyText"/>
        <w:spacing w:line="240" w:lineRule="auto"/>
        <w:jc w:val="center"/>
        <w:rPr>
          <w:b/>
          <w:bCs/>
          <w:sz w:val="36"/>
          <w:szCs w:val="36"/>
        </w:rPr>
      </w:pPr>
      <w:r>
        <w:rPr>
          <w:rFonts w:ascii="Arial" w:hAnsi="Arial" w:cs="Times New Roman"/>
          <w:b/>
          <w:bCs/>
          <w:sz w:val="36"/>
          <w:szCs w:val="36"/>
          <w:lang w:val="en-GB"/>
        </w:rPr>
        <w:t>First-Principles Prediction of Structural, Mechanical Stability, Thermodynamic Performance</w:t>
      </w:r>
      <w:r>
        <w:rPr>
          <w:rFonts w:ascii="Arial" w:hAnsi="Arial" w:cs="Times New Roman"/>
          <w:b/>
          <w:bCs/>
          <w:sz w:val="36"/>
          <w:szCs w:val="36"/>
          <w:lang w:val="en-GB"/>
        </w:rPr>
        <w:t xml:space="preserve"> and Phonon Dispersion in an Emerging VRhTe and VRuSb Heusler Materials</w:t>
      </w:r>
    </w:p>
    <w:p w:rsidR="00B83644" w:rsidRDefault="00B83644">
      <w:pPr>
        <w:jc w:val="center"/>
        <w:rPr>
          <w:rFonts w:ascii="Arial" w:hAnsi="Arial"/>
          <w:b/>
          <w:bCs/>
          <w:sz w:val="20"/>
          <w:szCs w:val="20"/>
        </w:rPr>
      </w:pPr>
    </w:p>
    <w:p w:rsidR="00B83644" w:rsidRDefault="00B83644">
      <w:pPr>
        <w:jc w:val="center"/>
        <w:rPr>
          <w:rFonts w:ascii="Arial" w:hAnsi="Arial"/>
          <w:b/>
          <w:bCs/>
          <w:color w:val="C9211E"/>
          <w:sz w:val="20"/>
          <w:szCs w:val="20"/>
        </w:rPr>
      </w:pPr>
    </w:p>
    <w:p w:rsidR="00B83644" w:rsidRDefault="00B83644">
      <w:pPr>
        <w:jc w:val="center"/>
        <w:rPr>
          <w:rFonts w:ascii="Arial" w:hAnsi="Arial"/>
          <w:sz w:val="20"/>
          <w:szCs w:val="20"/>
        </w:rPr>
      </w:pPr>
    </w:p>
    <w:p w:rsidR="00B83644" w:rsidRDefault="0002316D">
      <w:pPr>
        <w:pStyle w:val="Heading3"/>
        <w:spacing w:before="0" w:after="0"/>
      </w:pPr>
      <w:r>
        <w:rPr>
          <w:rStyle w:val="StrongEmphasis"/>
          <w:rFonts w:ascii="Arial" w:hAnsi="Arial"/>
          <w:b/>
          <w:sz w:val="22"/>
          <w:szCs w:val="22"/>
        </w:rPr>
        <w:t>Abstract</w:t>
      </w:r>
    </w:p>
    <w:p w:rsidR="00B83644" w:rsidRDefault="0002316D">
      <w:pPr>
        <w:pStyle w:val="BodyText"/>
        <w:spacing w:line="240" w:lineRule="auto"/>
        <w:jc w:val="both"/>
        <w:rPr>
          <w:rFonts w:ascii="Arial" w:hAnsi="Arial"/>
          <w:sz w:val="20"/>
          <w:szCs w:val="20"/>
        </w:rPr>
      </w:pPr>
      <w:r>
        <w:rPr>
          <w:rFonts w:ascii="Arial" w:hAnsi="Arial" w:cs="Arial"/>
          <w:sz w:val="20"/>
          <w:szCs w:val="20"/>
        </w:rPr>
        <w:t>This work investigated the structural, mechanical, thermodynamic, and phonon characteristics of Vanadium-Rhodium-Tellurium (VRhTe) and Vanadium-Ruthenium-Antimony (VRuSb) compounds by first-principles calculations grounded on density functional theory (DFT</w:t>
      </w:r>
      <w:r>
        <w:rPr>
          <w:rFonts w:ascii="Arial" w:hAnsi="Arial" w:cs="Arial"/>
          <w:sz w:val="20"/>
          <w:szCs w:val="20"/>
        </w:rPr>
        <w:t>). The computations were performed under the generalised gradient approximation (GGA) utilising the Perdew–Burke–Ernzerhof (PBE) functional as processed in the Quantum ESPRESSO software package. The optimised structures indicated that both compounds crysta</w:t>
      </w:r>
      <w:r>
        <w:rPr>
          <w:rFonts w:ascii="Arial" w:hAnsi="Arial" w:cs="Arial"/>
          <w:sz w:val="20"/>
          <w:szCs w:val="20"/>
        </w:rPr>
        <w:t xml:space="preserve">llise in cubic Heusler-type (Fm–3m) symmetry and display thermodynamic stability, as proved by their negative formation energy and absence of structural distortions. The lattice parameter of VRuSb was slightly higher than that of VRhTe owing to the larger </w:t>
      </w:r>
      <w:r>
        <w:rPr>
          <w:rFonts w:ascii="Arial" w:hAnsi="Arial" w:cs="Arial"/>
          <w:sz w:val="20"/>
          <w:szCs w:val="20"/>
        </w:rPr>
        <w:t>atomic radius of Sb.  The results revealed that the Pugh's ratio for VRhTe is 11.94, whereas for VRuSb has the value 2.67,  this demonstrates the compounds  VRhTe, and VRuSb are ductile.  The Poisson's ratio is 0.45 and 0.33 for VRhTe and VRuSb which is gr</w:t>
      </w:r>
      <w:r>
        <w:rPr>
          <w:rFonts w:ascii="Arial" w:hAnsi="Arial" w:cs="Arial"/>
          <w:sz w:val="20"/>
          <w:szCs w:val="20"/>
        </w:rPr>
        <w:t xml:space="preserve">eater than the evalution value 0.30 (ⱱ &gt; 0.30) signifies the metallic bonding characteristics ductility of the materials. </w:t>
      </w:r>
      <w:r>
        <w:rPr>
          <w:rFonts w:ascii="Arial" w:hAnsi="Arial" w:cs="Arial"/>
          <w:sz w:val="20"/>
          <w:szCs w:val="20"/>
        </w:rPr>
        <w:t xml:space="preserve"> This agree with the outcome of the Pugh‘s ratio.  </w:t>
      </w:r>
      <w:r>
        <w:rPr>
          <w:rFonts w:ascii="Arial" w:hAnsi="Arial" w:cs="Arial"/>
          <w:sz w:val="20"/>
          <w:szCs w:val="20"/>
        </w:rPr>
        <w:t>The thermal conductivity of a substance is been determined by the debye temperature</w:t>
      </w:r>
      <w:r>
        <w:rPr>
          <w:rFonts w:ascii="Arial" w:hAnsi="Arial" w:cs="Arial"/>
          <w:sz w:val="20"/>
          <w:szCs w:val="20"/>
        </w:rPr>
        <w:t>. The materials suggest improved thermal conductivity at the debye temperature.  Meanwhile, at high temperature the Dulong and Petit law agrees with the specific heat capacity of the heusler materials and adheres to the T</w:t>
      </w:r>
      <w:r>
        <w:rPr>
          <w:rFonts w:ascii="Arial" w:hAnsi="Arial" w:cs="Arial"/>
          <w:sz w:val="20"/>
          <w:szCs w:val="20"/>
          <w:vertAlign w:val="superscript"/>
        </w:rPr>
        <w:t>3</w:t>
      </w:r>
      <w:r>
        <w:rPr>
          <w:rFonts w:ascii="Arial" w:hAnsi="Arial" w:cs="Arial"/>
          <w:sz w:val="20"/>
          <w:szCs w:val="20"/>
        </w:rPr>
        <w:t xml:space="preserve"> rule as the temperature decreases</w:t>
      </w:r>
      <w:r>
        <w:rPr>
          <w:rFonts w:ascii="Arial" w:hAnsi="Arial" w:cs="Arial"/>
          <w:sz w:val="20"/>
          <w:szCs w:val="20"/>
        </w:rPr>
        <w:t xml:space="preserve">. </w:t>
      </w:r>
      <w:r>
        <w:rPr>
          <w:rFonts w:ascii="Arial" w:hAnsi="Arial" w:cs="Arial"/>
          <w:sz w:val="20"/>
          <w:szCs w:val="20"/>
          <w:lang w:val="en-GB"/>
        </w:rPr>
        <w:t xml:space="preserve">The heusler compounds reveals phonon dynamical stability as the frequencies and the phonon density of states are positives. </w:t>
      </w:r>
      <w:r>
        <w:rPr>
          <w:rFonts w:ascii="Arial" w:hAnsi="Arial"/>
          <w:sz w:val="20"/>
          <w:szCs w:val="20"/>
        </w:rPr>
        <w:t xml:space="preserve"> </w:t>
      </w:r>
    </w:p>
    <w:p w:rsidR="00B83644" w:rsidRDefault="00B83644">
      <w:pPr>
        <w:pStyle w:val="BodyText"/>
        <w:spacing w:line="240" w:lineRule="auto"/>
        <w:jc w:val="both"/>
        <w:rPr>
          <w:rFonts w:ascii="Times New Roman" w:hAnsi="Times New Roman"/>
          <w:sz w:val="22"/>
          <w:szCs w:val="22"/>
        </w:rPr>
      </w:pPr>
    </w:p>
    <w:p w:rsidR="00B83644" w:rsidRDefault="00B83644">
      <w:pPr>
        <w:jc w:val="center"/>
        <w:rPr>
          <w:rFonts w:ascii="Times New Roman" w:hAnsi="Times New Roman"/>
          <w:sz w:val="22"/>
          <w:szCs w:val="22"/>
        </w:rPr>
      </w:pPr>
    </w:p>
    <w:p w:rsidR="00B83644" w:rsidRDefault="0002316D">
      <w:pPr>
        <w:rPr>
          <w:rFonts w:ascii="Arial" w:hAnsi="Arial"/>
          <w:i/>
          <w:iCs/>
          <w:sz w:val="20"/>
          <w:szCs w:val="20"/>
        </w:rPr>
      </w:pPr>
      <w:r>
        <w:rPr>
          <w:rFonts w:ascii="Arial" w:hAnsi="Arial"/>
          <w:i/>
          <w:iCs/>
          <w:sz w:val="20"/>
          <w:szCs w:val="20"/>
        </w:rPr>
        <w:t>Keywords: Structural, Mechanical, Thermodynamic, and Phonon</w:t>
      </w:r>
    </w:p>
    <w:p w:rsidR="00B83644" w:rsidRDefault="00B83644">
      <w:pPr>
        <w:jc w:val="both"/>
      </w:pPr>
    </w:p>
    <w:p w:rsidR="00B83644" w:rsidRDefault="00B83644">
      <w:pPr>
        <w:jc w:val="both"/>
      </w:pPr>
    </w:p>
    <w:p w:rsidR="00B83644" w:rsidRDefault="00B83644">
      <w:pPr>
        <w:sectPr w:rsidR="00B83644">
          <w:headerReference w:type="even" r:id="rId6"/>
          <w:headerReference w:type="default" r:id="rId7"/>
          <w:footerReference w:type="even" r:id="rId8"/>
          <w:footerReference w:type="default" r:id="rId9"/>
          <w:headerReference w:type="first" r:id="rId10"/>
          <w:footerReference w:type="first" r:id="rId11"/>
          <w:pgSz w:w="11906" w:h="16838"/>
          <w:pgMar w:top="1134" w:right="1134" w:bottom="1693" w:left="1134" w:header="0" w:footer="1134" w:gutter="0"/>
          <w:cols w:space="720"/>
          <w:formProt w:val="0"/>
          <w:docGrid w:linePitch="100"/>
        </w:sectPr>
      </w:pPr>
    </w:p>
    <w:p w:rsidR="00B83644" w:rsidRDefault="0002316D">
      <w:pPr>
        <w:pStyle w:val="Heading3"/>
        <w:spacing w:line="276" w:lineRule="auto"/>
        <w:jc w:val="both"/>
      </w:pPr>
      <w:r>
        <w:rPr>
          <w:rStyle w:val="StrongEmphasis"/>
          <w:rFonts w:ascii="Arial" w:hAnsi="Arial"/>
          <w:b/>
          <w:color w:val="000000"/>
          <w:sz w:val="22"/>
          <w:szCs w:val="22"/>
        </w:rPr>
        <w:t>1. INTRODUCTION</w:t>
      </w:r>
    </w:p>
    <w:p w:rsidR="00B83644" w:rsidRDefault="0002316D">
      <w:pPr>
        <w:pStyle w:val="BodyText"/>
        <w:jc w:val="both"/>
      </w:pPr>
      <w:r>
        <w:rPr>
          <w:rFonts w:ascii="Arial" w:hAnsi="Arial"/>
          <w:color w:val="000000"/>
          <w:sz w:val="20"/>
          <w:szCs w:val="20"/>
        </w:rPr>
        <w:t>The continuous advancement in materials science and solid-state physics has been greatly driven</w:t>
      </w:r>
      <w:r>
        <w:rPr>
          <w:rFonts w:ascii="Arial" w:hAnsi="Arial"/>
          <w:color w:val="000000"/>
          <w:sz w:val="20"/>
          <w:szCs w:val="20"/>
        </w:rPr>
        <w:t xml:space="preserve"> by the quest to design and discover new compounds with exceptional physical properties suitable for advanced technological applications [1].Transition metals and their inter-metallic compounds occupy a special place in this regard because of their diverse</w:t>
      </w:r>
      <w:r>
        <w:rPr>
          <w:rFonts w:ascii="Arial" w:hAnsi="Arial"/>
          <w:color w:val="000000"/>
          <w:sz w:val="20"/>
          <w:szCs w:val="20"/>
        </w:rPr>
        <w:t xml:space="preserve"> electronic structures, mechanical robustness, and catalytic properties. In particular, compounds involving </w:t>
      </w:r>
      <w:r>
        <w:rPr>
          <w:rStyle w:val="StrongEmphasis"/>
          <w:rFonts w:ascii="Arial" w:hAnsi="Arial"/>
          <w:b w:val="0"/>
          <w:bCs w:val="0"/>
          <w:color w:val="000000"/>
          <w:sz w:val="20"/>
          <w:szCs w:val="20"/>
        </w:rPr>
        <w:t xml:space="preserve">Vanadium (V), Rhodium (Rh), and Ruthenium(Ru) </w:t>
      </w:r>
      <w:r>
        <w:rPr>
          <w:rFonts w:ascii="Arial" w:hAnsi="Arial"/>
          <w:color w:val="000000"/>
          <w:sz w:val="20"/>
          <w:szCs w:val="20"/>
        </w:rPr>
        <w:t>have allure significant awareness due to their relevant thermal stability, corrosion resistance, and w</w:t>
      </w:r>
      <w:r>
        <w:rPr>
          <w:rFonts w:ascii="Arial" w:hAnsi="Arial"/>
          <w:color w:val="000000"/>
          <w:sz w:val="20"/>
          <w:szCs w:val="20"/>
        </w:rPr>
        <w:t xml:space="preserve">ide range of oxidation states, </w:t>
      </w:r>
      <w:r>
        <w:rPr>
          <w:rStyle w:val="StrongEmphasis"/>
          <w:rFonts w:ascii="Arial" w:hAnsi="Arial"/>
          <w:b w:val="0"/>
          <w:bCs w:val="0"/>
          <w:color w:val="000000"/>
          <w:sz w:val="20"/>
          <w:szCs w:val="20"/>
        </w:rPr>
        <w:t>rendering them suitable for applications in electronics, catalysis, energy storage, and thermoelectric devices</w:t>
      </w:r>
      <w:r>
        <w:rPr>
          <w:rFonts w:ascii="Arial" w:hAnsi="Arial"/>
          <w:color w:val="000000"/>
          <w:sz w:val="20"/>
          <w:szCs w:val="20"/>
        </w:rPr>
        <w:t xml:space="preserve"> [2].</w:t>
      </w:r>
    </w:p>
    <w:p w:rsidR="00B83644" w:rsidRDefault="0002316D">
      <w:pPr>
        <w:pStyle w:val="BodyText"/>
        <w:jc w:val="both"/>
        <w:rPr>
          <w:rFonts w:ascii="Arial" w:hAnsi="Arial"/>
          <w:sz w:val="20"/>
          <w:szCs w:val="20"/>
        </w:rPr>
      </w:pPr>
      <w:r>
        <w:rPr>
          <w:rFonts w:ascii="Arial" w:hAnsi="Arial"/>
          <w:color w:val="000000"/>
          <w:sz w:val="20"/>
          <w:szCs w:val="20"/>
        </w:rPr>
        <w:t>Vanadium is known as a 3d transition metals, and for its capacity to form diverse oxidation states and compou</w:t>
      </w:r>
      <w:r>
        <w:rPr>
          <w:rFonts w:ascii="Arial" w:hAnsi="Arial"/>
          <w:color w:val="000000"/>
          <w:sz w:val="20"/>
          <w:szCs w:val="20"/>
        </w:rPr>
        <w:t>nd, that manifest semiconducting, metallic, and superconducting characteristic. Rhodium is known as a 4d transition metal, it is one of the important nobles metals, essentially due to it uniqueness catalytic effectiveness and chemical passivity. The combin</w:t>
      </w:r>
      <w:r>
        <w:rPr>
          <w:rFonts w:ascii="Arial" w:hAnsi="Arial"/>
          <w:color w:val="000000"/>
          <w:sz w:val="20"/>
          <w:szCs w:val="20"/>
        </w:rPr>
        <w:t>ation of P-block atoms such as tellurium(Te), and antimony(Sb); these transition metals can form ternary material with captivating electronic configurations, which could be useful compounds for spintronic, or thermoelectric application [4, 5].</w:t>
      </w:r>
    </w:p>
    <w:p w:rsidR="00B83644" w:rsidRDefault="0002316D">
      <w:pPr>
        <w:pStyle w:val="BodyText"/>
        <w:jc w:val="both"/>
        <w:rPr>
          <w:rFonts w:ascii="Arial" w:hAnsi="Arial"/>
          <w:sz w:val="20"/>
          <w:szCs w:val="20"/>
        </w:rPr>
      </w:pPr>
      <w:r>
        <w:rPr>
          <w:rFonts w:ascii="Arial" w:hAnsi="Arial"/>
          <w:color w:val="000000"/>
          <w:sz w:val="20"/>
          <w:szCs w:val="20"/>
        </w:rPr>
        <w:t>Te and Sb fr</w:t>
      </w:r>
      <w:r>
        <w:rPr>
          <w:rFonts w:ascii="Arial" w:hAnsi="Arial"/>
          <w:color w:val="000000"/>
          <w:sz w:val="20"/>
          <w:szCs w:val="20"/>
        </w:rPr>
        <w:t>olic important roles in modulating the electronic structure of transition metal materials[6]. Tellurium , an oxygen group, denotes greatly localized P-states that can affect the band gap and conductivity. Additionally, antimony is a element in group 15, wh</w:t>
      </w:r>
      <w:r>
        <w:rPr>
          <w:rFonts w:ascii="Arial" w:hAnsi="Arial"/>
          <w:color w:val="000000"/>
          <w:sz w:val="20"/>
          <w:szCs w:val="20"/>
        </w:rPr>
        <w:t xml:space="preserve">ich improves thermodynamic performance by altering carrier mobility and DOS close to the fermi level[7, 8]. The combination of V, Rh Ru, Te, and Sb atoms can </w:t>
      </w:r>
      <w:r>
        <w:rPr>
          <w:rFonts w:ascii="Arial" w:hAnsi="Arial"/>
          <w:color w:val="000000"/>
          <w:sz w:val="20"/>
          <w:szCs w:val="20"/>
        </w:rPr>
        <w:lastRenderedPageBreak/>
        <w:t>give birth to a novel materials with amplify electrical conductivity, efficient temperature perfor</w:t>
      </w:r>
      <w:r>
        <w:rPr>
          <w:rFonts w:ascii="Arial" w:hAnsi="Arial"/>
          <w:color w:val="000000"/>
          <w:sz w:val="20"/>
          <w:szCs w:val="20"/>
        </w:rPr>
        <w:t>mance, and mechanical stability.</w:t>
      </w:r>
    </w:p>
    <w:p w:rsidR="00B83644" w:rsidRDefault="0002316D">
      <w:pPr>
        <w:pStyle w:val="BodyText"/>
        <w:jc w:val="both"/>
        <w:rPr>
          <w:rFonts w:ascii="Arial" w:hAnsi="Arial"/>
          <w:sz w:val="20"/>
          <w:szCs w:val="20"/>
        </w:rPr>
      </w:pPr>
      <w:r>
        <w:rPr>
          <w:rFonts w:ascii="Arial" w:hAnsi="Arial"/>
          <w:color w:val="000000"/>
          <w:sz w:val="20"/>
          <w:szCs w:val="20"/>
        </w:rPr>
        <w:t>Irrespective of the relevant of the compounds, limited information on the half heusler alloys (VRhTe, and VRuSb) system. The physical characteristic remain largely understudied experimental and theoretically[9]. The setback</w:t>
      </w:r>
      <w:r>
        <w:rPr>
          <w:rFonts w:ascii="Arial" w:hAnsi="Arial"/>
          <w:color w:val="000000"/>
          <w:sz w:val="20"/>
          <w:szCs w:val="20"/>
        </w:rPr>
        <w:t xml:space="preserve"> linked to the experimental synthesis and characterization of these materials, first principles calculations base on DFT offer an sufficient and reliable means to forecast and examine their rudiment properties from atomic scale interaction [10].</w:t>
      </w:r>
    </w:p>
    <w:p w:rsidR="00B83644" w:rsidRDefault="0002316D">
      <w:pPr>
        <w:pStyle w:val="BodyText"/>
        <w:jc w:val="both"/>
        <w:rPr>
          <w:rFonts w:ascii="Arial" w:hAnsi="Arial"/>
          <w:sz w:val="20"/>
          <w:szCs w:val="20"/>
        </w:rPr>
      </w:pPr>
      <w:r>
        <w:rPr>
          <w:rFonts w:ascii="Arial" w:hAnsi="Arial"/>
          <w:color w:val="000000"/>
          <w:sz w:val="20"/>
          <w:szCs w:val="20"/>
        </w:rPr>
        <w:t>DFT approa</w:t>
      </w:r>
      <w:r>
        <w:rPr>
          <w:rFonts w:ascii="Arial" w:hAnsi="Arial"/>
          <w:color w:val="000000"/>
          <w:sz w:val="20"/>
          <w:szCs w:val="20"/>
        </w:rPr>
        <w:t xml:space="preserve">ch has become influential software for investigating novel materials by providing precise information into crystal structure, bonding nature, electronic characteristic, mechanical stability, and thermodynamic features. By adopting this computational tool, </w:t>
      </w:r>
      <w:r>
        <w:rPr>
          <w:rFonts w:ascii="Arial" w:hAnsi="Arial"/>
          <w:color w:val="000000"/>
          <w:sz w:val="20"/>
          <w:szCs w:val="20"/>
        </w:rPr>
        <w:t>it is possible to forecast and interpret the stability, ductility, and conductivity of the compounds before they are synthesized in the laboratory [11].</w:t>
      </w:r>
    </w:p>
    <w:p w:rsidR="00B83644" w:rsidRDefault="0002316D">
      <w:pPr>
        <w:pStyle w:val="BodyText"/>
        <w:jc w:val="both"/>
        <w:rPr>
          <w:rFonts w:ascii="Arial" w:hAnsi="Arial"/>
          <w:sz w:val="20"/>
          <w:szCs w:val="20"/>
        </w:rPr>
      </w:pPr>
      <w:r>
        <w:rPr>
          <w:rFonts w:ascii="Arial" w:hAnsi="Arial"/>
          <w:color w:val="000000"/>
          <w:sz w:val="20"/>
          <w:szCs w:val="20"/>
        </w:rPr>
        <w:t>Ab-initio density functional theory methodology have become essential techniques in understanding and f</w:t>
      </w:r>
      <w:r>
        <w:rPr>
          <w:rFonts w:ascii="Arial" w:hAnsi="Arial"/>
          <w:color w:val="000000"/>
          <w:sz w:val="20"/>
          <w:szCs w:val="20"/>
        </w:rPr>
        <w:t>orecasting the structural, elastic, and lattice constants characteristic of a materials. This computational method permit researchers to traverse materials that are tough to synthesis or investigate experimentally, providing information into bonding mechan</w:t>
      </w:r>
      <w:r>
        <w:rPr>
          <w:rFonts w:ascii="Arial" w:hAnsi="Arial"/>
          <w:color w:val="000000"/>
          <w:sz w:val="20"/>
          <w:szCs w:val="20"/>
        </w:rPr>
        <w:t>isms, electronic transitions, and thermodynamic stoutness [12, 13].</w:t>
      </w:r>
    </w:p>
    <w:p w:rsidR="00B83644" w:rsidRDefault="0002316D">
      <w:pPr>
        <w:pStyle w:val="BodyText"/>
        <w:jc w:val="both"/>
        <w:rPr>
          <w:rFonts w:ascii="Arial" w:hAnsi="Arial"/>
          <w:sz w:val="20"/>
          <w:szCs w:val="20"/>
        </w:rPr>
      </w:pPr>
      <w:r>
        <w:rPr>
          <w:rFonts w:ascii="Arial" w:hAnsi="Arial"/>
          <w:color w:val="000000"/>
          <w:sz w:val="20"/>
          <w:szCs w:val="20"/>
        </w:rPr>
        <w:t>Research on transition metal-based inter-metallic materials have signify that their heusler properties can be moderated constructively through the replacement of different elements, leadin</w:t>
      </w:r>
      <w:r>
        <w:rPr>
          <w:rFonts w:ascii="Arial" w:hAnsi="Arial"/>
          <w:color w:val="000000"/>
          <w:sz w:val="20"/>
          <w:szCs w:val="20"/>
        </w:rPr>
        <w:t xml:space="preserve">g to compounds with unique electrical and mechanical characteristic. To be specific vanadium-based compounds have gained necessary attention due their wide oxidation states, well built bonding features, and capacity to configure stable structure with both </w:t>
      </w:r>
      <w:r>
        <w:rPr>
          <w:rFonts w:ascii="Arial" w:hAnsi="Arial"/>
          <w:color w:val="000000"/>
          <w:sz w:val="20"/>
          <w:szCs w:val="20"/>
        </w:rPr>
        <w:t>semiconducting and metallic characteristic [14]. For instants, vanadium tellurides (such as VTe and V</w:t>
      </w:r>
      <w:r>
        <w:rPr>
          <w:rFonts w:ascii="Arial" w:hAnsi="Arial"/>
          <w:color w:val="000000"/>
          <w:sz w:val="20"/>
          <w:szCs w:val="20"/>
          <w:vertAlign w:val="subscript"/>
        </w:rPr>
        <w:t>2</w:t>
      </w:r>
      <w:r>
        <w:rPr>
          <w:rFonts w:ascii="Arial" w:hAnsi="Arial"/>
          <w:color w:val="000000"/>
          <w:sz w:val="20"/>
          <w:szCs w:val="20"/>
        </w:rPr>
        <w:t>Te</w:t>
      </w:r>
      <w:r>
        <w:rPr>
          <w:rFonts w:ascii="Arial" w:hAnsi="Arial"/>
          <w:color w:val="000000"/>
          <w:sz w:val="20"/>
          <w:szCs w:val="20"/>
          <w:vertAlign w:val="subscript"/>
        </w:rPr>
        <w:t>3</w:t>
      </w:r>
      <w:r>
        <w:rPr>
          <w:rFonts w:ascii="Arial" w:hAnsi="Arial"/>
          <w:color w:val="000000"/>
          <w:sz w:val="20"/>
          <w:szCs w:val="20"/>
        </w:rPr>
        <w:t>) possesses relevant electronic features, including metallic conduction and magneto-resistance effects, making them possible candidates for thermoelect</w:t>
      </w:r>
      <w:r>
        <w:rPr>
          <w:rFonts w:ascii="Arial" w:hAnsi="Arial"/>
          <w:color w:val="000000"/>
          <w:sz w:val="20"/>
          <w:szCs w:val="20"/>
        </w:rPr>
        <w:t>ric and spintronic application [15].</w:t>
      </w:r>
    </w:p>
    <w:p w:rsidR="00B83644" w:rsidRDefault="0002316D">
      <w:pPr>
        <w:pStyle w:val="BodyText"/>
        <w:jc w:val="both"/>
        <w:rPr>
          <w:rFonts w:ascii="Arial" w:hAnsi="Arial"/>
          <w:sz w:val="20"/>
          <w:szCs w:val="20"/>
        </w:rPr>
      </w:pPr>
      <w:r>
        <w:rPr>
          <w:rFonts w:ascii="Arial" w:hAnsi="Arial"/>
          <w:color w:val="000000"/>
          <w:sz w:val="20"/>
          <w:szCs w:val="20"/>
        </w:rPr>
        <w:t>Furthermore, rhodium-containing compounds have been widely studied because of their excellent catalytic and corrosion resistant properties. Rhodium configuration stable alloys and inter-metallic with transition and post</w:t>
      </w:r>
      <w:r>
        <w:rPr>
          <w:rFonts w:ascii="Arial" w:hAnsi="Arial"/>
          <w:color w:val="000000"/>
          <w:sz w:val="20"/>
          <w:szCs w:val="20"/>
        </w:rPr>
        <w:t xml:space="preserve"> transition metals, which possess improved thermal and elastic constants stability [16]. Rhodium tellurides and antidotes, such as RhTe and RhSb</w:t>
      </w:r>
      <w:r>
        <w:rPr>
          <w:rFonts w:ascii="Arial" w:hAnsi="Arial"/>
          <w:color w:val="000000"/>
          <w:sz w:val="20"/>
          <w:szCs w:val="20"/>
          <w:vertAlign w:val="subscript"/>
        </w:rPr>
        <w:t>3</w:t>
      </w:r>
      <w:r>
        <w:rPr>
          <w:rFonts w:ascii="Arial" w:hAnsi="Arial"/>
          <w:color w:val="000000"/>
          <w:sz w:val="20"/>
          <w:szCs w:val="20"/>
        </w:rPr>
        <w:t xml:space="preserve">, have demonstrated outstanding electrical conductivity and thermal equilibrium, characteristic that are vital </w:t>
      </w:r>
      <w:r>
        <w:rPr>
          <w:rFonts w:ascii="Arial" w:hAnsi="Arial"/>
          <w:color w:val="000000"/>
          <w:sz w:val="20"/>
          <w:szCs w:val="20"/>
        </w:rPr>
        <w:t>for high temperature thermoelectric components. [17].</w:t>
      </w:r>
    </w:p>
    <w:p w:rsidR="00B83644" w:rsidRDefault="0002316D">
      <w:pPr>
        <w:pStyle w:val="BodyText"/>
        <w:jc w:val="both"/>
        <w:rPr>
          <w:rFonts w:ascii="Arial" w:hAnsi="Arial"/>
          <w:sz w:val="20"/>
          <w:szCs w:val="20"/>
        </w:rPr>
      </w:pPr>
      <w:r>
        <w:rPr>
          <w:rFonts w:ascii="Arial" w:hAnsi="Arial"/>
          <w:color w:val="000000"/>
          <w:sz w:val="20"/>
          <w:szCs w:val="20"/>
        </w:rPr>
        <w:t>Tellurium and antimony are both groups 13 through 18 of the periodic table elements that consequentially impact the structural and electronic features of transition metals materials. Tellurium containin</w:t>
      </w:r>
      <w:r>
        <w:rPr>
          <w:rFonts w:ascii="Arial" w:hAnsi="Arial"/>
          <w:color w:val="000000"/>
          <w:sz w:val="20"/>
          <w:szCs w:val="20"/>
        </w:rPr>
        <w:t>g materials often reveal strong spin-orbit coupling effects, minimal band gap, and high electrical conductivity [18]. Due to their high Seebeck values and low heat conductivity, antimony-based compounds like CoSb</w:t>
      </w:r>
      <w:r>
        <w:rPr>
          <w:rFonts w:ascii="Arial" w:hAnsi="Arial"/>
          <w:color w:val="000000"/>
          <w:sz w:val="20"/>
          <w:szCs w:val="20"/>
          <w:vertAlign w:val="subscript"/>
        </w:rPr>
        <w:t>3</w:t>
      </w:r>
      <w:r>
        <w:rPr>
          <w:rFonts w:ascii="Arial" w:hAnsi="Arial"/>
          <w:color w:val="000000"/>
          <w:sz w:val="20"/>
          <w:szCs w:val="20"/>
        </w:rPr>
        <w:t xml:space="preserve"> and FeSb</w:t>
      </w:r>
      <w:r>
        <w:rPr>
          <w:rFonts w:ascii="Arial" w:hAnsi="Arial"/>
          <w:color w:val="000000"/>
          <w:sz w:val="20"/>
          <w:szCs w:val="20"/>
          <w:vertAlign w:val="subscript"/>
        </w:rPr>
        <w:t>2</w:t>
      </w:r>
      <w:r>
        <w:rPr>
          <w:rFonts w:ascii="Arial" w:hAnsi="Arial"/>
          <w:color w:val="000000"/>
          <w:sz w:val="20"/>
          <w:szCs w:val="20"/>
        </w:rPr>
        <w:t xml:space="preserve"> have been extensively studied as</w:t>
      </w:r>
      <w:r>
        <w:rPr>
          <w:rFonts w:ascii="Arial" w:hAnsi="Arial"/>
          <w:color w:val="000000"/>
          <w:sz w:val="20"/>
          <w:szCs w:val="20"/>
        </w:rPr>
        <w:t xml:space="preserve"> thermodynamic materials  [19].</w:t>
      </w:r>
    </w:p>
    <w:p w:rsidR="00B83644" w:rsidRDefault="0002316D">
      <w:pPr>
        <w:pStyle w:val="BodyText"/>
        <w:jc w:val="both"/>
        <w:rPr>
          <w:rFonts w:ascii="Arial" w:hAnsi="Arial"/>
          <w:sz w:val="20"/>
          <w:szCs w:val="20"/>
        </w:rPr>
      </w:pPr>
      <w:r>
        <w:rPr>
          <w:rFonts w:ascii="Arial" w:hAnsi="Arial"/>
          <w:color w:val="000000"/>
          <w:sz w:val="20"/>
          <w:szCs w:val="20"/>
        </w:rPr>
        <w:t>Previous theoretical research on ternary and quaternary compounds remain constrained, although similar materials have been investigated  [20]. Meanwhile [21] reported that Rh-containing Heusler alloys possess outstanding duc</w:t>
      </w:r>
      <w:r>
        <w:rPr>
          <w:rFonts w:ascii="Arial" w:hAnsi="Arial"/>
          <w:color w:val="000000"/>
          <w:sz w:val="20"/>
          <w:szCs w:val="20"/>
        </w:rPr>
        <w:t>tility and thermal equilibrium. These outcome forecast that the combination of V, Rh, and groups 13 through 18 of the periodic table elements could yield compounds with advantageous mechanical and elastic constants properties comparable for structural requ</w:t>
      </w:r>
      <w:r>
        <w:rPr>
          <w:rFonts w:ascii="Arial" w:hAnsi="Arial"/>
          <w:color w:val="000000"/>
          <w:sz w:val="20"/>
          <w:szCs w:val="20"/>
        </w:rPr>
        <w:t>isition.</w:t>
      </w:r>
    </w:p>
    <w:p w:rsidR="00B83644" w:rsidRDefault="0002316D">
      <w:pPr>
        <w:pStyle w:val="BodyText"/>
        <w:jc w:val="both"/>
      </w:pPr>
      <w:r>
        <w:rPr>
          <w:rFonts w:ascii="Arial" w:hAnsi="Arial"/>
          <w:color w:val="000000"/>
          <w:sz w:val="20"/>
          <w:szCs w:val="20"/>
        </w:rPr>
        <w:t xml:space="preserve">The </w:t>
      </w:r>
      <w:r>
        <w:rPr>
          <w:rStyle w:val="StrongEmphasis"/>
          <w:rFonts w:ascii="Arial" w:hAnsi="Arial"/>
          <w:b w:val="0"/>
          <w:bCs w:val="0"/>
          <w:color w:val="000000"/>
          <w:sz w:val="20"/>
          <w:szCs w:val="20"/>
        </w:rPr>
        <w:t>mechanical and thermodynamic characteristic of these materials is equally essential for investigating their compatibility for experimental application. Elastic constant properties gotten from DFT calculations provide details into the stability</w:t>
      </w:r>
      <w:r>
        <w:rPr>
          <w:rStyle w:val="StrongEmphasis"/>
          <w:rFonts w:ascii="Arial" w:hAnsi="Arial"/>
          <w:b w:val="0"/>
          <w:bCs w:val="0"/>
          <w:color w:val="000000"/>
          <w:sz w:val="20"/>
          <w:szCs w:val="20"/>
        </w:rPr>
        <w:t xml:space="preserve"> and ductility of the materials </w:t>
      </w:r>
      <w:r>
        <w:rPr>
          <w:rFonts w:ascii="Arial" w:hAnsi="Arial"/>
          <w:color w:val="000000"/>
          <w:sz w:val="20"/>
          <w:szCs w:val="20"/>
        </w:rPr>
        <w:t>[22]. A high ratio of bulk modulus to shear volume (B/G &gt; 1.75) in the mechanical properties often denote ductility features. Additionally, thermodynamic features like debye temperature, specific heat, and entropy are essent</w:t>
      </w:r>
      <w:r>
        <w:rPr>
          <w:rFonts w:ascii="Arial" w:hAnsi="Arial"/>
          <w:color w:val="000000"/>
          <w:sz w:val="20"/>
          <w:szCs w:val="20"/>
        </w:rPr>
        <w:t>ial in studying lattice vibrations, and phonon interactions, which influences stability and conductivity of the thermal behavior at high temperature [23].</w:t>
      </w:r>
    </w:p>
    <w:p w:rsidR="00B83644" w:rsidRDefault="0002316D">
      <w:pPr>
        <w:pStyle w:val="BodyText"/>
        <w:jc w:val="both"/>
        <w:rPr>
          <w:rFonts w:ascii="Arial" w:hAnsi="Arial"/>
          <w:sz w:val="20"/>
          <w:szCs w:val="20"/>
        </w:rPr>
      </w:pPr>
      <w:r>
        <w:rPr>
          <w:rFonts w:ascii="Arial" w:hAnsi="Arial"/>
          <w:color w:val="000000"/>
          <w:sz w:val="20"/>
          <w:szCs w:val="20"/>
        </w:rPr>
        <w:t>Irrespective of the numerous literature on binary and ternary inter-metallic materials, no comprehens</w:t>
      </w:r>
      <w:r>
        <w:rPr>
          <w:rFonts w:ascii="Arial" w:hAnsi="Arial"/>
          <w:color w:val="000000"/>
          <w:sz w:val="20"/>
          <w:szCs w:val="20"/>
        </w:rPr>
        <w:t xml:space="preserve">ive DFT research has been reported of the half-heusler compounds VRhTe, and VRuSb. Their prospects as metallic and thermoelectric materials remains investigated. This project aims to explore the deficiency by providing a </w:t>
      </w:r>
      <w:r>
        <w:rPr>
          <w:rFonts w:ascii="Arial" w:hAnsi="Arial"/>
          <w:color w:val="000000"/>
          <w:sz w:val="20"/>
          <w:szCs w:val="20"/>
        </w:rPr>
        <w:lastRenderedPageBreak/>
        <w:t>thorough theoretical research of th</w:t>
      </w:r>
      <w:r>
        <w:rPr>
          <w:rFonts w:ascii="Arial" w:hAnsi="Arial"/>
          <w:color w:val="000000"/>
          <w:sz w:val="20"/>
          <w:szCs w:val="20"/>
        </w:rPr>
        <w:t>eir structural, mechanical, thermodynamic, and phonon charateristic using DFT-based first principles approach.</w:t>
      </w:r>
    </w:p>
    <w:p w:rsidR="00B83644" w:rsidRDefault="00B83644">
      <w:pPr>
        <w:spacing w:line="276" w:lineRule="auto"/>
        <w:jc w:val="both"/>
        <w:rPr>
          <w:rFonts w:ascii="Arial" w:hAnsi="Arial"/>
          <w:sz w:val="20"/>
          <w:szCs w:val="20"/>
        </w:rPr>
      </w:pPr>
    </w:p>
    <w:p w:rsidR="00B83644" w:rsidRDefault="0002316D">
      <w:pPr>
        <w:pStyle w:val="Heading3"/>
        <w:spacing w:before="0" w:after="0" w:line="276" w:lineRule="auto"/>
        <w:jc w:val="both"/>
      </w:pPr>
      <w:r>
        <w:rPr>
          <w:rStyle w:val="StrongEmphasis"/>
          <w:rFonts w:ascii="Arial" w:hAnsi="Arial"/>
          <w:b/>
          <w:color w:val="000000"/>
          <w:sz w:val="22"/>
          <w:szCs w:val="22"/>
        </w:rPr>
        <w:t>2. MATERIALS AND METHOD</w:t>
      </w:r>
    </w:p>
    <w:p w:rsidR="00B83644" w:rsidRDefault="00B83644">
      <w:pPr>
        <w:pStyle w:val="BodyText"/>
        <w:spacing w:after="0"/>
        <w:jc w:val="both"/>
        <w:rPr>
          <w:rFonts w:ascii="Arial" w:hAnsi="Arial"/>
          <w:b/>
          <w:sz w:val="20"/>
          <w:szCs w:val="20"/>
        </w:rPr>
      </w:pPr>
    </w:p>
    <w:p w:rsidR="00B83644" w:rsidRDefault="0002316D">
      <w:pPr>
        <w:pStyle w:val="BodyText"/>
        <w:jc w:val="both"/>
        <w:rPr>
          <w:rFonts w:ascii="Arial" w:hAnsi="Arial"/>
          <w:sz w:val="20"/>
          <w:szCs w:val="20"/>
        </w:rPr>
      </w:pPr>
      <w:r>
        <w:rPr>
          <w:rFonts w:ascii="Arial" w:hAnsi="Arial"/>
          <w:color w:val="000000"/>
          <w:sz w:val="20"/>
          <w:szCs w:val="20"/>
        </w:rPr>
        <w:t xml:space="preserve">This study employed ab-initio calculation rooted in DFT as contained in Quantum ESPRESSO computational tool [24]. The </w:t>
      </w:r>
      <w:r>
        <w:rPr>
          <w:rFonts w:ascii="Arial" w:hAnsi="Arial"/>
          <w:color w:val="000000"/>
          <w:sz w:val="20"/>
          <w:szCs w:val="20"/>
        </w:rPr>
        <w:t>Generalised Gradient Approximation (GGA) in the Perdew-Burke-Ernzerhof (PBE) expression concisely designate the exchange correlation interactions among electrons [25] was applied. The pseudo-potential technique was applied to effectively designate the ion-</w:t>
      </w:r>
      <w:r>
        <w:rPr>
          <w:rFonts w:ascii="Arial" w:hAnsi="Arial"/>
          <w:color w:val="000000"/>
          <w:sz w:val="20"/>
          <w:szCs w:val="20"/>
        </w:rPr>
        <w:t>electron interactions. A plane-wave energy cutoff of 600 eV was adopted for all materials to secured the convergence of total energy and forces.</w:t>
      </w:r>
    </w:p>
    <w:p w:rsidR="00B83644" w:rsidRDefault="0002316D">
      <w:pPr>
        <w:pStyle w:val="BodyText"/>
        <w:jc w:val="both"/>
        <w:rPr>
          <w:rFonts w:ascii="Arial" w:hAnsi="Arial"/>
          <w:sz w:val="20"/>
          <w:szCs w:val="20"/>
        </w:rPr>
      </w:pPr>
      <w:r>
        <w:rPr>
          <w:rFonts w:ascii="Arial" w:hAnsi="Arial"/>
          <w:color w:val="000000"/>
          <w:sz w:val="20"/>
          <w:szCs w:val="20"/>
        </w:rPr>
        <w:t>The elastic parameters (C₁₁, C₁₂, and C₄₄) were deduced through stress-strain interconnection during average deformations. The simulated lattice parameters (C₁₁, C₁₂, and C₄₄) were therefore applied to assess the polycrystalline mechanical moduli through t</w:t>
      </w:r>
      <w:r>
        <w:rPr>
          <w:rFonts w:ascii="Arial" w:hAnsi="Arial"/>
          <w:color w:val="000000"/>
          <w:sz w:val="20"/>
          <w:szCs w:val="20"/>
        </w:rPr>
        <w:t xml:space="preserve">he Voigt–Reuss–Hill averaging approach [22]. </w:t>
      </w:r>
    </w:p>
    <w:p w:rsidR="00B83644" w:rsidRDefault="0002316D">
      <w:pPr>
        <w:pStyle w:val="BodyText"/>
        <w:jc w:val="both"/>
      </w:pPr>
      <w:r>
        <w:rPr>
          <w:rFonts w:ascii="Arial" w:hAnsi="Arial"/>
          <w:color w:val="000000"/>
          <w:sz w:val="20"/>
          <w:szCs w:val="20"/>
        </w:rPr>
        <w:t xml:space="preserve">Mechanical balance was substantiated based on </w:t>
      </w:r>
      <w:r>
        <w:rPr>
          <w:rStyle w:val="StrongEmphasis"/>
          <w:rFonts w:ascii="Arial" w:hAnsi="Arial"/>
          <w:b w:val="0"/>
          <w:bCs w:val="0"/>
          <w:color w:val="000000"/>
          <w:sz w:val="20"/>
          <w:szCs w:val="20"/>
        </w:rPr>
        <w:t>Born’s stability criteria</w:t>
      </w:r>
      <w:r>
        <w:rPr>
          <w:rFonts w:ascii="Arial" w:hAnsi="Arial"/>
          <w:color w:val="000000"/>
          <w:sz w:val="20"/>
          <w:szCs w:val="20"/>
        </w:rPr>
        <w:t xml:space="preserve"> for cubic crystals:</w:t>
      </w:r>
    </w:p>
    <w:p w:rsidR="00B83644" w:rsidRDefault="0002316D">
      <w:pPr>
        <w:pStyle w:val="BodyText"/>
        <w:jc w:val="both"/>
        <w:rPr>
          <w:rFonts w:ascii="Arial" w:hAnsi="Arial"/>
          <w:sz w:val="20"/>
          <w:szCs w:val="20"/>
        </w:rPr>
      </w:pPr>
      <w:r>
        <w:rPr>
          <w:rFonts w:ascii="Arial" w:hAnsi="Arial"/>
          <w:color w:val="000000"/>
          <w:sz w:val="20"/>
          <w:szCs w:val="20"/>
        </w:rPr>
        <w:tab/>
      </w:r>
      <m:oMath>
        <m:sSub>
          <m:sSubPr>
            <m:ctrlPr>
              <w:rPr>
                <w:rFonts w:ascii="Cambria Math" w:hAnsi="Cambria Math"/>
              </w:rPr>
            </m:ctrlPr>
          </m:sSubPr>
          <m:e>
            <m:r>
              <w:rPr>
                <w:rFonts w:ascii="Cambria Math" w:hAnsi="Cambria Math"/>
              </w:rPr>
              <m:t>C</m:t>
            </m:r>
          </m:e>
          <m:sub>
            <m:r>
              <w:rPr>
                <w:rFonts w:ascii="Cambria Math" w:hAnsi="Cambria Math"/>
              </w:rPr>
              <m:t>11</m:t>
            </m:r>
          </m:sub>
        </m:sSub>
        <m:r>
          <w:rPr>
            <w:rFonts w:ascii="Cambria Math" w:hAnsi="Cambria Math"/>
          </w:rPr>
          <m:t>&gt;0;</m:t>
        </m:r>
        <m:sSub>
          <m:sSubPr>
            <m:ctrlPr>
              <w:rPr>
                <w:rFonts w:ascii="Cambria Math" w:hAnsi="Cambria Math"/>
              </w:rPr>
            </m:ctrlPr>
          </m:sSubPr>
          <m:e>
            <m:r>
              <w:rPr>
                <w:rFonts w:ascii="Cambria Math" w:hAnsi="Cambria Math"/>
              </w:rPr>
              <m:t>C</m:t>
            </m:r>
          </m:e>
          <m:sub>
            <m:r>
              <w:rPr>
                <w:rFonts w:ascii="Cambria Math" w:hAnsi="Cambria Math"/>
              </w:rPr>
              <m:t>44</m:t>
            </m:r>
          </m:sub>
        </m:sSub>
        <m:r>
          <w:rPr>
            <w:rFonts w:ascii="Cambria Math" w:hAnsi="Cambria Math"/>
          </w:rPr>
          <m:t>&gt;0;</m:t>
        </m:r>
        <m:sSub>
          <m:sSubPr>
            <m:ctrlPr>
              <w:rPr>
                <w:rFonts w:ascii="Cambria Math" w:hAnsi="Cambria Math"/>
              </w:rPr>
            </m:ctrlPr>
          </m:sSubPr>
          <m:e>
            <m:r>
              <w:rPr>
                <w:rFonts w:ascii="Cambria Math" w:hAnsi="Cambria Math"/>
              </w:rPr>
              <m:t>C</m:t>
            </m:r>
          </m:e>
          <m:sub>
            <m:r>
              <w:rPr>
                <w:rFonts w:ascii="Cambria Math" w:hAnsi="Cambria Math"/>
              </w:rPr>
              <m:t>11</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12</m:t>
            </m:r>
          </m:sub>
        </m:sSub>
        <m:r>
          <w:rPr>
            <w:rFonts w:ascii="Cambria Math" w:hAnsi="Cambria Math"/>
          </w:rPr>
          <m:t>&gt;0;</m:t>
        </m:r>
        <m:sSub>
          <m:sSubPr>
            <m:ctrlPr>
              <w:rPr>
                <w:rFonts w:ascii="Cambria Math" w:hAnsi="Cambria Math"/>
              </w:rPr>
            </m:ctrlPr>
          </m:sSubPr>
          <m:e>
            <m:r>
              <w:rPr>
                <w:rFonts w:ascii="Cambria Math" w:hAnsi="Cambria Math"/>
              </w:rPr>
              <m:t>C</m:t>
            </m:r>
          </m:e>
          <m:sub>
            <m:r>
              <w:rPr>
                <w:rFonts w:ascii="Cambria Math" w:hAnsi="Cambria Math"/>
              </w:rPr>
              <m:t>11</m:t>
            </m:r>
          </m:sub>
        </m:sSub>
        <m:r>
          <w:rPr>
            <w:rFonts w:ascii="Cambria Math" w:hAnsi="Cambria Math"/>
          </w:rPr>
          <m:t>+2</m:t>
        </m:r>
        <m:sSub>
          <m:sSubPr>
            <m:ctrlPr>
              <w:rPr>
                <w:rFonts w:ascii="Cambria Math" w:hAnsi="Cambria Math"/>
              </w:rPr>
            </m:ctrlPr>
          </m:sSubPr>
          <m:e>
            <m:r>
              <w:rPr>
                <w:rFonts w:ascii="Cambria Math" w:hAnsi="Cambria Math"/>
              </w:rPr>
              <m:t>C</m:t>
            </m:r>
          </m:e>
          <m:sub>
            <m:r>
              <w:rPr>
                <w:rFonts w:ascii="Cambria Math" w:hAnsi="Cambria Math"/>
              </w:rPr>
              <m:t>12</m:t>
            </m:r>
          </m:sub>
        </m:sSub>
        <m:r>
          <w:rPr>
            <w:rFonts w:ascii="Cambria Math" w:hAnsi="Cambria Math"/>
          </w:rPr>
          <m:t>&gt;0</m:t>
        </m:r>
      </m:oMath>
      <w:r>
        <w:rPr>
          <w:rFonts w:ascii="Arial" w:hAnsi="Arial"/>
          <w:color w:val="000000"/>
          <w:sz w:val="20"/>
          <w:szCs w:val="20"/>
        </w:rPr>
        <w:t xml:space="preserve">    (1)</w:t>
      </w:r>
    </w:p>
    <w:p w:rsidR="00B83644" w:rsidRDefault="0002316D">
      <w:pPr>
        <w:pStyle w:val="BodyText"/>
        <w:jc w:val="both"/>
        <w:rPr>
          <w:rFonts w:ascii="Arial" w:hAnsi="Arial"/>
          <w:sz w:val="20"/>
          <w:szCs w:val="20"/>
        </w:rPr>
      </w:pPr>
      <w:r>
        <w:rPr>
          <w:rFonts w:ascii="Arial" w:hAnsi="Arial"/>
          <w:color w:val="000000"/>
          <w:sz w:val="20"/>
          <w:szCs w:val="20"/>
        </w:rPr>
        <w:t>The thermodynamic characteristics, including Debye temperature (Θ</w:t>
      </w:r>
      <w:r>
        <w:rPr>
          <w:rFonts w:ascii="Arial" w:hAnsi="Arial"/>
          <w:color w:val="000000"/>
          <w:sz w:val="20"/>
          <w:szCs w:val="20"/>
          <w:vertAlign w:val="subscript"/>
        </w:rPr>
        <w:t>D</w:t>
      </w:r>
      <w:r>
        <w:rPr>
          <w:rFonts w:ascii="Arial" w:hAnsi="Arial"/>
          <w:color w:val="000000"/>
          <w:sz w:val="20"/>
          <w:szCs w:val="20"/>
        </w:rPr>
        <w:t>), sp</w:t>
      </w:r>
      <w:r>
        <w:rPr>
          <w:rFonts w:ascii="Arial" w:hAnsi="Arial"/>
          <w:color w:val="000000"/>
          <w:sz w:val="20"/>
          <w:szCs w:val="20"/>
        </w:rPr>
        <w:t>ecific heat (C</w:t>
      </w:r>
      <w:r>
        <w:rPr>
          <w:rFonts w:ascii="Arial" w:hAnsi="Arial"/>
          <w:color w:val="000000"/>
          <w:sz w:val="20"/>
          <w:szCs w:val="20"/>
          <w:vertAlign w:val="subscript"/>
        </w:rPr>
        <w:t>v</w:t>
      </w:r>
      <w:r>
        <w:rPr>
          <w:rFonts w:ascii="Arial" w:hAnsi="Arial"/>
          <w:color w:val="000000"/>
          <w:sz w:val="20"/>
          <w:szCs w:val="20"/>
        </w:rPr>
        <w:t>), and entropy (S), were computed using the quasi-harmonic Debye model as implanted in the GIBBS2 algorithm [23]. The model examined the vulnerability the dependence of vibrational frequencies on volume, enabling the investigation of tempera</w:t>
      </w:r>
      <w:r>
        <w:rPr>
          <w:rFonts w:ascii="Arial" w:hAnsi="Arial"/>
          <w:color w:val="000000"/>
          <w:sz w:val="20"/>
          <w:szCs w:val="20"/>
        </w:rPr>
        <w:t>ture-dependent properties under dissimilar pressures.</w:t>
      </w:r>
    </w:p>
    <w:p w:rsidR="00B83644" w:rsidRDefault="0002316D">
      <w:pPr>
        <w:pStyle w:val="BodyText"/>
        <w:jc w:val="both"/>
        <w:rPr>
          <w:rFonts w:ascii="Arial" w:hAnsi="Arial"/>
          <w:sz w:val="20"/>
          <w:szCs w:val="20"/>
        </w:rPr>
      </w:pPr>
      <w:r>
        <w:rPr>
          <w:rFonts w:ascii="Arial" w:hAnsi="Arial"/>
          <w:color w:val="000000"/>
          <w:sz w:val="20"/>
          <w:szCs w:val="20"/>
        </w:rPr>
        <w:t>The Debye temperature (Θ</w:t>
      </w:r>
      <w:r>
        <w:rPr>
          <w:rFonts w:ascii="Arial" w:hAnsi="Arial"/>
          <w:color w:val="000000"/>
          <w:sz w:val="20"/>
          <w:szCs w:val="20"/>
          <w:vertAlign w:val="subscript"/>
        </w:rPr>
        <w:t>D</w:t>
      </w:r>
      <w:r>
        <w:rPr>
          <w:rFonts w:ascii="Arial" w:hAnsi="Arial"/>
          <w:color w:val="000000"/>
          <w:sz w:val="20"/>
          <w:szCs w:val="20"/>
        </w:rPr>
        <w:t>) was simulated from the average sound velocity, which is predictable upon elastic moduli, as follows:</w:t>
      </w:r>
    </w:p>
    <w:p w:rsidR="00B83644" w:rsidRDefault="00B83644">
      <w:pPr>
        <w:pStyle w:val="BodyText"/>
        <w:jc w:val="both"/>
        <w:rPr>
          <w:rFonts w:ascii="Arial" w:hAnsi="Arial"/>
          <w:sz w:val="20"/>
          <w:szCs w:val="20"/>
        </w:rPr>
      </w:pPr>
    </w:p>
    <w:p w:rsidR="00B83644" w:rsidRDefault="0002316D">
      <w:pPr>
        <w:pStyle w:val="BodyText"/>
        <w:jc w:val="both"/>
        <w:rPr>
          <w:rFonts w:ascii="Arial" w:hAnsi="Arial"/>
          <w:sz w:val="20"/>
          <w:szCs w:val="20"/>
        </w:rPr>
      </w:pPr>
      <w:r>
        <w:rPr>
          <w:rFonts w:ascii="Arial" w:hAnsi="Arial"/>
          <w:color w:val="000000"/>
          <w:sz w:val="20"/>
          <w:szCs w:val="20"/>
        </w:rPr>
        <w:tab/>
      </w:r>
      <m:oMath>
        <m:sSub>
          <m:sSubPr>
            <m:ctrlPr>
              <w:rPr>
                <w:rFonts w:ascii="Cambria Math" w:hAnsi="Cambria Math"/>
              </w:rPr>
            </m:ctrlPr>
          </m:sSubPr>
          <m:e>
            <m:r>
              <w:rPr>
                <w:rFonts w:ascii="Cambria Math" w:hAnsi="Cambria Math"/>
              </w:rPr>
              <m:t>Θ</m:t>
            </m:r>
          </m:e>
          <m:sub>
            <m:r>
              <w:rPr>
                <w:rFonts w:ascii="Cambria Math" w:hAnsi="Cambria Math"/>
              </w:rPr>
              <m:t>D</m:t>
            </m:r>
          </m:sub>
        </m:sSub>
        <m:r>
          <w:rPr>
            <w:rFonts w:ascii="Cambria Math" w:hAnsi="Cambria Math"/>
          </w:rPr>
          <m:t>=</m:t>
        </m:r>
        <m:f>
          <m:fPr>
            <m:ctrlPr>
              <w:rPr>
                <w:rFonts w:ascii="Cambria Math" w:hAnsi="Cambria Math"/>
              </w:rPr>
            </m:ctrlPr>
          </m:fPr>
          <m:num>
            <m:r>
              <w:rPr>
                <w:rFonts w:ascii="Cambria Math" w:hAnsi="Cambria Math"/>
              </w:rPr>
              <m:t>h</m:t>
            </m:r>
          </m:num>
          <m:den>
            <m:sSub>
              <m:sSubPr>
                <m:ctrlPr>
                  <w:rPr>
                    <w:rFonts w:ascii="Cambria Math" w:hAnsi="Cambria Math"/>
                  </w:rPr>
                </m:ctrlPr>
              </m:sSubPr>
              <m:e>
                <m:r>
                  <w:rPr>
                    <w:rFonts w:ascii="Cambria Math" w:hAnsi="Cambria Math"/>
                  </w:rPr>
                  <m:t>K</m:t>
                </m:r>
              </m:e>
              <m:sub>
                <m:r>
                  <w:rPr>
                    <w:rFonts w:ascii="Cambria Math" w:hAnsi="Cambria Math"/>
                  </w:rPr>
                  <m:t>B</m:t>
                </m:r>
              </m:sub>
            </m:sSub>
          </m:den>
        </m:f>
        <m:sSup>
          <m:sSupPr>
            <m:ctrlPr>
              <w:rPr>
                <w:rFonts w:ascii="Cambria Math" w:hAnsi="Cambria Math"/>
              </w:rPr>
            </m:ctrlPr>
          </m:sSupPr>
          <m:e>
            <m:d>
              <m:dPr>
                <m:ctrlPr>
                  <w:rPr>
                    <w:rFonts w:ascii="Cambria Math" w:hAnsi="Cambria Math"/>
                  </w:rPr>
                </m:ctrlPr>
              </m:dPr>
              <m:e>
                <m:f>
                  <m:fPr>
                    <m:ctrlPr>
                      <w:rPr>
                        <w:rFonts w:ascii="Cambria Math" w:hAnsi="Cambria Math"/>
                      </w:rPr>
                    </m:ctrlPr>
                  </m:fPr>
                  <m:num>
                    <m:r>
                      <w:rPr>
                        <w:rFonts w:ascii="Cambria Math" w:hAnsi="Cambria Math"/>
                      </w:rPr>
                      <m:t>3</m:t>
                    </m:r>
                    <m:r>
                      <w:rPr>
                        <w:rFonts w:ascii="Cambria Math" w:hAnsi="Cambria Math"/>
                      </w:rPr>
                      <m:t>n</m:t>
                    </m:r>
                  </m:num>
                  <m:den>
                    <m:r>
                      <w:rPr>
                        <w:rFonts w:ascii="Cambria Math" w:hAnsi="Cambria Math"/>
                      </w:rPr>
                      <m:t>4</m:t>
                    </m:r>
                    <m:r>
                      <w:rPr>
                        <w:rFonts w:ascii="Cambria Math" w:hAnsi="Cambria Math"/>
                      </w:rPr>
                      <m:t>πV</m:t>
                    </m:r>
                  </m:den>
                </m:f>
              </m:e>
            </m:d>
          </m:e>
          <m:sup>
            <m:f>
              <m:fPr>
                <m:type m:val="lin"/>
                <m:ctrlPr>
                  <w:rPr>
                    <w:rFonts w:ascii="Cambria Math" w:hAnsi="Cambria Math"/>
                  </w:rPr>
                </m:ctrlPr>
              </m:fPr>
              <m:num>
                <m:r>
                  <w:rPr>
                    <w:rFonts w:ascii="Cambria Math" w:hAnsi="Cambria Math"/>
                  </w:rPr>
                  <m:t>1</m:t>
                </m:r>
              </m:num>
              <m:den>
                <m:r>
                  <w:rPr>
                    <w:rFonts w:ascii="Cambria Math" w:hAnsi="Cambria Math"/>
                  </w:rPr>
                  <m:t>3</m:t>
                </m:r>
              </m:den>
            </m:f>
          </m:sup>
        </m:sSup>
        <m:sSub>
          <m:sSubPr>
            <m:ctrlPr>
              <w:rPr>
                <w:rFonts w:ascii="Cambria Math" w:hAnsi="Cambria Math"/>
              </w:rPr>
            </m:ctrlPr>
          </m:sSubPr>
          <m:e>
            <m:r>
              <w:rPr>
                <w:rFonts w:ascii="Cambria Math" w:hAnsi="Cambria Math"/>
              </w:rPr>
              <m:t>ν</m:t>
            </m:r>
          </m:e>
          <m:sub>
            <m:r>
              <w:rPr>
                <w:rFonts w:ascii="Cambria Math" w:hAnsi="Cambria Math"/>
              </w:rPr>
              <m:t>m</m:t>
            </m:r>
          </m:sub>
        </m:sSub>
      </m:oMath>
      <w:r>
        <w:rPr>
          <w:rFonts w:ascii="Arial" w:hAnsi="Arial"/>
          <w:color w:val="000000"/>
          <w:sz w:val="20"/>
          <w:szCs w:val="20"/>
        </w:rPr>
        <w:t xml:space="preserve">      </w:t>
      </w:r>
      <w:r>
        <w:rPr>
          <w:rFonts w:ascii="Arial" w:hAnsi="Arial"/>
          <w:color w:val="000000"/>
          <w:sz w:val="20"/>
          <w:szCs w:val="20"/>
        </w:rPr>
        <w:tab/>
        <w:t xml:space="preserve">    </w:t>
      </w:r>
      <w:r>
        <w:rPr>
          <w:rFonts w:ascii="Arial" w:hAnsi="Arial"/>
          <w:color w:val="000000"/>
          <w:sz w:val="20"/>
          <w:szCs w:val="20"/>
        </w:rPr>
        <w:tab/>
        <w:t>(2)</w:t>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r>
        <w:rPr>
          <w:rFonts w:ascii="Arial" w:hAnsi="Arial"/>
          <w:color w:val="000000"/>
          <w:sz w:val="20"/>
          <w:szCs w:val="20"/>
        </w:rPr>
        <w:tab/>
      </w:r>
    </w:p>
    <w:p w:rsidR="00B83644" w:rsidRDefault="0002316D">
      <w:pPr>
        <w:pStyle w:val="BodyText"/>
        <w:jc w:val="both"/>
        <w:rPr>
          <w:rFonts w:ascii="Arial" w:hAnsi="Arial"/>
          <w:sz w:val="20"/>
          <w:szCs w:val="20"/>
        </w:rPr>
      </w:pPr>
      <w:r>
        <w:rPr>
          <w:rFonts w:ascii="Arial" w:hAnsi="Arial"/>
          <w:color w:val="000000"/>
          <w:sz w:val="20"/>
          <w:szCs w:val="20"/>
        </w:rPr>
        <w:t>In equation (1), h represen</w:t>
      </w:r>
      <w:r>
        <w:rPr>
          <w:rFonts w:ascii="Arial" w:hAnsi="Arial"/>
          <w:color w:val="000000"/>
          <w:sz w:val="20"/>
          <w:szCs w:val="20"/>
        </w:rPr>
        <w:t>ts Planck’s constant, k</w:t>
      </w:r>
      <w:r>
        <w:rPr>
          <w:rFonts w:ascii="Arial" w:hAnsi="Arial"/>
          <w:color w:val="000000"/>
          <w:sz w:val="20"/>
          <w:szCs w:val="20"/>
          <w:vertAlign w:val="subscript"/>
        </w:rPr>
        <w:t>B</w:t>
      </w:r>
      <w:r>
        <w:rPr>
          <w:rFonts w:ascii="Arial" w:hAnsi="Arial"/>
          <w:color w:val="000000"/>
          <w:sz w:val="20"/>
          <w:szCs w:val="20"/>
        </w:rPr>
        <w:t xml:space="preserve"> denotes Boltzmann’s parameter, n signifies the number of atoms per formula unit, V</w:t>
      </w:r>
      <w:r>
        <w:rPr>
          <w:rFonts w:ascii="Arial" w:hAnsi="Arial"/>
          <w:color w:val="000000"/>
          <w:sz w:val="20"/>
          <w:szCs w:val="20"/>
          <w:vertAlign w:val="subscript"/>
        </w:rPr>
        <w:t>m</w:t>
      </w:r>
      <w:r>
        <w:rPr>
          <w:rFonts w:ascii="Arial" w:hAnsi="Arial"/>
          <w:color w:val="000000"/>
          <w:sz w:val="20"/>
          <w:szCs w:val="20"/>
        </w:rPr>
        <w:t xml:space="preserve"> marks the atom volume, and ⱱ</w:t>
      </w:r>
      <w:r>
        <w:rPr>
          <w:rFonts w:ascii="Arial" w:hAnsi="Arial"/>
          <w:color w:val="000000"/>
          <w:sz w:val="20"/>
          <w:szCs w:val="20"/>
          <w:vertAlign w:val="subscript"/>
        </w:rPr>
        <w:t>m</w:t>
      </w:r>
      <w:r>
        <w:rPr>
          <w:rFonts w:ascii="Arial" w:hAnsi="Arial"/>
          <w:color w:val="000000"/>
          <w:sz w:val="20"/>
          <w:szCs w:val="20"/>
        </w:rPr>
        <w:t xml:space="preserve"> denote the mean sound velocity derived from longitudinal and transverse elastic wave velocities.</w:t>
      </w:r>
    </w:p>
    <w:p w:rsidR="00B83644" w:rsidRDefault="0002316D">
      <w:pPr>
        <w:pStyle w:val="BodyText"/>
        <w:jc w:val="both"/>
        <w:rPr>
          <w:rFonts w:ascii="Arial" w:hAnsi="Arial"/>
          <w:sz w:val="20"/>
          <w:szCs w:val="20"/>
        </w:rPr>
      </w:pPr>
      <w:r>
        <w:rPr>
          <w:rFonts w:ascii="Arial" w:hAnsi="Arial"/>
          <w:color w:val="000000"/>
          <w:sz w:val="20"/>
          <w:szCs w:val="20"/>
        </w:rPr>
        <w:t>Convergence assessme</w:t>
      </w:r>
      <w:r>
        <w:rPr>
          <w:rFonts w:ascii="Arial" w:hAnsi="Arial"/>
          <w:color w:val="000000"/>
          <w:sz w:val="20"/>
          <w:szCs w:val="20"/>
        </w:rPr>
        <w:t>nt was carry-out to verify numerical accuracy about plane-wave cut-off energy and k-point mesh density. Energy variation below 1meV/atom were considered acceptable for convergence. Additionally, all findings were ratified using DFT code calculations docume</w:t>
      </w:r>
      <w:r>
        <w:rPr>
          <w:rFonts w:ascii="Arial" w:hAnsi="Arial"/>
          <w:color w:val="000000"/>
          <w:sz w:val="20"/>
          <w:szCs w:val="20"/>
        </w:rPr>
        <w:t>nted in the literature to verify consistency and reliableness.</w:t>
      </w:r>
    </w:p>
    <w:p w:rsidR="00B83644" w:rsidRDefault="0002316D">
      <w:pPr>
        <w:pStyle w:val="BodyText"/>
        <w:jc w:val="both"/>
        <w:rPr>
          <w:rFonts w:ascii="Arial" w:hAnsi="Arial"/>
          <w:sz w:val="20"/>
          <w:szCs w:val="20"/>
        </w:rPr>
      </w:pPr>
      <w:r>
        <w:rPr>
          <w:rFonts w:ascii="Arial" w:hAnsi="Arial"/>
          <w:color w:val="000000"/>
          <w:sz w:val="20"/>
          <w:szCs w:val="20"/>
        </w:rPr>
        <w:t>This meticulous approach offered a detailed account of the physical (structur</w:t>
      </w:r>
      <w:bookmarkStart w:id="0" w:name="_GoBack"/>
      <w:bookmarkEnd w:id="0"/>
      <w:r>
        <w:rPr>
          <w:rFonts w:ascii="Arial" w:hAnsi="Arial"/>
          <w:color w:val="000000"/>
          <w:sz w:val="20"/>
          <w:szCs w:val="20"/>
        </w:rPr>
        <w:t>al, mechanical, thermodynamic, and phonon) properties of the VRhTe and VRuSb compounds at the atomic level.</w:t>
      </w:r>
    </w:p>
    <w:p w:rsidR="00B83644" w:rsidRDefault="0002316D">
      <w:pPr>
        <w:pStyle w:val="Heading3"/>
        <w:spacing w:line="276" w:lineRule="auto"/>
        <w:jc w:val="both"/>
      </w:pPr>
      <w:r>
        <w:rPr>
          <w:rStyle w:val="StrongEmphasis"/>
          <w:rFonts w:ascii="Arial" w:hAnsi="Arial"/>
          <w:b/>
          <w:color w:val="000000"/>
          <w:sz w:val="22"/>
          <w:szCs w:val="22"/>
        </w:rPr>
        <w:t>3. RESUL</w:t>
      </w:r>
      <w:r>
        <w:rPr>
          <w:rStyle w:val="StrongEmphasis"/>
          <w:rFonts w:ascii="Arial" w:hAnsi="Arial"/>
          <w:b/>
          <w:color w:val="000000"/>
          <w:sz w:val="22"/>
          <w:szCs w:val="22"/>
        </w:rPr>
        <w:t>TS AND DISCUSSION</w:t>
      </w:r>
    </w:p>
    <w:p w:rsidR="00B83644" w:rsidRDefault="0002316D">
      <w:pPr>
        <w:pStyle w:val="Heading4"/>
        <w:spacing w:line="276" w:lineRule="auto"/>
        <w:jc w:val="both"/>
      </w:pPr>
      <w:r>
        <w:rPr>
          <w:rStyle w:val="StrongEmphasis"/>
          <w:rFonts w:ascii="Arial" w:hAnsi="Arial"/>
          <w:b/>
          <w:color w:val="000000"/>
          <w:sz w:val="20"/>
          <w:szCs w:val="20"/>
        </w:rPr>
        <w:t>3.1 Structural Features</w:t>
      </w:r>
    </w:p>
    <w:p w:rsidR="00B83644" w:rsidRDefault="0002316D">
      <w:pPr>
        <w:pStyle w:val="BodyText"/>
        <w:jc w:val="both"/>
      </w:pPr>
      <w:r>
        <w:rPr>
          <w:rFonts w:ascii="Arial" w:hAnsi="Arial"/>
          <w:color w:val="000000"/>
          <w:sz w:val="20"/>
          <w:szCs w:val="20"/>
        </w:rPr>
        <w:t>The optimized lattice parameters and associated equilibrium energies for VRhTe and VRuSb were acquired following complete structural relaxation. The convergence of total energy with respect to the lattice parameter</w:t>
      </w:r>
      <w:r>
        <w:rPr>
          <w:rFonts w:ascii="Arial" w:hAnsi="Arial"/>
          <w:color w:val="000000"/>
          <w:sz w:val="20"/>
          <w:szCs w:val="20"/>
        </w:rPr>
        <w:t xml:space="preserve">s was established through a the fourth </w:t>
      </w:r>
      <w:r>
        <w:rPr>
          <w:rStyle w:val="StrongEmphasis"/>
          <w:rFonts w:ascii="Arial" w:hAnsi="Arial"/>
          <w:b w:val="0"/>
          <w:bCs w:val="0"/>
          <w:color w:val="000000"/>
          <w:sz w:val="20"/>
          <w:szCs w:val="20"/>
        </w:rPr>
        <w:t>Birch–Murnaghan equation of states</w:t>
      </w:r>
      <w:r>
        <w:rPr>
          <w:rFonts w:ascii="Arial" w:hAnsi="Arial"/>
          <w:color w:val="000000"/>
          <w:sz w:val="20"/>
          <w:szCs w:val="20"/>
        </w:rPr>
        <w:t xml:space="preserve"> fit.</w:t>
      </w: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02316D">
      <w:pPr>
        <w:pStyle w:val="BodyText"/>
        <w:jc w:val="both"/>
      </w:pPr>
      <w:r>
        <w:rPr>
          <w:rFonts w:ascii="Arial" w:hAnsi="Arial"/>
          <w:sz w:val="20"/>
          <w:szCs w:val="20"/>
        </w:rPr>
        <w:t>Table 1. The simulated equilibrium lattice contants(a.u), B</w:t>
      </w:r>
      <w:r>
        <w:rPr>
          <w:rFonts w:ascii="Arial" w:hAnsi="Arial"/>
          <w:color w:val="000000"/>
          <w:sz w:val="20"/>
          <w:szCs w:val="20"/>
        </w:rPr>
        <w:t>ulk coefficient/modulu(GPa), and Cohesive Energy(ev/atom)</w:t>
      </w:r>
    </w:p>
    <w:tbl>
      <w:tblPr>
        <w:tblW w:w="5000" w:type="pct"/>
        <w:tblLayout w:type="fixed"/>
        <w:tblCellMar>
          <w:left w:w="0" w:type="dxa"/>
          <w:right w:w="0" w:type="dxa"/>
        </w:tblCellMar>
        <w:tblLook w:val="04A0" w:firstRow="1" w:lastRow="0" w:firstColumn="1" w:lastColumn="0" w:noHBand="0" w:noVBand="1"/>
      </w:tblPr>
      <w:tblGrid>
        <w:gridCol w:w="1302"/>
        <w:gridCol w:w="2550"/>
        <w:gridCol w:w="3063"/>
        <w:gridCol w:w="2723"/>
      </w:tblGrid>
      <w:tr w:rsidR="00B83644">
        <w:tc>
          <w:tcPr>
            <w:tcW w:w="1301" w:type="dxa"/>
            <w:tcBorders>
              <w:top w:val="single" w:sz="6" w:space="0" w:color="000000"/>
              <w:bottom w:val="single" w:sz="6" w:space="0" w:color="000000"/>
            </w:tcBorders>
          </w:tcPr>
          <w:p w:rsidR="00B83644" w:rsidRDefault="0002316D">
            <w:pPr>
              <w:pStyle w:val="TableContents"/>
              <w:rPr>
                <w:rFonts w:ascii="Arial" w:hAnsi="Arial"/>
                <w:sz w:val="20"/>
                <w:szCs w:val="20"/>
              </w:rPr>
            </w:pPr>
            <w:r>
              <w:rPr>
                <w:rFonts w:ascii="Arial" w:hAnsi="Arial"/>
                <w:b/>
                <w:bCs/>
                <w:color w:val="000000"/>
                <w:sz w:val="20"/>
                <w:szCs w:val="20"/>
              </w:rPr>
              <w:t>Compound</w:t>
            </w:r>
          </w:p>
        </w:tc>
        <w:tc>
          <w:tcPr>
            <w:tcW w:w="2550" w:type="dxa"/>
            <w:tcBorders>
              <w:top w:val="single" w:sz="6" w:space="0" w:color="000000"/>
              <w:bottom w:val="single" w:sz="6" w:space="0" w:color="000000"/>
            </w:tcBorders>
          </w:tcPr>
          <w:p w:rsidR="00B83644" w:rsidRDefault="0002316D">
            <w:pPr>
              <w:pStyle w:val="TableContents"/>
              <w:rPr>
                <w:rFonts w:ascii="Arial" w:hAnsi="Arial"/>
                <w:sz w:val="20"/>
                <w:szCs w:val="20"/>
              </w:rPr>
            </w:pPr>
            <w:r>
              <w:rPr>
                <w:rFonts w:ascii="Arial" w:hAnsi="Arial"/>
                <w:b/>
                <w:bCs/>
                <w:color w:val="000000"/>
                <w:sz w:val="20"/>
                <w:szCs w:val="20"/>
              </w:rPr>
              <w:t>Lattice Parameters(a.u)</w:t>
            </w:r>
          </w:p>
        </w:tc>
        <w:tc>
          <w:tcPr>
            <w:tcW w:w="3063" w:type="dxa"/>
            <w:tcBorders>
              <w:top w:val="single" w:sz="6" w:space="0" w:color="000000"/>
              <w:bottom w:val="single" w:sz="6" w:space="0" w:color="000000"/>
            </w:tcBorders>
          </w:tcPr>
          <w:p w:rsidR="00B83644" w:rsidRDefault="0002316D">
            <w:pPr>
              <w:pStyle w:val="TableContents"/>
              <w:rPr>
                <w:rFonts w:ascii="Arial" w:hAnsi="Arial"/>
                <w:sz w:val="20"/>
                <w:szCs w:val="20"/>
              </w:rPr>
            </w:pPr>
            <w:r>
              <w:rPr>
                <w:rFonts w:ascii="Arial" w:hAnsi="Arial"/>
                <w:b/>
                <w:bCs/>
                <w:color w:val="000000"/>
                <w:sz w:val="20"/>
                <w:szCs w:val="20"/>
              </w:rPr>
              <w:t>Bulk</w:t>
            </w:r>
            <w:r>
              <w:rPr>
                <w:rFonts w:ascii="Arial" w:hAnsi="Arial"/>
                <w:b/>
                <w:bCs/>
                <w:color w:val="000000"/>
                <w:sz w:val="20"/>
                <w:szCs w:val="20"/>
              </w:rPr>
              <w:t xml:space="preserve"> coefficient/modulu(GPa)</w:t>
            </w:r>
          </w:p>
        </w:tc>
        <w:tc>
          <w:tcPr>
            <w:tcW w:w="2723" w:type="dxa"/>
            <w:tcBorders>
              <w:top w:val="single" w:sz="6" w:space="0" w:color="000000"/>
              <w:bottom w:val="single" w:sz="6" w:space="0" w:color="000000"/>
            </w:tcBorders>
          </w:tcPr>
          <w:p w:rsidR="00B83644" w:rsidRDefault="0002316D">
            <w:pPr>
              <w:pStyle w:val="TableContents"/>
              <w:rPr>
                <w:rFonts w:ascii="Arial" w:hAnsi="Arial"/>
                <w:sz w:val="20"/>
                <w:szCs w:val="20"/>
              </w:rPr>
            </w:pPr>
            <w:r>
              <w:rPr>
                <w:rFonts w:ascii="Arial" w:hAnsi="Arial"/>
                <w:b/>
                <w:bCs/>
                <w:color w:val="000000"/>
                <w:sz w:val="20"/>
                <w:szCs w:val="20"/>
              </w:rPr>
              <w:t>Cohesive Energy(ev/atom)</w:t>
            </w:r>
          </w:p>
        </w:tc>
      </w:tr>
      <w:tr w:rsidR="00B83644">
        <w:tc>
          <w:tcPr>
            <w:tcW w:w="1301" w:type="dxa"/>
          </w:tcPr>
          <w:p w:rsidR="00B83644" w:rsidRDefault="0002316D">
            <w:pPr>
              <w:pStyle w:val="TableContents"/>
              <w:rPr>
                <w:rFonts w:ascii="Arial" w:hAnsi="Arial"/>
                <w:sz w:val="20"/>
                <w:szCs w:val="20"/>
              </w:rPr>
            </w:pPr>
            <w:r>
              <w:rPr>
                <w:rFonts w:ascii="Arial" w:hAnsi="Arial"/>
                <w:color w:val="000000"/>
                <w:sz w:val="20"/>
                <w:szCs w:val="20"/>
              </w:rPr>
              <w:t>VRhTe</w:t>
            </w:r>
          </w:p>
        </w:tc>
        <w:tc>
          <w:tcPr>
            <w:tcW w:w="2550" w:type="dxa"/>
          </w:tcPr>
          <w:p w:rsidR="00B83644" w:rsidRDefault="0002316D">
            <w:pPr>
              <w:pStyle w:val="TableContents"/>
              <w:rPr>
                <w:rFonts w:ascii="Arial" w:hAnsi="Arial"/>
                <w:sz w:val="20"/>
                <w:szCs w:val="20"/>
              </w:rPr>
            </w:pPr>
            <w:r>
              <w:rPr>
                <w:rFonts w:ascii="Arial" w:hAnsi="Arial"/>
                <w:color w:val="000000"/>
                <w:sz w:val="20"/>
                <w:szCs w:val="20"/>
              </w:rPr>
              <w:t>11.61</w:t>
            </w:r>
          </w:p>
        </w:tc>
        <w:tc>
          <w:tcPr>
            <w:tcW w:w="3063" w:type="dxa"/>
          </w:tcPr>
          <w:p w:rsidR="00B83644" w:rsidRDefault="0002316D">
            <w:pPr>
              <w:pStyle w:val="TableContents"/>
              <w:rPr>
                <w:rFonts w:ascii="Arial" w:hAnsi="Arial"/>
                <w:sz w:val="20"/>
                <w:szCs w:val="20"/>
              </w:rPr>
            </w:pPr>
            <w:r>
              <w:rPr>
                <w:rFonts w:ascii="Arial" w:hAnsi="Arial"/>
                <w:color w:val="000000"/>
                <w:sz w:val="20"/>
                <w:szCs w:val="20"/>
              </w:rPr>
              <w:t>147.2</w:t>
            </w:r>
          </w:p>
        </w:tc>
        <w:tc>
          <w:tcPr>
            <w:tcW w:w="2723" w:type="dxa"/>
          </w:tcPr>
          <w:p w:rsidR="00B83644" w:rsidRDefault="0002316D">
            <w:pPr>
              <w:pStyle w:val="TableContents"/>
              <w:rPr>
                <w:rFonts w:ascii="Arial" w:hAnsi="Arial"/>
                <w:sz w:val="20"/>
                <w:szCs w:val="20"/>
              </w:rPr>
            </w:pPr>
            <w:r>
              <w:rPr>
                <w:rFonts w:ascii="Arial" w:hAnsi="Arial"/>
                <w:color w:val="000000"/>
                <w:sz w:val="20"/>
                <w:szCs w:val="20"/>
              </w:rPr>
              <w:t>-3.42</w:t>
            </w:r>
          </w:p>
        </w:tc>
      </w:tr>
      <w:tr w:rsidR="00B83644">
        <w:tc>
          <w:tcPr>
            <w:tcW w:w="1301" w:type="dxa"/>
            <w:tcBorders>
              <w:bottom w:val="single" w:sz="6" w:space="0" w:color="000000"/>
            </w:tcBorders>
          </w:tcPr>
          <w:p w:rsidR="00B83644" w:rsidRDefault="0002316D">
            <w:pPr>
              <w:pStyle w:val="TableContents"/>
              <w:rPr>
                <w:rFonts w:ascii="Arial" w:hAnsi="Arial"/>
                <w:sz w:val="20"/>
                <w:szCs w:val="20"/>
              </w:rPr>
            </w:pPr>
            <w:r>
              <w:rPr>
                <w:rFonts w:ascii="Arial" w:hAnsi="Arial"/>
                <w:color w:val="000000"/>
                <w:sz w:val="20"/>
                <w:szCs w:val="20"/>
              </w:rPr>
              <w:t>VRuSb</w:t>
            </w:r>
          </w:p>
        </w:tc>
        <w:tc>
          <w:tcPr>
            <w:tcW w:w="2550" w:type="dxa"/>
            <w:tcBorders>
              <w:bottom w:val="single" w:sz="6" w:space="0" w:color="000000"/>
            </w:tcBorders>
          </w:tcPr>
          <w:p w:rsidR="00B83644" w:rsidRDefault="0002316D">
            <w:pPr>
              <w:pStyle w:val="TableContents"/>
              <w:rPr>
                <w:rFonts w:ascii="Arial" w:hAnsi="Arial"/>
                <w:sz w:val="20"/>
                <w:szCs w:val="20"/>
              </w:rPr>
            </w:pPr>
            <w:r>
              <w:rPr>
                <w:rFonts w:ascii="Arial" w:hAnsi="Arial"/>
                <w:color w:val="000000"/>
                <w:sz w:val="20"/>
                <w:szCs w:val="20"/>
              </w:rPr>
              <w:t>11.41</w:t>
            </w:r>
          </w:p>
        </w:tc>
        <w:tc>
          <w:tcPr>
            <w:tcW w:w="3063" w:type="dxa"/>
            <w:tcBorders>
              <w:bottom w:val="single" w:sz="6" w:space="0" w:color="000000"/>
            </w:tcBorders>
          </w:tcPr>
          <w:p w:rsidR="00B83644" w:rsidRDefault="0002316D">
            <w:pPr>
              <w:pStyle w:val="TableContents"/>
              <w:rPr>
                <w:rFonts w:ascii="Arial" w:hAnsi="Arial"/>
                <w:sz w:val="20"/>
                <w:szCs w:val="20"/>
              </w:rPr>
            </w:pPr>
            <w:r>
              <w:rPr>
                <w:rFonts w:ascii="Arial" w:hAnsi="Arial"/>
                <w:color w:val="000000"/>
                <w:sz w:val="20"/>
                <w:szCs w:val="20"/>
              </w:rPr>
              <w:t>161.7</w:t>
            </w:r>
          </w:p>
        </w:tc>
        <w:tc>
          <w:tcPr>
            <w:tcW w:w="2723" w:type="dxa"/>
            <w:tcBorders>
              <w:bottom w:val="single" w:sz="6" w:space="0" w:color="000000"/>
            </w:tcBorders>
          </w:tcPr>
          <w:p w:rsidR="00B83644" w:rsidRDefault="0002316D">
            <w:pPr>
              <w:pStyle w:val="TableContents"/>
              <w:rPr>
                <w:rFonts w:ascii="Arial" w:hAnsi="Arial"/>
                <w:sz w:val="20"/>
                <w:szCs w:val="20"/>
              </w:rPr>
            </w:pPr>
            <w:r>
              <w:rPr>
                <w:rFonts w:ascii="Arial" w:hAnsi="Arial"/>
                <w:color w:val="000000"/>
                <w:sz w:val="20"/>
                <w:szCs w:val="20"/>
              </w:rPr>
              <w:t>-5.24</w:t>
            </w:r>
          </w:p>
        </w:tc>
      </w:tr>
    </w:tbl>
    <w:p w:rsidR="00B83644" w:rsidRDefault="00B83644">
      <w:pPr>
        <w:pStyle w:val="BodyText"/>
        <w:jc w:val="both"/>
        <w:rPr>
          <w:rFonts w:ascii="Arial" w:hAnsi="Arial"/>
          <w:sz w:val="20"/>
          <w:szCs w:val="20"/>
        </w:rPr>
      </w:pP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02316D">
      <w:pPr>
        <w:pStyle w:val="BodyText"/>
        <w:jc w:val="both"/>
        <w:rPr>
          <w:rFonts w:ascii="Arial" w:hAnsi="Arial"/>
        </w:rPr>
      </w:pPr>
      <w:r>
        <w:rPr>
          <w:rFonts w:ascii="Arial" w:hAnsi="Arial"/>
          <w:sz w:val="20"/>
          <w:szCs w:val="20"/>
        </w:rPr>
        <w:lastRenderedPageBreak/>
        <w:t xml:space="preserve">The atomic mass of Te(127.6 g/mol) resulted to the moderately larger lattice constant of VRhTe, over VRuSb, since Sb has lesser </w:t>
      </w:r>
      <w:r>
        <w:rPr>
          <w:rFonts w:ascii="Arial" w:hAnsi="Arial"/>
          <w:sz w:val="20"/>
          <w:szCs w:val="20"/>
        </w:rPr>
        <w:t>atomic mass (121.76 g/mol). Consequently, the bulk modulus decreases corresponding to the slight increase in lattice constant, indirectly that VRhTe is moderately more compressible than VRuSb.</w:t>
      </w: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02316D">
      <w:pPr>
        <w:pStyle w:val="BodyText"/>
        <w:jc w:val="both"/>
      </w:pPr>
      <w:r>
        <w:rPr>
          <w:noProof/>
        </w:rPr>
        <w:drawing>
          <wp:anchor distT="0" distB="0" distL="0" distR="0" simplePos="0" relativeHeight="2" behindDoc="0" locked="0" layoutInCell="0" allowOverlap="1">
            <wp:simplePos x="0" y="0"/>
            <wp:positionH relativeFrom="column">
              <wp:posOffset>3040380</wp:posOffset>
            </wp:positionH>
            <wp:positionV relativeFrom="paragraph">
              <wp:posOffset>169545</wp:posOffset>
            </wp:positionV>
            <wp:extent cx="2580005" cy="2444750"/>
            <wp:effectExtent l="0" t="0" r="0" b="0"/>
            <wp:wrapSquare wrapText="largest"/>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pic:cNvPicPr>
                      <a:picLocks noChangeAspect="1" noChangeArrowheads="1"/>
                    </pic:cNvPicPr>
                  </pic:nvPicPr>
                  <pic:blipFill>
                    <a:blip r:embed="rId12"/>
                    <a:srcRect l="20815" t="31558" r="37034" b="27223"/>
                    <a:stretch>
                      <a:fillRect/>
                    </a:stretch>
                  </pic:blipFill>
                  <pic:spPr bwMode="auto">
                    <a:xfrm>
                      <a:off x="0" y="0"/>
                      <a:ext cx="2580005" cy="2444750"/>
                    </a:xfrm>
                    <a:prstGeom prst="rect">
                      <a:avLst/>
                    </a:prstGeom>
                  </pic:spPr>
                </pic:pic>
              </a:graphicData>
            </a:graphic>
          </wp:anchor>
        </w:drawing>
      </w:r>
      <w:r>
        <w:rPr>
          <w:noProof/>
        </w:rPr>
        <w:drawing>
          <wp:anchor distT="0" distB="0" distL="0" distR="0" simplePos="0" relativeHeight="3" behindDoc="0" locked="0" layoutInCell="0" allowOverlap="1">
            <wp:simplePos x="0" y="0"/>
            <wp:positionH relativeFrom="column">
              <wp:posOffset>-19685</wp:posOffset>
            </wp:positionH>
            <wp:positionV relativeFrom="paragraph">
              <wp:posOffset>196215</wp:posOffset>
            </wp:positionV>
            <wp:extent cx="2714625" cy="2453005"/>
            <wp:effectExtent l="0" t="0" r="0" b="0"/>
            <wp:wrapSquare wrapText="largest"/>
            <wp:docPr id="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
                    <pic:cNvPicPr>
                      <a:picLocks noChangeAspect="1" noChangeArrowheads="1"/>
                    </pic:cNvPicPr>
                  </pic:nvPicPr>
                  <pic:blipFill>
                    <a:blip r:embed="rId13"/>
                    <a:srcRect l="19667" t="31273" r="35961" b="27389"/>
                    <a:stretch>
                      <a:fillRect/>
                    </a:stretch>
                  </pic:blipFill>
                  <pic:spPr bwMode="auto">
                    <a:xfrm>
                      <a:off x="0" y="0"/>
                      <a:ext cx="2714625" cy="2453005"/>
                    </a:xfrm>
                    <a:prstGeom prst="rect">
                      <a:avLst/>
                    </a:prstGeom>
                  </pic:spPr>
                </pic:pic>
              </a:graphicData>
            </a:graphic>
          </wp:anchor>
        </w:drawing>
      </w:r>
    </w:p>
    <w:p w:rsidR="00B83644" w:rsidRDefault="00B83644">
      <w:pPr>
        <w:pStyle w:val="BodyText"/>
        <w:jc w:val="both"/>
      </w:pPr>
    </w:p>
    <w:p w:rsidR="00B83644" w:rsidRDefault="0002316D">
      <w:pPr>
        <w:pStyle w:val="BodyText"/>
        <w:jc w:val="both"/>
      </w:pPr>
      <w:r>
        <w:tab/>
      </w:r>
      <w:r>
        <w:tab/>
      </w: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right"/>
        <w:rPr>
          <w:rFonts w:ascii="Arial" w:hAnsi="Arial"/>
        </w:rPr>
      </w:pPr>
    </w:p>
    <w:p w:rsidR="00B83644" w:rsidRDefault="0002316D">
      <w:pPr>
        <w:pStyle w:val="BodyText"/>
        <w:jc w:val="right"/>
        <w:rPr>
          <w:rFonts w:ascii="Arial" w:hAnsi="Arial"/>
        </w:rPr>
      </w:pPr>
      <w:r>
        <w:rPr>
          <w:rFonts w:ascii="Arial" w:hAnsi="Arial"/>
          <w:sz w:val="20"/>
          <w:szCs w:val="20"/>
        </w:rPr>
        <w:t>Fig.1a. Structural atomi</w:t>
      </w:r>
      <w:r>
        <w:rPr>
          <w:rFonts w:ascii="Arial" w:hAnsi="Arial"/>
          <w:sz w:val="20"/>
          <w:szCs w:val="20"/>
        </w:rPr>
        <w:t>c positions  for VRhTe.              Fig.1b. Structural atomic positions for VRuSb</w:t>
      </w:r>
    </w:p>
    <w:p w:rsidR="00B83644" w:rsidRDefault="00B83644">
      <w:pPr>
        <w:pStyle w:val="BodyText"/>
        <w:jc w:val="right"/>
        <w:rPr>
          <w:rFonts w:ascii="Times New Roman" w:hAnsi="Times New Roman"/>
        </w:rPr>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02316D">
      <w:pPr>
        <w:pStyle w:val="BodyText"/>
        <w:jc w:val="both"/>
      </w:pPr>
      <w:r>
        <w:rPr>
          <w:noProof/>
        </w:rPr>
        <w:drawing>
          <wp:anchor distT="0" distB="0" distL="0" distR="0" simplePos="0" relativeHeight="7" behindDoc="0" locked="0" layoutInCell="0" allowOverlap="1" wp14:anchorId="742B326F">
            <wp:simplePos x="0" y="0"/>
            <wp:positionH relativeFrom="column">
              <wp:posOffset>1489075</wp:posOffset>
            </wp:positionH>
            <wp:positionV relativeFrom="paragraph">
              <wp:posOffset>-1132205</wp:posOffset>
            </wp:positionV>
            <wp:extent cx="2658110" cy="4953000"/>
            <wp:effectExtent l="624840" t="0" r="678180" b="0"/>
            <wp:wrapSquare wrapText="largest"/>
            <wp:docPr id="6" name="Image 1"/>
            <wp:cNvGraphicFramePr/>
            <a:graphic xmlns:a="http://schemas.openxmlformats.org/drawingml/2006/main">
              <a:graphicData uri="http://schemas.openxmlformats.org/drawingml/2006/picture">
                <pic:pic xmlns:pic="http://schemas.openxmlformats.org/drawingml/2006/picture">
                  <pic:nvPicPr>
                    <pic:cNvPr id="7" name="Image 1"/>
                    <pic:cNvPicPr/>
                  </pic:nvPicPr>
                  <pic:blipFill>
                    <a:blip r:embed="rId14"/>
                    <a:stretch/>
                  </pic:blipFill>
                  <pic:spPr>
                    <a:xfrm rot="5400000">
                      <a:off x="0" y="0"/>
                      <a:ext cx="2658240" cy="4952880"/>
                    </a:xfrm>
                    <a:prstGeom prst="rect">
                      <a:avLst/>
                    </a:prstGeom>
                    <a:ln w="0">
                      <a:noFill/>
                    </a:ln>
                  </pic:spPr>
                </pic:pic>
              </a:graphicData>
            </a:graphic>
          </wp:anchor>
        </w:drawing>
      </w: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jc w:val="both"/>
      </w:pPr>
    </w:p>
    <w:p w:rsidR="00B83644" w:rsidRDefault="00B83644">
      <w:pPr>
        <w:pStyle w:val="BodyText"/>
      </w:pPr>
    </w:p>
    <w:p w:rsidR="00B83644" w:rsidRDefault="00B83644">
      <w:pPr>
        <w:pStyle w:val="BodyText"/>
      </w:pPr>
    </w:p>
    <w:p w:rsidR="00B83644" w:rsidRDefault="00B83644">
      <w:pPr>
        <w:pStyle w:val="BodyText"/>
        <w:rPr>
          <w:rFonts w:ascii="Times New Roman" w:hAnsi="Times New Roman"/>
        </w:rPr>
      </w:pPr>
    </w:p>
    <w:p w:rsidR="00B83644" w:rsidRDefault="00B83644">
      <w:pPr>
        <w:pStyle w:val="BodyText"/>
        <w:rPr>
          <w:rFonts w:ascii="Times New Roman" w:hAnsi="Times New Roman"/>
        </w:rPr>
      </w:pPr>
    </w:p>
    <w:p w:rsidR="00B83644" w:rsidRDefault="00B83644">
      <w:pPr>
        <w:pStyle w:val="BodyText"/>
        <w:rPr>
          <w:rFonts w:ascii="Times New Roman" w:hAnsi="Times New Roman"/>
        </w:rPr>
      </w:pPr>
    </w:p>
    <w:p w:rsidR="00B83644" w:rsidRDefault="00B83644">
      <w:pPr>
        <w:pStyle w:val="BodyText"/>
        <w:rPr>
          <w:rFonts w:ascii="Times New Roman" w:hAnsi="Times New Roman"/>
        </w:rPr>
      </w:pPr>
    </w:p>
    <w:p w:rsidR="00B83644" w:rsidRDefault="0002316D">
      <w:pPr>
        <w:pStyle w:val="BodyText"/>
        <w:rPr>
          <w:rFonts w:ascii="Arial" w:hAnsi="Arial"/>
          <w:sz w:val="20"/>
          <w:szCs w:val="20"/>
        </w:rPr>
      </w:pPr>
      <w:r>
        <w:rPr>
          <w:rFonts w:ascii="Arial" w:hAnsi="Arial"/>
          <w:sz w:val="20"/>
          <w:szCs w:val="20"/>
        </w:rPr>
        <w:t xml:space="preserve">Fig. 2:  A chart of the relationship between energy(Ry), and lattice parameter(a.u), ferromagnetic(fm), and non-magnetic(nm) for; (a). VRhTe, and (b). </w:t>
      </w:r>
      <w:r>
        <w:rPr>
          <w:rFonts w:ascii="Arial" w:hAnsi="Arial"/>
          <w:sz w:val="20"/>
          <w:szCs w:val="20"/>
        </w:rPr>
        <w:t>VRuSb.</w:t>
      </w:r>
    </w:p>
    <w:p w:rsidR="00B83644" w:rsidRDefault="00B83644">
      <w:pPr>
        <w:pStyle w:val="BodyText"/>
        <w:jc w:val="both"/>
        <w:rPr>
          <w:rFonts w:ascii="Times New Roman" w:hAnsi="Times New Roman"/>
        </w:rPr>
      </w:pP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02316D">
      <w:pPr>
        <w:pStyle w:val="BodyText"/>
        <w:jc w:val="both"/>
        <w:rPr>
          <w:rFonts w:ascii="Arial" w:hAnsi="Arial"/>
          <w:sz w:val="20"/>
          <w:szCs w:val="20"/>
        </w:rPr>
      </w:pPr>
      <w:r>
        <w:rPr>
          <w:rFonts w:ascii="Arial" w:hAnsi="Arial"/>
          <w:color w:val="000000"/>
          <w:sz w:val="20"/>
          <w:szCs w:val="20"/>
        </w:rPr>
        <w:t>Both structures in fig. 1 sustained the cubic heusler consistency space group fm-3m with distinguish structural disfigurement in the time of optimization. The composite energy against volume curves showed clear average, subst</w:t>
      </w:r>
      <w:r>
        <w:rPr>
          <w:rFonts w:ascii="Arial" w:hAnsi="Arial"/>
          <w:color w:val="000000"/>
          <w:sz w:val="20"/>
          <w:szCs w:val="20"/>
        </w:rPr>
        <w:t>antiating the mechanical strength of both compounds at their appropriate equilibrium  volumes. Furthermore, in Fig.2 (a), ferromagnetic characteristic has more lower ground state energy, than the nonmagnetic features, which connote stability at fm. Moreove</w:t>
      </w:r>
      <w:r>
        <w:rPr>
          <w:rFonts w:ascii="Arial" w:hAnsi="Arial"/>
          <w:color w:val="000000"/>
          <w:sz w:val="20"/>
          <w:szCs w:val="20"/>
        </w:rPr>
        <w:t xml:space="preserve">r their complement Fig.2 (b) overlapped at both fm and nm state, revealed same ground state energy. </w:t>
      </w:r>
    </w:p>
    <w:p w:rsidR="00B83644" w:rsidRDefault="0002316D">
      <w:pPr>
        <w:pStyle w:val="BodyText"/>
        <w:jc w:val="both"/>
      </w:pPr>
      <w:r>
        <w:rPr>
          <w:rStyle w:val="StrongEmphasis"/>
          <w:rFonts w:ascii="Arial" w:hAnsi="Arial"/>
          <w:b w:val="0"/>
          <w:bCs w:val="0"/>
          <w:color w:val="000000"/>
          <w:sz w:val="20"/>
          <w:szCs w:val="20"/>
        </w:rPr>
        <w:t>Formation energies</w:t>
      </w:r>
      <w:r>
        <w:rPr>
          <w:rFonts w:ascii="Arial" w:hAnsi="Arial"/>
          <w:color w:val="000000"/>
          <w:sz w:val="20"/>
          <w:szCs w:val="20"/>
        </w:rPr>
        <w:t xml:space="preserve"> were negative in the computed outcome; agreeing to their thermodynamic balance: </w:t>
      </w:r>
      <w:r>
        <w:rPr>
          <w:rStyle w:val="StrongEmphasis"/>
          <w:rFonts w:ascii="Arial" w:hAnsi="Arial"/>
          <w:b w:val="0"/>
          <w:bCs w:val="0"/>
          <w:color w:val="000000"/>
          <w:sz w:val="20"/>
          <w:szCs w:val="20"/>
        </w:rPr>
        <w:t xml:space="preserve">ΔEₓ (VRhTe) = –3.42 eV/atom and ΔEₓ (VRuSb) = –5.24 eV/atom. </w:t>
      </w:r>
      <w:r>
        <w:rPr>
          <w:rFonts w:ascii="Arial" w:hAnsi="Arial"/>
          <w:color w:val="000000"/>
          <w:sz w:val="20"/>
          <w:szCs w:val="20"/>
        </w:rPr>
        <w:t>These outcome predict that both compounds can be synthesized under balance conditions without phase decomposition, making them optimistic candidates for practical application.</w:t>
      </w:r>
    </w:p>
    <w:p w:rsidR="00B83644" w:rsidRDefault="0002316D">
      <w:pPr>
        <w:pStyle w:val="Heading4"/>
        <w:spacing w:line="276" w:lineRule="auto"/>
        <w:jc w:val="both"/>
      </w:pPr>
      <w:r>
        <w:rPr>
          <w:rStyle w:val="StrongEmphasis"/>
          <w:rFonts w:ascii="Arial" w:hAnsi="Arial"/>
          <w:b/>
          <w:color w:val="000000"/>
          <w:sz w:val="20"/>
          <w:szCs w:val="20"/>
        </w:rPr>
        <w:t>3.2 Mechanical Prop</w:t>
      </w:r>
      <w:r>
        <w:rPr>
          <w:rStyle w:val="StrongEmphasis"/>
          <w:rFonts w:ascii="Arial" w:hAnsi="Arial"/>
          <w:b/>
          <w:color w:val="000000"/>
          <w:sz w:val="20"/>
          <w:szCs w:val="20"/>
        </w:rPr>
        <w:t>erties</w:t>
      </w:r>
    </w:p>
    <w:p w:rsidR="00B83644" w:rsidRDefault="0002316D">
      <w:pPr>
        <w:pStyle w:val="BodyText"/>
        <w:jc w:val="both"/>
      </w:pPr>
      <w:r>
        <w:rPr>
          <w:rFonts w:ascii="Arial" w:hAnsi="Arial"/>
          <w:color w:val="000000"/>
          <w:sz w:val="20"/>
          <w:szCs w:val="20"/>
        </w:rPr>
        <w:t xml:space="preserve">The </w:t>
      </w:r>
      <w:r>
        <w:rPr>
          <w:rStyle w:val="StrongEmphasis"/>
          <w:rFonts w:ascii="Arial" w:hAnsi="Arial"/>
          <w:b w:val="0"/>
          <w:bCs w:val="0"/>
          <w:color w:val="000000"/>
          <w:sz w:val="20"/>
          <w:szCs w:val="20"/>
        </w:rPr>
        <w:t>elastic features (C₁₁, C₁₂, and C₄₄)</w:t>
      </w:r>
      <w:r>
        <w:rPr>
          <w:rFonts w:ascii="Arial" w:hAnsi="Arial"/>
          <w:color w:val="000000"/>
          <w:sz w:val="20"/>
          <w:szCs w:val="20"/>
        </w:rPr>
        <w:t xml:space="preserve"> were simulated from the stress–strain correspondence and used to predict </w:t>
      </w:r>
      <w:r>
        <w:rPr>
          <w:rStyle w:val="StrongEmphasis"/>
          <w:rFonts w:ascii="Arial" w:hAnsi="Arial"/>
          <w:b w:val="0"/>
          <w:bCs w:val="0"/>
          <w:color w:val="000000"/>
          <w:sz w:val="20"/>
          <w:szCs w:val="20"/>
        </w:rPr>
        <w:t>mechanical stability</w:t>
      </w:r>
      <w:r>
        <w:rPr>
          <w:rFonts w:ascii="Arial" w:hAnsi="Arial"/>
          <w:color w:val="000000"/>
          <w:sz w:val="20"/>
          <w:szCs w:val="20"/>
        </w:rPr>
        <w:t xml:space="preserve"> in alignment to </w:t>
      </w:r>
      <w:r>
        <w:rPr>
          <w:rStyle w:val="StrongEmphasis"/>
          <w:rFonts w:ascii="Arial" w:hAnsi="Arial"/>
          <w:b w:val="0"/>
          <w:bCs w:val="0"/>
          <w:color w:val="000000"/>
          <w:sz w:val="20"/>
          <w:szCs w:val="20"/>
        </w:rPr>
        <w:t>Born’s criteria</w:t>
      </w:r>
      <w:r>
        <w:rPr>
          <w:rFonts w:ascii="Arial" w:hAnsi="Arial"/>
          <w:color w:val="000000"/>
          <w:sz w:val="20"/>
          <w:szCs w:val="20"/>
        </w:rPr>
        <w:t>. The computed elastic parameters(in GPa unit)  are summarized in table 2.</w:t>
      </w:r>
    </w:p>
    <w:p w:rsidR="00B83644" w:rsidRDefault="00B83644">
      <w:pPr>
        <w:pStyle w:val="BodyText"/>
        <w:jc w:val="both"/>
        <w:rPr>
          <w:rFonts w:ascii="Arial" w:hAnsi="Arial"/>
          <w:sz w:val="20"/>
          <w:szCs w:val="20"/>
        </w:rPr>
      </w:pPr>
    </w:p>
    <w:p w:rsidR="00B83644" w:rsidRDefault="00B83644">
      <w:pPr>
        <w:pStyle w:val="BodyText"/>
        <w:jc w:val="both"/>
        <w:rPr>
          <w:rFonts w:ascii="Arial" w:hAnsi="Arial"/>
          <w:sz w:val="20"/>
          <w:szCs w:val="20"/>
        </w:rPr>
      </w:pP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02316D">
      <w:pPr>
        <w:pStyle w:val="BodyText"/>
        <w:spacing w:line="240" w:lineRule="auto"/>
        <w:jc w:val="both"/>
        <w:rPr>
          <w:rFonts w:ascii="Arial" w:hAnsi="Arial"/>
          <w:sz w:val="20"/>
          <w:szCs w:val="20"/>
        </w:rPr>
      </w:pPr>
      <w:r>
        <w:rPr>
          <w:rFonts w:ascii="Arial" w:hAnsi="Arial"/>
          <w:color w:val="000000"/>
          <w:sz w:val="20"/>
          <w:szCs w:val="20"/>
        </w:rPr>
        <w:t>Table.2:</w:t>
      </w:r>
      <w:r>
        <w:rPr>
          <w:rFonts w:ascii="Arial" w:hAnsi="Arial"/>
          <w:b/>
          <w:bCs/>
          <w:color w:val="000000"/>
          <w:sz w:val="20"/>
          <w:szCs w:val="20"/>
        </w:rPr>
        <w:t xml:space="preserve"> </w:t>
      </w:r>
      <w:r>
        <w:rPr>
          <w:rFonts w:ascii="Arial" w:hAnsi="Arial"/>
          <w:color w:val="000000"/>
          <w:sz w:val="20"/>
          <w:szCs w:val="20"/>
        </w:rPr>
        <w:t>Elastic Constants (C</w:t>
      </w:r>
      <w:r>
        <w:rPr>
          <w:rFonts w:ascii="Arial" w:hAnsi="Arial"/>
          <w:color w:val="000000"/>
          <w:sz w:val="20"/>
          <w:szCs w:val="20"/>
          <w:vertAlign w:val="subscript"/>
        </w:rPr>
        <w:t xml:space="preserve">ij </w:t>
      </w:r>
      <w:r>
        <w:rPr>
          <w:rFonts w:ascii="Arial" w:hAnsi="Arial"/>
          <w:color w:val="000000"/>
          <w:sz w:val="20"/>
          <w:szCs w:val="20"/>
        </w:rPr>
        <w:t>in Gpa), Bulk modulus(B in GPa), Share modulus(G in GPa), Poisson ratio, Anisotropy factor(A), and Cauchy’s pressure(C</w:t>
      </w:r>
      <w:r>
        <w:rPr>
          <w:rFonts w:ascii="Arial" w:hAnsi="Arial"/>
          <w:color w:val="000000"/>
          <w:sz w:val="20"/>
          <w:szCs w:val="20"/>
          <w:vertAlign w:val="subscript"/>
        </w:rPr>
        <w:t>p</w:t>
      </w:r>
      <w:r>
        <w:rPr>
          <w:rFonts w:ascii="Arial" w:hAnsi="Arial"/>
          <w:color w:val="000000"/>
          <w:sz w:val="20"/>
          <w:szCs w:val="20"/>
        </w:rPr>
        <w:t xml:space="preserve">) </w:t>
      </w:r>
    </w:p>
    <w:tbl>
      <w:tblPr>
        <w:tblW w:w="8113" w:type="dxa"/>
        <w:tblLayout w:type="fixed"/>
        <w:tblCellMar>
          <w:left w:w="0" w:type="dxa"/>
          <w:right w:w="0" w:type="dxa"/>
        </w:tblCellMar>
        <w:tblLook w:val="04A0" w:firstRow="1" w:lastRow="0" w:firstColumn="1" w:lastColumn="0" w:noHBand="0" w:noVBand="1"/>
      </w:tblPr>
      <w:tblGrid>
        <w:gridCol w:w="1363"/>
        <w:gridCol w:w="675"/>
        <w:gridCol w:w="688"/>
        <w:gridCol w:w="736"/>
        <w:gridCol w:w="915"/>
        <w:gridCol w:w="835"/>
        <w:gridCol w:w="851"/>
        <w:gridCol w:w="688"/>
        <w:gridCol w:w="623"/>
        <w:gridCol w:w="739"/>
      </w:tblGrid>
      <w:tr w:rsidR="00B83644">
        <w:tc>
          <w:tcPr>
            <w:tcW w:w="1362" w:type="dxa"/>
            <w:tcBorders>
              <w:top w:val="single" w:sz="6" w:space="0" w:color="000000"/>
              <w:bottom w:val="single" w:sz="6" w:space="0" w:color="000000"/>
            </w:tcBorders>
            <w:vAlign w:val="center"/>
          </w:tcPr>
          <w:p w:rsidR="00B83644" w:rsidRDefault="0002316D">
            <w:pPr>
              <w:pStyle w:val="TableHeading"/>
              <w:jc w:val="left"/>
              <w:rPr>
                <w:rFonts w:ascii="Arial" w:hAnsi="Arial"/>
                <w:sz w:val="20"/>
                <w:szCs w:val="20"/>
              </w:rPr>
            </w:pPr>
            <w:r>
              <w:rPr>
                <w:rFonts w:ascii="Arial" w:hAnsi="Arial"/>
                <w:color w:val="000000"/>
                <w:sz w:val="20"/>
                <w:szCs w:val="20"/>
              </w:rPr>
              <w:t>Compound</w:t>
            </w:r>
          </w:p>
        </w:tc>
        <w:tc>
          <w:tcPr>
            <w:tcW w:w="675" w:type="dxa"/>
            <w:tcBorders>
              <w:top w:val="single" w:sz="6" w:space="0" w:color="000000"/>
              <w:bottom w:val="single" w:sz="6" w:space="0" w:color="000000"/>
            </w:tcBorders>
            <w:vAlign w:val="center"/>
          </w:tcPr>
          <w:p w:rsidR="00B83644" w:rsidRDefault="0002316D">
            <w:pPr>
              <w:pStyle w:val="TableHeading"/>
              <w:jc w:val="left"/>
              <w:rPr>
                <w:rFonts w:ascii="Arial" w:hAnsi="Arial"/>
                <w:sz w:val="20"/>
                <w:szCs w:val="20"/>
              </w:rPr>
            </w:pPr>
            <w:r>
              <w:rPr>
                <w:rFonts w:ascii="Arial" w:hAnsi="Arial"/>
                <w:color w:val="000000"/>
                <w:sz w:val="20"/>
                <w:szCs w:val="20"/>
              </w:rPr>
              <w:t>C₁₁ (GPa)</w:t>
            </w:r>
          </w:p>
        </w:tc>
        <w:tc>
          <w:tcPr>
            <w:tcW w:w="688" w:type="dxa"/>
            <w:tcBorders>
              <w:top w:val="single" w:sz="6" w:space="0" w:color="000000"/>
              <w:bottom w:val="single" w:sz="6" w:space="0" w:color="000000"/>
            </w:tcBorders>
            <w:vAlign w:val="center"/>
          </w:tcPr>
          <w:p w:rsidR="00B83644" w:rsidRDefault="0002316D">
            <w:pPr>
              <w:pStyle w:val="TableHeading"/>
              <w:jc w:val="left"/>
              <w:rPr>
                <w:rFonts w:ascii="Arial" w:hAnsi="Arial"/>
                <w:sz w:val="20"/>
                <w:szCs w:val="20"/>
              </w:rPr>
            </w:pPr>
            <w:r>
              <w:rPr>
                <w:rFonts w:ascii="Arial" w:hAnsi="Arial"/>
                <w:color w:val="000000"/>
                <w:sz w:val="20"/>
                <w:szCs w:val="20"/>
              </w:rPr>
              <w:t>C₁₂ (GPa)</w:t>
            </w:r>
          </w:p>
        </w:tc>
        <w:tc>
          <w:tcPr>
            <w:tcW w:w="736" w:type="dxa"/>
            <w:tcBorders>
              <w:top w:val="single" w:sz="6" w:space="0" w:color="000000"/>
              <w:bottom w:val="single" w:sz="6" w:space="0" w:color="000000"/>
            </w:tcBorders>
            <w:vAlign w:val="center"/>
          </w:tcPr>
          <w:p w:rsidR="00B83644" w:rsidRDefault="0002316D">
            <w:pPr>
              <w:pStyle w:val="TableHeading"/>
              <w:jc w:val="left"/>
              <w:rPr>
                <w:rFonts w:ascii="Arial" w:hAnsi="Arial"/>
                <w:sz w:val="20"/>
                <w:szCs w:val="20"/>
              </w:rPr>
            </w:pPr>
            <w:r>
              <w:rPr>
                <w:rFonts w:ascii="Arial" w:hAnsi="Arial"/>
                <w:color w:val="000000"/>
                <w:sz w:val="20"/>
                <w:szCs w:val="20"/>
              </w:rPr>
              <w:t>C₄₄ (GPa)</w:t>
            </w:r>
          </w:p>
        </w:tc>
        <w:tc>
          <w:tcPr>
            <w:tcW w:w="915" w:type="dxa"/>
            <w:tcBorders>
              <w:top w:val="single" w:sz="6" w:space="0" w:color="000000"/>
              <w:bottom w:val="single" w:sz="6" w:space="0" w:color="000000"/>
            </w:tcBorders>
            <w:vAlign w:val="center"/>
          </w:tcPr>
          <w:p w:rsidR="00B83644" w:rsidRDefault="0002316D">
            <w:pPr>
              <w:pStyle w:val="TableHeading"/>
              <w:jc w:val="left"/>
              <w:rPr>
                <w:rFonts w:ascii="Arial" w:hAnsi="Arial"/>
                <w:sz w:val="20"/>
                <w:szCs w:val="20"/>
              </w:rPr>
            </w:pPr>
            <w:r>
              <w:rPr>
                <w:rFonts w:ascii="Arial" w:hAnsi="Arial"/>
                <w:color w:val="000000"/>
                <w:sz w:val="20"/>
                <w:szCs w:val="20"/>
              </w:rPr>
              <w:t>B</w:t>
            </w:r>
          </w:p>
          <w:p w:rsidR="00B83644" w:rsidRDefault="0002316D">
            <w:pPr>
              <w:pStyle w:val="TableHeading"/>
              <w:jc w:val="left"/>
              <w:rPr>
                <w:rFonts w:ascii="Arial" w:hAnsi="Arial"/>
                <w:sz w:val="20"/>
                <w:szCs w:val="20"/>
              </w:rPr>
            </w:pPr>
            <w:r>
              <w:rPr>
                <w:rFonts w:ascii="Arial" w:hAnsi="Arial"/>
                <w:color w:val="000000"/>
                <w:sz w:val="20"/>
                <w:szCs w:val="20"/>
              </w:rPr>
              <w:t>(GPa)</w:t>
            </w:r>
          </w:p>
        </w:tc>
        <w:tc>
          <w:tcPr>
            <w:tcW w:w="835" w:type="dxa"/>
            <w:tcBorders>
              <w:top w:val="single" w:sz="6" w:space="0" w:color="000000"/>
              <w:bottom w:val="single" w:sz="6" w:space="0" w:color="000000"/>
            </w:tcBorders>
            <w:vAlign w:val="center"/>
          </w:tcPr>
          <w:p w:rsidR="00B83644" w:rsidRDefault="0002316D">
            <w:pPr>
              <w:pStyle w:val="TableHeading"/>
              <w:jc w:val="left"/>
              <w:rPr>
                <w:rFonts w:ascii="Arial" w:hAnsi="Arial"/>
                <w:sz w:val="20"/>
                <w:szCs w:val="20"/>
              </w:rPr>
            </w:pPr>
            <w:r>
              <w:rPr>
                <w:rFonts w:ascii="Arial" w:hAnsi="Arial"/>
                <w:color w:val="000000"/>
                <w:sz w:val="20"/>
                <w:szCs w:val="20"/>
              </w:rPr>
              <w:t>G</w:t>
            </w:r>
          </w:p>
          <w:p w:rsidR="00B83644" w:rsidRDefault="0002316D">
            <w:pPr>
              <w:pStyle w:val="TableHeading"/>
              <w:jc w:val="left"/>
              <w:rPr>
                <w:rFonts w:ascii="Arial" w:hAnsi="Arial"/>
                <w:sz w:val="20"/>
                <w:szCs w:val="20"/>
              </w:rPr>
            </w:pPr>
            <w:r>
              <w:rPr>
                <w:rFonts w:ascii="Arial" w:hAnsi="Arial"/>
                <w:color w:val="000000"/>
                <w:sz w:val="20"/>
                <w:szCs w:val="20"/>
              </w:rPr>
              <w:t>(GPa)</w:t>
            </w:r>
          </w:p>
        </w:tc>
        <w:tc>
          <w:tcPr>
            <w:tcW w:w="851" w:type="dxa"/>
            <w:tcBorders>
              <w:top w:val="single" w:sz="6" w:space="0" w:color="000000"/>
              <w:bottom w:val="single" w:sz="6" w:space="0" w:color="000000"/>
            </w:tcBorders>
            <w:vAlign w:val="center"/>
          </w:tcPr>
          <w:p w:rsidR="00B83644" w:rsidRDefault="0002316D">
            <w:pPr>
              <w:pStyle w:val="TableHeading"/>
              <w:jc w:val="left"/>
              <w:rPr>
                <w:rFonts w:ascii="Arial" w:hAnsi="Arial"/>
                <w:sz w:val="20"/>
                <w:szCs w:val="20"/>
              </w:rPr>
            </w:pPr>
            <w:r>
              <w:rPr>
                <w:rFonts w:ascii="Arial" w:hAnsi="Arial"/>
                <w:color w:val="000000"/>
                <w:sz w:val="20"/>
                <w:szCs w:val="20"/>
              </w:rPr>
              <w:t>B/G</w:t>
            </w:r>
          </w:p>
        </w:tc>
        <w:tc>
          <w:tcPr>
            <w:tcW w:w="688" w:type="dxa"/>
            <w:tcBorders>
              <w:top w:val="single" w:sz="6" w:space="0" w:color="000000"/>
              <w:bottom w:val="single" w:sz="6" w:space="0" w:color="000000"/>
            </w:tcBorders>
            <w:vAlign w:val="center"/>
          </w:tcPr>
          <w:p w:rsidR="00B83644" w:rsidRDefault="0002316D">
            <w:pPr>
              <w:pStyle w:val="TableHeading"/>
              <w:jc w:val="left"/>
            </w:pPr>
            <w:r>
              <w:rPr>
                <w:rFonts w:ascii="Arial" w:hAnsi="Arial"/>
                <w:color w:val="000000"/>
                <w:sz w:val="20"/>
                <w:szCs w:val="20"/>
              </w:rPr>
              <w:t xml:space="preserve"> </w:t>
            </w:r>
            <w:r>
              <w:rPr>
                <w:rStyle w:val="StrongEmphasis"/>
                <w:rFonts w:ascii="Arial" w:hAnsi="Arial"/>
                <w:b/>
                <w:bCs/>
                <w:color w:val="000000"/>
                <w:sz w:val="20"/>
                <w:szCs w:val="20"/>
              </w:rPr>
              <w:t>ⱱ</w:t>
            </w:r>
          </w:p>
        </w:tc>
        <w:tc>
          <w:tcPr>
            <w:tcW w:w="623" w:type="dxa"/>
            <w:tcBorders>
              <w:top w:val="single" w:sz="6" w:space="0" w:color="000000"/>
              <w:bottom w:val="single" w:sz="6" w:space="0" w:color="000000"/>
            </w:tcBorders>
            <w:vAlign w:val="center"/>
          </w:tcPr>
          <w:p w:rsidR="00B83644" w:rsidRDefault="0002316D">
            <w:pPr>
              <w:pStyle w:val="TableHeading"/>
              <w:jc w:val="left"/>
              <w:rPr>
                <w:rFonts w:ascii="Arial" w:hAnsi="Arial"/>
                <w:sz w:val="20"/>
                <w:szCs w:val="20"/>
              </w:rPr>
            </w:pPr>
            <w:r>
              <w:rPr>
                <w:rFonts w:ascii="Arial" w:hAnsi="Arial"/>
                <w:color w:val="000000"/>
                <w:sz w:val="20"/>
                <w:szCs w:val="20"/>
              </w:rPr>
              <w:t>A</w:t>
            </w:r>
          </w:p>
        </w:tc>
        <w:tc>
          <w:tcPr>
            <w:tcW w:w="739" w:type="dxa"/>
            <w:tcBorders>
              <w:top w:val="single" w:sz="6" w:space="0" w:color="000000"/>
              <w:bottom w:val="single" w:sz="6" w:space="0" w:color="000000"/>
            </w:tcBorders>
            <w:vAlign w:val="center"/>
          </w:tcPr>
          <w:p w:rsidR="00B83644" w:rsidRDefault="0002316D">
            <w:pPr>
              <w:pStyle w:val="TableHeading"/>
              <w:jc w:val="left"/>
              <w:rPr>
                <w:rFonts w:ascii="Arial" w:hAnsi="Arial"/>
                <w:sz w:val="20"/>
                <w:szCs w:val="20"/>
              </w:rPr>
            </w:pPr>
            <w:r>
              <w:rPr>
                <w:rFonts w:ascii="Arial" w:hAnsi="Arial"/>
                <w:color w:val="000000"/>
                <w:sz w:val="20"/>
                <w:szCs w:val="20"/>
              </w:rPr>
              <w:t>C</w:t>
            </w:r>
            <w:r>
              <w:rPr>
                <w:rFonts w:ascii="Arial" w:hAnsi="Arial"/>
                <w:color w:val="000000"/>
                <w:sz w:val="20"/>
                <w:szCs w:val="20"/>
                <w:vertAlign w:val="subscript"/>
              </w:rPr>
              <w:t>p</w:t>
            </w:r>
          </w:p>
        </w:tc>
      </w:tr>
      <w:tr w:rsidR="00B83644">
        <w:tc>
          <w:tcPr>
            <w:tcW w:w="1362" w:type="dxa"/>
            <w:vAlign w:val="center"/>
          </w:tcPr>
          <w:p w:rsidR="00B83644" w:rsidRDefault="0002316D">
            <w:pPr>
              <w:pStyle w:val="TableContents"/>
              <w:rPr>
                <w:rFonts w:ascii="Arial" w:hAnsi="Arial"/>
                <w:sz w:val="20"/>
                <w:szCs w:val="20"/>
              </w:rPr>
            </w:pPr>
            <w:r>
              <w:rPr>
                <w:rFonts w:ascii="Arial" w:hAnsi="Arial"/>
                <w:color w:val="000000"/>
                <w:sz w:val="20"/>
                <w:szCs w:val="20"/>
              </w:rPr>
              <w:t>VRhTe</w:t>
            </w:r>
          </w:p>
        </w:tc>
        <w:tc>
          <w:tcPr>
            <w:tcW w:w="675" w:type="dxa"/>
            <w:vAlign w:val="center"/>
          </w:tcPr>
          <w:p w:rsidR="00B83644" w:rsidRDefault="0002316D">
            <w:pPr>
              <w:pStyle w:val="TableContents"/>
              <w:rPr>
                <w:rFonts w:ascii="Arial" w:hAnsi="Arial"/>
                <w:sz w:val="20"/>
                <w:szCs w:val="20"/>
              </w:rPr>
            </w:pPr>
            <w:r>
              <w:rPr>
                <w:rFonts w:ascii="Arial" w:hAnsi="Arial"/>
                <w:color w:val="000000"/>
                <w:sz w:val="20"/>
                <w:szCs w:val="20"/>
              </w:rPr>
              <w:t>130.06</w:t>
            </w:r>
          </w:p>
        </w:tc>
        <w:tc>
          <w:tcPr>
            <w:tcW w:w="688" w:type="dxa"/>
            <w:vAlign w:val="center"/>
          </w:tcPr>
          <w:p w:rsidR="00B83644" w:rsidRDefault="0002316D">
            <w:pPr>
              <w:pStyle w:val="TableContents"/>
              <w:rPr>
                <w:rFonts w:ascii="Arial" w:hAnsi="Arial"/>
                <w:sz w:val="20"/>
                <w:szCs w:val="20"/>
              </w:rPr>
            </w:pPr>
            <w:r>
              <w:rPr>
                <w:rFonts w:ascii="Arial" w:hAnsi="Arial"/>
                <w:color w:val="000000"/>
                <w:sz w:val="20"/>
                <w:szCs w:val="20"/>
              </w:rPr>
              <w:t>105.75</w:t>
            </w:r>
          </w:p>
        </w:tc>
        <w:tc>
          <w:tcPr>
            <w:tcW w:w="736" w:type="dxa"/>
            <w:vAlign w:val="center"/>
          </w:tcPr>
          <w:p w:rsidR="00B83644" w:rsidRDefault="0002316D">
            <w:pPr>
              <w:pStyle w:val="TableContents"/>
              <w:rPr>
                <w:rFonts w:ascii="Arial" w:hAnsi="Arial"/>
                <w:sz w:val="20"/>
                <w:szCs w:val="20"/>
              </w:rPr>
            </w:pPr>
            <w:r>
              <w:rPr>
                <w:rFonts w:ascii="Arial" w:hAnsi="Arial"/>
                <w:color w:val="000000"/>
                <w:sz w:val="20"/>
                <w:szCs w:val="20"/>
              </w:rPr>
              <w:t>7.78</w:t>
            </w:r>
          </w:p>
        </w:tc>
        <w:tc>
          <w:tcPr>
            <w:tcW w:w="915" w:type="dxa"/>
            <w:vAlign w:val="center"/>
          </w:tcPr>
          <w:p w:rsidR="00B83644" w:rsidRDefault="0002316D">
            <w:pPr>
              <w:pStyle w:val="TableContents"/>
              <w:rPr>
                <w:rFonts w:ascii="Arial" w:hAnsi="Arial"/>
                <w:sz w:val="20"/>
                <w:szCs w:val="20"/>
              </w:rPr>
            </w:pPr>
            <w:r>
              <w:rPr>
                <w:rFonts w:ascii="Arial" w:hAnsi="Arial"/>
                <w:color w:val="000000"/>
                <w:sz w:val="20"/>
                <w:szCs w:val="20"/>
              </w:rPr>
              <w:t>113.86</w:t>
            </w:r>
          </w:p>
        </w:tc>
        <w:tc>
          <w:tcPr>
            <w:tcW w:w="835" w:type="dxa"/>
            <w:vAlign w:val="center"/>
          </w:tcPr>
          <w:p w:rsidR="00B83644" w:rsidRDefault="0002316D">
            <w:pPr>
              <w:pStyle w:val="TableContents"/>
              <w:rPr>
                <w:rFonts w:ascii="Arial" w:hAnsi="Arial"/>
                <w:sz w:val="20"/>
                <w:szCs w:val="20"/>
              </w:rPr>
            </w:pPr>
            <w:r>
              <w:rPr>
                <w:rFonts w:ascii="Arial" w:hAnsi="Arial"/>
                <w:color w:val="000000"/>
                <w:sz w:val="20"/>
                <w:szCs w:val="20"/>
              </w:rPr>
              <w:t>9.53</w:t>
            </w:r>
          </w:p>
        </w:tc>
        <w:tc>
          <w:tcPr>
            <w:tcW w:w="851" w:type="dxa"/>
            <w:vAlign w:val="center"/>
          </w:tcPr>
          <w:p w:rsidR="00B83644" w:rsidRDefault="0002316D">
            <w:pPr>
              <w:pStyle w:val="TableContents"/>
              <w:rPr>
                <w:rFonts w:ascii="Arial" w:hAnsi="Arial"/>
                <w:sz w:val="20"/>
                <w:szCs w:val="20"/>
              </w:rPr>
            </w:pPr>
            <w:r>
              <w:rPr>
                <w:rFonts w:ascii="Arial" w:hAnsi="Arial"/>
                <w:color w:val="000000"/>
                <w:sz w:val="20"/>
                <w:szCs w:val="20"/>
              </w:rPr>
              <w:t>11.94</w:t>
            </w:r>
          </w:p>
        </w:tc>
        <w:tc>
          <w:tcPr>
            <w:tcW w:w="688" w:type="dxa"/>
            <w:vAlign w:val="center"/>
          </w:tcPr>
          <w:p w:rsidR="00B83644" w:rsidRDefault="0002316D">
            <w:pPr>
              <w:pStyle w:val="TableContents"/>
              <w:rPr>
                <w:rFonts w:ascii="Arial" w:hAnsi="Arial"/>
                <w:sz w:val="20"/>
                <w:szCs w:val="20"/>
              </w:rPr>
            </w:pPr>
            <w:r>
              <w:rPr>
                <w:rFonts w:ascii="Arial" w:hAnsi="Arial"/>
                <w:color w:val="000000"/>
                <w:sz w:val="20"/>
                <w:szCs w:val="20"/>
              </w:rPr>
              <w:t>0.45</w:t>
            </w:r>
          </w:p>
        </w:tc>
        <w:tc>
          <w:tcPr>
            <w:tcW w:w="623" w:type="dxa"/>
            <w:vAlign w:val="center"/>
          </w:tcPr>
          <w:p w:rsidR="00B83644" w:rsidRDefault="0002316D">
            <w:pPr>
              <w:pStyle w:val="TableContents"/>
              <w:rPr>
                <w:rFonts w:ascii="Arial" w:hAnsi="Arial"/>
                <w:sz w:val="20"/>
                <w:szCs w:val="20"/>
              </w:rPr>
            </w:pPr>
            <w:r>
              <w:rPr>
                <w:rFonts w:ascii="Arial" w:hAnsi="Arial"/>
                <w:color w:val="000000"/>
                <w:sz w:val="20"/>
                <w:szCs w:val="20"/>
              </w:rPr>
              <w:t>0.14</w:t>
            </w:r>
          </w:p>
        </w:tc>
        <w:tc>
          <w:tcPr>
            <w:tcW w:w="739" w:type="dxa"/>
            <w:vAlign w:val="center"/>
          </w:tcPr>
          <w:p w:rsidR="00B83644" w:rsidRDefault="0002316D">
            <w:pPr>
              <w:pStyle w:val="TableContents"/>
              <w:rPr>
                <w:rFonts w:ascii="Arial" w:hAnsi="Arial"/>
                <w:sz w:val="20"/>
                <w:szCs w:val="20"/>
              </w:rPr>
            </w:pPr>
            <w:r>
              <w:rPr>
                <w:rFonts w:ascii="Arial" w:hAnsi="Arial"/>
                <w:color w:val="000000"/>
                <w:sz w:val="20"/>
                <w:szCs w:val="20"/>
              </w:rPr>
              <w:t>97.97</w:t>
            </w:r>
          </w:p>
        </w:tc>
      </w:tr>
      <w:tr w:rsidR="00B83644">
        <w:tc>
          <w:tcPr>
            <w:tcW w:w="1362"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VRuSb</w:t>
            </w:r>
          </w:p>
        </w:tc>
        <w:tc>
          <w:tcPr>
            <w:tcW w:w="675"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220.89</w:t>
            </w:r>
          </w:p>
        </w:tc>
        <w:tc>
          <w:tcPr>
            <w:tcW w:w="688"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115.49</w:t>
            </w:r>
          </w:p>
        </w:tc>
        <w:tc>
          <w:tcPr>
            <w:tcW w:w="736"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58.84</w:t>
            </w:r>
          </w:p>
        </w:tc>
        <w:tc>
          <w:tcPr>
            <w:tcW w:w="915"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150.62</w:t>
            </w:r>
          </w:p>
        </w:tc>
        <w:tc>
          <w:tcPr>
            <w:tcW w:w="835"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56.38</w:t>
            </w:r>
          </w:p>
        </w:tc>
        <w:tc>
          <w:tcPr>
            <w:tcW w:w="851"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2.67</w:t>
            </w:r>
          </w:p>
        </w:tc>
        <w:tc>
          <w:tcPr>
            <w:tcW w:w="688"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0.33</w:t>
            </w:r>
          </w:p>
        </w:tc>
        <w:tc>
          <w:tcPr>
            <w:tcW w:w="623"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1.11</w:t>
            </w:r>
          </w:p>
        </w:tc>
        <w:tc>
          <w:tcPr>
            <w:tcW w:w="739" w:type="dxa"/>
            <w:tcBorders>
              <w:bottom w:val="single" w:sz="6" w:space="0" w:color="000000"/>
            </w:tcBorders>
            <w:vAlign w:val="center"/>
          </w:tcPr>
          <w:p w:rsidR="00B83644" w:rsidRDefault="0002316D">
            <w:pPr>
              <w:pStyle w:val="TableContents"/>
              <w:rPr>
                <w:rFonts w:ascii="Arial" w:hAnsi="Arial"/>
                <w:sz w:val="20"/>
                <w:szCs w:val="20"/>
              </w:rPr>
            </w:pPr>
            <w:r>
              <w:rPr>
                <w:rFonts w:ascii="Arial" w:hAnsi="Arial"/>
                <w:color w:val="000000"/>
                <w:sz w:val="20"/>
                <w:szCs w:val="20"/>
              </w:rPr>
              <w:t>56.65</w:t>
            </w:r>
          </w:p>
        </w:tc>
      </w:tr>
    </w:tbl>
    <w:p w:rsidR="00B83644" w:rsidRDefault="00B83644">
      <w:pPr>
        <w:pStyle w:val="BodyText"/>
        <w:spacing w:line="240" w:lineRule="auto"/>
        <w:jc w:val="both"/>
        <w:rPr>
          <w:rFonts w:ascii="Times New Roman" w:hAnsi="Times New Roman"/>
        </w:rPr>
      </w:pP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02316D">
      <w:pPr>
        <w:pStyle w:val="BodyText"/>
        <w:jc w:val="both"/>
        <w:rPr>
          <w:rFonts w:ascii="Arial" w:hAnsi="Arial"/>
          <w:sz w:val="20"/>
          <w:szCs w:val="20"/>
        </w:rPr>
      </w:pPr>
      <w:r>
        <w:rPr>
          <w:rFonts w:ascii="Arial" w:hAnsi="Arial"/>
          <w:color w:val="000000"/>
          <w:sz w:val="20"/>
          <w:szCs w:val="20"/>
        </w:rPr>
        <w:t xml:space="preserve">The foregone satisfied the conditions C₁₁ &gt; C₁₂, C₄₄ &gt; 0, and C₁₁ + 2C₁₂ &gt; 0, indicating that both compounds </w:t>
      </w:r>
      <w:r>
        <w:rPr>
          <w:rFonts w:ascii="Arial" w:hAnsi="Arial"/>
          <w:color w:val="000000"/>
          <w:sz w:val="20"/>
          <w:szCs w:val="20"/>
        </w:rPr>
        <w:t>possesses mechanical stability. Pugh’s ratio critical value is 1.75, whereas Poisson’s ratio evaluative value is o.3 [26, 27]. The compounds are considered brittle if the B/G ratio is less than 1.75 and it is brittle if the B/G ratio is less than 1.75. The</w:t>
      </w:r>
      <w:r>
        <w:rPr>
          <w:rFonts w:ascii="Arial" w:hAnsi="Arial"/>
          <w:color w:val="000000"/>
          <w:sz w:val="20"/>
          <w:szCs w:val="20"/>
        </w:rPr>
        <w:t xml:space="preserve"> research reveals that the Pugh's ratio for VRhTe is 11.94, and 2.67 was for VRuSb accordingly; indicating the compounds reflects ductility. Consequently, the  Poisson's ratio is less than 0.3; signifying the metallic bonding qualities of the materials. Th</w:t>
      </w:r>
      <w:r>
        <w:rPr>
          <w:rFonts w:ascii="Arial" w:hAnsi="Arial"/>
          <w:color w:val="000000"/>
          <w:sz w:val="20"/>
          <w:szCs w:val="20"/>
        </w:rPr>
        <w:t>e positive Cauchy’s pressure (C</w:t>
      </w:r>
      <w:r>
        <w:rPr>
          <w:rFonts w:ascii="Arial" w:hAnsi="Arial"/>
          <w:color w:val="000000"/>
          <w:sz w:val="20"/>
          <w:szCs w:val="20"/>
          <w:vertAlign w:val="subscript"/>
        </w:rPr>
        <w:t>p</w:t>
      </w:r>
      <w:r>
        <w:rPr>
          <w:rFonts w:ascii="Arial" w:hAnsi="Arial"/>
          <w:color w:val="000000"/>
          <w:sz w:val="20"/>
          <w:szCs w:val="20"/>
        </w:rPr>
        <w:t>) values (+97.97 and +56.65) affirm metallic bonding. Moreover, the positive Cauchy’s pressure(C</w:t>
      </w:r>
      <w:r>
        <w:rPr>
          <w:rFonts w:ascii="Arial" w:hAnsi="Arial"/>
          <w:color w:val="000000"/>
          <w:sz w:val="20"/>
          <w:szCs w:val="20"/>
          <w:vertAlign w:val="subscript"/>
        </w:rPr>
        <w:t>p</w:t>
      </w:r>
      <w:r>
        <w:rPr>
          <w:rFonts w:ascii="Arial" w:hAnsi="Arial"/>
          <w:color w:val="000000"/>
          <w:sz w:val="20"/>
          <w:szCs w:val="20"/>
        </w:rPr>
        <w:t>) values +97.97, and +56.65 for VRhTe, and VRuSb respectively, support metallic bonding. The simulated bulk modulus of VRhTe pr</w:t>
      </w:r>
      <w:r>
        <w:rPr>
          <w:rFonts w:ascii="Arial" w:hAnsi="Arial"/>
          <w:color w:val="000000"/>
          <w:sz w:val="20"/>
          <w:szCs w:val="20"/>
        </w:rPr>
        <w:t xml:space="preserve">edicts moderately more resistance structure to compression compared to VRuSb, in alignment with its smaller lattice constants. These outcome reveal that both materials possesses mechanical balance under average stress, making them promising for structural </w:t>
      </w:r>
      <w:r>
        <w:rPr>
          <w:rFonts w:ascii="Arial" w:hAnsi="Arial"/>
          <w:color w:val="000000"/>
          <w:sz w:val="20"/>
          <w:szCs w:val="20"/>
        </w:rPr>
        <w:t>and high temperature applications.</w:t>
      </w:r>
    </w:p>
    <w:p w:rsidR="00B83644" w:rsidRDefault="0002316D">
      <w:pPr>
        <w:pStyle w:val="Heading4"/>
        <w:spacing w:line="276" w:lineRule="auto"/>
        <w:jc w:val="both"/>
      </w:pPr>
      <w:r>
        <w:rPr>
          <w:rStyle w:val="StrongEmphasis"/>
          <w:rFonts w:ascii="Arial" w:hAnsi="Arial"/>
          <w:b/>
          <w:color w:val="000000"/>
          <w:sz w:val="20"/>
          <w:szCs w:val="20"/>
        </w:rPr>
        <w:lastRenderedPageBreak/>
        <w:t>3.3 Thermodynamic Properties</w:t>
      </w:r>
    </w:p>
    <w:p w:rsidR="00B83644" w:rsidRDefault="0002316D">
      <w:pPr>
        <w:pStyle w:val="BodyText"/>
        <w:jc w:val="both"/>
      </w:pPr>
      <w:r>
        <w:rPr>
          <w:rFonts w:ascii="Arial" w:hAnsi="Arial"/>
          <w:color w:val="000000"/>
          <w:sz w:val="20"/>
          <w:szCs w:val="20"/>
        </w:rPr>
        <w:t xml:space="preserve">The thermodynamic characteristic of half-heusler compounds bestow vital comprehension into their thermal stability, lattice dynamic, and high heat energy for both VRhTe and VRuSb. Some of the </w:t>
      </w:r>
      <w:r>
        <w:rPr>
          <w:rFonts w:ascii="Arial" w:hAnsi="Arial"/>
          <w:color w:val="000000"/>
          <w:sz w:val="20"/>
          <w:szCs w:val="20"/>
        </w:rPr>
        <w:t xml:space="preserve">thermodynamic parameters such as </w:t>
      </w:r>
      <w:r>
        <w:rPr>
          <w:rStyle w:val="StrongEmphasis"/>
          <w:rFonts w:ascii="Arial" w:hAnsi="Arial"/>
          <w:b w:val="0"/>
          <w:bCs w:val="0"/>
          <w:color w:val="000000"/>
          <w:sz w:val="20"/>
          <w:szCs w:val="20"/>
        </w:rPr>
        <w:t>Debye temperature (Θ</w:t>
      </w:r>
      <w:r>
        <w:rPr>
          <w:rStyle w:val="StrongEmphasis"/>
          <w:rFonts w:ascii="Arial" w:hAnsi="Arial"/>
          <w:b w:val="0"/>
          <w:bCs w:val="0"/>
          <w:color w:val="000000"/>
          <w:sz w:val="20"/>
          <w:szCs w:val="20"/>
          <w:vertAlign w:val="subscript"/>
        </w:rPr>
        <w:t>D</w:t>
      </w:r>
      <w:r>
        <w:rPr>
          <w:rStyle w:val="StrongEmphasis"/>
          <w:rFonts w:ascii="Arial" w:hAnsi="Arial"/>
          <w:b w:val="0"/>
          <w:bCs w:val="0"/>
          <w:color w:val="000000"/>
          <w:sz w:val="20"/>
          <w:szCs w:val="20"/>
        </w:rPr>
        <w:t>)</w:t>
      </w:r>
      <w:r>
        <w:rPr>
          <w:rFonts w:ascii="Arial" w:hAnsi="Arial"/>
          <w:color w:val="000000"/>
          <w:sz w:val="20"/>
          <w:szCs w:val="20"/>
        </w:rPr>
        <w:t xml:space="preserve">, </w:t>
      </w:r>
      <w:r>
        <w:rPr>
          <w:rStyle w:val="StrongEmphasis"/>
          <w:rFonts w:ascii="Arial" w:hAnsi="Arial"/>
          <w:b w:val="0"/>
          <w:bCs w:val="0"/>
          <w:color w:val="000000"/>
          <w:sz w:val="20"/>
          <w:szCs w:val="20"/>
        </w:rPr>
        <w:t>heat energy (C</w:t>
      </w:r>
      <w:r>
        <w:rPr>
          <w:rStyle w:val="StrongEmphasis"/>
          <w:rFonts w:ascii="Arial" w:hAnsi="Arial"/>
          <w:b w:val="0"/>
          <w:bCs w:val="0"/>
          <w:color w:val="000000"/>
          <w:sz w:val="20"/>
          <w:szCs w:val="20"/>
          <w:vertAlign w:val="subscript"/>
        </w:rPr>
        <w:t>v</w:t>
      </w:r>
      <w:r>
        <w:rPr>
          <w:rStyle w:val="StrongEmphasis"/>
          <w:rFonts w:ascii="Arial" w:hAnsi="Arial"/>
          <w:b w:val="0"/>
          <w:bCs w:val="0"/>
          <w:color w:val="000000"/>
          <w:sz w:val="20"/>
          <w:szCs w:val="20"/>
        </w:rPr>
        <w:t>)</w:t>
      </w:r>
      <w:r>
        <w:rPr>
          <w:rFonts w:ascii="Arial" w:hAnsi="Arial"/>
          <w:color w:val="000000"/>
          <w:sz w:val="20"/>
          <w:szCs w:val="20"/>
        </w:rPr>
        <w:t xml:space="preserve">, </w:t>
      </w:r>
      <w:r>
        <w:rPr>
          <w:rStyle w:val="StrongEmphasis"/>
          <w:rFonts w:ascii="Arial" w:hAnsi="Arial"/>
          <w:b w:val="0"/>
          <w:bCs w:val="0"/>
          <w:color w:val="000000"/>
          <w:sz w:val="20"/>
          <w:szCs w:val="20"/>
        </w:rPr>
        <w:t>entropy (S)</w:t>
      </w:r>
      <w:r>
        <w:rPr>
          <w:rFonts w:ascii="Arial" w:hAnsi="Arial"/>
          <w:color w:val="000000"/>
          <w:sz w:val="20"/>
          <w:szCs w:val="20"/>
        </w:rPr>
        <w:t>, and linear</w:t>
      </w:r>
      <w:r>
        <w:rPr>
          <w:rStyle w:val="StrongEmphasis"/>
          <w:rFonts w:ascii="Arial" w:hAnsi="Arial"/>
          <w:b w:val="0"/>
          <w:bCs w:val="0"/>
          <w:color w:val="000000"/>
          <w:sz w:val="20"/>
          <w:szCs w:val="20"/>
        </w:rPr>
        <w:t xml:space="preserve"> expansion coefficient (α)</w:t>
      </w:r>
      <w:r>
        <w:rPr>
          <w:rFonts w:ascii="Arial" w:hAnsi="Arial"/>
          <w:color w:val="000000"/>
          <w:sz w:val="20"/>
          <w:szCs w:val="20"/>
        </w:rPr>
        <w:t xml:space="preserve"> were simulated using the </w:t>
      </w:r>
      <w:r>
        <w:rPr>
          <w:rStyle w:val="StrongEmphasis"/>
          <w:rFonts w:ascii="Arial" w:hAnsi="Arial"/>
          <w:b w:val="0"/>
          <w:bCs w:val="0"/>
          <w:color w:val="000000"/>
          <w:sz w:val="20"/>
          <w:szCs w:val="20"/>
        </w:rPr>
        <w:t>quasi-harmonic Debye approximation (QHDA)</w:t>
      </w:r>
      <w:r>
        <w:rPr>
          <w:rFonts w:ascii="Arial" w:hAnsi="Arial"/>
          <w:color w:val="000000"/>
          <w:sz w:val="20"/>
          <w:szCs w:val="20"/>
        </w:rPr>
        <w:t xml:space="preserve"> based on the equilibrium structural data deduced from DFT simulations.</w:t>
      </w:r>
    </w:p>
    <w:p w:rsidR="00B83644" w:rsidRDefault="0002316D">
      <w:pPr>
        <w:pStyle w:val="BodyText"/>
        <w:jc w:val="both"/>
        <w:rPr>
          <w:rFonts w:ascii="Arial" w:hAnsi="Arial"/>
          <w:sz w:val="20"/>
          <w:szCs w:val="20"/>
        </w:rPr>
      </w:pPr>
      <w:r>
        <w:rPr>
          <w:rFonts w:ascii="Arial" w:hAnsi="Arial"/>
          <w:color w:val="000000"/>
          <w:sz w:val="20"/>
          <w:szCs w:val="20"/>
        </w:rPr>
        <w:t>The QHDA approach permit the prediction of temperature and pressure dependent outcome by taking into cognizant the lattice vibrations and their enharmonic contribution donation to free</w:t>
      </w:r>
      <w:r>
        <w:rPr>
          <w:rFonts w:ascii="Arial" w:hAnsi="Arial"/>
          <w:color w:val="000000"/>
          <w:sz w:val="20"/>
          <w:szCs w:val="20"/>
        </w:rPr>
        <w:t xml:space="preserve"> energy. The results are discussed as follows:</w:t>
      </w:r>
    </w:p>
    <w:p w:rsidR="00B83644" w:rsidRDefault="0002316D">
      <w:pPr>
        <w:pStyle w:val="Heading4"/>
        <w:spacing w:line="276" w:lineRule="auto"/>
        <w:jc w:val="both"/>
      </w:pPr>
      <w:r>
        <w:rPr>
          <w:rStyle w:val="StrongEmphasis"/>
          <w:rFonts w:ascii="Arial" w:hAnsi="Arial"/>
          <w:b/>
          <w:color w:val="000000"/>
          <w:sz w:val="20"/>
          <w:szCs w:val="20"/>
        </w:rPr>
        <w:t>3.4 Debye Temperature (Θ</w:t>
      </w:r>
      <w:r>
        <w:rPr>
          <w:rStyle w:val="StrongEmphasis"/>
          <w:rFonts w:ascii="Arial" w:hAnsi="Arial"/>
          <w:b/>
          <w:color w:val="000000"/>
          <w:sz w:val="20"/>
          <w:szCs w:val="20"/>
          <w:vertAlign w:val="subscript"/>
        </w:rPr>
        <w:t>D</w:t>
      </w:r>
      <w:r>
        <w:rPr>
          <w:rStyle w:val="StrongEmphasis"/>
          <w:rFonts w:ascii="Arial" w:hAnsi="Arial"/>
          <w:b/>
          <w:color w:val="000000"/>
          <w:sz w:val="20"/>
          <w:szCs w:val="20"/>
        </w:rPr>
        <w:t>)</w:t>
      </w:r>
    </w:p>
    <w:p w:rsidR="00B83644" w:rsidRDefault="0002316D">
      <w:pPr>
        <w:pStyle w:val="BodyText"/>
        <w:jc w:val="both"/>
      </w:pPr>
      <w:r>
        <w:rPr>
          <w:rFonts w:ascii="Arial" w:hAnsi="Arial"/>
          <w:color w:val="000000"/>
          <w:sz w:val="20"/>
          <w:szCs w:val="20"/>
        </w:rPr>
        <w:t xml:space="preserve">The </w:t>
      </w:r>
      <w:r>
        <w:rPr>
          <w:rStyle w:val="StrongEmphasis"/>
          <w:rFonts w:ascii="Arial" w:hAnsi="Arial"/>
          <w:b w:val="0"/>
          <w:bCs w:val="0"/>
          <w:color w:val="000000"/>
          <w:sz w:val="20"/>
          <w:szCs w:val="20"/>
        </w:rPr>
        <w:t>Debye heat energy (Θ</w:t>
      </w:r>
      <w:r>
        <w:rPr>
          <w:rStyle w:val="StrongEmphasis"/>
          <w:rFonts w:ascii="Arial" w:hAnsi="Arial"/>
          <w:b w:val="0"/>
          <w:bCs w:val="0"/>
          <w:color w:val="000000"/>
          <w:sz w:val="20"/>
          <w:szCs w:val="20"/>
          <w:vertAlign w:val="subscript"/>
        </w:rPr>
        <w:t>D</w:t>
      </w:r>
      <w:r>
        <w:rPr>
          <w:rStyle w:val="StrongEmphasis"/>
          <w:rFonts w:ascii="Arial" w:hAnsi="Arial"/>
          <w:b w:val="0"/>
          <w:bCs w:val="0"/>
          <w:color w:val="000000"/>
          <w:sz w:val="20"/>
          <w:szCs w:val="20"/>
        </w:rPr>
        <w:t>)</w:t>
      </w:r>
      <w:r>
        <w:rPr>
          <w:rFonts w:ascii="Arial" w:hAnsi="Arial"/>
          <w:color w:val="000000"/>
          <w:sz w:val="20"/>
          <w:szCs w:val="20"/>
        </w:rPr>
        <w:t xml:space="preserve"> is a key parameter that harmonize with phonon vibration frequencies, lattice stiffness, and atomic bonding strength. A higher Θ</w:t>
      </w:r>
      <w:r>
        <w:rPr>
          <w:rFonts w:ascii="Arial" w:hAnsi="Arial"/>
          <w:color w:val="000000"/>
          <w:sz w:val="20"/>
          <w:szCs w:val="20"/>
          <w:vertAlign w:val="subscript"/>
        </w:rPr>
        <w:t>D</w:t>
      </w:r>
      <w:r>
        <w:rPr>
          <w:rFonts w:ascii="Arial" w:hAnsi="Arial"/>
          <w:color w:val="000000"/>
          <w:sz w:val="20"/>
          <w:szCs w:val="20"/>
        </w:rPr>
        <w:t xml:space="preserve"> often signifies enhance bo</w:t>
      </w:r>
      <w:r>
        <w:rPr>
          <w:rFonts w:ascii="Arial" w:hAnsi="Arial"/>
          <w:color w:val="000000"/>
          <w:sz w:val="20"/>
          <w:szCs w:val="20"/>
        </w:rPr>
        <w:t>nding and increased thermal conductivity. The simulated Θ</w:t>
      </w:r>
      <w:r>
        <w:rPr>
          <w:rFonts w:ascii="Arial" w:hAnsi="Arial"/>
          <w:color w:val="000000"/>
          <w:sz w:val="20"/>
          <w:szCs w:val="20"/>
          <w:vertAlign w:val="subscript"/>
        </w:rPr>
        <w:t xml:space="preserve">D </w:t>
      </w:r>
      <w:r>
        <w:rPr>
          <w:rFonts w:ascii="Arial" w:hAnsi="Arial"/>
          <w:color w:val="000000"/>
          <w:sz w:val="20"/>
          <w:szCs w:val="20"/>
        </w:rPr>
        <w:t>for VRhTe, and VRuSb at absolute minimum pressure and temperature are 135.77k and 330.90k, respectively. The slightly greater Θ</w:t>
      </w:r>
      <w:r>
        <w:rPr>
          <w:rFonts w:ascii="Arial" w:hAnsi="Arial"/>
          <w:color w:val="000000"/>
          <w:sz w:val="20"/>
          <w:szCs w:val="20"/>
          <w:vertAlign w:val="subscript"/>
        </w:rPr>
        <w:t>D</w:t>
      </w:r>
      <w:r>
        <w:rPr>
          <w:rFonts w:ascii="Arial" w:hAnsi="Arial"/>
          <w:color w:val="000000"/>
          <w:sz w:val="20"/>
          <w:szCs w:val="20"/>
        </w:rPr>
        <w:t xml:space="preserve"> of VRuSb signifies that it possesses stronger</w:t>
      </w:r>
      <w:r>
        <w:rPr>
          <w:rStyle w:val="StrongEmphasis"/>
          <w:rFonts w:ascii="Arial" w:hAnsi="Arial"/>
          <w:b w:val="0"/>
          <w:bCs w:val="0"/>
          <w:color w:val="000000"/>
          <w:sz w:val="20"/>
          <w:szCs w:val="20"/>
        </w:rPr>
        <w:t xml:space="preserve"> interatomic bonding</w:t>
      </w:r>
      <w:r>
        <w:rPr>
          <w:rFonts w:ascii="Arial" w:hAnsi="Arial"/>
          <w:color w:val="000000"/>
          <w:sz w:val="20"/>
          <w:szCs w:val="20"/>
        </w:rPr>
        <w:t xml:space="preserve"> an</w:t>
      </w:r>
      <w:r>
        <w:rPr>
          <w:rFonts w:ascii="Arial" w:hAnsi="Arial"/>
          <w:color w:val="000000"/>
          <w:sz w:val="20"/>
          <w:szCs w:val="20"/>
        </w:rPr>
        <w:t>d stronger lattice rigidity compared to VRhTe. This pattern aligns with their elastic constants, which show that VRuSb has a greater bulk modulus. The findings suggest that VRuSb would be more at higher temperature, and more resistance to thermal agitation</w:t>
      </w:r>
      <w:r>
        <w:rPr>
          <w:rFonts w:ascii="Arial" w:hAnsi="Arial"/>
          <w:color w:val="000000"/>
          <w:sz w:val="20"/>
          <w:szCs w:val="20"/>
        </w:rPr>
        <w:t>.</w:t>
      </w: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02316D">
      <w:pPr>
        <w:pStyle w:val="BodyText"/>
        <w:tabs>
          <w:tab w:val="left" w:pos="1519"/>
        </w:tabs>
        <w:spacing w:before="278" w:after="0"/>
        <w:jc w:val="both"/>
        <w:rPr>
          <w:rFonts w:ascii="Arial" w:hAnsi="Arial"/>
          <w:sz w:val="20"/>
          <w:szCs w:val="20"/>
        </w:rPr>
      </w:pPr>
      <w:r>
        <w:rPr>
          <w:rFonts w:ascii="Arial" w:hAnsi="Arial"/>
          <w:sz w:val="20"/>
          <w:szCs w:val="20"/>
        </w:rPr>
        <w:t>Table 3. The two half-heusler alloys were assessed based on their average sound velocity(V</w:t>
      </w:r>
      <w:r>
        <w:rPr>
          <w:rFonts w:ascii="Arial" w:hAnsi="Arial"/>
          <w:sz w:val="20"/>
          <w:szCs w:val="20"/>
          <w:vertAlign w:val="subscript"/>
        </w:rPr>
        <w:t>avg</w:t>
      </w:r>
      <w:r>
        <w:rPr>
          <w:rFonts w:ascii="Arial" w:hAnsi="Arial"/>
          <w:sz w:val="20"/>
          <w:szCs w:val="20"/>
        </w:rPr>
        <w:t xml:space="preserve">  in m/s), Debye heat energy(θ</w:t>
      </w:r>
      <w:r>
        <w:rPr>
          <w:rFonts w:ascii="Arial" w:hAnsi="Arial"/>
          <w:sz w:val="20"/>
          <w:szCs w:val="20"/>
          <w:vertAlign w:val="subscript"/>
        </w:rPr>
        <w:t>D</w:t>
      </w:r>
      <w:r>
        <w:rPr>
          <w:rFonts w:ascii="Arial" w:hAnsi="Arial"/>
          <w:sz w:val="20"/>
          <w:szCs w:val="20"/>
        </w:rPr>
        <w:t>), specific heat capacity(C</w:t>
      </w:r>
      <w:r>
        <w:rPr>
          <w:rFonts w:ascii="Arial" w:hAnsi="Arial"/>
          <w:sz w:val="20"/>
          <w:szCs w:val="20"/>
          <w:vertAlign w:val="subscript"/>
        </w:rPr>
        <w:t>v</w:t>
      </w:r>
      <w:r>
        <w:rPr>
          <w:rFonts w:ascii="Arial" w:hAnsi="Arial"/>
          <w:sz w:val="20"/>
          <w:szCs w:val="20"/>
        </w:rPr>
        <w:t>), and zero-point energy(E</w:t>
      </w:r>
      <w:r>
        <w:rPr>
          <w:rFonts w:ascii="Arial" w:hAnsi="Arial"/>
          <w:sz w:val="20"/>
          <w:szCs w:val="20"/>
          <w:vertAlign w:val="subscript"/>
        </w:rPr>
        <w:t>0</w:t>
      </w:r>
      <w:r>
        <w:rPr>
          <w:rFonts w:ascii="Arial" w:hAnsi="Arial"/>
          <w:sz w:val="20"/>
          <w:szCs w:val="20"/>
        </w:rPr>
        <w:t xml:space="preserve"> in kJ/Nmol).</w:t>
      </w:r>
    </w:p>
    <w:tbl>
      <w:tblPr>
        <w:tblW w:w="6405" w:type="dxa"/>
        <w:tblLayout w:type="fixed"/>
        <w:tblCellMar>
          <w:left w:w="0" w:type="dxa"/>
          <w:right w:w="0" w:type="dxa"/>
        </w:tblCellMar>
        <w:tblLook w:val="04A0" w:firstRow="1" w:lastRow="0" w:firstColumn="1" w:lastColumn="0" w:noHBand="0" w:noVBand="1"/>
      </w:tblPr>
      <w:tblGrid>
        <w:gridCol w:w="1409"/>
        <w:gridCol w:w="1261"/>
        <w:gridCol w:w="1064"/>
        <w:gridCol w:w="1486"/>
        <w:gridCol w:w="1185"/>
      </w:tblGrid>
      <w:tr w:rsidR="00B83644">
        <w:tc>
          <w:tcPr>
            <w:tcW w:w="1409" w:type="dxa"/>
            <w:tcBorders>
              <w:top w:val="single" w:sz="6" w:space="0" w:color="000000"/>
              <w:bottom w:val="single" w:sz="6" w:space="0" w:color="000000"/>
            </w:tcBorders>
          </w:tcPr>
          <w:p w:rsidR="00B83644" w:rsidRDefault="0002316D">
            <w:pPr>
              <w:pStyle w:val="TableContents"/>
              <w:rPr>
                <w:rFonts w:ascii="Arial" w:hAnsi="Arial"/>
                <w:sz w:val="20"/>
                <w:szCs w:val="20"/>
              </w:rPr>
            </w:pPr>
            <w:r>
              <w:rPr>
                <w:rFonts w:ascii="Arial" w:hAnsi="Arial"/>
                <w:b/>
                <w:bCs/>
                <w:color w:val="000000"/>
                <w:sz w:val="20"/>
                <w:szCs w:val="20"/>
              </w:rPr>
              <w:t>Compounds</w:t>
            </w:r>
          </w:p>
        </w:tc>
        <w:tc>
          <w:tcPr>
            <w:tcW w:w="1261" w:type="dxa"/>
            <w:tcBorders>
              <w:top w:val="single" w:sz="6" w:space="0" w:color="000000"/>
              <w:bottom w:val="single" w:sz="6" w:space="0" w:color="000000"/>
            </w:tcBorders>
          </w:tcPr>
          <w:p w:rsidR="00B83644" w:rsidRDefault="0002316D">
            <w:pPr>
              <w:pStyle w:val="TableContents"/>
              <w:rPr>
                <w:rFonts w:ascii="Arial" w:hAnsi="Arial"/>
                <w:sz w:val="20"/>
                <w:szCs w:val="20"/>
              </w:rPr>
            </w:pPr>
            <w:r>
              <w:rPr>
                <w:rFonts w:ascii="Arial" w:hAnsi="Arial"/>
                <w:b/>
                <w:bCs/>
                <w:color w:val="000000"/>
                <w:sz w:val="20"/>
                <w:szCs w:val="20"/>
              </w:rPr>
              <w:t>C</w:t>
            </w:r>
            <w:r>
              <w:rPr>
                <w:rFonts w:ascii="Arial" w:hAnsi="Arial"/>
                <w:b/>
                <w:bCs/>
                <w:color w:val="000000"/>
                <w:sz w:val="20"/>
                <w:szCs w:val="20"/>
                <w:vertAlign w:val="subscript"/>
              </w:rPr>
              <w:t>v</w:t>
            </w:r>
            <w:r>
              <w:rPr>
                <w:rFonts w:ascii="Arial" w:hAnsi="Arial"/>
                <w:b/>
                <w:bCs/>
                <w:color w:val="000000"/>
                <w:sz w:val="20"/>
                <w:szCs w:val="20"/>
              </w:rPr>
              <w:t>(J/Nmol)</w:t>
            </w:r>
          </w:p>
        </w:tc>
        <w:tc>
          <w:tcPr>
            <w:tcW w:w="1064" w:type="dxa"/>
            <w:tcBorders>
              <w:top w:val="single" w:sz="6" w:space="0" w:color="000000"/>
              <w:bottom w:val="single" w:sz="6" w:space="0" w:color="000000"/>
            </w:tcBorders>
          </w:tcPr>
          <w:p w:rsidR="00B83644" w:rsidRDefault="0002316D">
            <w:pPr>
              <w:pStyle w:val="TableContents"/>
              <w:rPr>
                <w:rFonts w:ascii="Arial" w:hAnsi="Arial"/>
                <w:sz w:val="20"/>
                <w:szCs w:val="20"/>
              </w:rPr>
            </w:pPr>
            <w:r>
              <w:rPr>
                <w:rFonts w:ascii="Arial" w:hAnsi="Arial"/>
                <w:b/>
                <w:bCs/>
                <w:color w:val="000000"/>
                <w:sz w:val="20"/>
                <w:szCs w:val="20"/>
              </w:rPr>
              <w:t>Q</w:t>
            </w:r>
            <w:r>
              <w:rPr>
                <w:rFonts w:ascii="Arial" w:hAnsi="Arial"/>
                <w:b/>
                <w:bCs/>
                <w:color w:val="000000"/>
                <w:sz w:val="20"/>
                <w:szCs w:val="20"/>
                <w:vertAlign w:val="subscript"/>
              </w:rPr>
              <w:t>D</w:t>
            </w:r>
            <w:r>
              <w:rPr>
                <w:rFonts w:ascii="Arial" w:hAnsi="Arial"/>
                <w:b/>
                <w:bCs/>
                <w:color w:val="000000"/>
                <w:sz w:val="20"/>
                <w:szCs w:val="20"/>
              </w:rPr>
              <w:t>(K)</w:t>
            </w:r>
          </w:p>
        </w:tc>
        <w:tc>
          <w:tcPr>
            <w:tcW w:w="1486" w:type="dxa"/>
            <w:tcBorders>
              <w:top w:val="single" w:sz="6" w:space="0" w:color="000000"/>
              <w:bottom w:val="single" w:sz="6" w:space="0" w:color="000000"/>
            </w:tcBorders>
          </w:tcPr>
          <w:p w:rsidR="00B83644" w:rsidRDefault="0002316D">
            <w:pPr>
              <w:pStyle w:val="TableContents"/>
              <w:rPr>
                <w:rFonts w:ascii="Arial" w:hAnsi="Arial"/>
                <w:sz w:val="20"/>
                <w:szCs w:val="20"/>
              </w:rPr>
            </w:pPr>
            <w:r>
              <w:rPr>
                <w:rFonts w:ascii="Arial" w:hAnsi="Arial"/>
                <w:b/>
                <w:bCs/>
                <w:color w:val="000000"/>
                <w:sz w:val="20"/>
                <w:szCs w:val="20"/>
              </w:rPr>
              <w:t>E</w:t>
            </w:r>
            <w:r>
              <w:rPr>
                <w:rFonts w:ascii="Arial" w:hAnsi="Arial"/>
                <w:b/>
                <w:bCs/>
                <w:color w:val="000000"/>
                <w:sz w:val="20"/>
                <w:szCs w:val="20"/>
                <w:vertAlign w:val="subscript"/>
              </w:rPr>
              <w:t>o</w:t>
            </w:r>
            <w:r>
              <w:rPr>
                <w:rFonts w:ascii="Arial" w:hAnsi="Arial"/>
                <w:b/>
                <w:bCs/>
                <w:color w:val="000000"/>
                <w:sz w:val="20"/>
                <w:szCs w:val="20"/>
              </w:rPr>
              <w:t>(KJ/Nmol)</w:t>
            </w:r>
          </w:p>
        </w:tc>
        <w:tc>
          <w:tcPr>
            <w:tcW w:w="1185" w:type="dxa"/>
            <w:tcBorders>
              <w:top w:val="single" w:sz="6" w:space="0" w:color="000000"/>
              <w:bottom w:val="single" w:sz="6" w:space="0" w:color="000000"/>
            </w:tcBorders>
          </w:tcPr>
          <w:p w:rsidR="00B83644" w:rsidRDefault="0002316D">
            <w:pPr>
              <w:pStyle w:val="TableContents"/>
              <w:rPr>
                <w:rFonts w:ascii="Arial" w:hAnsi="Arial"/>
                <w:sz w:val="20"/>
                <w:szCs w:val="20"/>
              </w:rPr>
            </w:pPr>
            <w:r>
              <w:rPr>
                <w:rFonts w:ascii="Arial" w:hAnsi="Arial"/>
                <w:b/>
                <w:bCs/>
                <w:color w:val="000000"/>
                <w:sz w:val="20"/>
                <w:szCs w:val="20"/>
              </w:rPr>
              <w:t>V</w:t>
            </w:r>
            <w:r>
              <w:rPr>
                <w:rFonts w:ascii="Arial" w:hAnsi="Arial"/>
                <w:b/>
                <w:bCs/>
                <w:color w:val="000000"/>
                <w:sz w:val="20"/>
                <w:szCs w:val="20"/>
                <w:vertAlign w:val="subscript"/>
              </w:rPr>
              <w:t>avg</w:t>
            </w:r>
            <w:r>
              <w:rPr>
                <w:rFonts w:ascii="Arial" w:hAnsi="Arial"/>
                <w:b/>
                <w:bCs/>
                <w:color w:val="000000"/>
                <w:sz w:val="20"/>
                <w:szCs w:val="20"/>
              </w:rPr>
              <w:t>(m/s)</w:t>
            </w:r>
          </w:p>
        </w:tc>
      </w:tr>
      <w:tr w:rsidR="00B83644">
        <w:tc>
          <w:tcPr>
            <w:tcW w:w="1409" w:type="dxa"/>
          </w:tcPr>
          <w:p w:rsidR="00B83644" w:rsidRDefault="0002316D">
            <w:pPr>
              <w:pStyle w:val="TableContents"/>
              <w:rPr>
                <w:rFonts w:ascii="Arial" w:hAnsi="Arial"/>
                <w:sz w:val="20"/>
                <w:szCs w:val="20"/>
              </w:rPr>
            </w:pPr>
            <w:r>
              <w:rPr>
                <w:rFonts w:ascii="Arial" w:hAnsi="Arial"/>
                <w:color w:val="000000"/>
                <w:sz w:val="20"/>
                <w:szCs w:val="20"/>
              </w:rPr>
              <w:t>VRhTe</w:t>
            </w:r>
          </w:p>
        </w:tc>
        <w:tc>
          <w:tcPr>
            <w:tcW w:w="1261" w:type="dxa"/>
          </w:tcPr>
          <w:p w:rsidR="00B83644" w:rsidRDefault="0002316D">
            <w:pPr>
              <w:pStyle w:val="TableContents"/>
              <w:rPr>
                <w:rFonts w:ascii="Arial" w:hAnsi="Arial"/>
                <w:sz w:val="20"/>
                <w:szCs w:val="20"/>
              </w:rPr>
            </w:pPr>
            <w:r>
              <w:rPr>
                <w:rFonts w:ascii="Arial" w:hAnsi="Arial"/>
                <w:color w:val="000000"/>
                <w:sz w:val="20"/>
                <w:szCs w:val="20"/>
              </w:rPr>
              <w:t>74.83</w:t>
            </w:r>
          </w:p>
        </w:tc>
        <w:tc>
          <w:tcPr>
            <w:tcW w:w="1064" w:type="dxa"/>
          </w:tcPr>
          <w:p w:rsidR="00B83644" w:rsidRDefault="0002316D">
            <w:pPr>
              <w:pStyle w:val="TableContents"/>
              <w:rPr>
                <w:rFonts w:ascii="Arial" w:hAnsi="Arial"/>
                <w:sz w:val="20"/>
                <w:szCs w:val="20"/>
              </w:rPr>
            </w:pPr>
            <w:r>
              <w:rPr>
                <w:rFonts w:ascii="Arial" w:hAnsi="Arial"/>
                <w:color w:val="000000"/>
                <w:sz w:val="20"/>
                <w:szCs w:val="20"/>
              </w:rPr>
              <w:t>135.77</w:t>
            </w:r>
          </w:p>
        </w:tc>
        <w:tc>
          <w:tcPr>
            <w:tcW w:w="1486" w:type="dxa"/>
          </w:tcPr>
          <w:p w:rsidR="00B83644" w:rsidRDefault="0002316D">
            <w:pPr>
              <w:pStyle w:val="TableContents"/>
              <w:rPr>
                <w:rFonts w:ascii="Arial" w:hAnsi="Arial"/>
                <w:sz w:val="20"/>
                <w:szCs w:val="20"/>
              </w:rPr>
            </w:pPr>
            <w:r>
              <w:rPr>
                <w:rFonts w:ascii="Arial" w:hAnsi="Arial"/>
                <w:color w:val="000000"/>
                <w:sz w:val="20"/>
                <w:szCs w:val="20"/>
              </w:rPr>
              <w:t>3.80</w:t>
            </w:r>
          </w:p>
        </w:tc>
        <w:tc>
          <w:tcPr>
            <w:tcW w:w="1185" w:type="dxa"/>
          </w:tcPr>
          <w:p w:rsidR="00B83644" w:rsidRDefault="0002316D">
            <w:pPr>
              <w:pStyle w:val="TableContents"/>
              <w:rPr>
                <w:rFonts w:ascii="Arial" w:hAnsi="Arial"/>
                <w:sz w:val="20"/>
                <w:szCs w:val="20"/>
              </w:rPr>
            </w:pPr>
            <w:r>
              <w:rPr>
                <w:rFonts w:ascii="Arial" w:hAnsi="Arial"/>
                <w:color w:val="000000"/>
                <w:sz w:val="20"/>
                <w:szCs w:val="20"/>
              </w:rPr>
              <w:t>1216.04</w:t>
            </w:r>
          </w:p>
        </w:tc>
      </w:tr>
      <w:tr w:rsidR="00B83644">
        <w:tc>
          <w:tcPr>
            <w:tcW w:w="1409" w:type="dxa"/>
            <w:tcBorders>
              <w:bottom w:val="single" w:sz="6" w:space="0" w:color="000000"/>
            </w:tcBorders>
          </w:tcPr>
          <w:p w:rsidR="00B83644" w:rsidRDefault="0002316D">
            <w:pPr>
              <w:pStyle w:val="TableContents"/>
              <w:rPr>
                <w:rFonts w:ascii="Arial" w:hAnsi="Arial"/>
                <w:sz w:val="20"/>
                <w:szCs w:val="20"/>
              </w:rPr>
            </w:pPr>
            <w:r>
              <w:rPr>
                <w:rFonts w:ascii="Arial" w:hAnsi="Arial"/>
                <w:color w:val="000000"/>
                <w:sz w:val="20"/>
                <w:szCs w:val="20"/>
              </w:rPr>
              <w:t>VRuSb</w:t>
            </w:r>
          </w:p>
        </w:tc>
        <w:tc>
          <w:tcPr>
            <w:tcW w:w="1261" w:type="dxa"/>
            <w:tcBorders>
              <w:bottom w:val="single" w:sz="6" w:space="0" w:color="000000"/>
            </w:tcBorders>
          </w:tcPr>
          <w:p w:rsidR="00B83644" w:rsidRDefault="0002316D">
            <w:pPr>
              <w:pStyle w:val="TableContents"/>
              <w:rPr>
                <w:rFonts w:ascii="Arial" w:hAnsi="Arial"/>
                <w:sz w:val="20"/>
                <w:szCs w:val="20"/>
              </w:rPr>
            </w:pPr>
            <w:r>
              <w:rPr>
                <w:rFonts w:ascii="Arial" w:hAnsi="Arial"/>
                <w:color w:val="000000"/>
                <w:sz w:val="20"/>
                <w:szCs w:val="20"/>
              </w:rPr>
              <w:t>74.30</w:t>
            </w:r>
          </w:p>
        </w:tc>
        <w:tc>
          <w:tcPr>
            <w:tcW w:w="1064" w:type="dxa"/>
            <w:tcBorders>
              <w:bottom w:val="single" w:sz="6" w:space="0" w:color="000000"/>
            </w:tcBorders>
          </w:tcPr>
          <w:p w:rsidR="00B83644" w:rsidRDefault="0002316D">
            <w:pPr>
              <w:pStyle w:val="TableContents"/>
              <w:rPr>
                <w:rFonts w:ascii="Arial" w:hAnsi="Arial"/>
                <w:sz w:val="20"/>
                <w:szCs w:val="20"/>
              </w:rPr>
            </w:pPr>
            <w:r>
              <w:rPr>
                <w:rFonts w:ascii="Arial" w:hAnsi="Arial"/>
                <w:color w:val="000000"/>
                <w:sz w:val="20"/>
                <w:szCs w:val="20"/>
              </w:rPr>
              <w:t>330.90</w:t>
            </w:r>
          </w:p>
        </w:tc>
        <w:tc>
          <w:tcPr>
            <w:tcW w:w="1486" w:type="dxa"/>
            <w:tcBorders>
              <w:bottom w:val="single" w:sz="6" w:space="0" w:color="000000"/>
            </w:tcBorders>
          </w:tcPr>
          <w:p w:rsidR="00B83644" w:rsidRDefault="0002316D">
            <w:pPr>
              <w:pStyle w:val="TableContents"/>
              <w:rPr>
                <w:rFonts w:ascii="Arial" w:hAnsi="Arial"/>
                <w:sz w:val="20"/>
                <w:szCs w:val="20"/>
              </w:rPr>
            </w:pPr>
            <w:r>
              <w:rPr>
                <w:rFonts w:ascii="Arial" w:hAnsi="Arial"/>
                <w:color w:val="000000"/>
                <w:sz w:val="20"/>
                <w:szCs w:val="20"/>
              </w:rPr>
              <w:t>9.28</w:t>
            </w:r>
          </w:p>
        </w:tc>
        <w:tc>
          <w:tcPr>
            <w:tcW w:w="1185" w:type="dxa"/>
            <w:tcBorders>
              <w:bottom w:val="single" w:sz="6" w:space="0" w:color="000000"/>
            </w:tcBorders>
          </w:tcPr>
          <w:p w:rsidR="00B83644" w:rsidRDefault="0002316D">
            <w:pPr>
              <w:pStyle w:val="TableContents"/>
              <w:rPr>
                <w:rFonts w:ascii="Arial" w:hAnsi="Arial"/>
                <w:sz w:val="20"/>
                <w:szCs w:val="20"/>
              </w:rPr>
            </w:pPr>
            <w:r>
              <w:rPr>
                <w:rFonts w:ascii="Arial" w:hAnsi="Arial"/>
                <w:color w:val="000000"/>
                <w:sz w:val="20"/>
                <w:szCs w:val="20"/>
              </w:rPr>
              <w:t>2934.57</w:t>
            </w:r>
          </w:p>
        </w:tc>
      </w:tr>
    </w:tbl>
    <w:p w:rsidR="00B83644" w:rsidRDefault="00B83644">
      <w:pPr>
        <w:pStyle w:val="BodyText"/>
        <w:spacing w:line="240" w:lineRule="auto"/>
        <w:rPr>
          <w:rFonts w:ascii="Arial" w:hAnsi="Arial"/>
          <w:sz w:val="20"/>
          <w:szCs w:val="20"/>
        </w:rPr>
      </w:pPr>
    </w:p>
    <w:p w:rsidR="00B83644" w:rsidRDefault="00B83644">
      <w:pPr>
        <w:pStyle w:val="BodyText"/>
        <w:spacing w:line="240" w:lineRule="auto"/>
        <w:rPr>
          <w:rFonts w:ascii="Arial" w:hAnsi="Arial"/>
          <w:sz w:val="20"/>
          <w:szCs w:val="20"/>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02316D">
      <w:pPr>
        <w:pStyle w:val="BodyText"/>
        <w:tabs>
          <w:tab w:val="left" w:pos="1519"/>
        </w:tabs>
        <w:spacing w:before="278" w:after="0" w:line="240" w:lineRule="auto"/>
        <w:jc w:val="both"/>
        <w:rPr>
          <w:rFonts w:ascii="Century Schoolbook" w:hAnsi="Century Schoolbook"/>
          <w:sz w:val="18"/>
          <w:szCs w:val="18"/>
        </w:rPr>
      </w:pPr>
      <w:r>
        <w:rPr>
          <w:rFonts w:ascii="Century Schoolbook" w:hAnsi="Century Schoolbook"/>
          <w:noProof/>
          <w:sz w:val="18"/>
          <w:szCs w:val="18"/>
        </w:rPr>
        <w:drawing>
          <wp:anchor distT="275590" distB="282575" distL="0" distR="0" simplePos="0" relativeHeight="4" behindDoc="0" locked="0" layoutInCell="0" allowOverlap="1" wp14:anchorId="3ED15650">
            <wp:simplePos x="0" y="0"/>
            <wp:positionH relativeFrom="column">
              <wp:posOffset>1386840</wp:posOffset>
            </wp:positionH>
            <wp:positionV relativeFrom="paragraph">
              <wp:posOffset>-281940</wp:posOffset>
            </wp:positionV>
            <wp:extent cx="3730625" cy="4367530"/>
            <wp:effectExtent l="0" t="0" r="4445" b="0"/>
            <wp:wrapSquare wrapText="largest"/>
            <wp:docPr id="8" name="Image3"/>
            <wp:cNvGraphicFramePr/>
            <a:graphic xmlns:a="http://schemas.openxmlformats.org/drawingml/2006/main">
              <a:graphicData uri="http://schemas.openxmlformats.org/drawingml/2006/picture">
                <pic:pic xmlns:pic="http://schemas.openxmlformats.org/drawingml/2006/picture">
                  <pic:nvPicPr>
                    <pic:cNvPr id="9" name="Image3"/>
                    <pic:cNvPicPr/>
                  </pic:nvPicPr>
                  <pic:blipFill>
                    <a:blip r:embed="rId15"/>
                    <a:stretch/>
                  </pic:blipFill>
                  <pic:spPr>
                    <a:xfrm rot="5400000">
                      <a:off x="0" y="0"/>
                      <a:ext cx="3730680" cy="4367520"/>
                    </a:xfrm>
                    <a:prstGeom prst="rect">
                      <a:avLst/>
                    </a:prstGeom>
                    <a:ln w="0">
                      <a:noFill/>
                    </a:ln>
                  </pic:spPr>
                </pic:pic>
              </a:graphicData>
            </a:graphic>
          </wp:anchor>
        </w:drawing>
      </w: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02316D">
      <w:pPr>
        <w:pStyle w:val="BodyText"/>
        <w:tabs>
          <w:tab w:val="left" w:pos="1519"/>
        </w:tabs>
        <w:spacing w:before="278" w:after="0" w:line="240" w:lineRule="auto"/>
        <w:jc w:val="both"/>
        <w:rPr>
          <w:rFonts w:ascii="Times New Roman" w:hAnsi="Times New Roman"/>
        </w:rPr>
      </w:pPr>
      <w:r>
        <w:rPr>
          <w:rFonts w:ascii="Times New Roman" w:hAnsi="Times New Roman"/>
        </w:rPr>
        <w:t xml:space="preserve">      </w:t>
      </w:r>
    </w:p>
    <w:p w:rsidR="00B83644" w:rsidRDefault="00B83644">
      <w:pPr>
        <w:pStyle w:val="BodyText"/>
        <w:tabs>
          <w:tab w:val="left" w:pos="1519"/>
        </w:tabs>
        <w:spacing w:before="278" w:after="0" w:line="240" w:lineRule="auto"/>
        <w:jc w:val="both"/>
        <w:rPr>
          <w:rFonts w:ascii="Times New Roman" w:hAnsi="Times New Roman"/>
        </w:rPr>
      </w:pPr>
    </w:p>
    <w:p w:rsidR="00B83644" w:rsidRDefault="00B83644">
      <w:pPr>
        <w:pStyle w:val="BodyText"/>
        <w:tabs>
          <w:tab w:val="left" w:pos="1519"/>
        </w:tabs>
        <w:spacing w:before="278" w:after="0" w:line="240" w:lineRule="auto"/>
        <w:jc w:val="both"/>
        <w:rPr>
          <w:rFonts w:ascii="Times New Roman" w:hAnsi="Times New Roman"/>
        </w:rPr>
      </w:pPr>
    </w:p>
    <w:p w:rsidR="00B83644" w:rsidRDefault="00B83644">
      <w:pPr>
        <w:pStyle w:val="BodyText"/>
        <w:tabs>
          <w:tab w:val="left" w:pos="1519"/>
        </w:tabs>
        <w:spacing w:before="278" w:after="0" w:line="240" w:lineRule="auto"/>
        <w:jc w:val="both"/>
        <w:rPr>
          <w:rFonts w:ascii="Times New Roman" w:hAnsi="Times New Roman"/>
        </w:rPr>
      </w:pPr>
    </w:p>
    <w:p w:rsidR="00B83644" w:rsidRDefault="00B83644">
      <w:pPr>
        <w:pStyle w:val="BodyText"/>
        <w:tabs>
          <w:tab w:val="left" w:pos="1519"/>
        </w:tabs>
        <w:spacing w:before="278" w:after="0" w:line="240" w:lineRule="auto"/>
        <w:jc w:val="both"/>
        <w:rPr>
          <w:rFonts w:ascii="Times New Roman" w:hAnsi="Times New Roman"/>
        </w:rPr>
      </w:pPr>
    </w:p>
    <w:p w:rsidR="00B83644" w:rsidRDefault="00B83644">
      <w:pPr>
        <w:pStyle w:val="BodyText"/>
        <w:tabs>
          <w:tab w:val="left" w:pos="1519"/>
        </w:tabs>
        <w:spacing w:before="278" w:after="0" w:line="240" w:lineRule="auto"/>
        <w:jc w:val="both"/>
        <w:rPr>
          <w:rFonts w:ascii="Times New Roman" w:hAnsi="Times New Roman"/>
        </w:rPr>
      </w:pPr>
    </w:p>
    <w:p w:rsidR="00B83644" w:rsidRDefault="0002316D">
      <w:pPr>
        <w:pStyle w:val="BodyText"/>
        <w:tabs>
          <w:tab w:val="left" w:pos="1519"/>
        </w:tabs>
        <w:spacing w:before="278" w:after="0" w:line="240" w:lineRule="auto"/>
        <w:jc w:val="both"/>
        <w:rPr>
          <w:rFonts w:ascii="Times New Roman" w:hAnsi="Times New Roman"/>
        </w:rPr>
      </w:pPr>
      <w:r>
        <w:rPr>
          <w:rFonts w:ascii="Times New Roman" w:hAnsi="Times New Roman"/>
        </w:rPr>
        <w:lastRenderedPageBreak/>
        <w:t xml:space="preserve">                         </w:t>
      </w:r>
    </w:p>
    <w:p w:rsidR="00B83644" w:rsidRDefault="00B83644">
      <w:pPr>
        <w:pStyle w:val="BodyText"/>
        <w:tabs>
          <w:tab w:val="left" w:pos="1519"/>
        </w:tabs>
        <w:spacing w:before="278" w:after="0" w:line="240" w:lineRule="auto"/>
        <w:jc w:val="both"/>
      </w:pPr>
    </w:p>
    <w:p w:rsidR="00B83644" w:rsidRDefault="00B83644">
      <w:pPr>
        <w:pStyle w:val="BodyText"/>
        <w:tabs>
          <w:tab w:val="left" w:pos="1519"/>
        </w:tabs>
        <w:spacing w:before="278" w:after="0" w:line="240" w:lineRule="auto"/>
        <w:jc w:val="both"/>
        <w:rPr>
          <w:rFonts w:ascii="Arial" w:hAnsi="Arial"/>
          <w:sz w:val="20"/>
          <w:szCs w:val="20"/>
        </w:rPr>
      </w:pPr>
    </w:p>
    <w:p w:rsidR="00B83644" w:rsidRDefault="0002316D">
      <w:pPr>
        <w:pStyle w:val="BodyText"/>
        <w:tabs>
          <w:tab w:val="left" w:pos="1519"/>
        </w:tabs>
        <w:spacing w:before="278" w:after="0" w:line="240" w:lineRule="auto"/>
        <w:jc w:val="both"/>
        <w:rPr>
          <w:rFonts w:ascii="Arial" w:hAnsi="Arial"/>
          <w:sz w:val="20"/>
          <w:szCs w:val="20"/>
        </w:rPr>
      </w:pPr>
      <w:r>
        <w:rPr>
          <w:rFonts w:ascii="Arial" w:hAnsi="Arial"/>
          <w:sz w:val="20"/>
          <w:szCs w:val="20"/>
        </w:rPr>
        <w:t xml:space="preserve">Fig.3: (a). Charts that illustrates the link between the temperature(K) and the debye vibrational energy. </w:t>
      </w:r>
      <w:r>
        <w:rPr>
          <w:rFonts w:ascii="Arial" w:hAnsi="Arial"/>
          <w:color w:val="000000"/>
          <w:sz w:val="20"/>
          <w:szCs w:val="20"/>
        </w:rPr>
        <w:t xml:space="preserve">(b). Illustrates the </w:t>
      </w:r>
      <w:r>
        <w:rPr>
          <w:rFonts w:ascii="Arial" w:hAnsi="Arial"/>
          <w:color w:val="000000"/>
          <w:sz w:val="20"/>
          <w:szCs w:val="20"/>
        </w:rPr>
        <w:t>relationship between temperature (K) and the free energy of debye vibrations. (c). Present Debye entropy, as a function of temperature (K). (d).  Present the correlation between temperature(K) and the Debye heat capacity C</w:t>
      </w:r>
      <w:r>
        <w:rPr>
          <w:rFonts w:ascii="Arial" w:hAnsi="Arial"/>
          <w:color w:val="000000"/>
          <w:sz w:val="20"/>
          <w:szCs w:val="20"/>
          <w:vertAlign w:val="subscript"/>
        </w:rPr>
        <w:t xml:space="preserve">v, </w:t>
      </w:r>
      <w:r>
        <w:rPr>
          <w:rFonts w:ascii="Arial" w:hAnsi="Arial"/>
          <w:color w:val="000000"/>
          <w:sz w:val="20"/>
          <w:szCs w:val="20"/>
        </w:rPr>
        <w:t xml:space="preserve">all in  (KJ/K(Nmol)) </w:t>
      </w:r>
      <w:r>
        <w:rPr>
          <w:rFonts w:ascii="Arial" w:hAnsi="Arial"/>
          <w:color w:val="000000"/>
          <w:sz w:val="20"/>
          <w:szCs w:val="20"/>
        </w:rPr>
        <w:t>respectively.</w:t>
      </w:r>
    </w:p>
    <w:p w:rsidR="00B83644" w:rsidRDefault="00B83644">
      <w:pPr>
        <w:pStyle w:val="BodyText"/>
        <w:tabs>
          <w:tab w:val="left" w:pos="1519"/>
        </w:tabs>
        <w:spacing w:before="278" w:after="0" w:line="360" w:lineRule="auto"/>
        <w:jc w:val="both"/>
        <w:rPr>
          <w:rFonts w:ascii="Times New Roman" w:hAnsi="Times New Roman"/>
        </w:rPr>
      </w:pP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02316D">
      <w:pPr>
        <w:spacing w:line="276" w:lineRule="auto"/>
        <w:jc w:val="both"/>
        <w:rPr>
          <w:rFonts w:ascii="Arial" w:hAnsi="Arial"/>
          <w:sz w:val="20"/>
          <w:szCs w:val="20"/>
        </w:rPr>
      </w:pPr>
      <w:r>
        <w:rPr>
          <w:rFonts w:ascii="Arial" w:hAnsi="Arial"/>
          <w:color w:val="000000"/>
          <w:sz w:val="20"/>
          <w:szCs w:val="20"/>
        </w:rPr>
        <w:t xml:space="preserve">In </w:t>
      </w:r>
      <w:r>
        <w:rPr>
          <w:rFonts w:ascii="Arial" w:hAnsi="Arial"/>
          <w:color w:val="000000"/>
          <w:sz w:val="20"/>
          <w:szCs w:val="20"/>
        </w:rPr>
        <w:t>Figure 3</w:t>
      </w:r>
      <w:r>
        <w:rPr>
          <w:rFonts w:ascii="Arial" w:hAnsi="Arial"/>
          <w:color w:val="000000"/>
          <w:sz w:val="20"/>
          <w:szCs w:val="20"/>
        </w:rPr>
        <w:t>(a)</w:t>
      </w:r>
      <w:r>
        <w:rPr>
          <w:rFonts w:ascii="Arial" w:hAnsi="Arial"/>
          <w:color w:val="000000"/>
          <w:sz w:val="20"/>
          <w:szCs w:val="20"/>
        </w:rPr>
        <w:t xml:space="preserve"> The enthalpy of the system is shown by the debye vibrational energy against the temperature graph. As the temperature rises, enthalpy increases as well, the temperature varies from 0 to 800K. The compound</w:t>
      </w:r>
      <w:r>
        <w:rPr>
          <w:rFonts w:ascii="Arial" w:hAnsi="Arial"/>
          <w:color w:val="000000"/>
          <w:sz w:val="20"/>
          <w:szCs w:val="20"/>
        </w:rPr>
        <w:t xml:space="preserve"> VRuSb possess a greater enthalpy with temperature variation. A unit of thermodynamic measure of energy is enthalpy. It signifies a system's peak thermal power, which is determined by the aggregate of internal free energy and the pressure-volume work. (b):</w:t>
      </w:r>
      <w:r>
        <w:rPr>
          <w:rFonts w:ascii="Arial" w:hAnsi="Arial"/>
          <w:color w:val="000000"/>
          <w:sz w:val="20"/>
          <w:szCs w:val="20"/>
        </w:rPr>
        <w:t xml:space="preserve"> The debye vibrational free energy for the compounds VRhTe, and VRuSb is shown against temperature in the plot. The term “free energy” frequently refers to the quality of energy available to carry-out advantageous tasks within a system. Furthermore, free e</w:t>
      </w:r>
      <w:r>
        <w:rPr>
          <w:rFonts w:ascii="Arial" w:hAnsi="Arial"/>
          <w:color w:val="000000"/>
          <w:sz w:val="20"/>
          <w:szCs w:val="20"/>
        </w:rPr>
        <w:t>nergy is a thermodynamic prospective that depends on the entropy and the inner energy of the system. Consequently, VRuSb has a higher debye vibrational free energy than VRhTe. (c): The chart illustrates debye entropy in relation to temperature. Entropy qua</w:t>
      </w:r>
      <w:r>
        <w:rPr>
          <w:rFonts w:ascii="Arial" w:hAnsi="Arial"/>
          <w:color w:val="000000"/>
          <w:sz w:val="20"/>
          <w:szCs w:val="20"/>
        </w:rPr>
        <w:t>ntifies the degree of variability or dispersion in the energy of the atoms or molecules that make up a system. Consequently, energy get more evenly distributed as entropy increases, resulting in a system that is less organized and more chaotic. Furthermore</w:t>
      </w:r>
      <w:r>
        <w:rPr>
          <w:rFonts w:ascii="Arial" w:hAnsi="Arial"/>
          <w:color w:val="000000"/>
          <w:sz w:val="20"/>
          <w:szCs w:val="20"/>
        </w:rPr>
        <w:t>, a notable feature of thermal systems is their dependence on the quantity of matter, which is employed to determined the degree of order in the system. This inherent characteristic of thermodynamic system indicates that the value fluctuates with the amoun</w:t>
      </w:r>
      <w:r>
        <w:rPr>
          <w:rFonts w:ascii="Arial" w:hAnsi="Arial"/>
          <w:color w:val="000000"/>
          <w:sz w:val="20"/>
          <w:szCs w:val="20"/>
        </w:rPr>
        <w:t>t of material present. There are two possible values for entropy; negative and positive. Consequently, the second law of thermodynamic sates that “a system entropy may only drop if another system entropy increases. (d): The chart present the findings of th</w:t>
      </w:r>
      <w:r>
        <w:rPr>
          <w:rFonts w:ascii="Arial" w:hAnsi="Arial"/>
          <w:color w:val="000000"/>
          <w:sz w:val="20"/>
          <w:szCs w:val="20"/>
        </w:rPr>
        <w:t>e investigation of the heat capabilities of VRuSb, and VRhTe. The dynamic heat capacity for VRhTe, is higher than that of VRuSb.  Consequently, the material exhibits better thermal transformation at the temperature if its debye heat energy is higher. There</w:t>
      </w:r>
      <w:r>
        <w:rPr>
          <w:rFonts w:ascii="Arial" w:hAnsi="Arial"/>
          <w:color w:val="000000"/>
          <w:sz w:val="20"/>
          <w:szCs w:val="20"/>
        </w:rPr>
        <w:t>fore, at low temperatures, the specific heat capacity plot for the two materials VRhTe, and VRuSb demonstrates adherence to the T</w:t>
      </w:r>
      <w:r>
        <w:rPr>
          <w:rFonts w:ascii="Arial" w:hAnsi="Arial"/>
          <w:color w:val="000000"/>
          <w:sz w:val="20"/>
          <w:szCs w:val="20"/>
          <w:vertAlign w:val="superscript"/>
        </w:rPr>
        <w:t>3</w:t>
      </w:r>
      <w:r>
        <w:rPr>
          <w:rFonts w:ascii="Arial" w:hAnsi="Arial"/>
          <w:color w:val="000000"/>
          <w:sz w:val="20"/>
          <w:szCs w:val="20"/>
        </w:rPr>
        <w:t xml:space="preserve"> rule; at higher temperature, it adhere to the law of Dulong and Petit.</w:t>
      </w:r>
    </w:p>
    <w:p w:rsidR="00B83644" w:rsidRDefault="0002316D">
      <w:pPr>
        <w:pStyle w:val="Heading3"/>
        <w:tabs>
          <w:tab w:val="left" w:pos="1519"/>
        </w:tabs>
        <w:spacing w:before="278" w:after="0" w:line="276" w:lineRule="auto"/>
      </w:pPr>
      <w:r>
        <w:rPr>
          <w:rStyle w:val="StrongEmphasis"/>
          <w:rFonts w:ascii="Arial" w:hAnsi="Arial"/>
          <w:b/>
          <w:color w:val="000000"/>
          <w:sz w:val="20"/>
          <w:szCs w:val="20"/>
        </w:rPr>
        <w:t>3.5 Phonon Properties</w:t>
      </w:r>
    </w:p>
    <w:p w:rsidR="00B83644" w:rsidRDefault="0002316D">
      <w:pPr>
        <w:pStyle w:val="BodyText"/>
      </w:pPr>
      <w:r>
        <w:rPr>
          <w:rFonts w:ascii="Arial" w:hAnsi="Arial"/>
          <w:color w:val="000000"/>
          <w:sz w:val="20"/>
          <w:szCs w:val="20"/>
        </w:rPr>
        <w:t xml:space="preserve">The </w:t>
      </w:r>
      <w:r>
        <w:rPr>
          <w:rStyle w:val="StrongEmphasis"/>
          <w:rFonts w:ascii="Arial" w:hAnsi="Arial"/>
          <w:b w:val="0"/>
          <w:bCs w:val="0"/>
          <w:color w:val="000000"/>
          <w:sz w:val="20"/>
          <w:szCs w:val="20"/>
        </w:rPr>
        <w:t>phonon properties</w:t>
      </w:r>
      <w:r>
        <w:rPr>
          <w:rFonts w:ascii="Arial" w:hAnsi="Arial"/>
          <w:color w:val="000000"/>
          <w:sz w:val="20"/>
          <w:szCs w:val="20"/>
        </w:rPr>
        <w:t xml:space="preserve"> of crystal</w:t>
      </w:r>
      <w:r>
        <w:rPr>
          <w:rFonts w:ascii="Arial" w:hAnsi="Arial"/>
          <w:color w:val="000000"/>
          <w:sz w:val="20"/>
          <w:szCs w:val="20"/>
        </w:rPr>
        <w:t xml:space="preserve">line materials provide crucial insight into their </w:t>
      </w:r>
      <w:r>
        <w:rPr>
          <w:rStyle w:val="StrongEmphasis"/>
          <w:rFonts w:ascii="Arial" w:hAnsi="Arial"/>
          <w:b w:val="0"/>
          <w:bCs w:val="0"/>
          <w:color w:val="000000"/>
          <w:sz w:val="20"/>
          <w:szCs w:val="20"/>
        </w:rPr>
        <w:t>lattice dynamics, thermal stability, and thermodynamic behavior</w:t>
      </w:r>
      <w:r>
        <w:rPr>
          <w:rFonts w:ascii="Arial" w:hAnsi="Arial"/>
          <w:color w:val="000000"/>
          <w:sz w:val="20"/>
          <w:szCs w:val="20"/>
        </w:rPr>
        <w:t>. This work estimated the phonon dispersion curves and related phonon density of states (PHDOS) for VRhTe and VRhSb using density functional th</w:t>
      </w:r>
      <w:r>
        <w:rPr>
          <w:rFonts w:ascii="Arial" w:hAnsi="Arial"/>
          <w:color w:val="000000"/>
          <w:sz w:val="20"/>
          <w:szCs w:val="20"/>
        </w:rPr>
        <w:t xml:space="preserve">eory (DFT) based on optimised structures. The results reveal key information about the </w:t>
      </w:r>
      <w:r>
        <w:rPr>
          <w:rStyle w:val="StrongEmphasis"/>
          <w:rFonts w:ascii="Arial" w:hAnsi="Arial"/>
          <w:b w:val="0"/>
          <w:bCs w:val="0"/>
          <w:color w:val="000000"/>
          <w:sz w:val="20"/>
          <w:szCs w:val="20"/>
        </w:rPr>
        <w:t>dynamical stability</w:t>
      </w:r>
      <w:r>
        <w:rPr>
          <w:rFonts w:ascii="Arial" w:hAnsi="Arial"/>
          <w:color w:val="000000"/>
          <w:sz w:val="20"/>
          <w:szCs w:val="20"/>
        </w:rPr>
        <w:t xml:space="preserve"> and </w:t>
      </w:r>
      <w:r>
        <w:rPr>
          <w:rStyle w:val="StrongEmphasis"/>
          <w:rFonts w:ascii="Arial" w:hAnsi="Arial"/>
          <w:b w:val="0"/>
          <w:bCs w:val="0"/>
          <w:color w:val="000000"/>
          <w:sz w:val="20"/>
          <w:szCs w:val="20"/>
        </w:rPr>
        <w:t>vibrational characteristics</w:t>
      </w:r>
      <w:r>
        <w:rPr>
          <w:rFonts w:ascii="Arial" w:hAnsi="Arial"/>
          <w:color w:val="000000"/>
          <w:sz w:val="20"/>
          <w:szCs w:val="20"/>
        </w:rPr>
        <w:t xml:space="preserve"> of both compounds</w:t>
      </w: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02316D">
      <w:pPr>
        <w:pStyle w:val="BodyText"/>
        <w:jc w:val="both"/>
        <w:rPr>
          <w:rFonts w:ascii="Times New Roman" w:hAnsi="Times New Roman"/>
        </w:rPr>
      </w:pPr>
      <w:r>
        <w:rPr>
          <w:rFonts w:ascii="Times New Roman" w:hAnsi="Times New Roman"/>
          <w:noProof/>
        </w:rPr>
        <w:drawing>
          <wp:anchor distT="474980" distB="476885" distL="0" distR="0" simplePos="0" relativeHeight="5" behindDoc="0" locked="0" layoutInCell="0" allowOverlap="1" wp14:anchorId="2BB9D4C1">
            <wp:simplePos x="0" y="0"/>
            <wp:positionH relativeFrom="column">
              <wp:posOffset>984885</wp:posOffset>
            </wp:positionH>
            <wp:positionV relativeFrom="paragraph">
              <wp:posOffset>-169545</wp:posOffset>
            </wp:positionV>
            <wp:extent cx="4040505" cy="4569460"/>
            <wp:effectExtent l="0" t="0" r="13970" b="0"/>
            <wp:wrapSquare wrapText="largest"/>
            <wp:docPr id="10" name="Image3"/>
            <wp:cNvGraphicFramePr/>
            <a:graphic xmlns:a="http://schemas.openxmlformats.org/drawingml/2006/main">
              <a:graphicData uri="http://schemas.openxmlformats.org/drawingml/2006/picture">
                <pic:pic xmlns:pic="http://schemas.openxmlformats.org/drawingml/2006/picture">
                  <pic:nvPicPr>
                    <pic:cNvPr id="11" name="Image3"/>
                    <pic:cNvPicPr/>
                  </pic:nvPicPr>
                  <pic:blipFill>
                    <a:blip r:embed="rId16"/>
                    <a:stretch/>
                  </pic:blipFill>
                  <pic:spPr>
                    <a:xfrm rot="5400000">
                      <a:off x="0" y="0"/>
                      <a:ext cx="4040640" cy="4569480"/>
                    </a:xfrm>
                    <a:prstGeom prst="rect">
                      <a:avLst/>
                    </a:prstGeom>
                    <a:ln w="0">
                      <a:noFill/>
                    </a:ln>
                  </pic:spPr>
                </pic:pic>
              </a:graphicData>
            </a:graphic>
          </wp:anchor>
        </w:drawing>
      </w: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jc w:val="both"/>
        <w:rPr>
          <w:rFonts w:ascii="Times New Roman" w:hAnsi="Times New Roman"/>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tabs>
          <w:tab w:val="left" w:pos="1519"/>
        </w:tabs>
        <w:spacing w:before="278" w:after="0" w:line="240" w:lineRule="auto"/>
        <w:jc w:val="both"/>
        <w:rPr>
          <w:rFonts w:ascii="Century Schoolbook" w:hAnsi="Century Schoolbook"/>
          <w:sz w:val="18"/>
          <w:szCs w:val="18"/>
        </w:rPr>
      </w:pPr>
    </w:p>
    <w:p w:rsidR="00B83644" w:rsidRDefault="00B83644">
      <w:pPr>
        <w:pStyle w:val="BodyText"/>
        <w:jc w:val="both"/>
        <w:rPr>
          <w:rStyle w:val="StrongEmphasis"/>
          <w:rFonts w:ascii="Arial" w:hAnsi="Arial"/>
          <w:b w:val="0"/>
          <w:bCs w:val="0"/>
          <w:sz w:val="20"/>
          <w:szCs w:val="20"/>
        </w:rPr>
      </w:pPr>
    </w:p>
    <w:p w:rsidR="00B83644" w:rsidRDefault="00B83644">
      <w:pPr>
        <w:pStyle w:val="BodyText"/>
        <w:jc w:val="both"/>
        <w:rPr>
          <w:rStyle w:val="StrongEmphasis"/>
          <w:rFonts w:ascii="Arial" w:hAnsi="Arial"/>
          <w:b w:val="0"/>
          <w:bCs w:val="0"/>
          <w:sz w:val="20"/>
          <w:szCs w:val="20"/>
        </w:rPr>
      </w:pPr>
    </w:p>
    <w:p w:rsidR="00B83644" w:rsidRDefault="0002316D">
      <w:pPr>
        <w:pStyle w:val="BodyText"/>
        <w:jc w:val="both"/>
      </w:pPr>
      <w:r>
        <w:rPr>
          <w:rStyle w:val="StrongEmphasis"/>
          <w:rFonts w:ascii="Arial" w:hAnsi="Arial"/>
          <w:b w:val="0"/>
          <w:bCs w:val="0"/>
          <w:sz w:val="20"/>
          <w:szCs w:val="20"/>
        </w:rPr>
        <w:t xml:space="preserve">Fig. 4: The phonon dispersion relations and </w:t>
      </w:r>
      <w:r>
        <w:rPr>
          <w:rStyle w:val="StrongEmphasis"/>
          <w:rFonts w:ascii="Arial" w:hAnsi="Arial"/>
          <w:b w:val="0"/>
          <w:bCs w:val="0"/>
          <w:color w:val="000000"/>
          <w:sz w:val="20"/>
          <w:szCs w:val="20"/>
        </w:rPr>
        <w:t xml:space="preserve"> Phonon Density of States (PDOS)  for VRhTe</w:t>
      </w:r>
      <w:r>
        <w:rPr>
          <w:rStyle w:val="StrongEmphasis"/>
          <w:rFonts w:ascii="Arial" w:hAnsi="Arial"/>
          <w:b w:val="0"/>
          <w:bCs w:val="0"/>
          <w:sz w:val="20"/>
          <w:szCs w:val="20"/>
        </w:rPr>
        <w:t xml:space="preserve"> </w:t>
      </w: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02316D">
      <w:pPr>
        <w:pStyle w:val="BodyText"/>
        <w:jc w:val="both"/>
        <w:rPr>
          <w:rStyle w:val="StrongEmphasis"/>
          <w:b w:val="0"/>
          <w:bCs w:val="0"/>
        </w:rPr>
      </w:pPr>
      <w:r>
        <w:rPr>
          <w:noProof/>
        </w:rPr>
        <w:drawing>
          <wp:anchor distT="635" distB="0" distL="0" distR="0" simplePos="0" relativeHeight="6" behindDoc="0" locked="0" layoutInCell="0" allowOverlap="1" wp14:anchorId="5EC82A28">
            <wp:simplePos x="0" y="0"/>
            <wp:positionH relativeFrom="column">
              <wp:posOffset>1604645</wp:posOffset>
            </wp:positionH>
            <wp:positionV relativeFrom="paragraph">
              <wp:posOffset>-765175</wp:posOffset>
            </wp:positionV>
            <wp:extent cx="3218815" cy="4713605"/>
            <wp:effectExtent l="0" t="0" r="20955" b="0"/>
            <wp:wrapSquare wrapText="largest"/>
            <wp:docPr id="12" name="Image4"/>
            <wp:cNvGraphicFramePr/>
            <a:graphic xmlns:a="http://schemas.openxmlformats.org/drawingml/2006/main">
              <a:graphicData uri="http://schemas.openxmlformats.org/drawingml/2006/picture">
                <pic:pic xmlns:pic="http://schemas.openxmlformats.org/drawingml/2006/picture">
                  <pic:nvPicPr>
                    <pic:cNvPr id="13" name="Image4"/>
                    <pic:cNvPicPr/>
                  </pic:nvPicPr>
                  <pic:blipFill>
                    <a:blip r:embed="rId17"/>
                    <a:stretch/>
                  </pic:blipFill>
                  <pic:spPr>
                    <a:xfrm rot="5400000">
                      <a:off x="0" y="0"/>
                      <a:ext cx="3218760" cy="4713480"/>
                    </a:xfrm>
                    <a:prstGeom prst="rect">
                      <a:avLst/>
                    </a:prstGeom>
                    <a:ln w="0">
                      <a:noFill/>
                    </a:ln>
                  </pic:spPr>
                </pic:pic>
              </a:graphicData>
            </a:graphic>
          </wp:anchor>
        </w:drawing>
      </w: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b w:val="0"/>
          <w:bCs w:val="0"/>
        </w:rPr>
      </w:pPr>
    </w:p>
    <w:p w:rsidR="00B83644" w:rsidRDefault="00B83644">
      <w:pPr>
        <w:pStyle w:val="BodyText"/>
        <w:jc w:val="both"/>
        <w:rPr>
          <w:rStyle w:val="StrongEmphasis"/>
        </w:rPr>
      </w:pPr>
    </w:p>
    <w:p w:rsidR="00B83644" w:rsidRDefault="00B83644">
      <w:pPr>
        <w:pStyle w:val="BodyText"/>
        <w:jc w:val="both"/>
        <w:rPr>
          <w:rStyle w:val="StrongEmphasis"/>
        </w:rPr>
      </w:pPr>
    </w:p>
    <w:p w:rsidR="00B83644" w:rsidRDefault="00B83644">
      <w:pPr>
        <w:pStyle w:val="Heading3"/>
        <w:jc w:val="both"/>
        <w:rPr>
          <w:rStyle w:val="StrongEmphasis"/>
        </w:rPr>
      </w:pPr>
    </w:p>
    <w:p w:rsidR="00B83644" w:rsidRDefault="00B83644">
      <w:pPr>
        <w:pStyle w:val="BodyText"/>
        <w:spacing w:line="360" w:lineRule="auto"/>
        <w:jc w:val="both"/>
        <w:rPr>
          <w:rStyle w:val="StrongEmphasis"/>
          <w:rFonts w:ascii="Times New Roman" w:hAnsi="Times New Roman"/>
        </w:rPr>
      </w:pPr>
    </w:p>
    <w:p w:rsidR="00B83644" w:rsidRDefault="00B83644">
      <w:pPr>
        <w:pStyle w:val="BodyText"/>
        <w:spacing w:line="360" w:lineRule="auto"/>
        <w:jc w:val="both"/>
        <w:rPr>
          <w:rStyle w:val="StrongEmphasis"/>
          <w:rFonts w:ascii="Times New Roman" w:hAnsi="Times New Roman"/>
        </w:rPr>
      </w:pPr>
    </w:p>
    <w:p w:rsidR="00B83644" w:rsidRDefault="00B83644">
      <w:pPr>
        <w:pStyle w:val="BodyText"/>
        <w:spacing w:line="360" w:lineRule="auto"/>
        <w:jc w:val="both"/>
        <w:rPr>
          <w:rStyle w:val="StrongEmphasis"/>
          <w:rFonts w:ascii="Times New Roman" w:hAnsi="Times New Roman"/>
          <w:b w:val="0"/>
          <w:bCs w:val="0"/>
        </w:rPr>
      </w:pPr>
    </w:p>
    <w:p w:rsidR="00B83644" w:rsidRDefault="00B83644">
      <w:pPr>
        <w:pStyle w:val="BodyText"/>
        <w:spacing w:line="360" w:lineRule="auto"/>
        <w:jc w:val="both"/>
        <w:rPr>
          <w:rStyle w:val="StrongEmphasis"/>
          <w:rFonts w:ascii="Arial" w:hAnsi="Arial"/>
          <w:b w:val="0"/>
          <w:bCs w:val="0"/>
          <w:sz w:val="20"/>
          <w:szCs w:val="20"/>
        </w:rPr>
      </w:pPr>
    </w:p>
    <w:p w:rsidR="00B83644" w:rsidRDefault="0002316D">
      <w:pPr>
        <w:pStyle w:val="BodyText"/>
        <w:spacing w:line="360" w:lineRule="auto"/>
        <w:jc w:val="both"/>
      </w:pPr>
      <w:r>
        <w:rPr>
          <w:rStyle w:val="StrongEmphasis"/>
          <w:rFonts w:ascii="Arial" w:hAnsi="Arial"/>
          <w:b w:val="0"/>
          <w:bCs w:val="0"/>
          <w:sz w:val="20"/>
          <w:szCs w:val="20"/>
        </w:rPr>
        <w:t>Fig. 5</w:t>
      </w:r>
      <w:r>
        <w:rPr>
          <w:rStyle w:val="StrongEmphasis"/>
          <w:rFonts w:ascii="Arial" w:hAnsi="Arial"/>
          <w:b w:val="0"/>
          <w:bCs w:val="0"/>
          <w:sz w:val="20"/>
          <w:szCs w:val="20"/>
        </w:rPr>
        <w:t xml:space="preserve">a &amp; 5b:  </w:t>
      </w:r>
      <w:r>
        <w:rPr>
          <w:rStyle w:val="StrongEmphasis"/>
          <w:rFonts w:ascii="Arial" w:hAnsi="Arial"/>
          <w:b w:val="0"/>
          <w:bCs w:val="0"/>
          <w:color w:val="000000"/>
          <w:sz w:val="20"/>
          <w:szCs w:val="20"/>
        </w:rPr>
        <w:t>The Phonon Density of States (PDOS) and phonon dispersion relations for VRuSb.</w:t>
      </w:r>
    </w:p>
    <w:p w:rsidR="00B83644" w:rsidRDefault="00B83644">
      <w:pPr>
        <w:sectPr w:rsidR="00B83644">
          <w:type w:val="continuous"/>
          <w:pgSz w:w="11906" w:h="16838"/>
          <w:pgMar w:top="1134" w:right="1134" w:bottom="1693" w:left="1134" w:header="0" w:footer="1134" w:gutter="0"/>
          <w:cols w:space="720"/>
          <w:formProt w:val="0"/>
          <w:docGrid w:linePitch="100"/>
        </w:sectPr>
      </w:pPr>
    </w:p>
    <w:p w:rsidR="00B83644" w:rsidRDefault="0002316D">
      <w:pPr>
        <w:pStyle w:val="BodyText"/>
        <w:jc w:val="both"/>
      </w:pPr>
      <w:r>
        <w:rPr>
          <w:rStyle w:val="StrongEmphasis"/>
          <w:rFonts w:ascii="Arial" w:hAnsi="Arial"/>
          <w:b w:val="0"/>
          <w:bCs w:val="0"/>
          <w:color w:val="000000"/>
          <w:sz w:val="20"/>
          <w:szCs w:val="20"/>
        </w:rPr>
        <w:t xml:space="preserve">Positive phonon frequencies are present in both compounds over the whole Brillouin zone, with no imaginary modes, predicting their dynamical stability at ambient pressure and zero temperature. </w:t>
      </w:r>
    </w:p>
    <w:p w:rsidR="00B83644" w:rsidRDefault="0002316D">
      <w:pPr>
        <w:pStyle w:val="BodyText"/>
        <w:jc w:val="both"/>
      </w:pPr>
      <w:r>
        <w:rPr>
          <w:rStyle w:val="StrongEmphasis"/>
          <w:rFonts w:ascii="Arial" w:hAnsi="Arial"/>
          <w:b w:val="0"/>
          <w:bCs w:val="0"/>
          <w:color w:val="000000"/>
          <w:sz w:val="20"/>
          <w:szCs w:val="20"/>
        </w:rPr>
        <w:t xml:space="preserve">In both systems, the acoustic phonon branches show smooth </w:t>
      </w:r>
      <w:r>
        <w:rPr>
          <w:rStyle w:val="StrongEmphasis"/>
          <w:rFonts w:ascii="Arial" w:hAnsi="Arial"/>
          <w:b w:val="0"/>
          <w:bCs w:val="0"/>
          <w:color w:val="000000"/>
          <w:sz w:val="20"/>
          <w:szCs w:val="20"/>
        </w:rPr>
        <w:t>dispersion from the Γ-point, indicating strong interatomic bonding and uniform lattice interactions. The optical branches are more pronounced in VRhSb on account of heavier atomic mass of Sb contrast to Te, which causes a downward shift in phonon frequenci</w:t>
      </w:r>
      <w:r>
        <w:rPr>
          <w:rStyle w:val="StrongEmphasis"/>
          <w:rFonts w:ascii="Arial" w:hAnsi="Arial"/>
          <w:b w:val="0"/>
          <w:bCs w:val="0"/>
          <w:color w:val="000000"/>
          <w:sz w:val="20"/>
          <w:szCs w:val="20"/>
        </w:rPr>
        <w:t>es and a narrower band gap between acoustic and optical modes.</w:t>
      </w:r>
    </w:p>
    <w:p w:rsidR="00B83644" w:rsidRDefault="0002316D">
      <w:pPr>
        <w:pStyle w:val="BodyText"/>
        <w:tabs>
          <w:tab w:val="left" w:pos="1519"/>
        </w:tabs>
        <w:spacing w:before="221" w:after="0"/>
        <w:jc w:val="both"/>
      </w:pPr>
      <w:r>
        <w:rPr>
          <w:rFonts w:ascii="Arial" w:hAnsi="Arial"/>
          <w:color w:val="000000"/>
          <w:sz w:val="20"/>
          <w:szCs w:val="20"/>
        </w:rPr>
        <w:t xml:space="preserve">The phonon dissemination curve is position in the inner symmetry area of </w:t>
      </w:r>
      <w:r>
        <w:rPr>
          <w:rFonts w:ascii="Arial" w:hAnsi="Arial"/>
          <w:color w:val="000000"/>
          <w:sz w:val="20"/>
          <w:szCs w:val="20"/>
        </w:rPr>
        <w:t>𝛤</w:t>
      </w:r>
      <w:r>
        <w:rPr>
          <w:rFonts w:ascii="Arial" w:hAnsi="Arial"/>
          <w:color w:val="000000"/>
          <w:sz w:val="20"/>
          <w:szCs w:val="20"/>
        </w:rPr>
        <w:t xml:space="preserve"> − </w:t>
      </w:r>
      <w:r>
        <w:rPr>
          <w:rFonts w:ascii="Arial" w:hAnsi="Arial"/>
          <w:color w:val="000000"/>
          <w:sz w:val="20"/>
          <w:szCs w:val="20"/>
        </w:rPr>
        <w:t>𝑋</w:t>
      </w:r>
      <w:r>
        <w:rPr>
          <w:rFonts w:ascii="Arial" w:hAnsi="Arial"/>
          <w:color w:val="000000"/>
          <w:sz w:val="20"/>
          <w:szCs w:val="20"/>
        </w:rPr>
        <w:t xml:space="preserve"> − K − </w:t>
      </w:r>
      <w:r>
        <w:rPr>
          <w:rFonts w:ascii="Arial" w:hAnsi="Arial"/>
          <w:color w:val="000000"/>
          <w:sz w:val="20"/>
          <w:szCs w:val="20"/>
        </w:rPr>
        <w:t>𝛤</w:t>
      </w:r>
      <w:r>
        <w:rPr>
          <w:rFonts w:ascii="Arial" w:hAnsi="Arial"/>
          <w:color w:val="000000"/>
          <w:sz w:val="20"/>
          <w:szCs w:val="20"/>
        </w:rPr>
        <w:t xml:space="preserve"> − L − W − </w:t>
      </w:r>
      <w:r>
        <w:rPr>
          <w:rFonts w:ascii="Arial" w:hAnsi="Arial"/>
          <w:color w:val="000000"/>
          <w:sz w:val="20"/>
          <w:szCs w:val="20"/>
        </w:rPr>
        <w:t>𝑋</w:t>
      </w:r>
      <w:r>
        <w:rPr>
          <w:rFonts w:ascii="Arial" w:hAnsi="Arial"/>
          <w:color w:val="000000"/>
          <w:sz w:val="20"/>
          <w:szCs w:val="20"/>
        </w:rPr>
        <w:t>, as seen in Fig. 4(a). The primeval cells contained three components: V, Rh, and Te. The c</w:t>
      </w:r>
      <w:r>
        <w:rPr>
          <w:rFonts w:ascii="Arial" w:hAnsi="Arial"/>
          <w:color w:val="000000"/>
          <w:sz w:val="20"/>
          <w:szCs w:val="20"/>
        </w:rPr>
        <w:t xml:space="preserve">urves presents 9 vibrational modes; the first 3 are from the acoustic, while the other 6 are from the optical branches. Consequently, the frequencies of the acoustic modes ranges from around 0 and 85 cm⁻¹. The frequencies displaced by the optical branches </w:t>
      </w:r>
      <w:r>
        <w:rPr>
          <w:rFonts w:ascii="Arial" w:hAnsi="Arial"/>
          <w:color w:val="000000"/>
          <w:sz w:val="20"/>
          <w:szCs w:val="20"/>
        </w:rPr>
        <w:t>also ranges from around 75 and 265 cm⁻¹. Therefore, the band gap between the two modes is about 80 cm⁻¹. The lowest optical modes spread from roughly 75 to 150cm</w:t>
      </w:r>
      <w:r>
        <w:rPr>
          <w:rFonts w:ascii="Arial" w:hAnsi="Arial"/>
          <w:color w:val="000000"/>
          <w:sz w:val="20"/>
          <w:szCs w:val="20"/>
          <w:vertAlign w:val="superscript"/>
        </w:rPr>
        <w:t>-1</w:t>
      </w:r>
      <w:r>
        <w:rPr>
          <w:rFonts w:ascii="Arial" w:hAnsi="Arial"/>
          <w:color w:val="000000"/>
          <w:sz w:val="20"/>
          <w:szCs w:val="20"/>
        </w:rPr>
        <w:t>, and the highest optical modes expand from roughly 230 to 265cm</w:t>
      </w:r>
      <w:r>
        <w:rPr>
          <w:rFonts w:ascii="Arial" w:hAnsi="Arial"/>
          <w:color w:val="000000"/>
          <w:sz w:val="20"/>
          <w:szCs w:val="20"/>
          <w:vertAlign w:val="superscript"/>
        </w:rPr>
        <w:t>-1</w:t>
      </w:r>
      <w:r>
        <w:rPr>
          <w:rFonts w:ascii="Arial" w:hAnsi="Arial"/>
          <w:color w:val="000000"/>
          <w:sz w:val="20"/>
          <w:szCs w:val="20"/>
        </w:rPr>
        <w:t>. Every modes stand for ant</w:t>
      </w:r>
      <w:r>
        <w:rPr>
          <w:rFonts w:ascii="Arial" w:hAnsi="Arial"/>
          <w:color w:val="000000"/>
          <w:sz w:val="20"/>
          <w:szCs w:val="20"/>
        </w:rPr>
        <w:t>om in the unit cell. Also 3 phonon branches often controlled the atom with the highest atomic mass, Te – 127.6g/mol. Simultaneously, the lowest optical mode is predominantly influenced by the lowest atomic mass, specifically V ~ 50.9415 g/mol. Furthermore,</w:t>
      </w:r>
      <w:r>
        <w:rPr>
          <w:rFonts w:ascii="Arial" w:hAnsi="Arial"/>
          <w:color w:val="000000"/>
          <w:sz w:val="20"/>
          <w:szCs w:val="20"/>
        </w:rPr>
        <w:t xml:space="preserve"> VRhTe exhibits no imaginary frequencies throughout the Brillouin zone, thereby confirming its dynamical stability. The separation of acoustic  from optical branches is a crucial characteristic of half-heusler alloys. Additionally, in Fig.4(b), the </w:t>
      </w:r>
      <w:r>
        <w:rPr>
          <w:rStyle w:val="StrongEmphasis"/>
          <w:rFonts w:ascii="Arial" w:hAnsi="Arial"/>
          <w:b w:val="0"/>
          <w:bCs w:val="0"/>
          <w:color w:val="000000"/>
          <w:sz w:val="20"/>
          <w:szCs w:val="20"/>
        </w:rPr>
        <w:t>PHDOS</w:t>
      </w:r>
      <w:r>
        <w:rPr>
          <w:rFonts w:ascii="Arial" w:hAnsi="Arial"/>
          <w:color w:val="000000"/>
          <w:sz w:val="20"/>
          <w:szCs w:val="20"/>
        </w:rPr>
        <w:t xml:space="preserve"> o</w:t>
      </w:r>
      <w:r>
        <w:rPr>
          <w:rFonts w:ascii="Arial" w:hAnsi="Arial"/>
          <w:color w:val="000000"/>
          <w:sz w:val="20"/>
          <w:szCs w:val="20"/>
        </w:rPr>
        <w:t xml:space="preserve">ffers additional insight into which atoms contribute most to the lattice vibrations. The </w:t>
      </w:r>
      <w:r>
        <w:rPr>
          <w:rStyle w:val="StrongEmphasis"/>
          <w:rFonts w:ascii="Arial" w:hAnsi="Arial"/>
          <w:b w:val="0"/>
          <w:bCs w:val="0"/>
          <w:color w:val="000000"/>
          <w:sz w:val="20"/>
          <w:szCs w:val="20"/>
        </w:rPr>
        <w:t>low-frequency region of roughly (0 to 155 cm</w:t>
      </w:r>
      <w:r>
        <w:rPr>
          <w:rStyle w:val="StrongEmphasis"/>
          <w:rFonts w:ascii="Arial" w:hAnsi="Arial"/>
          <w:b w:val="0"/>
          <w:bCs w:val="0"/>
          <w:color w:val="000000"/>
          <w:sz w:val="20"/>
          <w:szCs w:val="20"/>
          <w:vertAlign w:val="superscript"/>
        </w:rPr>
        <w:t>-1</w:t>
      </w:r>
      <w:r>
        <w:rPr>
          <w:rStyle w:val="StrongEmphasis"/>
          <w:rFonts w:ascii="Arial" w:hAnsi="Arial"/>
          <w:b w:val="0"/>
          <w:bCs w:val="0"/>
          <w:color w:val="000000"/>
          <w:sz w:val="20"/>
          <w:szCs w:val="20"/>
        </w:rPr>
        <w:t>)</w:t>
      </w:r>
      <w:r>
        <w:rPr>
          <w:rFonts w:ascii="Arial" w:hAnsi="Arial"/>
          <w:color w:val="000000"/>
          <w:sz w:val="20"/>
          <w:szCs w:val="20"/>
        </w:rPr>
        <w:t xml:space="preserve"> is </w:t>
      </w:r>
      <w:r>
        <w:rPr>
          <w:rFonts w:ascii="Arial" w:hAnsi="Arial"/>
          <w:color w:val="000000"/>
          <w:sz w:val="20"/>
          <w:szCs w:val="20"/>
        </w:rPr>
        <w:lastRenderedPageBreak/>
        <w:t xml:space="preserve">primarily influenced by vibrations of </w:t>
      </w:r>
      <w:r>
        <w:rPr>
          <w:rStyle w:val="StrongEmphasis"/>
          <w:rFonts w:ascii="Arial" w:hAnsi="Arial"/>
          <w:b w:val="0"/>
          <w:bCs w:val="0"/>
          <w:color w:val="000000"/>
          <w:sz w:val="20"/>
          <w:szCs w:val="20"/>
        </w:rPr>
        <w:t>Rh,</w:t>
      </w:r>
      <w:r>
        <w:rPr>
          <w:rFonts w:ascii="Arial" w:hAnsi="Arial"/>
          <w:color w:val="000000"/>
          <w:sz w:val="20"/>
          <w:szCs w:val="20"/>
        </w:rPr>
        <w:t xml:space="preserve"> and </w:t>
      </w:r>
      <w:r>
        <w:rPr>
          <w:rStyle w:val="StrongEmphasis"/>
          <w:rFonts w:ascii="Arial" w:hAnsi="Arial"/>
          <w:b w:val="0"/>
          <w:bCs w:val="0"/>
          <w:color w:val="000000"/>
          <w:sz w:val="20"/>
          <w:szCs w:val="20"/>
        </w:rPr>
        <w:t xml:space="preserve">V. In contrast, </w:t>
      </w:r>
      <w:r>
        <w:rPr>
          <w:rFonts w:ascii="Arial" w:hAnsi="Arial"/>
          <w:color w:val="000000"/>
          <w:sz w:val="20"/>
          <w:szCs w:val="20"/>
        </w:rPr>
        <w:t xml:space="preserve"> Te atoms play a substantial role in the mid and high </w:t>
      </w:r>
      <w:r>
        <w:rPr>
          <w:rFonts w:ascii="Arial" w:hAnsi="Arial"/>
          <w:color w:val="000000"/>
          <w:sz w:val="20"/>
          <w:szCs w:val="20"/>
        </w:rPr>
        <w:t>frequency modes, specifically between 230 and 265cm</w:t>
      </w:r>
      <w:r>
        <w:rPr>
          <w:rFonts w:ascii="Arial" w:hAnsi="Arial"/>
          <w:color w:val="000000"/>
          <w:sz w:val="20"/>
          <w:szCs w:val="20"/>
          <w:vertAlign w:val="superscript"/>
        </w:rPr>
        <w:t>-1</w:t>
      </w:r>
      <w:r>
        <w:rPr>
          <w:rFonts w:ascii="Arial" w:hAnsi="Arial"/>
          <w:color w:val="000000"/>
          <w:sz w:val="20"/>
          <w:szCs w:val="20"/>
        </w:rPr>
        <w:t>, attributed to their lighter mass and elevated vibrational frequencies.</w:t>
      </w:r>
    </w:p>
    <w:p w:rsidR="00B83644" w:rsidRDefault="0002316D">
      <w:pPr>
        <w:pStyle w:val="BodyText"/>
        <w:tabs>
          <w:tab w:val="left" w:pos="1519"/>
        </w:tabs>
        <w:spacing w:before="278" w:after="0"/>
        <w:jc w:val="both"/>
      </w:pPr>
      <w:r>
        <w:rPr>
          <w:rStyle w:val="StrongEmphasis"/>
          <w:rFonts w:ascii="Arial" w:hAnsi="Arial"/>
          <w:b w:val="0"/>
          <w:bCs w:val="0"/>
          <w:color w:val="000000"/>
          <w:sz w:val="20"/>
          <w:szCs w:val="20"/>
        </w:rPr>
        <w:t xml:space="preserve">The phonon dispersion curve is pinpoint within the symmetry region of </w:t>
      </w:r>
      <w:r>
        <w:rPr>
          <w:rStyle w:val="StrongEmphasis"/>
          <w:rFonts w:ascii="Arial" w:hAnsi="Arial"/>
          <w:b w:val="0"/>
          <w:bCs w:val="0"/>
          <w:color w:val="000000"/>
          <w:sz w:val="20"/>
          <w:szCs w:val="20"/>
        </w:rPr>
        <w:t>𝛤</w:t>
      </w:r>
      <w:r>
        <w:rPr>
          <w:rStyle w:val="StrongEmphasis"/>
          <w:rFonts w:ascii="Arial" w:hAnsi="Arial"/>
          <w:b w:val="0"/>
          <w:bCs w:val="0"/>
          <w:color w:val="000000"/>
          <w:sz w:val="20"/>
          <w:szCs w:val="20"/>
        </w:rPr>
        <w:t xml:space="preserve"> − </w:t>
      </w:r>
      <w:r>
        <w:rPr>
          <w:rStyle w:val="StrongEmphasis"/>
          <w:rFonts w:ascii="Arial" w:hAnsi="Arial"/>
          <w:b w:val="0"/>
          <w:bCs w:val="0"/>
          <w:color w:val="000000"/>
          <w:sz w:val="20"/>
          <w:szCs w:val="20"/>
        </w:rPr>
        <w:t>𝑋</w:t>
      </w:r>
      <w:r>
        <w:rPr>
          <w:rStyle w:val="StrongEmphasis"/>
          <w:rFonts w:ascii="Arial" w:hAnsi="Arial"/>
          <w:b w:val="0"/>
          <w:bCs w:val="0"/>
          <w:color w:val="000000"/>
          <w:sz w:val="20"/>
          <w:szCs w:val="20"/>
        </w:rPr>
        <w:t xml:space="preserve"> − K − </w:t>
      </w:r>
      <w:r>
        <w:rPr>
          <w:rStyle w:val="StrongEmphasis"/>
          <w:rFonts w:ascii="Arial" w:hAnsi="Arial"/>
          <w:b w:val="0"/>
          <w:bCs w:val="0"/>
          <w:color w:val="000000"/>
          <w:sz w:val="20"/>
          <w:szCs w:val="20"/>
        </w:rPr>
        <w:t>𝛤</w:t>
      </w:r>
      <w:r>
        <w:rPr>
          <w:rStyle w:val="StrongEmphasis"/>
          <w:rFonts w:ascii="Arial" w:hAnsi="Arial"/>
          <w:b w:val="0"/>
          <w:bCs w:val="0"/>
          <w:color w:val="000000"/>
          <w:sz w:val="20"/>
          <w:szCs w:val="20"/>
        </w:rPr>
        <w:t xml:space="preserve"> − L − W − </w:t>
      </w:r>
      <w:r>
        <w:rPr>
          <w:rStyle w:val="StrongEmphasis"/>
          <w:rFonts w:ascii="Arial" w:hAnsi="Arial"/>
          <w:b w:val="0"/>
          <w:bCs w:val="0"/>
          <w:color w:val="000000"/>
          <w:sz w:val="20"/>
          <w:szCs w:val="20"/>
        </w:rPr>
        <w:t>𝑋</w:t>
      </w:r>
      <w:r>
        <w:rPr>
          <w:rStyle w:val="StrongEmphasis"/>
          <w:rFonts w:ascii="Arial" w:hAnsi="Arial"/>
          <w:b w:val="0"/>
          <w:bCs w:val="0"/>
          <w:color w:val="000000"/>
          <w:sz w:val="20"/>
          <w:szCs w:val="20"/>
        </w:rPr>
        <w:t>, as seen in Fig. 5(a). The pri</w:t>
      </w:r>
      <w:r>
        <w:rPr>
          <w:rStyle w:val="StrongEmphasis"/>
          <w:rFonts w:ascii="Arial" w:hAnsi="Arial"/>
          <w:b w:val="0"/>
          <w:bCs w:val="0"/>
          <w:color w:val="000000"/>
          <w:sz w:val="20"/>
          <w:szCs w:val="20"/>
        </w:rPr>
        <w:t xml:space="preserve">mordial cells consist of three components: V, Ru, and Sb. The curves exhibit 9 vibrational modes, with the first 3 arising from acoustic branches, while the latter 6 represent optical branches. The frequency of the acoustic modes span from approximately 0 </w:t>
      </w:r>
      <w:r>
        <w:rPr>
          <w:rStyle w:val="StrongEmphasis"/>
          <w:rFonts w:ascii="Arial" w:hAnsi="Arial"/>
          <w:b w:val="0"/>
          <w:bCs w:val="0"/>
          <w:color w:val="000000"/>
          <w:sz w:val="20"/>
          <w:szCs w:val="20"/>
        </w:rPr>
        <w:t>to 150cm</w:t>
      </w:r>
      <w:r>
        <w:rPr>
          <w:rStyle w:val="StrongEmphasis"/>
          <w:rFonts w:ascii="Arial" w:hAnsi="Arial"/>
          <w:b w:val="0"/>
          <w:bCs w:val="0"/>
          <w:color w:val="000000"/>
          <w:sz w:val="20"/>
          <w:szCs w:val="20"/>
          <w:vertAlign w:val="superscript"/>
        </w:rPr>
        <w:t>-1</w:t>
      </w:r>
      <w:r>
        <w:rPr>
          <w:rStyle w:val="StrongEmphasis"/>
          <w:rFonts w:ascii="Arial" w:hAnsi="Arial"/>
          <w:b w:val="0"/>
          <w:bCs w:val="0"/>
          <w:color w:val="000000"/>
          <w:sz w:val="20"/>
          <w:szCs w:val="20"/>
        </w:rPr>
        <w:t>. Meanwhile, the optical branches display frequencies ranging from around 125 to 265cm</w:t>
      </w:r>
      <w:r>
        <w:rPr>
          <w:rStyle w:val="StrongEmphasis"/>
          <w:rFonts w:ascii="Arial" w:hAnsi="Arial"/>
          <w:b w:val="0"/>
          <w:bCs w:val="0"/>
          <w:color w:val="000000"/>
          <w:sz w:val="20"/>
          <w:szCs w:val="20"/>
          <w:vertAlign w:val="superscript"/>
        </w:rPr>
        <w:t>-1</w:t>
      </w:r>
      <w:r>
        <w:rPr>
          <w:rStyle w:val="StrongEmphasis"/>
          <w:rFonts w:ascii="Arial" w:hAnsi="Arial"/>
          <w:b w:val="0"/>
          <w:bCs w:val="0"/>
          <w:color w:val="000000"/>
          <w:sz w:val="20"/>
          <w:szCs w:val="20"/>
        </w:rPr>
        <w:t>. Additionally, the two optical mode did not present a band gap; there interject through the acoustic path. The lowest optical modes spread through 150cm</w:t>
      </w:r>
      <w:r>
        <w:rPr>
          <w:rStyle w:val="StrongEmphasis"/>
          <w:rFonts w:ascii="Arial" w:hAnsi="Arial"/>
          <w:b w:val="0"/>
          <w:bCs w:val="0"/>
          <w:color w:val="000000"/>
          <w:sz w:val="20"/>
          <w:szCs w:val="20"/>
          <w:vertAlign w:val="superscript"/>
        </w:rPr>
        <w:t>-1</w:t>
      </w:r>
      <w:r>
        <w:rPr>
          <w:rStyle w:val="StrongEmphasis"/>
          <w:rFonts w:ascii="Arial" w:hAnsi="Arial"/>
          <w:b w:val="0"/>
          <w:bCs w:val="0"/>
          <w:color w:val="000000"/>
          <w:sz w:val="20"/>
          <w:szCs w:val="20"/>
        </w:rPr>
        <w:t xml:space="preserve"> to</w:t>
      </w:r>
      <w:r>
        <w:rPr>
          <w:rStyle w:val="StrongEmphasis"/>
          <w:rFonts w:ascii="Arial" w:hAnsi="Arial"/>
          <w:b w:val="0"/>
          <w:bCs w:val="0"/>
          <w:color w:val="000000"/>
          <w:sz w:val="20"/>
          <w:szCs w:val="20"/>
        </w:rPr>
        <w:t xml:space="preserve"> 230cm</w:t>
      </w:r>
      <w:r>
        <w:rPr>
          <w:rStyle w:val="StrongEmphasis"/>
          <w:rFonts w:ascii="Arial" w:hAnsi="Arial"/>
          <w:b w:val="0"/>
          <w:bCs w:val="0"/>
          <w:color w:val="000000"/>
          <w:sz w:val="20"/>
          <w:szCs w:val="20"/>
          <w:vertAlign w:val="superscript"/>
        </w:rPr>
        <w:t>-1</w:t>
      </w:r>
      <w:r>
        <w:rPr>
          <w:rStyle w:val="StrongEmphasis"/>
          <w:rFonts w:ascii="Arial" w:hAnsi="Arial"/>
          <w:b w:val="0"/>
          <w:bCs w:val="0"/>
          <w:color w:val="000000"/>
          <w:sz w:val="20"/>
          <w:szCs w:val="20"/>
        </w:rPr>
        <w:t>, whereas the greater optical modes ranges more or less than 225cm</w:t>
      </w:r>
      <w:r>
        <w:rPr>
          <w:rStyle w:val="StrongEmphasis"/>
          <w:rFonts w:ascii="Arial" w:hAnsi="Arial"/>
          <w:b w:val="0"/>
          <w:bCs w:val="0"/>
          <w:color w:val="000000"/>
          <w:sz w:val="20"/>
          <w:szCs w:val="20"/>
          <w:vertAlign w:val="superscript"/>
        </w:rPr>
        <w:t>-1</w:t>
      </w:r>
      <w:r>
        <w:rPr>
          <w:rStyle w:val="StrongEmphasis"/>
          <w:rFonts w:ascii="Arial" w:hAnsi="Arial"/>
          <w:b w:val="0"/>
          <w:bCs w:val="0"/>
          <w:color w:val="000000"/>
          <w:sz w:val="20"/>
          <w:szCs w:val="20"/>
        </w:rPr>
        <w:t xml:space="preserve"> to 265cm</w:t>
      </w:r>
      <w:r>
        <w:rPr>
          <w:rStyle w:val="StrongEmphasis"/>
          <w:rFonts w:ascii="Arial" w:hAnsi="Arial"/>
          <w:b w:val="0"/>
          <w:bCs w:val="0"/>
          <w:color w:val="000000"/>
          <w:sz w:val="20"/>
          <w:szCs w:val="20"/>
          <w:vertAlign w:val="superscript"/>
        </w:rPr>
        <w:t>-1</w:t>
      </w:r>
      <w:r>
        <w:rPr>
          <w:rStyle w:val="StrongEmphasis"/>
          <w:rFonts w:ascii="Arial" w:hAnsi="Arial"/>
          <w:b w:val="0"/>
          <w:bCs w:val="0"/>
          <w:color w:val="000000"/>
          <w:sz w:val="20"/>
          <w:szCs w:val="20"/>
        </w:rPr>
        <w:t>. Therefore, each mode represent an atom within the unit cell. Given the present of three atoms or elements, namely V, Ru, and Sb; thus  there are three phonon branches.</w:t>
      </w:r>
      <w:r>
        <w:rPr>
          <w:rStyle w:val="StrongEmphasis"/>
          <w:rFonts w:ascii="Arial" w:hAnsi="Arial"/>
          <w:b w:val="0"/>
          <w:bCs w:val="0"/>
          <w:color w:val="000000"/>
          <w:sz w:val="20"/>
          <w:szCs w:val="20"/>
        </w:rPr>
        <w:t xml:space="preserve"> The atom with the highest mass is typically governed by the acoustic branches (e.g. Sb~ 121.76 g/mol). The lowest optical mode is predominantly affected by the lowest optical mass, specifically  V ~ 50.9415 g/mol. Furthermore, VRuSb displays no imaginary </w:t>
      </w:r>
      <w:r>
        <w:rPr>
          <w:rStyle w:val="StrongEmphasis"/>
          <w:rFonts w:ascii="Arial" w:hAnsi="Arial"/>
          <w:b w:val="0"/>
          <w:bCs w:val="0"/>
          <w:color w:val="000000"/>
          <w:sz w:val="20"/>
          <w:szCs w:val="20"/>
        </w:rPr>
        <w:t>frequencies across the acoustic branches are partly distinct from the optical branches. Additionally, in figure 5(a) and (b), phonon anomalies in the density of states for VRhTe, and VRuSb were not observed, indicating a deviation from the expected vibrati</w:t>
      </w:r>
      <w:r>
        <w:rPr>
          <w:rStyle w:val="StrongEmphasis"/>
          <w:rFonts w:ascii="Arial" w:hAnsi="Arial"/>
          <w:b w:val="0"/>
          <w:bCs w:val="0"/>
          <w:color w:val="000000"/>
          <w:sz w:val="20"/>
          <w:szCs w:val="20"/>
        </w:rPr>
        <w:t>onal spectrum of a material, which often implies strong interactions between electrons and phonon.</w:t>
      </w:r>
    </w:p>
    <w:p w:rsidR="00B83644" w:rsidRDefault="00B83644">
      <w:pPr>
        <w:pStyle w:val="BodyText"/>
        <w:tabs>
          <w:tab w:val="left" w:pos="1519"/>
        </w:tabs>
        <w:spacing w:before="278" w:after="0"/>
        <w:jc w:val="both"/>
        <w:rPr>
          <w:rFonts w:ascii="Arial" w:hAnsi="Arial"/>
          <w:sz w:val="20"/>
          <w:szCs w:val="20"/>
        </w:rPr>
      </w:pPr>
    </w:p>
    <w:p w:rsidR="00B83644" w:rsidRDefault="0002316D">
      <w:pPr>
        <w:pStyle w:val="BodyText"/>
        <w:jc w:val="both"/>
      </w:pPr>
      <w:r>
        <w:rPr>
          <w:rStyle w:val="StrongEmphasis"/>
          <w:rFonts w:ascii="Arial" w:hAnsi="Arial"/>
          <w:color w:val="000000"/>
          <w:sz w:val="20"/>
          <w:szCs w:val="20"/>
        </w:rPr>
        <w:t>4.0 Conclusion</w:t>
      </w:r>
    </w:p>
    <w:p w:rsidR="00B83644" w:rsidRDefault="0002316D">
      <w:pPr>
        <w:pStyle w:val="BodyText"/>
        <w:jc w:val="both"/>
      </w:pPr>
      <w:r>
        <w:rPr>
          <w:rStyle w:val="StrongEmphasis"/>
          <w:rFonts w:ascii="Arial" w:hAnsi="Arial"/>
          <w:b w:val="0"/>
          <w:bCs w:val="0"/>
          <w:color w:val="000000"/>
          <w:sz w:val="20"/>
          <w:szCs w:val="20"/>
        </w:rPr>
        <w:t>In this study, the structural features, mechanical parameters, thermodynamic, and phonon properties of VRhTe and VRhSb inter-metallic compoun</w:t>
      </w:r>
      <w:r>
        <w:rPr>
          <w:rStyle w:val="StrongEmphasis"/>
          <w:rFonts w:ascii="Arial" w:hAnsi="Arial"/>
          <w:b w:val="0"/>
          <w:bCs w:val="0"/>
          <w:color w:val="000000"/>
          <w:sz w:val="20"/>
          <w:szCs w:val="20"/>
        </w:rPr>
        <w:t xml:space="preserve">ds were systematically explored. </w:t>
      </w:r>
      <w:r>
        <w:rPr>
          <w:rFonts w:ascii="Arial" w:hAnsi="Arial"/>
          <w:color w:val="000000"/>
          <w:sz w:val="20"/>
          <w:szCs w:val="20"/>
        </w:rPr>
        <w:t xml:space="preserve">The optimized structures revealed that both compounds crystallize in the </w:t>
      </w:r>
      <w:r>
        <w:rPr>
          <w:rStyle w:val="StrongEmphasis"/>
          <w:rFonts w:ascii="Arial" w:hAnsi="Arial"/>
          <w:b w:val="0"/>
          <w:bCs w:val="0"/>
          <w:color w:val="000000"/>
          <w:sz w:val="20"/>
          <w:szCs w:val="20"/>
        </w:rPr>
        <w:t>cubic Heusler-type (Fm–3m)</w:t>
      </w:r>
      <w:r>
        <w:rPr>
          <w:rFonts w:ascii="Arial" w:hAnsi="Arial"/>
          <w:color w:val="000000"/>
          <w:sz w:val="20"/>
          <w:szCs w:val="20"/>
        </w:rPr>
        <w:t xml:space="preserve"> symmetry and are </w:t>
      </w:r>
      <w:r>
        <w:rPr>
          <w:rStyle w:val="StrongEmphasis"/>
          <w:rFonts w:ascii="Arial" w:hAnsi="Arial"/>
          <w:b w:val="0"/>
          <w:bCs w:val="0"/>
          <w:color w:val="000000"/>
          <w:sz w:val="20"/>
          <w:szCs w:val="20"/>
        </w:rPr>
        <w:t>thermodynamically stable</w:t>
      </w:r>
      <w:r>
        <w:rPr>
          <w:rFonts w:ascii="Arial" w:hAnsi="Arial"/>
          <w:color w:val="000000"/>
          <w:sz w:val="20"/>
          <w:szCs w:val="20"/>
        </w:rPr>
        <w:t>, as rectified by their negative formation energies and absence of structural dist</w:t>
      </w:r>
      <w:r>
        <w:rPr>
          <w:rFonts w:ascii="Arial" w:hAnsi="Arial"/>
          <w:color w:val="000000"/>
          <w:sz w:val="20"/>
          <w:szCs w:val="20"/>
        </w:rPr>
        <w:t>ortions. The lattice parameter of VRuSb was moderately bigger than that of VRhTe due to the greater atomic radius of Sb. The mechanical features reveals ductility of the two materials. The Poisson’s ratio (ⱱ &gt; 0.3) signifies the metallic bonding characteri</w:t>
      </w:r>
      <w:r>
        <w:rPr>
          <w:rFonts w:ascii="Arial" w:hAnsi="Arial"/>
          <w:color w:val="000000"/>
          <w:sz w:val="20"/>
          <w:szCs w:val="20"/>
        </w:rPr>
        <w:t>stic of the materials. The Cauchy's pressure values obtained  suggest metallic bonding. The elevated bulk modulus of VRhTe indicates slightly more resistance structure to compression compared to VRuSb, consistent with its smaller lattice constant. These ou</w:t>
      </w:r>
      <w:r>
        <w:rPr>
          <w:rFonts w:ascii="Arial" w:hAnsi="Arial"/>
          <w:color w:val="000000"/>
          <w:sz w:val="20"/>
          <w:szCs w:val="20"/>
        </w:rPr>
        <w:t xml:space="preserve">tcome indicate that both materials possesses mechanical robustness under moderates stress, making them appropriate for high temperature or structural applications. Additionally, according to the results, VRhTe has a greater Cv than VRuSb, making it a more </w:t>
      </w:r>
      <w:r>
        <w:rPr>
          <w:rFonts w:ascii="Arial" w:hAnsi="Arial"/>
          <w:color w:val="000000"/>
          <w:sz w:val="20"/>
          <w:szCs w:val="20"/>
        </w:rPr>
        <w:t>suitable compounds for shape-memory actuators appliances. The phonon anomalies in the density of states for VRhTe and VRuSb insinuate strong iterations between electrons and phonon.</w:t>
      </w:r>
    </w:p>
    <w:p w:rsidR="00B83644" w:rsidRDefault="00B83644">
      <w:pPr>
        <w:pStyle w:val="BodyText"/>
        <w:jc w:val="both"/>
        <w:rPr>
          <w:rFonts w:ascii="Arial" w:hAnsi="Arial"/>
          <w:sz w:val="20"/>
          <w:szCs w:val="20"/>
        </w:rPr>
      </w:pPr>
    </w:p>
    <w:p w:rsidR="00B83644" w:rsidRDefault="00B83644">
      <w:pPr>
        <w:pStyle w:val="BodyText"/>
        <w:jc w:val="both"/>
        <w:rPr>
          <w:rFonts w:ascii="Arial" w:hAnsi="Arial"/>
          <w:b/>
          <w:sz w:val="20"/>
          <w:szCs w:val="20"/>
        </w:rPr>
      </w:pPr>
    </w:p>
    <w:p w:rsidR="00B83644" w:rsidRDefault="0002316D">
      <w:pPr>
        <w:rPr>
          <w:rFonts w:ascii="Arial" w:hAnsi="Arial"/>
          <w:sz w:val="20"/>
          <w:szCs w:val="20"/>
        </w:rPr>
      </w:pPr>
      <w:r>
        <w:rPr>
          <w:rFonts w:ascii="Arial" w:hAnsi="Arial"/>
          <w:b/>
          <w:sz w:val="20"/>
          <w:szCs w:val="20"/>
        </w:rPr>
        <w:t>Disclaimer (Artificial intelligence)</w:t>
      </w:r>
    </w:p>
    <w:p w:rsidR="00B83644" w:rsidRDefault="0002316D">
      <w:pPr>
        <w:rPr>
          <w:rFonts w:ascii="Arial" w:hAnsi="Arial"/>
          <w:sz w:val="20"/>
          <w:szCs w:val="20"/>
        </w:rPr>
      </w:pPr>
      <w:r>
        <w:rPr>
          <w:rFonts w:ascii="Arial" w:hAnsi="Arial"/>
          <w:sz w:val="20"/>
          <w:szCs w:val="20"/>
        </w:rPr>
        <w:t xml:space="preserve">Author(s) hereby declare that NO generative AI technologies </w:t>
      </w:r>
      <w:r>
        <w:rPr>
          <w:rFonts w:ascii="Arial" w:hAnsi="Arial"/>
          <w:sz w:val="20"/>
          <w:szCs w:val="20"/>
        </w:rPr>
        <w:t xml:space="preserve">such as Large Language Models (ChatGPT, COPILOT, etc.) and text-to-image generators have been used during the writing or editing of this manuscript. </w:t>
      </w:r>
    </w:p>
    <w:p w:rsidR="00B83644" w:rsidRDefault="00B83644">
      <w:pPr>
        <w:spacing w:line="276" w:lineRule="auto"/>
        <w:jc w:val="both"/>
        <w:rPr>
          <w:b/>
          <w:bCs/>
          <w:color w:val="000000"/>
        </w:rPr>
      </w:pPr>
    </w:p>
    <w:p w:rsidR="00B83644" w:rsidRDefault="0002316D">
      <w:pPr>
        <w:spacing w:line="276" w:lineRule="auto"/>
        <w:jc w:val="both"/>
        <w:rPr>
          <w:rFonts w:ascii="Arial" w:hAnsi="Arial"/>
          <w:sz w:val="20"/>
          <w:szCs w:val="20"/>
        </w:rPr>
      </w:pPr>
      <w:r>
        <w:rPr>
          <w:rFonts w:ascii="Arial" w:hAnsi="Arial"/>
          <w:b/>
          <w:bCs/>
          <w:color w:val="000000"/>
          <w:sz w:val="20"/>
          <w:szCs w:val="20"/>
        </w:rPr>
        <w:t>References</w:t>
      </w:r>
    </w:p>
    <w:p w:rsidR="00B83644" w:rsidRDefault="00B83644">
      <w:pPr>
        <w:spacing w:line="276" w:lineRule="auto"/>
        <w:jc w:val="both"/>
        <w:rPr>
          <w:rFonts w:ascii="Arial" w:hAnsi="Arial"/>
          <w:sz w:val="20"/>
          <w:szCs w:val="20"/>
        </w:rPr>
      </w:pPr>
    </w:p>
    <w:p w:rsidR="00B83644" w:rsidRDefault="0002316D">
      <w:pPr>
        <w:spacing w:line="276" w:lineRule="auto"/>
        <w:jc w:val="both"/>
      </w:pPr>
      <w:r>
        <w:rPr>
          <w:rFonts w:ascii="Arial" w:hAnsi="Arial"/>
          <w:color w:val="000000"/>
          <w:sz w:val="20"/>
          <w:szCs w:val="20"/>
        </w:rPr>
        <w:t>[1]</w:t>
      </w:r>
      <w:r>
        <w:rPr>
          <w:rFonts w:ascii="Arial" w:hAnsi="Arial"/>
          <w:color w:val="000000"/>
          <w:sz w:val="20"/>
          <w:szCs w:val="20"/>
        </w:rPr>
        <w:tab/>
        <w:t>Tunes</w:t>
      </w:r>
      <w:r>
        <w:rPr>
          <w:rFonts w:ascii="Arial" w:hAnsi="Arial"/>
          <w:color w:val="000000"/>
          <w:sz w:val="20"/>
          <w:szCs w:val="20"/>
        </w:rPr>
        <w:tab/>
      </w:r>
      <w:r>
        <w:rPr>
          <w:rFonts w:ascii="Arial" w:hAnsi="Arial"/>
          <w:color w:val="000000"/>
          <w:sz w:val="20"/>
          <w:szCs w:val="20"/>
        </w:rPr>
        <w:t xml:space="preserve">M. A., Drewry S. M., Schmidt F., and Valdez A., (2025). A New Family of Ternary Intermetallic </w:t>
      </w:r>
      <w:r>
        <w:rPr>
          <w:rFonts w:ascii="Arial" w:hAnsi="Arial"/>
          <w:color w:val="000000"/>
          <w:sz w:val="20"/>
          <w:szCs w:val="20"/>
        </w:rPr>
        <w:tab/>
        <w:t xml:space="preserve">Compounds with Dualistic Atomic Ordering – The ZIP Phases. Advanced Materials, </w:t>
      </w:r>
      <w:r>
        <w:rPr>
          <w:rFonts w:ascii="Arial" w:hAnsi="Arial"/>
          <w:color w:val="000000"/>
          <w:sz w:val="20"/>
          <w:szCs w:val="20"/>
        </w:rPr>
        <w:tab/>
        <w:t>08(168), 1-</w:t>
      </w:r>
      <w:r>
        <w:rPr>
          <w:rFonts w:ascii="Arial" w:hAnsi="Arial"/>
          <w:color w:val="000000"/>
          <w:sz w:val="20"/>
          <w:szCs w:val="20"/>
        </w:rPr>
        <w:tab/>
        <w:t>23. DOI:</w:t>
      </w:r>
      <w:hyperlink r:id="rId18" w:tgtFrame="_blank">
        <w:r>
          <w:rPr>
            <w:rStyle w:val="Hyperlink"/>
            <w:rFonts w:ascii="Arial" w:hAnsi="Arial"/>
            <w:color w:val="000000"/>
            <w:sz w:val="20"/>
            <w:szCs w:val="20"/>
            <w:u w:val="none"/>
          </w:rPr>
          <w:t>10.1002/adma.202308168</w:t>
        </w:r>
      </w:hyperlink>
    </w:p>
    <w:p w:rsidR="00B83644" w:rsidRDefault="00B83644">
      <w:pPr>
        <w:spacing w:line="276" w:lineRule="auto"/>
        <w:jc w:val="both"/>
        <w:rPr>
          <w:rFonts w:ascii="Arial" w:hAnsi="Arial"/>
          <w:sz w:val="20"/>
          <w:szCs w:val="20"/>
        </w:rPr>
      </w:pPr>
    </w:p>
    <w:p w:rsidR="00B83644" w:rsidRDefault="0002316D">
      <w:pPr>
        <w:spacing w:line="276" w:lineRule="auto"/>
        <w:jc w:val="both"/>
      </w:pPr>
      <w:r>
        <w:rPr>
          <w:rFonts w:ascii="Arial" w:hAnsi="Arial"/>
          <w:color w:val="000000"/>
          <w:sz w:val="20"/>
          <w:szCs w:val="20"/>
        </w:rPr>
        <w:t>[2]</w:t>
      </w:r>
      <w:r>
        <w:rPr>
          <w:rFonts w:ascii="Arial" w:hAnsi="Arial"/>
          <w:color w:val="000000"/>
          <w:sz w:val="20"/>
          <w:szCs w:val="20"/>
        </w:rPr>
        <w:tab/>
        <w:t xml:space="preserve">Machin A., Morant C., and Marquez F.M., (2024). Advancements and Challenges in Solid-State </w:t>
      </w:r>
      <w:r>
        <w:rPr>
          <w:rFonts w:ascii="Arial" w:hAnsi="Arial"/>
          <w:color w:val="000000"/>
          <w:sz w:val="20"/>
          <w:szCs w:val="20"/>
        </w:rPr>
        <w:tab/>
        <w:t xml:space="preserve">Battery </w:t>
      </w:r>
      <w:r>
        <w:rPr>
          <w:rFonts w:ascii="Arial" w:hAnsi="Arial"/>
          <w:color w:val="000000"/>
          <w:sz w:val="20"/>
          <w:szCs w:val="20"/>
        </w:rPr>
        <w:tab/>
        <w:t>Technology: An In-Depth Review of Solid Electrolytes</w:t>
      </w:r>
      <w:r>
        <w:rPr>
          <w:rFonts w:ascii="Arial" w:hAnsi="Arial"/>
          <w:color w:val="000000"/>
          <w:sz w:val="20"/>
          <w:szCs w:val="20"/>
        </w:rPr>
        <w:t xml:space="preserve"> and Anode Innovations</w:t>
      </w:r>
    </w:p>
    <w:p w:rsidR="00B83644" w:rsidRDefault="0002316D">
      <w:pPr>
        <w:spacing w:line="276" w:lineRule="auto"/>
        <w:jc w:val="both"/>
      </w:pPr>
      <w:r>
        <w:rPr>
          <w:rFonts w:ascii="Arial" w:hAnsi="Arial"/>
          <w:color w:val="000000"/>
          <w:sz w:val="20"/>
          <w:szCs w:val="20"/>
        </w:rPr>
        <w:tab/>
        <w:t xml:space="preserve"> Batteries MDPI, 10(1) (2024) 29.  </w:t>
      </w:r>
      <w:hyperlink r:id="rId19">
        <w:r>
          <w:rPr>
            <w:rStyle w:val="Hyperlink"/>
            <w:rFonts w:ascii="Arial" w:hAnsi="Arial"/>
            <w:color w:val="000000"/>
            <w:sz w:val="20"/>
            <w:szCs w:val="20"/>
            <w:u w:val="none"/>
          </w:rPr>
          <w:t>https://doi.org/10.3390/batteries10010029</w:t>
        </w:r>
      </w:hyperlink>
    </w:p>
    <w:p w:rsidR="00B83644" w:rsidRDefault="00B83644">
      <w:pPr>
        <w:spacing w:line="276" w:lineRule="auto"/>
        <w:jc w:val="both"/>
        <w:rPr>
          <w:rFonts w:ascii="Arial" w:hAnsi="Arial"/>
          <w:sz w:val="20"/>
          <w:szCs w:val="20"/>
        </w:rPr>
      </w:pPr>
    </w:p>
    <w:p w:rsidR="00B83644" w:rsidRDefault="0002316D">
      <w:pPr>
        <w:spacing w:line="276" w:lineRule="auto"/>
        <w:jc w:val="both"/>
      </w:pPr>
      <w:r>
        <w:rPr>
          <w:rFonts w:ascii="Arial" w:hAnsi="Arial"/>
          <w:color w:val="000000"/>
          <w:sz w:val="20"/>
          <w:szCs w:val="20"/>
        </w:rPr>
        <w:t>[3]</w:t>
      </w:r>
      <w:r>
        <w:rPr>
          <w:rFonts w:ascii="Arial" w:hAnsi="Arial"/>
          <w:color w:val="000000"/>
          <w:sz w:val="20"/>
          <w:szCs w:val="20"/>
        </w:rPr>
        <w:tab/>
        <w:t>Zhang H T , Shukla N., Datta S., and Paik H., (2017). Opportunities in vanadium-based str</w:t>
      </w:r>
      <w:r>
        <w:rPr>
          <w:rFonts w:ascii="Arial" w:hAnsi="Arial"/>
          <w:color w:val="000000"/>
          <w:sz w:val="20"/>
          <w:szCs w:val="20"/>
        </w:rPr>
        <w:t xml:space="preserve">ongly </w:t>
      </w:r>
      <w:r>
        <w:rPr>
          <w:rFonts w:ascii="Arial" w:hAnsi="Arial"/>
          <w:color w:val="000000"/>
          <w:sz w:val="20"/>
          <w:szCs w:val="20"/>
        </w:rPr>
        <w:tab/>
        <w:t>correlated electron systems, MRS Communications 7(1) 27–52.</w:t>
      </w:r>
    </w:p>
    <w:p w:rsidR="00B83644" w:rsidRDefault="00B83644">
      <w:pPr>
        <w:spacing w:line="276" w:lineRule="auto"/>
        <w:jc w:val="both"/>
        <w:rPr>
          <w:rFonts w:ascii="Arial" w:hAnsi="Arial"/>
          <w:sz w:val="20"/>
          <w:szCs w:val="20"/>
        </w:rPr>
      </w:pPr>
    </w:p>
    <w:p w:rsidR="00B83644" w:rsidRDefault="0002316D">
      <w:pPr>
        <w:spacing w:line="276" w:lineRule="auto"/>
      </w:pPr>
      <w:r>
        <w:rPr>
          <w:rFonts w:ascii="Arial" w:hAnsi="Arial"/>
          <w:color w:val="000000"/>
          <w:sz w:val="20"/>
          <w:szCs w:val="20"/>
        </w:rPr>
        <w:t>[4]</w:t>
      </w:r>
      <w:r>
        <w:rPr>
          <w:rFonts w:ascii="Arial" w:hAnsi="Arial"/>
          <w:color w:val="000000"/>
          <w:sz w:val="20"/>
          <w:szCs w:val="20"/>
        </w:rPr>
        <w:tab/>
        <w:t>Jian-Fang Wang, Wei-Hui Fang, Dong-Sheng Li, Lei Zhang, and Jian Zhang, (2017). C</w:t>
      </w:r>
      <w:hyperlink r:id="rId20">
        <w:r>
          <w:rPr>
            <w:rStyle w:val="Hyperlink"/>
            <w:rFonts w:ascii="Arial" w:hAnsi="Arial"/>
            <w:color w:val="000000"/>
            <w:sz w:val="20"/>
            <w:szCs w:val="20"/>
            <w:u w:val="none"/>
          </w:rPr>
          <w:t xml:space="preserve">ocrystal of </w:t>
        </w:r>
        <w:r>
          <w:rPr>
            <w:rStyle w:val="Hyperlink"/>
            <w:rFonts w:ascii="Arial" w:hAnsi="Arial"/>
            <w:color w:val="000000"/>
            <w:sz w:val="20"/>
            <w:szCs w:val="20"/>
            <w:u w:val="none"/>
          </w:rPr>
          <w:tab/>
          <w:t>{Ti</w:t>
        </w:r>
        <w:r>
          <w:rPr>
            <w:rStyle w:val="Hyperlink"/>
            <w:rFonts w:ascii="Arial" w:hAnsi="Arial"/>
            <w:color w:val="000000"/>
            <w:position w:val="-2"/>
            <w:sz w:val="20"/>
            <w:szCs w:val="20"/>
            <w:u w:val="none"/>
          </w:rPr>
          <w:t>4</w:t>
        </w:r>
        <w:r>
          <w:rPr>
            <w:rStyle w:val="Hyperlink"/>
            <w:rFonts w:ascii="Arial" w:hAnsi="Arial"/>
            <w:color w:val="000000"/>
            <w:sz w:val="20"/>
            <w:szCs w:val="20"/>
            <w:u w:val="none"/>
          </w:rPr>
          <w:t>} and {Ti</w:t>
        </w:r>
        <w:r>
          <w:rPr>
            <w:rStyle w:val="Hyperlink"/>
            <w:rFonts w:ascii="Arial" w:hAnsi="Arial"/>
            <w:color w:val="000000"/>
            <w:position w:val="-2"/>
            <w:sz w:val="20"/>
            <w:szCs w:val="20"/>
            <w:u w:val="none"/>
          </w:rPr>
          <w:t>6</w:t>
        </w:r>
        <w:r>
          <w:rPr>
            <w:rStyle w:val="Hyperlink"/>
            <w:rFonts w:ascii="Arial" w:hAnsi="Arial"/>
            <w:color w:val="000000"/>
            <w:sz w:val="20"/>
            <w:szCs w:val="20"/>
            <w:u w:val="none"/>
          </w:rPr>
          <w:t xml:space="preserve">} </w:t>
        </w:r>
        <w:r>
          <w:rPr>
            <w:rStyle w:val="Hyperlink"/>
            <w:rFonts w:ascii="Arial" w:hAnsi="Arial"/>
            <w:color w:val="000000"/>
            <w:sz w:val="20"/>
            <w:szCs w:val="20"/>
            <w:u w:val="none"/>
          </w:rPr>
          <w:t>Clusters with Enhanced Photochemical Properties</w:t>
        </w:r>
      </w:hyperlink>
      <w:r>
        <w:rPr>
          <w:rFonts w:ascii="Arial" w:hAnsi="Arial"/>
          <w:color w:val="000000"/>
          <w:sz w:val="20"/>
          <w:szCs w:val="20"/>
        </w:rPr>
        <w:t>. Inorganic Chemistry 56 (5), 2367-</w:t>
      </w:r>
      <w:r>
        <w:rPr>
          <w:rFonts w:ascii="Arial" w:hAnsi="Arial"/>
          <w:color w:val="000000"/>
          <w:sz w:val="20"/>
          <w:szCs w:val="20"/>
        </w:rPr>
        <w:tab/>
        <w:t>2370.</w:t>
      </w:r>
    </w:p>
    <w:p w:rsidR="00B83644" w:rsidRDefault="00B83644">
      <w:pPr>
        <w:spacing w:line="276" w:lineRule="auto"/>
        <w:rPr>
          <w:rFonts w:ascii="Arial" w:hAnsi="Arial"/>
          <w:sz w:val="20"/>
          <w:szCs w:val="20"/>
        </w:rPr>
      </w:pPr>
    </w:p>
    <w:p w:rsidR="00B83644" w:rsidRDefault="0002316D">
      <w:pPr>
        <w:spacing w:line="276" w:lineRule="auto"/>
      </w:pPr>
      <w:r>
        <w:rPr>
          <w:rFonts w:ascii="Arial" w:hAnsi="Arial"/>
          <w:color w:val="000000"/>
          <w:sz w:val="20"/>
          <w:szCs w:val="20"/>
        </w:rPr>
        <w:t>[5]</w:t>
      </w:r>
      <w:r>
        <w:rPr>
          <w:rFonts w:ascii="Arial" w:hAnsi="Arial"/>
          <w:color w:val="000000"/>
          <w:sz w:val="20"/>
          <w:szCs w:val="20"/>
        </w:rPr>
        <w:tab/>
        <w:t xml:space="preserve">Iyorzor B.E.,  and Babalola M.I., (2022). Half-metallic Characteristics of the Novel Half Heusler </w:t>
      </w:r>
      <w:r>
        <w:rPr>
          <w:rFonts w:ascii="Arial" w:hAnsi="Arial"/>
          <w:color w:val="000000"/>
          <w:sz w:val="20"/>
          <w:szCs w:val="20"/>
        </w:rPr>
        <w:tab/>
        <w:t xml:space="preserve">Alloys </w:t>
      </w:r>
      <w:r>
        <w:rPr>
          <w:rFonts w:ascii="Arial" w:hAnsi="Arial"/>
          <w:color w:val="000000"/>
          <w:sz w:val="20"/>
          <w:szCs w:val="20"/>
        </w:rPr>
        <w:tab/>
        <w:t xml:space="preserve">XCrSb (X=Ti, Zr, Hf ). Journal of the Nigerian Society </w:t>
      </w:r>
      <w:r>
        <w:rPr>
          <w:rFonts w:ascii="Arial" w:hAnsi="Arial"/>
          <w:color w:val="000000"/>
          <w:sz w:val="20"/>
          <w:szCs w:val="20"/>
        </w:rPr>
        <w:t>of Physical Sciences, 4(1) (2022)  138-</w:t>
      </w:r>
      <w:r>
        <w:rPr>
          <w:rFonts w:ascii="Arial" w:hAnsi="Arial"/>
          <w:color w:val="000000"/>
          <w:sz w:val="20"/>
          <w:szCs w:val="20"/>
        </w:rPr>
        <w:tab/>
        <w:t>145.</w:t>
      </w:r>
      <w:hyperlink r:id="rId21">
        <w:r>
          <w:rPr>
            <w:rStyle w:val="Hyperlink"/>
            <w:rFonts w:ascii="Arial" w:hAnsi="Arial"/>
            <w:color w:val="000000"/>
            <w:sz w:val="20"/>
            <w:szCs w:val="20"/>
            <w:u w:val="none"/>
          </w:rPr>
          <w:t>https://doi.org/10.46481/jnsps.2022.297</w:t>
        </w:r>
      </w:hyperlink>
      <w:r>
        <w:rPr>
          <w:rFonts w:ascii="Arial" w:hAnsi="Arial"/>
          <w:color w:val="000000"/>
          <w:sz w:val="20"/>
          <w:szCs w:val="20"/>
        </w:rPr>
        <w:t xml:space="preserve">  </w:t>
      </w:r>
    </w:p>
    <w:p w:rsidR="00B83644" w:rsidRDefault="00B83644">
      <w:pPr>
        <w:spacing w:line="276" w:lineRule="auto"/>
        <w:jc w:val="both"/>
        <w:rPr>
          <w:rFonts w:ascii="Arial" w:hAnsi="Arial"/>
          <w:sz w:val="20"/>
          <w:szCs w:val="20"/>
        </w:rPr>
      </w:pPr>
    </w:p>
    <w:p w:rsidR="00B83644" w:rsidRDefault="0002316D">
      <w:pPr>
        <w:spacing w:line="276" w:lineRule="auto"/>
        <w:jc w:val="both"/>
      </w:pPr>
      <w:r>
        <w:rPr>
          <w:rFonts w:ascii="Arial" w:hAnsi="Arial"/>
          <w:color w:val="000000"/>
          <w:sz w:val="20"/>
          <w:szCs w:val="20"/>
        </w:rPr>
        <w:t>[6]</w:t>
      </w:r>
      <w:r>
        <w:rPr>
          <w:rFonts w:ascii="Arial" w:hAnsi="Arial"/>
          <w:color w:val="000000"/>
          <w:sz w:val="20"/>
          <w:szCs w:val="20"/>
        </w:rPr>
        <w:tab/>
        <w:t xml:space="preserve">Volker L. Deringer, Ralf P. Stoffel,  Matthias Wuttig, Richard Dronskowski (2015). </w:t>
      </w:r>
      <w:bookmarkStart w:id="1" w:name="screen-reader-main-title"/>
      <w:bookmarkEnd w:id="1"/>
      <w:r>
        <w:rPr>
          <w:rFonts w:ascii="Arial" w:hAnsi="Arial"/>
          <w:color w:val="000000"/>
          <w:sz w:val="20"/>
          <w:szCs w:val="20"/>
        </w:rPr>
        <w:t xml:space="preserve">Vibrational </w:t>
      </w:r>
      <w:r>
        <w:rPr>
          <w:rFonts w:ascii="Arial" w:hAnsi="Arial"/>
          <w:color w:val="000000"/>
          <w:sz w:val="20"/>
          <w:szCs w:val="20"/>
        </w:rPr>
        <w:tab/>
        <w:t>properties</w:t>
      </w:r>
      <w:r>
        <w:rPr>
          <w:rFonts w:ascii="Arial" w:hAnsi="Arial"/>
          <w:color w:val="000000"/>
          <w:sz w:val="20"/>
          <w:szCs w:val="20"/>
        </w:rPr>
        <w:t xml:space="preserve"> and bonding nature of Sb</w:t>
      </w:r>
      <w:r>
        <w:rPr>
          <w:rFonts w:ascii="Arial" w:hAnsi="Arial"/>
          <w:color w:val="000000"/>
          <w:position w:val="-2"/>
          <w:sz w:val="20"/>
          <w:szCs w:val="20"/>
        </w:rPr>
        <w:t>2</w:t>
      </w:r>
      <w:r>
        <w:rPr>
          <w:rFonts w:ascii="Arial" w:hAnsi="Arial"/>
          <w:color w:val="000000"/>
          <w:sz w:val="20"/>
          <w:szCs w:val="20"/>
        </w:rPr>
        <w:t>Se</w:t>
      </w:r>
      <w:r>
        <w:rPr>
          <w:rFonts w:ascii="Arial" w:hAnsi="Arial"/>
          <w:color w:val="000000"/>
          <w:position w:val="-2"/>
          <w:sz w:val="20"/>
          <w:szCs w:val="20"/>
        </w:rPr>
        <w:t>3</w:t>
      </w:r>
      <w:r>
        <w:rPr>
          <w:rFonts w:ascii="Arial" w:hAnsi="Arial"/>
          <w:color w:val="000000"/>
          <w:sz w:val="20"/>
          <w:szCs w:val="20"/>
        </w:rPr>
        <w:t xml:space="preserve"> and their implications for chalcogenide materials. Royal </w:t>
      </w:r>
      <w:r>
        <w:rPr>
          <w:rFonts w:ascii="Arial" w:hAnsi="Arial"/>
          <w:color w:val="000000"/>
          <w:sz w:val="20"/>
          <w:szCs w:val="20"/>
        </w:rPr>
        <w:tab/>
        <w:t xml:space="preserve">Society of Chemistry – Chemical Science, 6(9), 5255-5262. </w:t>
      </w:r>
      <w:hyperlink r:id="rId22" w:tgtFrame="_blank">
        <w:r>
          <w:rPr>
            <w:rStyle w:val="Hyperlink"/>
            <w:rFonts w:ascii="Arial" w:hAnsi="Arial"/>
            <w:color w:val="000000"/>
            <w:sz w:val="20"/>
            <w:szCs w:val="20"/>
            <w:u w:val="none"/>
          </w:rPr>
          <w:t>https://doi.org/10.1039/c5sc00825e</w:t>
        </w:r>
      </w:hyperlink>
    </w:p>
    <w:p w:rsidR="00B83644" w:rsidRDefault="00B83644">
      <w:pPr>
        <w:spacing w:line="276" w:lineRule="auto"/>
        <w:jc w:val="both"/>
        <w:rPr>
          <w:rFonts w:ascii="Arial" w:hAnsi="Arial"/>
          <w:sz w:val="20"/>
          <w:szCs w:val="20"/>
        </w:rPr>
      </w:pPr>
    </w:p>
    <w:p w:rsidR="00B83644" w:rsidRDefault="0002316D">
      <w:pPr>
        <w:spacing w:line="276" w:lineRule="auto"/>
        <w:jc w:val="both"/>
      </w:pPr>
      <w:r>
        <w:rPr>
          <w:rFonts w:ascii="Arial" w:hAnsi="Arial"/>
          <w:color w:val="000000"/>
          <w:sz w:val="20"/>
          <w:szCs w:val="20"/>
        </w:rPr>
        <w:t>[7]</w:t>
      </w:r>
      <w:r>
        <w:rPr>
          <w:rFonts w:ascii="Arial" w:hAnsi="Arial"/>
          <w:color w:val="000000"/>
          <w:sz w:val="20"/>
          <w:szCs w:val="20"/>
        </w:rPr>
        <w:tab/>
        <w:t>Baba</w:t>
      </w:r>
      <w:r>
        <w:rPr>
          <w:rFonts w:ascii="Arial" w:hAnsi="Arial"/>
          <w:color w:val="000000"/>
          <w:sz w:val="20"/>
          <w:szCs w:val="20"/>
        </w:rPr>
        <w:t xml:space="preserve">lola M.I.,  and Enaroseha O.O.,  Pressure induced structural phase transition and influence of </w:t>
      </w:r>
      <w:r>
        <w:rPr>
          <w:rFonts w:ascii="Arial" w:hAnsi="Arial"/>
          <w:color w:val="000000"/>
          <w:sz w:val="20"/>
          <w:szCs w:val="20"/>
        </w:rPr>
        <w:tab/>
        <w:t xml:space="preserve">pressure on the electronic and mechanical properties of TiPdSn: an ab initio study, Iranian Journal </w:t>
      </w:r>
      <w:r>
        <w:rPr>
          <w:rFonts w:ascii="Arial" w:hAnsi="Arial"/>
          <w:color w:val="000000"/>
          <w:sz w:val="20"/>
          <w:szCs w:val="20"/>
        </w:rPr>
        <w:tab/>
        <w:t>of Physics Research, 23 (2023) DOI:</w:t>
      </w:r>
      <w:hyperlink r:id="rId23" w:tgtFrame="_blank">
        <w:r>
          <w:rPr>
            <w:rStyle w:val="Hyperlink"/>
            <w:rFonts w:ascii="Arial" w:hAnsi="Arial"/>
            <w:color w:val="000000"/>
            <w:sz w:val="20"/>
            <w:szCs w:val="20"/>
            <w:u w:val="none"/>
          </w:rPr>
          <w:t>10.47176/ijpr.23.3.41671</w:t>
        </w:r>
      </w:hyperlink>
    </w:p>
    <w:p w:rsidR="00B83644" w:rsidRDefault="00B83644">
      <w:pPr>
        <w:spacing w:line="276" w:lineRule="auto"/>
        <w:jc w:val="both"/>
        <w:rPr>
          <w:rFonts w:ascii="Arial" w:hAnsi="Arial"/>
          <w:sz w:val="20"/>
          <w:szCs w:val="20"/>
        </w:rPr>
      </w:pPr>
    </w:p>
    <w:p w:rsidR="00B83644" w:rsidRDefault="0002316D">
      <w:pPr>
        <w:spacing w:line="276" w:lineRule="auto"/>
      </w:pPr>
      <w:r>
        <w:rPr>
          <w:rFonts w:ascii="Arial" w:hAnsi="Arial"/>
          <w:color w:val="000000"/>
          <w:sz w:val="20"/>
          <w:szCs w:val="20"/>
        </w:rPr>
        <w:t>[8]</w:t>
      </w:r>
      <w:r>
        <w:rPr>
          <w:rFonts w:ascii="Arial" w:hAnsi="Arial"/>
          <w:color w:val="000000"/>
          <w:sz w:val="20"/>
          <w:szCs w:val="20"/>
        </w:rPr>
        <w:tab/>
        <w:t xml:space="preserve">Hu Q.,  Yang M., Zhou X., and Li. S., (2025). Modulated electrical transport properties and Enhanced </w:t>
      </w:r>
      <w:r>
        <w:rPr>
          <w:rFonts w:ascii="Arial" w:hAnsi="Arial"/>
          <w:color w:val="000000"/>
          <w:sz w:val="20"/>
          <w:szCs w:val="20"/>
        </w:rPr>
        <w:tab/>
        <w:t>Thermoelectric Performance in Tellurium by Compositing with Copper and Dopin</w:t>
      </w:r>
      <w:r>
        <w:rPr>
          <w:rFonts w:ascii="Arial" w:hAnsi="Arial"/>
          <w:color w:val="000000"/>
          <w:sz w:val="20"/>
          <w:szCs w:val="20"/>
        </w:rPr>
        <w:t xml:space="preserve">g with Antimony, </w:t>
      </w:r>
      <w:r>
        <w:rPr>
          <w:rFonts w:ascii="Arial" w:hAnsi="Arial"/>
          <w:color w:val="000000"/>
          <w:sz w:val="20"/>
          <w:szCs w:val="20"/>
        </w:rPr>
        <w:tab/>
        <w:t>Vacuum, 238, 114249. DOI:</w:t>
      </w:r>
      <w:hyperlink r:id="rId24" w:tgtFrame="_blank">
        <w:r>
          <w:rPr>
            <w:rStyle w:val="Hyperlink"/>
            <w:rFonts w:ascii="Arial" w:hAnsi="Arial"/>
            <w:color w:val="000000"/>
            <w:sz w:val="20"/>
            <w:szCs w:val="20"/>
            <w:u w:val="none"/>
          </w:rPr>
          <w:t>10.1016/j.vacuum.2025.114249</w:t>
        </w:r>
      </w:hyperlink>
    </w:p>
    <w:p w:rsidR="00B83644" w:rsidRDefault="00B83644">
      <w:pPr>
        <w:spacing w:line="276" w:lineRule="auto"/>
        <w:jc w:val="both"/>
        <w:rPr>
          <w:rFonts w:ascii="Arial" w:hAnsi="Arial"/>
          <w:sz w:val="20"/>
          <w:szCs w:val="20"/>
        </w:rPr>
      </w:pPr>
    </w:p>
    <w:p w:rsidR="00B83644" w:rsidRDefault="0002316D">
      <w:pPr>
        <w:spacing w:line="276" w:lineRule="auto"/>
        <w:jc w:val="both"/>
      </w:pPr>
      <w:r>
        <w:rPr>
          <w:rStyle w:val="StrongEmphasis"/>
          <w:rFonts w:ascii="Arial" w:hAnsi="Arial"/>
          <w:b w:val="0"/>
          <w:bCs w:val="0"/>
          <w:color w:val="000000"/>
          <w:sz w:val="20"/>
          <w:szCs w:val="20"/>
        </w:rPr>
        <w:t>[9]</w:t>
      </w:r>
      <w:r>
        <w:rPr>
          <w:rStyle w:val="StrongEmphasis"/>
          <w:rFonts w:ascii="Arial" w:hAnsi="Arial"/>
          <w:b w:val="0"/>
          <w:bCs w:val="0"/>
          <w:color w:val="000000"/>
          <w:sz w:val="20"/>
          <w:szCs w:val="20"/>
        </w:rPr>
        <w:tab/>
        <w:t xml:space="preserve">Soltanbek N. S., Merali N.A., SagatovN. E.,  Abuova F. U., Elsts E.,  Abuova A. U.,  Khovaylo V. V., </w:t>
      </w:r>
      <w:r>
        <w:rPr>
          <w:rStyle w:val="StrongEmphasis"/>
          <w:rFonts w:ascii="Arial" w:hAnsi="Arial"/>
          <w:b w:val="0"/>
          <w:bCs w:val="0"/>
          <w:color w:val="000000"/>
          <w:sz w:val="20"/>
          <w:szCs w:val="20"/>
        </w:rPr>
        <w:tab/>
        <w:t>I</w:t>
      </w:r>
      <w:r>
        <w:rPr>
          <w:rStyle w:val="StrongEmphasis"/>
          <w:rFonts w:ascii="Arial" w:hAnsi="Arial"/>
          <w:b w:val="0"/>
          <w:bCs w:val="0"/>
          <w:color w:val="000000"/>
          <w:sz w:val="20"/>
          <w:szCs w:val="20"/>
        </w:rPr>
        <w:t xml:space="preserve">nerbaev T. M., Konuhova M., and Popov A. I., (2025). Ab Initio Investigation of the Stability, </w:t>
      </w:r>
      <w:r>
        <w:rPr>
          <w:rStyle w:val="StrongEmphasis"/>
          <w:rFonts w:ascii="Arial" w:hAnsi="Arial"/>
          <w:b w:val="0"/>
          <w:bCs w:val="0"/>
          <w:color w:val="000000"/>
          <w:sz w:val="20"/>
          <w:szCs w:val="20"/>
        </w:rPr>
        <w:tab/>
        <w:t xml:space="preserve">Electronic, </w:t>
      </w:r>
      <w:r>
        <w:rPr>
          <w:rStyle w:val="StrongEmphasis"/>
          <w:rFonts w:ascii="Arial" w:hAnsi="Arial"/>
          <w:b w:val="0"/>
          <w:bCs w:val="0"/>
          <w:color w:val="000000"/>
          <w:sz w:val="20"/>
          <w:szCs w:val="20"/>
        </w:rPr>
        <w:tab/>
        <w:t>Mechanical, and Transport Properties of New Double Half Heusler Alloys Ti</w:t>
      </w:r>
      <w:r>
        <w:rPr>
          <w:rStyle w:val="StrongEmphasis"/>
          <w:rFonts w:ascii="Arial" w:hAnsi="Arial"/>
          <w:b w:val="0"/>
          <w:bCs w:val="0"/>
          <w:color w:val="000000"/>
          <w:sz w:val="20"/>
          <w:szCs w:val="20"/>
          <w:vertAlign w:val="subscript"/>
        </w:rPr>
        <w:t>2</w:t>
      </w:r>
      <w:r>
        <w:rPr>
          <w:rStyle w:val="StrongEmphasis"/>
          <w:rFonts w:ascii="Arial" w:hAnsi="Arial"/>
          <w:b w:val="0"/>
          <w:bCs w:val="0"/>
          <w:color w:val="000000"/>
          <w:sz w:val="20"/>
          <w:szCs w:val="20"/>
        </w:rPr>
        <w:t xml:space="preserve">Pt2ZSb </w:t>
      </w:r>
      <w:r>
        <w:rPr>
          <w:rStyle w:val="StrongEmphasis"/>
          <w:rFonts w:ascii="Arial" w:hAnsi="Arial"/>
          <w:b w:val="0"/>
          <w:bCs w:val="0"/>
          <w:color w:val="000000"/>
          <w:sz w:val="20"/>
          <w:szCs w:val="20"/>
        </w:rPr>
        <w:tab/>
        <w:t xml:space="preserve">(Z = Al, Ga, In), </w:t>
      </w:r>
      <w:r>
        <w:rPr>
          <w:rStyle w:val="StrongEmphasis"/>
          <w:rFonts w:ascii="Arial" w:hAnsi="Arial"/>
          <w:b w:val="0"/>
          <w:bCs w:val="0"/>
          <w:color w:val="000000"/>
          <w:sz w:val="20"/>
          <w:szCs w:val="20"/>
        </w:rPr>
        <w:tab/>
      </w:r>
      <w:r>
        <w:rPr>
          <w:rStyle w:val="Emphasis"/>
          <w:rFonts w:ascii="Arial" w:hAnsi="Arial"/>
          <w:color w:val="000000"/>
          <w:sz w:val="20"/>
          <w:szCs w:val="20"/>
        </w:rPr>
        <w:t>Metals</w:t>
      </w:r>
      <w:r>
        <w:rPr>
          <w:rStyle w:val="StrongEmphasis"/>
          <w:rFonts w:ascii="Arial" w:hAnsi="Arial"/>
          <w:b w:val="0"/>
          <w:bCs w:val="0"/>
          <w:i/>
          <w:color w:val="000000"/>
          <w:sz w:val="20"/>
          <w:szCs w:val="20"/>
        </w:rPr>
        <w:t xml:space="preserve"> </w:t>
      </w:r>
      <w:r>
        <w:rPr>
          <w:rStyle w:val="Emphasis"/>
          <w:rFonts w:ascii="Arial" w:hAnsi="Arial"/>
          <w:color w:val="000000"/>
          <w:sz w:val="20"/>
          <w:szCs w:val="20"/>
        </w:rPr>
        <w:t>15,</w:t>
      </w:r>
      <w:r>
        <w:rPr>
          <w:rStyle w:val="StrongEmphasis"/>
          <w:rFonts w:ascii="Arial" w:hAnsi="Arial"/>
          <w:b w:val="0"/>
          <w:bCs w:val="0"/>
          <w:color w:val="000000"/>
          <w:sz w:val="20"/>
          <w:szCs w:val="20"/>
        </w:rPr>
        <w:t xml:space="preserve"> 329. </w:t>
      </w:r>
      <w:hyperlink r:id="rId25">
        <w:r>
          <w:rPr>
            <w:rStyle w:val="Hyperlink"/>
            <w:rFonts w:ascii="Arial" w:hAnsi="Arial"/>
            <w:color w:val="000000"/>
            <w:sz w:val="20"/>
            <w:szCs w:val="20"/>
            <w:u w:val="none"/>
          </w:rPr>
          <w:t>https://doi.org/10.3390/met15030329</w:t>
        </w:r>
      </w:hyperlink>
    </w:p>
    <w:p w:rsidR="00B83644" w:rsidRDefault="00B83644">
      <w:pPr>
        <w:spacing w:line="276" w:lineRule="auto"/>
        <w:jc w:val="both"/>
        <w:rPr>
          <w:rFonts w:ascii="Arial" w:hAnsi="Arial"/>
          <w:sz w:val="20"/>
          <w:szCs w:val="20"/>
        </w:rPr>
      </w:pPr>
    </w:p>
    <w:p w:rsidR="00B83644" w:rsidRDefault="0002316D">
      <w:pPr>
        <w:spacing w:line="276" w:lineRule="auto"/>
        <w:jc w:val="both"/>
      </w:pPr>
      <w:r>
        <w:rPr>
          <w:rStyle w:val="StrongEmphasis"/>
          <w:rFonts w:ascii="Arial" w:hAnsi="Arial"/>
          <w:b w:val="0"/>
          <w:bCs w:val="0"/>
          <w:color w:val="000000"/>
          <w:sz w:val="20"/>
          <w:szCs w:val="20"/>
        </w:rPr>
        <w:t>[10]</w:t>
      </w:r>
      <w:r>
        <w:rPr>
          <w:rStyle w:val="StrongEmphasis"/>
          <w:rFonts w:ascii="Arial" w:hAnsi="Arial"/>
          <w:b w:val="0"/>
          <w:bCs w:val="0"/>
          <w:color w:val="000000"/>
          <w:sz w:val="20"/>
          <w:szCs w:val="20"/>
        </w:rPr>
        <w:tab/>
        <w:t xml:space="preserve">Ciftci Y, and Gemici  I. A., (2025).  Ab-initio Study on Half-Heusler Semiconductor PtTiSn Compound: </w:t>
      </w:r>
      <w:r>
        <w:rPr>
          <w:rStyle w:val="StrongEmphasis"/>
          <w:rFonts w:ascii="Arial" w:hAnsi="Arial"/>
          <w:b w:val="0"/>
          <w:bCs w:val="0"/>
          <w:color w:val="000000"/>
          <w:sz w:val="20"/>
          <w:szCs w:val="20"/>
        </w:rPr>
        <w:tab/>
        <w:t>Pressure effects, Physica B Condensed Matter 707(8), 417180</w:t>
      </w:r>
      <w:r>
        <w:rPr>
          <w:rStyle w:val="StrongEmphasis"/>
          <w:rFonts w:ascii="Arial" w:hAnsi="Arial"/>
          <w:b w:val="0"/>
          <w:bCs w:val="0"/>
          <w:color w:val="000000"/>
          <w:sz w:val="20"/>
          <w:szCs w:val="20"/>
        </w:rPr>
        <w:t xml:space="preserve">. </w:t>
      </w:r>
      <w:r>
        <w:rPr>
          <w:rStyle w:val="StrongEmphasis"/>
          <w:rFonts w:ascii="Arial" w:hAnsi="Arial"/>
          <w:b w:val="0"/>
          <w:bCs w:val="0"/>
          <w:color w:val="000000"/>
          <w:sz w:val="20"/>
          <w:szCs w:val="20"/>
        </w:rPr>
        <w:tab/>
        <w:t>DOI:</w:t>
      </w:r>
      <w:hyperlink r:id="rId26" w:tgtFrame="_blank">
        <w:r>
          <w:rPr>
            <w:rStyle w:val="Hyperlink"/>
            <w:rFonts w:ascii="Arial" w:hAnsi="Arial"/>
            <w:color w:val="000000"/>
            <w:sz w:val="20"/>
            <w:szCs w:val="20"/>
            <w:u w:val="none"/>
          </w:rPr>
          <w:t>10.1016/j.physb.2025.417180</w:t>
        </w:r>
      </w:hyperlink>
    </w:p>
    <w:p w:rsidR="00B83644" w:rsidRDefault="00B83644">
      <w:pPr>
        <w:spacing w:line="276" w:lineRule="auto"/>
        <w:jc w:val="both"/>
        <w:rPr>
          <w:rFonts w:ascii="Arial" w:hAnsi="Arial"/>
          <w:sz w:val="20"/>
          <w:szCs w:val="20"/>
        </w:rPr>
      </w:pPr>
    </w:p>
    <w:p w:rsidR="00B83644" w:rsidRDefault="0002316D">
      <w:pPr>
        <w:spacing w:line="276" w:lineRule="auto"/>
        <w:jc w:val="both"/>
      </w:pPr>
      <w:r>
        <w:rPr>
          <w:rStyle w:val="StrongEmphasis"/>
          <w:rFonts w:ascii="Arial" w:hAnsi="Arial"/>
          <w:b w:val="0"/>
          <w:bCs w:val="0"/>
          <w:color w:val="000000"/>
          <w:sz w:val="20"/>
          <w:szCs w:val="20"/>
        </w:rPr>
        <w:t>[11]</w:t>
      </w:r>
      <w:r>
        <w:rPr>
          <w:rStyle w:val="StrongEmphasis"/>
          <w:rFonts w:ascii="Arial" w:hAnsi="Arial"/>
          <w:b w:val="0"/>
          <w:bCs w:val="0"/>
          <w:color w:val="000000"/>
          <w:sz w:val="20"/>
          <w:szCs w:val="20"/>
        </w:rPr>
        <w:tab/>
        <w:t xml:space="preserve">Md. Tarekuzzaman, Md. Hasin Ishraq, Nazmul Shahadath, Md. Raihan Kabir, Rayhan M. A., Sohail </w:t>
      </w:r>
      <w:r>
        <w:rPr>
          <w:rStyle w:val="StrongEmphasis"/>
          <w:rFonts w:ascii="Arial" w:hAnsi="Arial"/>
          <w:b w:val="0"/>
          <w:bCs w:val="0"/>
          <w:color w:val="000000"/>
          <w:sz w:val="20"/>
          <w:szCs w:val="20"/>
        </w:rPr>
        <w:tab/>
        <w:t>Ahmad, Md. Abdul Qader, Md. Rasheduzzaman, Yas</w:t>
      </w:r>
      <w:r>
        <w:rPr>
          <w:rStyle w:val="StrongEmphasis"/>
          <w:rFonts w:ascii="Arial" w:hAnsi="Arial"/>
          <w:b w:val="0"/>
          <w:bCs w:val="0"/>
          <w:color w:val="000000"/>
          <w:sz w:val="20"/>
          <w:szCs w:val="20"/>
        </w:rPr>
        <w:t xml:space="preserve">irArafat &amp; Md. Zahid Hasan, (2025). DFT </w:t>
      </w:r>
      <w:r>
        <w:rPr>
          <w:rStyle w:val="StrongEmphasis"/>
          <w:rFonts w:ascii="Arial" w:hAnsi="Arial"/>
          <w:b w:val="0"/>
          <w:bCs w:val="0"/>
          <w:color w:val="000000"/>
          <w:sz w:val="20"/>
          <w:szCs w:val="20"/>
        </w:rPr>
        <w:tab/>
        <w:t xml:space="preserve">analysis of </w:t>
      </w:r>
      <w:r>
        <w:rPr>
          <w:rStyle w:val="StrongEmphasis"/>
          <w:rFonts w:ascii="Arial" w:hAnsi="Arial"/>
          <w:b w:val="0"/>
          <w:bCs w:val="0"/>
          <w:color w:val="000000"/>
          <w:sz w:val="20"/>
          <w:szCs w:val="20"/>
        </w:rPr>
        <w:tab/>
        <w:t xml:space="preserve">structural, electronic, optical, and thermodynamic properties of LiXI3 (where X=Ca, </w:t>
      </w:r>
      <w:r>
        <w:rPr>
          <w:rStyle w:val="StrongEmphasis"/>
          <w:rFonts w:ascii="Arial" w:hAnsi="Arial"/>
          <w:b w:val="0"/>
          <w:bCs w:val="0"/>
          <w:color w:val="000000"/>
          <w:sz w:val="20"/>
          <w:szCs w:val="20"/>
        </w:rPr>
        <w:tab/>
        <w:t xml:space="preserve">Sr, Ba) halide </w:t>
      </w:r>
      <w:r>
        <w:rPr>
          <w:rStyle w:val="StrongEmphasis"/>
          <w:rFonts w:ascii="Arial" w:hAnsi="Arial"/>
          <w:b w:val="0"/>
          <w:bCs w:val="0"/>
          <w:color w:val="000000"/>
          <w:sz w:val="20"/>
          <w:szCs w:val="20"/>
        </w:rPr>
        <w:tab/>
        <w:t xml:space="preserve">perovskites for optoelectronics, Nature 15, 25304  </w:t>
      </w:r>
      <w:hyperlink r:id="rId27">
        <w:r>
          <w:rPr>
            <w:rStyle w:val="Hyperlink"/>
            <w:rFonts w:ascii="Arial" w:hAnsi="Arial"/>
            <w:color w:val="000000"/>
            <w:sz w:val="20"/>
            <w:szCs w:val="20"/>
            <w:u w:val="none"/>
          </w:rPr>
          <w:t>https://doi.org/10.1038/s41598-</w:t>
        </w:r>
      </w:hyperlink>
      <w:hyperlink r:id="rId28">
        <w:r>
          <w:rPr>
            <w:rStyle w:val="Hyperlink"/>
            <w:rFonts w:ascii="Arial" w:hAnsi="Arial"/>
            <w:color w:val="000000"/>
            <w:sz w:val="20"/>
            <w:szCs w:val="20"/>
            <w:u w:val="none"/>
          </w:rPr>
          <w:tab/>
          <w:t>025-</w:t>
        </w:r>
      </w:hyperlink>
      <w:hyperlink r:id="rId29">
        <w:r>
          <w:rPr>
            <w:rStyle w:val="Hyperlink"/>
            <w:rFonts w:ascii="Arial" w:hAnsi="Arial"/>
            <w:color w:val="000000"/>
            <w:sz w:val="20"/>
            <w:szCs w:val="20"/>
            <w:u w:val="none"/>
          </w:rPr>
          <w:tab/>
          <w:t>91458-2</w:t>
        </w:r>
      </w:hyperlink>
      <w:r>
        <w:rPr>
          <w:rStyle w:val="StrongEmphasis"/>
          <w:rFonts w:ascii="Arial" w:hAnsi="Arial"/>
          <w:b w:val="0"/>
          <w:bCs w:val="0"/>
          <w:color w:val="000000"/>
          <w:sz w:val="20"/>
          <w:szCs w:val="20"/>
        </w:rPr>
        <w:t>.</w:t>
      </w:r>
    </w:p>
    <w:p w:rsidR="00B83644" w:rsidRDefault="00B83644">
      <w:pPr>
        <w:spacing w:line="276" w:lineRule="auto"/>
        <w:jc w:val="both"/>
        <w:rPr>
          <w:rFonts w:ascii="Arial" w:hAnsi="Arial"/>
          <w:sz w:val="20"/>
          <w:szCs w:val="20"/>
        </w:rPr>
      </w:pPr>
    </w:p>
    <w:p w:rsidR="00B83644" w:rsidRDefault="0002316D">
      <w:pPr>
        <w:pStyle w:val="BodyText"/>
        <w:tabs>
          <w:tab w:val="left" w:pos="0"/>
        </w:tabs>
        <w:jc w:val="both"/>
      </w:pPr>
      <w:r>
        <w:rPr>
          <w:rFonts w:ascii="Arial" w:hAnsi="Arial"/>
          <w:color w:val="000000"/>
          <w:sz w:val="20"/>
          <w:szCs w:val="20"/>
        </w:rPr>
        <w:t>[12]</w:t>
      </w:r>
      <w:r>
        <w:rPr>
          <w:rFonts w:ascii="Arial" w:hAnsi="Arial"/>
          <w:color w:val="000000"/>
          <w:sz w:val="20"/>
          <w:szCs w:val="20"/>
        </w:rPr>
        <w:tab/>
        <w:t xml:space="preserve">Ishaje M. E., Kseniia Minakova, Babalola M.I., Iyorzor B.E., Valentyna Sirenko, </w:t>
      </w:r>
      <w:r>
        <w:rPr>
          <w:rStyle w:val="StrongEmphasis"/>
          <w:rFonts w:ascii="Arial" w:hAnsi="Arial"/>
          <w:b w:val="0"/>
          <w:bCs w:val="0"/>
          <w:color w:val="000000"/>
          <w:sz w:val="20"/>
          <w:szCs w:val="20"/>
        </w:rPr>
        <w:t>(2025)</w:t>
      </w:r>
      <w:r>
        <w:rPr>
          <w:rStyle w:val="StrongEmphasis"/>
          <w:rFonts w:ascii="Arial" w:hAnsi="Arial"/>
          <w:b w:val="0"/>
          <w:bCs w:val="0"/>
          <w:color w:val="000000"/>
          <w:sz w:val="20"/>
          <w:szCs w:val="20"/>
        </w:rPr>
        <w:t xml:space="preserve">. </w:t>
      </w:r>
      <w:r>
        <w:rPr>
          <w:rFonts w:ascii="Arial" w:hAnsi="Arial"/>
          <w:color w:val="000000"/>
          <w:sz w:val="20"/>
          <w:szCs w:val="20"/>
        </w:rPr>
        <w:t>KCrAs half-</w:t>
      </w:r>
      <w:r>
        <w:rPr>
          <w:rFonts w:ascii="Arial" w:hAnsi="Arial"/>
          <w:color w:val="000000"/>
          <w:sz w:val="20"/>
          <w:szCs w:val="20"/>
        </w:rPr>
        <w:tab/>
        <w:t xml:space="preserve">metallic </w:t>
      </w:r>
      <w:r>
        <w:rPr>
          <w:rFonts w:ascii="Arial" w:hAnsi="Arial"/>
          <w:color w:val="000000"/>
          <w:sz w:val="20"/>
          <w:szCs w:val="20"/>
        </w:rPr>
        <w:tab/>
        <w:t xml:space="preserve">properties of alkali-metal-based compound: A first-principles study, Low Temperature </w:t>
      </w:r>
      <w:r>
        <w:rPr>
          <w:rFonts w:ascii="Arial" w:hAnsi="Arial"/>
          <w:color w:val="000000"/>
          <w:sz w:val="20"/>
          <w:szCs w:val="20"/>
        </w:rPr>
        <w:tab/>
        <w:t xml:space="preserve">Physics, 51  ,  pp629-635 </w:t>
      </w:r>
      <w:hyperlink r:id="rId30" w:tgtFrame="_blank">
        <w:r>
          <w:rPr>
            <w:rStyle w:val="Hyperlink"/>
            <w:rFonts w:ascii="Arial" w:hAnsi="Arial"/>
            <w:color w:val="000000"/>
            <w:sz w:val="20"/>
            <w:szCs w:val="20"/>
            <w:u w:val="none"/>
          </w:rPr>
          <w:t>https://doi.org/10.1063/10.0036529</w:t>
        </w:r>
      </w:hyperlink>
    </w:p>
    <w:p w:rsidR="00B83644" w:rsidRDefault="0002316D">
      <w:pPr>
        <w:pStyle w:val="BodyText"/>
        <w:tabs>
          <w:tab w:val="left" w:pos="0"/>
        </w:tabs>
        <w:jc w:val="both"/>
      </w:pPr>
      <w:r>
        <w:rPr>
          <w:rStyle w:val="StrongEmphasis"/>
          <w:rFonts w:ascii="Arial" w:hAnsi="Arial"/>
          <w:b w:val="0"/>
          <w:bCs w:val="0"/>
          <w:color w:val="000000"/>
          <w:sz w:val="20"/>
          <w:szCs w:val="20"/>
        </w:rPr>
        <w:t>[13]</w:t>
      </w:r>
      <w:r>
        <w:rPr>
          <w:rStyle w:val="StrongEmphasis"/>
          <w:rFonts w:ascii="Arial" w:hAnsi="Arial"/>
          <w:b w:val="0"/>
          <w:bCs w:val="0"/>
          <w:color w:val="000000"/>
          <w:sz w:val="20"/>
          <w:szCs w:val="20"/>
        </w:rPr>
        <w:tab/>
        <w:t>Kohn W., &amp; Sha</w:t>
      </w:r>
      <w:r>
        <w:rPr>
          <w:rStyle w:val="StrongEmphasis"/>
          <w:rFonts w:ascii="Arial" w:hAnsi="Arial"/>
          <w:b w:val="0"/>
          <w:bCs w:val="0"/>
          <w:color w:val="000000"/>
          <w:sz w:val="20"/>
          <w:szCs w:val="20"/>
        </w:rPr>
        <w:t xml:space="preserve">m L.J., (1965). </w:t>
      </w:r>
      <w:r>
        <w:rPr>
          <w:rStyle w:val="Emphasis"/>
          <w:rFonts w:ascii="Arial" w:hAnsi="Arial"/>
          <w:color w:val="000000"/>
          <w:sz w:val="20"/>
          <w:szCs w:val="20"/>
        </w:rPr>
        <w:t xml:space="preserve">Self-consistent equations including exchange and correlation effects. </w:t>
      </w:r>
      <w:r>
        <w:rPr>
          <w:rStyle w:val="StrongEmphasis"/>
          <w:rFonts w:ascii="Arial" w:hAnsi="Arial"/>
          <w:b w:val="0"/>
          <w:bCs w:val="0"/>
          <w:color w:val="000000"/>
          <w:sz w:val="20"/>
          <w:szCs w:val="20"/>
        </w:rPr>
        <w:t xml:space="preserve"> </w:t>
      </w:r>
      <w:r>
        <w:rPr>
          <w:rStyle w:val="StrongEmphasis"/>
          <w:rFonts w:ascii="Arial" w:hAnsi="Arial"/>
          <w:b w:val="0"/>
          <w:bCs w:val="0"/>
          <w:color w:val="000000"/>
          <w:sz w:val="20"/>
          <w:szCs w:val="20"/>
        </w:rPr>
        <w:tab/>
        <w:t>Physical Review, 140,  A1133–A1138 DOI: https://doi.org/10.1103/PhysRev.140.A1133</w:t>
      </w:r>
    </w:p>
    <w:p w:rsidR="00B83644" w:rsidRDefault="0002316D">
      <w:pPr>
        <w:pStyle w:val="BodyText"/>
        <w:tabs>
          <w:tab w:val="left" w:pos="0"/>
        </w:tabs>
        <w:jc w:val="both"/>
      </w:pPr>
      <w:r>
        <w:rPr>
          <w:rStyle w:val="StrongEmphasis"/>
          <w:rFonts w:ascii="Arial" w:hAnsi="Arial"/>
          <w:b w:val="0"/>
          <w:bCs w:val="0"/>
          <w:color w:val="000000"/>
          <w:sz w:val="20"/>
          <w:szCs w:val="20"/>
        </w:rPr>
        <w:t>[14]</w:t>
      </w:r>
      <w:r>
        <w:rPr>
          <w:rStyle w:val="StrongEmphasis"/>
          <w:rFonts w:ascii="Arial" w:hAnsi="Arial"/>
          <w:b w:val="0"/>
          <w:bCs w:val="0"/>
          <w:color w:val="000000"/>
          <w:sz w:val="20"/>
          <w:szCs w:val="20"/>
        </w:rPr>
        <w:tab/>
        <w:t>Liu Y., Chabane D, Elkedim O.,  (2021). Intermetallic Compounds Synthesized by Me</w:t>
      </w:r>
      <w:r>
        <w:rPr>
          <w:rStyle w:val="StrongEmphasis"/>
          <w:rFonts w:ascii="Arial" w:hAnsi="Arial"/>
          <w:b w:val="0"/>
          <w:bCs w:val="0"/>
          <w:color w:val="000000"/>
          <w:sz w:val="20"/>
          <w:szCs w:val="20"/>
        </w:rPr>
        <w:t xml:space="preserve">chanical </w:t>
      </w:r>
      <w:r>
        <w:rPr>
          <w:rStyle w:val="StrongEmphasis"/>
          <w:rFonts w:ascii="Arial" w:hAnsi="Arial"/>
          <w:b w:val="0"/>
          <w:bCs w:val="0"/>
          <w:color w:val="000000"/>
          <w:sz w:val="20"/>
          <w:szCs w:val="20"/>
        </w:rPr>
        <w:tab/>
        <w:t>Alloying for Solid-State Hydrogen Storage: A Review, Energy MDPI, 14 DOI:</w:t>
      </w:r>
      <w:hyperlink r:id="rId31" w:tgtFrame="_blank">
        <w:r>
          <w:rPr>
            <w:rStyle w:val="Hyperlink"/>
            <w:rFonts w:ascii="Arial" w:hAnsi="Arial"/>
            <w:color w:val="000000"/>
            <w:sz w:val="20"/>
            <w:szCs w:val="20"/>
            <w:u w:val="none"/>
          </w:rPr>
          <w:t>10.3390/en14185758</w:t>
        </w:r>
      </w:hyperlink>
      <w:r>
        <w:rPr>
          <w:rStyle w:val="StrongEmphasis"/>
          <w:rFonts w:ascii="Arial" w:hAnsi="Arial"/>
          <w:b w:val="0"/>
          <w:bCs w:val="0"/>
          <w:color w:val="000000"/>
          <w:sz w:val="20"/>
          <w:szCs w:val="20"/>
        </w:rPr>
        <w:t>.</w:t>
      </w:r>
    </w:p>
    <w:p w:rsidR="00B83644" w:rsidRDefault="0002316D">
      <w:pPr>
        <w:pStyle w:val="BodyText"/>
        <w:tabs>
          <w:tab w:val="left" w:pos="0"/>
        </w:tabs>
        <w:jc w:val="both"/>
      </w:pPr>
      <w:r>
        <w:rPr>
          <w:rStyle w:val="StrongEmphasis"/>
          <w:rFonts w:ascii="Arial" w:hAnsi="Arial"/>
          <w:b w:val="0"/>
          <w:bCs w:val="0"/>
          <w:color w:val="000000"/>
          <w:sz w:val="20"/>
          <w:szCs w:val="20"/>
        </w:rPr>
        <w:t>[15]</w:t>
      </w:r>
      <w:r>
        <w:rPr>
          <w:rStyle w:val="StrongEmphasis"/>
          <w:rFonts w:ascii="Arial" w:hAnsi="Arial"/>
          <w:b w:val="0"/>
          <w:bCs w:val="0"/>
          <w:color w:val="000000"/>
          <w:sz w:val="20"/>
          <w:szCs w:val="20"/>
        </w:rPr>
        <w:tab/>
        <w:t xml:space="preserve">Shi J., Huan Y., Zhao X., Pengfei Y., Hong </w:t>
      </w:r>
      <w:r>
        <w:rPr>
          <w:rStyle w:val="StrongEmphasis"/>
          <w:rFonts w:ascii="Arial" w:hAnsi="Arial"/>
          <w:b w:val="0"/>
          <w:bCs w:val="0"/>
          <w:color w:val="000000"/>
          <w:sz w:val="20"/>
          <w:szCs w:val="20"/>
        </w:rPr>
        <w:t>M.J, Xie C., Pennycook S., and Zhang Y.F., (2021). Two-</w:t>
      </w:r>
      <w:r>
        <w:rPr>
          <w:rStyle w:val="StrongEmphasis"/>
          <w:rFonts w:ascii="Arial" w:hAnsi="Arial"/>
          <w:b w:val="0"/>
          <w:bCs w:val="0"/>
          <w:color w:val="000000"/>
          <w:sz w:val="20"/>
          <w:szCs w:val="20"/>
        </w:rPr>
        <w:tab/>
        <w:t xml:space="preserve">Dimensional Metallic Vanadium Ditelluride as a High-Performance Electrode Material, ACS Nano, 15  </w:t>
      </w:r>
      <w:r>
        <w:rPr>
          <w:rStyle w:val="StrongEmphasis"/>
          <w:rFonts w:ascii="Arial" w:hAnsi="Arial"/>
          <w:b w:val="0"/>
          <w:bCs w:val="0"/>
          <w:color w:val="000000"/>
          <w:sz w:val="20"/>
          <w:szCs w:val="20"/>
        </w:rPr>
        <w:tab/>
        <w:t>DOI:</w:t>
      </w:r>
      <w:hyperlink r:id="rId32" w:tgtFrame="_blank">
        <w:r>
          <w:rPr>
            <w:rStyle w:val="Hyperlink"/>
            <w:rFonts w:ascii="Arial" w:hAnsi="Arial"/>
            <w:color w:val="000000"/>
            <w:sz w:val="20"/>
            <w:szCs w:val="20"/>
            <w:u w:val="none"/>
          </w:rPr>
          <w:t>10.1021/acsnano.0c10250</w:t>
        </w:r>
      </w:hyperlink>
    </w:p>
    <w:p w:rsidR="00B83644" w:rsidRDefault="0002316D">
      <w:pPr>
        <w:pStyle w:val="BodyText"/>
      </w:pPr>
      <w:r>
        <w:rPr>
          <w:rStyle w:val="StrongEmphasis"/>
          <w:rFonts w:ascii="Arial" w:hAnsi="Arial"/>
          <w:b w:val="0"/>
          <w:bCs w:val="0"/>
          <w:color w:val="000000"/>
          <w:sz w:val="20"/>
          <w:szCs w:val="20"/>
        </w:rPr>
        <w:lastRenderedPageBreak/>
        <w:t>[1</w:t>
      </w:r>
      <w:r>
        <w:rPr>
          <w:rStyle w:val="StrongEmphasis"/>
          <w:rFonts w:ascii="Arial" w:hAnsi="Arial"/>
          <w:b w:val="0"/>
          <w:bCs w:val="0"/>
          <w:color w:val="000000"/>
          <w:sz w:val="20"/>
          <w:szCs w:val="20"/>
        </w:rPr>
        <w:t>6]</w:t>
      </w:r>
      <w:r>
        <w:rPr>
          <w:rStyle w:val="StrongEmphasis"/>
          <w:rFonts w:ascii="Arial" w:hAnsi="Arial"/>
          <w:b w:val="0"/>
          <w:bCs w:val="0"/>
          <w:color w:val="000000"/>
          <w:sz w:val="20"/>
          <w:szCs w:val="20"/>
        </w:rPr>
        <w:tab/>
        <w:t>Ishaje M. E., Faustina A., Igomah G. O., (2024). Density Functional Theory (DFT) study of Alkali-</w:t>
      </w:r>
      <w:r>
        <w:rPr>
          <w:rStyle w:val="StrongEmphasis"/>
          <w:rFonts w:ascii="Arial" w:hAnsi="Arial"/>
          <w:b w:val="0"/>
          <w:bCs w:val="0"/>
          <w:color w:val="000000"/>
          <w:sz w:val="20"/>
          <w:szCs w:val="20"/>
        </w:rPr>
        <w:tab/>
        <w:t xml:space="preserve">Metal-based Half heusler Compound NaCrSb, International Astronomy and Astrophysics Research </w:t>
      </w:r>
      <w:r>
        <w:rPr>
          <w:rStyle w:val="StrongEmphasis"/>
          <w:rFonts w:ascii="Arial" w:hAnsi="Arial"/>
          <w:b w:val="0"/>
          <w:bCs w:val="0"/>
          <w:color w:val="000000"/>
          <w:sz w:val="20"/>
          <w:szCs w:val="20"/>
        </w:rPr>
        <w:tab/>
        <w:t xml:space="preserve">Journal, 6  pp49-58  </w:t>
      </w:r>
      <w:hyperlink r:id="rId33">
        <w:r>
          <w:rPr>
            <w:rStyle w:val="Hyperlink"/>
            <w:rFonts w:ascii="Arial" w:hAnsi="Arial"/>
            <w:color w:val="000000"/>
            <w:sz w:val="20"/>
            <w:szCs w:val="20"/>
            <w:u w:val="none"/>
          </w:rPr>
          <w:t>http://authors.go2articles.com/id/eprint/1451</w:t>
        </w:r>
      </w:hyperlink>
    </w:p>
    <w:p w:rsidR="00B83644" w:rsidRDefault="0002316D">
      <w:pPr>
        <w:pStyle w:val="BodyText"/>
      </w:pPr>
      <w:r>
        <w:rPr>
          <w:rStyle w:val="StrongEmphasis"/>
          <w:rFonts w:ascii="Arial" w:hAnsi="Arial"/>
          <w:b w:val="0"/>
          <w:bCs w:val="0"/>
          <w:color w:val="000000"/>
          <w:sz w:val="20"/>
          <w:szCs w:val="20"/>
        </w:rPr>
        <w:t>[17]</w:t>
      </w:r>
      <w:r>
        <w:rPr>
          <w:rStyle w:val="StrongEmphasis"/>
          <w:rFonts w:ascii="Arial" w:hAnsi="Arial"/>
          <w:b w:val="0"/>
          <w:bCs w:val="0"/>
          <w:color w:val="000000"/>
          <w:sz w:val="20"/>
          <w:szCs w:val="20"/>
        </w:rPr>
        <w:tab/>
        <w:t xml:space="preserve">Hohenberg, P., &amp; Kohn, W. (1964). </w:t>
      </w:r>
      <w:r>
        <w:rPr>
          <w:rStyle w:val="Emphasis"/>
          <w:rFonts w:ascii="Arial" w:hAnsi="Arial"/>
          <w:color w:val="000000"/>
          <w:sz w:val="20"/>
          <w:szCs w:val="20"/>
        </w:rPr>
        <w:t>Inhomogeneous electron gas,</w:t>
      </w:r>
      <w:r>
        <w:rPr>
          <w:rStyle w:val="StrongEmphasis"/>
          <w:rFonts w:ascii="Arial" w:hAnsi="Arial"/>
          <w:b w:val="0"/>
          <w:bCs w:val="0"/>
          <w:color w:val="000000"/>
          <w:sz w:val="20"/>
          <w:szCs w:val="20"/>
        </w:rPr>
        <w:t xml:space="preserve"> Physical Review, 136. B864–B871 </w:t>
      </w:r>
      <w:r>
        <w:rPr>
          <w:rStyle w:val="StrongEmphasis"/>
          <w:rFonts w:ascii="Arial" w:hAnsi="Arial"/>
          <w:b w:val="0"/>
          <w:bCs w:val="0"/>
          <w:color w:val="000000"/>
          <w:sz w:val="20"/>
          <w:szCs w:val="20"/>
        </w:rPr>
        <w:tab/>
        <w:t xml:space="preserve">DOI: </w:t>
      </w:r>
      <w:hyperlink>
        <w:r>
          <w:rPr>
            <w:rStyle w:val="Hyperlink"/>
            <w:rFonts w:ascii="Arial" w:hAnsi="Arial"/>
            <w:color w:val="000000"/>
            <w:sz w:val="20"/>
            <w:szCs w:val="20"/>
            <w:u w:val="none"/>
          </w:rPr>
          <w:t>https://doi.org/10.1103/PhysRev.136.B86</w:t>
        </w:r>
      </w:hyperlink>
    </w:p>
    <w:p w:rsidR="00B83644" w:rsidRDefault="0002316D">
      <w:pPr>
        <w:pStyle w:val="BodyText"/>
      </w:pPr>
      <w:r>
        <w:rPr>
          <w:rStyle w:val="StrongEmphasis"/>
          <w:rFonts w:ascii="Arial" w:hAnsi="Arial"/>
          <w:b w:val="0"/>
          <w:bCs w:val="0"/>
          <w:color w:val="000000"/>
          <w:sz w:val="20"/>
          <w:szCs w:val="20"/>
        </w:rPr>
        <w:t>[18]</w:t>
      </w:r>
      <w:r>
        <w:rPr>
          <w:rStyle w:val="StrongEmphasis"/>
          <w:rFonts w:ascii="Arial" w:hAnsi="Arial"/>
          <w:b w:val="0"/>
          <w:bCs w:val="0"/>
          <w:color w:val="000000"/>
          <w:sz w:val="20"/>
          <w:szCs w:val="20"/>
        </w:rPr>
        <w:tab/>
        <w:t>Chmielowski S., Bha</w:t>
      </w:r>
      <w:r>
        <w:rPr>
          <w:rStyle w:val="StrongEmphasis"/>
          <w:rFonts w:ascii="Arial" w:hAnsi="Arial"/>
          <w:b w:val="0"/>
          <w:bCs w:val="0"/>
          <w:color w:val="000000"/>
          <w:sz w:val="20"/>
          <w:szCs w:val="20"/>
        </w:rPr>
        <w:t xml:space="preserve">ttacharya S., Xie W., Pere D., Jacob S., Stern R., Moriya K., Weidenkaff A.,  </w:t>
      </w:r>
      <w:r>
        <w:rPr>
          <w:rStyle w:val="StrongEmphasis"/>
          <w:rFonts w:ascii="Arial" w:hAnsi="Arial"/>
          <w:b w:val="0"/>
          <w:bCs w:val="0"/>
          <w:color w:val="000000"/>
          <w:sz w:val="20"/>
          <w:szCs w:val="20"/>
        </w:rPr>
        <w:tab/>
        <w:t xml:space="preserve">Madsen G. K. H., Dennler G., (2016). High thermoelectric performance in Tellurium doped </w:t>
      </w:r>
      <w:r>
        <w:rPr>
          <w:rStyle w:val="StrongEmphasis"/>
          <w:rFonts w:ascii="Arial" w:hAnsi="Arial"/>
          <w:b w:val="0"/>
          <w:bCs w:val="0"/>
          <w:color w:val="000000"/>
          <w:sz w:val="20"/>
          <w:szCs w:val="20"/>
        </w:rPr>
        <w:tab/>
        <w:t xml:space="preserve">Paracostibite, </w:t>
      </w:r>
      <w:r>
        <w:rPr>
          <w:rStyle w:val="StrongEmphasis"/>
          <w:rFonts w:ascii="Arial" w:hAnsi="Arial"/>
          <w:b w:val="0"/>
          <w:bCs w:val="0"/>
          <w:color w:val="000000"/>
          <w:sz w:val="20"/>
          <w:szCs w:val="20"/>
        </w:rPr>
        <w:tab/>
        <w:t>Journal of materials Chemistry C, 4 3094 – 3100. DOI:10.1039/C6TC00410E.</w:t>
      </w:r>
    </w:p>
    <w:p w:rsidR="00B83644" w:rsidRDefault="0002316D">
      <w:pPr>
        <w:pStyle w:val="BodyText"/>
        <w:tabs>
          <w:tab w:val="left" w:pos="0"/>
        </w:tabs>
        <w:jc w:val="both"/>
      </w:pPr>
      <w:r>
        <w:rPr>
          <w:rFonts w:ascii="Arial" w:hAnsi="Arial"/>
          <w:color w:val="000000"/>
          <w:sz w:val="20"/>
          <w:szCs w:val="20"/>
        </w:rPr>
        <w:t>[19]</w:t>
      </w:r>
      <w:r>
        <w:rPr>
          <w:rFonts w:ascii="Arial" w:hAnsi="Arial"/>
          <w:color w:val="000000"/>
          <w:sz w:val="20"/>
          <w:szCs w:val="20"/>
        </w:rPr>
        <w:tab/>
        <w:t xml:space="preserve">Nolas G. S., Sharp J., &amp; H.J. ( </w:t>
      </w:r>
      <w:r>
        <w:rPr>
          <w:rStyle w:val="Emphasis"/>
          <w:rFonts w:ascii="Arial" w:hAnsi="Arial"/>
          <w:i w:val="0"/>
          <w:iCs w:val="0"/>
          <w:color w:val="000000"/>
          <w:sz w:val="20"/>
          <w:szCs w:val="20"/>
        </w:rPr>
        <w:t>2021).</w:t>
      </w:r>
      <w:r>
        <w:rPr>
          <w:rFonts w:ascii="Arial" w:hAnsi="Arial"/>
          <w:color w:val="000000"/>
          <w:sz w:val="20"/>
          <w:szCs w:val="20"/>
        </w:rPr>
        <w:t xml:space="preserve"> Goldsmid, “</w:t>
      </w:r>
      <w:r>
        <w:rPr>
          <w:rStyle w:val="Emphasis"/>
          <w:rFonts w:ascii="Arial" w:hAnsi="Arial"/>
          <w:i w:val="0"/>
          <w:iCs w:val="0"/>
          <w:color w:val="000000"/>
          <w:sz w:val="20"/>
          <w:szCs w:val="20"/>
        </w:rPr>
        <w:t xml:space="preserve">Thermoelectrics: Basic Principles and New </w:t>
      </w:r>
      <w:r>
        <w:rPr>
          <w:rStyle w:val="Emphasis"/>
          <w:rFonts w:ascii="Arial" w:hAnsi="Arial"/>
          <w:i w:val="0"/>
          <w:iCs w:val="0"/>
          <w:color w:val="000000"/>
          <w:sz w:val="20"/>
          <w:szCs w:val="20"/>
        </w:rPr>
        <w:tab/>
        <w:t xml:space="preserve">Materials Developments”, edition number 1, Springer Berlin, Heidelberg, Germany </w:t>
      </w:r>
      <w:r>
        <w:rPr>
          <w:rFonts w:ascii="Arial" w:hAnsi="Arial"/>
          <w:color w:val="000000"/>
          <w:sz w:val="20"/>
          <w:szCs w:val="20"/>
        </w:rPr>
        <w:t xml:space="preserve">Springer. </w:t>
      </w:r>
      <w:r>
        <w:rPr>
          <w:rFonts w:ascii="Arial" w:hAnsi="Arial"/>
          <w:color w:val="000000"/>
          <w:sz w:val="20"/>
          <w:szCs w:val="20"/>
        </w:rPr>
        <w:tab/>
      </w:r>
      <w:hyperlink r:id="rId34">
        <w:r>
          <w:rPr>
            <w:rStyle w:val="Hyperlink"/>
            <w:rFonts w:ascii="Arial" w:hAnsi="Arial"/>
            <w:color w:val="000000"/>
            <w:sz w:val="20"/>
            <w:szCs w:val="20"/>
            <w:u w:val="none"/>
          </w:rPr>
          <w:t>https</w:t>
        </w:r>
        <w:r>
          <w:rPr>
            <w:rStyle w:val="Hyperlink"/>
            <w:rFonts w:ascii="Arial" w:hAnsi="Arial"/>
            <w:color w:val="000000"/>
            <w:sz w:val="20"/>
            <w:szCs w:val="20"/>
            <w:u w:val="none"/>
          </w:rPr>
          <w:t>://doi.org/10.1007/978-3-662-04569-5</w:t>
        </w:r>
      </w:hyperlink>
      <w:r>
        <w:rPr>
          <w:rFonts w:ascii="Arial" w:hAnsi="Arial"/>
          <w:color w:val="000000"/>
          <w:sz w:val="20"/>
          <w:szCs w:val="20"/>
        </w:rPr>
        <w:t>, VIII, 293.</w:t>
      </w:r>
    </w:p>
    <w:p w:rsidR="00B83644" w:rsidRDefault="0002316D">
      <w:pPr>
        <w:pStyle w:val="BodyText"/>
        <w:jc w:val="both"/>
      </w:pPr>
      <w:r>
        <w:rPr>
          <w:rFonts w:ascii="Arial" w:hAnsi="Arial"/>
          <w:color w:val="000000"/>
          <w:sz w:val="20"/>
          <w:szCs w:val="20"/>
        </w:rPr>
        <w:t>[20]</w:t>
      </w:r>
      <w:r>
        <w:rPr>
          <w:rFonts w:ascii="Arial" w:hAnsi="Arial"/>
          <w:color w:val="000000"/>
          <w:sz w:val="20"/>
          <w:szCs w:val="20"/>
        </w:rPr>
        <w:tab/>
        <w:t xml:space="preserve">Ettah E.B., Ishaje M.E, Minakova K.A., Sirenko V.A., Bondar I.S., (2024). Machine-learning assisted </w:t>
      </w:r>
      <w:r>
        <w:rPr>
          <w:rFonts w:ascii="Arial" w:hAnsi="Arial"/>
          <w:color w:val="000000"/>
          <w:sz w:val="20"/>
          <w:szCs w:val="20"/>
        </w:rPr>
        <w:tab/>
        <w:t xml:space="preserve">DFT study of full-heusler alloy N2CaNa: Structural, electronic, mechanical, and thermodynamic </w:t>
      </w:r>
      <w:r>
        <w:rPr>
          <w:rFonts w:ascii="Arial" w:hAnsi="Arial"/>
          <w:color w:val="000000"/>
          <w:sz w:val="20"/>
          <w:szCs w:val="20"/>
        </w:rPr>
        <w:tab/>
        <w:t>proper</w:t>
      </w:r>
      <w:r>
        <w:rPr>
          <w:rFonts w:ascii="Arial" w:hAnsi="Arial"/>
          <w:color w:val="000000"/>
          <w:sz w:val="20"/>
          <w:szCs w:val="20"/>
        </w:rPr>
        <w:t xml:space="preserve">ties, </w:t>
      </w:r>
      <w:r>
        <w:rPr>
          <w:rStyle w:val="Emphasis"/>
          <w:rFonts w:ascii="Arial" w:hAnsi="Arial"/>
          <w:i w:val="0"/>
          <w:iCs w:val="0"/>
          <w:color w:val="000000"/>
          <w:sz w:val="20"/>
          <w:szCs w:val="20"/>
        </w:rPr>
        <w:t xml:space="preserve">Low Temp. Phys. </w:t>
      </w:r>
      <w:r>
        <w:rPr>
          <w:rFonts w:ascii="Arial" w:hAnsi="Arial"/>
          <w:color w:val="000000"/>
          <w:sz w:val="20"/>
          <w:szCs w:val="20"/>
        </w:rPr>
        <w:t xml:space="preserve">50 pp834–842  </w:t>
      </w:r>
      <w:hyperlink r:id="rId35">
        <w:r>
          <w:rPr>
            <w:rStyle w:val="Hyperlink"/>
            <w:rFonts w:ascii="Arial" w:hAnsi="Arial"/>
            <w:color w:val="000000"/>
            <w:sz w:val="20"/>
            <w:szCs w:val="20"/>
            <w:u w:val="none"/>
          </w:rPr>
          <w:t>https://doi.org/10.1063/10.0028623</w:t>
        </w:r>
      </w:hyperlink>
      <w:r>
        <w:rPr>
          <w:rFonts w:ascii="Arial" w:hAnsi="Arial"/>
          <w:color w:val="000000"/>
          <w:sz w:val="20"/>
          <w:szCs w:val="20"/>
        </w:rPr>
        <w:t xml:space="preserve"> </w:t>
      </w:r>
    </w:p>
    <w:p w:rsidR="00B83644" w:rsidRDefault="0002316D">
      <w:pPr>
        <w:pStyle w:val="BodyText"/>
        <w:tabs>
          <w:tab w:val="left" w:pos="0"/>
        </w:tabs>
        <w:jc w:val="both"/>
      </w:pPr>
      <w:r>
        <w:rPr>
          <w:rFonts w:ascii="Arial" w:hAnsi="Arial"/>
          <w:color w:val="000000"/>
          <w:sz w:val="20"/>
          <w:szCs w:val="20"/>
        </w:rPr>
        <w:t>[21]</w:t>
      </w:r>
      <w:r>
        <w:rPr>
          <w:rFonts w:ascii="Arial" w:hAnsi="Arial"/>
          <w:color w:val="000000"/>
          <w:sz w:val="20"/>
          <w:szCs w:val="20"/>
        </w:rPr>
        <w:tab/>
        <w:t xml:space="preserve">Wen Z., Zhao Y., Hou H., Wang B., and Han P., The mechanical and thermodynamic properties of </w:t>
      </w:r>
      <w:r>
        <w:rPr>
          <w:rFonts w:ascii="Arial" w:hAnsi="Arial"/>
          <w:color w:val="000000"/>
          <w:sz w:val="20"/>
          <w:szCs w:val="20"/>
        </w:rPr>
        <w:tab/>
        <w:t>Heusler compounds Ni2XAl (X = S</w:t>
      </w:r>
      <w:r>
        <w:rPr>
          <w:rFonts w:ascii="Arial" w:hAnsi="Arial"/>
          <w:color w:val="000000"/>
          <w:sz w:val="20"/>
          <w:szCs w:val="20"/>
        </w:rPr>
        <w:t xml:space="preserve">c, Ti, V) under pressure and temperature: A first-principles study, </w:t>
      </w:r>
      <w:r>
        <w:rPr>
          <w:rFonts w:ascii="Arial" w:hAnsi="Arial"/>
          <w:color w:val="000000"/>
          <w:sz w:val="20"/>
          <w:szCs w:val="20"/>
        </w:rPr>
        <w:tab/>
        <w:t>Materials &amp; Design 144  2016 DOI:</w:t>
      </w:r>
      <w:hyperlink r:id="rId36" w:tgtFrame="_blank">
        <w:r>
          <w:rPr>
            <w:rStyle w:val="Hyperlink"/>
            <w:rFonts w:ascii="Arial" w:hAnsi="Arial"/>
            <w:color w:val="000000"/>
            <w:sz w:val="20"/>
            <w:szCs w:val="20"/>
            <w:u w:val="none"/>
          </w:rPr>
          <w:t>10.1016/j.matdes.2016.11.005</w:t>
        </w:r>
      </w:hyperlink>
    </w:p>
    <w:p w:rsidR="00B83644" w:rsidRDefault="0002316D">
      <w:pPr>
        <w:pStyle w:val="BodyText"/>
        <w:tabs>
          <w:tab w:val="left" w:pos="0"/>
        </w:tabs>
        <w:jc w:val="both"/>
      </w:pPr>
      <w:r>
        <w:rPr>
          <w:rFonts w:ascii="Arial" w:hAnsi="Arial"/>
          <w:color w:val="000000"/>
          <w:sz w:val="20"/>
          <w:szCs w:val="20"/>
        </w:rPr>
        <w:t>[22]</w:t>
      </w:r>
      <w:r>
        <w:rPr>
          <w:rFonts w:ascii="Arial" w:hAnsi="Arial"/>
          <w:color w:val="000000"/>
          <w:sz w:val="20"/>
          <w:szCs w:val="20"/>
        </w:rPr>
        <w:tab/>
        <w:t xml:space="preserve">Hill, R., (1952). </w:t>
      </w:r>
      <w:r>
        <w:rPr>
          <w:rStyle w:val="Emphasis"/>
          <w:rFonts w:ascii="Arial" w:hAnsi="Arial"/>
          <w:i w:val="0"/>
          <w:iCs w:val="0"/>
          <w:color w:val="000000"/>
          <w:sz w:val="20"/>
          <w:szCs w:val="20"/>
        </w:rPr>
        <w:t>The elastic behaviour of a</w:t>
      </w:r>
      <w:r>
        <w:rPr>
          <w:rStyle w:val="Emphasis"/>
          <w:rFonts w:ascii="Arial" w:hAnsi="Arial"/>
          <w:i w:val="0"/>
          <w:iCs w:val="0"/>
          <w:color w:val="000000"/>
          <w:sz w:val="20"/>
          <w:szCs w:val="20"/>
        </w:rPr>
        <w:t xml:space="preserve"> crystalline aggregate,</w:t>
      </w:r>
      <w:r>
        <w:rPr>
          <w:rFonts w:ascii="Arial" w:hAnsi="Arial"/>
          <w:color w:val="000000"/>
          <w:sz w:val="20"/>
          <w:szCs w:val="20"/>
        </w:rPr>
        <w:t xml:space="preserve"> </w:t>
      </w:r>
      <w:r>
        <w:rPr>
          <w:rStyle w:val="StrongEmphasis"/>
          <w:rFonts w:ascii="Arial" w:hAnsi="Arial"/>
          <w:b w:val="0"/>
          <w:bCs w:val="0"/>
          <w:color w:val="000000"/>
          <w:sz w:val="20"/>
          <w:szCs w:val="20"/>
        </w:rPr>
        <w:t xml:space="preserve">Proceedings of the Physical Society </w:t>
      </w:r>
      <w:r>
        <w:rPr>
          <w:rStyle w:val="StrongEmphasis"/>
          <w:rFonts w:ascii="Arial" w:hAnsi="Arial"/>
          <w:b w:val="0"/>
          <w:bCs w:val="0"/>
          <w:color w:val="000000"/>
          <w:sz w:val="20"/>
          <w:szCs w:val="20"/>
        </w:rPr>
        <w:tab/>
        <w:t>Section A,</w:t>
      </w:r>
      <w:r>
        <w:rPr>
          <w:rFonts w:ascii="Arial" w:hAnsi="Arial"/>
          <w:color w:val="000000"/>
          <w:sz w:val="20"/>
          <w:szCs w:val="20"/>
        </w:rPr>
        <w:t xml:space="preserve"> 65  pp 349–354 DOI 10.1088/0370-1298/65/5/307</w:t>
      </w:r>
    </w:p>
    <w:p w:rsidR="00B83644" w:rsidRDefault="0002316D">
      <w:pPr>
        <w:pStyle w:val="BodyText"/>
        <w:tabs>
          <w:tab w:val="left" w:pos="0"/>
        </w:tabs>
        <w:jc w:val="both"/>
      </w:pPr>
      <w:r>
        <w:rPr>
          <w:rFonts w:ascii="Arial" w:hAnsi="Arial"/>
          <w:color w:val="000000"/>
          <w:sz w:val="20"/>
          <w:szCs w:val="20"/>
        </w:rPr>
        <w:t>[23]</w:t>
      </w:r>
      <w:r>
        <w:rPr>
          <w:rFonts w:ascii="Arial" w:hAnsi="Arial"/>
          <w:color w:val="000000"/>
          <w:sz w:val="20"/>
          <w:szCs w:val="20"/>
        </w:rPr>
        <w:tab/>
        <w:t xml:space="preserve">Blanco M. A., Francisco E., &amp; Luaña V. (2004). </w:t>
      </w:r>
      <w:r>
        <w:rPr>
          <w:rStyle w:val="Emphasis"/>
          <w:rFonts w:ascii="Arial" w:hAnsi="Arial"/>
          <w:i w:val="0"/>
          <w:iCs w:val="0"/>
          <w:color w:val="000000"/>
          <w:sz w:val="20"/>
          <w:szCs w:val="20"/>
        </w:rPr>
        <w:t xml:space="preserve">GIBBS: Isothermal-isobaric thermodynamics of </w:t>
      </w:r>
      <w:r>
        <w:rPr>
          <w:rStyle w:val="Emphasis"/>
          <w:rFonts w:ascii="Arial" w:hAnsi="Arial"/>
          <w:i w:val="0"/>
          <w:iCs w:val="0"/>
          <w:color w:val="000000"/>
          <w:sz w:val="20"/>
          <w:szCs w:val="20"/>
        </w:rPr>
        <w:tab/>
        <w:t>solids from energy curves using a quasi-</w:t>
      </w:r>
      <w:r>
        <w:rPr>
          <w:rStyle w:val="Emphasis"/>
          <w:rFonts w:ascii="Arial" w:hAnsi="Arial"/>
          <w:i w:val="0"/>
          <w:iCs w:val="0"/>
          <w:color w:val="000000"/>
          <w:sz w:val="20"/>
          <w:szCs w:val="20"/>
        </w:rPr>
        <w:t>harmonic Debye model,</w:t>
      </w:r>
      <w:r>
        <w:rPr>
          <w:rFonts w:ascii="Arial" w:hAnsi="Arial"/>
          <w:color w:val="000000"/>
          <w:sz w:val="20"/>
          <w:szCs w:val="20"/>
        </w:rPr>
        <w:t xml:space="preserve"> </w:t>
      </w:r>
      <w:r>
        <w:rPr>
          <w:rStyle w:val="StrongEmphasis"/>
          <w:rFonts w:ascii="Arial" w:hAnsi="Arial"/>
          <w:b w:val="0"/>
          <w:bCs w:val="0"/>
          <w:color w:val="000000"/>
          <w:sz w:val="20"/>
          <w:szCs w:val="20"/>
        </w:rPr>
        <w:t xml:space="preserve">Computer Physics </w:t>
      </w:r>
      <w:r>
        <w:rPr>
          <w:rStyle w:val="StrongEmphasis"/>
          <w:rFonts w:ascii="Arial" w:hAnsi="Arial"/>
          <w:b w:val="0"/>
          <w:bCs w:val="0"/>
          <w:color w:val="000000"/>
          <w:sz w:val="20"/>
          <w:szCs w:val="20"/>
        </w:rPr>
        <w:tab/>
        <w:t>Communications</w:t>
      </w:r>
      <w:r>
        <w:rPr>
          <w:rFonts w:ascii="Arial" w:hAnsi="Arial"/>
          <w:color w:val="000000"/>
          <w:sz w:val="20"/>
          <w:szCs w:val="20"/>
        </w:rPr>
        <w:t>, 158 pp 57–72 https://doi.org/10.1016/j/comphy.2003.12.001.</w:t>
      </w:r>
    </w:p>
    <w:p w:rsidR="00B83644" w:rsidRDefault="0002316D">
      <w:pPr>
        <w:pStyle w:val="BodyText"/>
        <w:tabs>
          <w:tab w:val="left" w:pos="0"/>
        </w:tabs>
        <w:jc w:val="both"/>
      </w:pPr>
      <w:r>
        <w:rPr>
          <w:rFonts w:ascii="Arial" w:hAnsi="Arial"/>
          <w:color w:val="000000"/>
          <w:sz w:val="20"/>
          <w:szCs w:val="20"/>
        </w:rPr>
        <w:t>[24]</w:t>
      </w:r>
      <w:r>
        <w:rPr>
          <w:rFonts w:ascii="Arial" w:hAnsi="Arial"/>
          <w:color w:val="000000"/>
          <w:sz w:val="20"/>
          <w:szCs w:val="20"/>
        </w:rPr>
        <w:tab/>
        <w:t xml:space="preserve">Giannozzi P., Baroni S., Bonini N., Calandra M., Car R., Cavazzoni C., Ceresoli D., Chiarotti G.L.,  </w:t>
      </w:r>
      <w:r>
        <w:rPr>
          <w:rFonts w:ascii="Arial" w:hAnsi="Arial"/>
          <w:color w:val="000000"/>
          <w:sz w:val="20"/>
          <w:szCs w:val="20"/>
        </w:rPr>
        <w:tab/>
      </w:r>
      <w:r>
        <w:rPr>
          <w:rFonts w:ascii="Arial" w:hAnsi="Arial"/>
          <w:color w:val="000000"/>
          <w:sz w:val="20"/>
          <w:szCs w:val="20"/>
        </w:rPr>
        <w:t xml:space="preserve">Cococcioni M., Dabo I., Corso A.D,  de Gironcoli S., Fabris S., Fratesi G.,  Gebauer R., Gerstmann </w:t>
      </w:r>
      <w:r>
        <w:rPr>
          <w:rFonts w:ascii="Arial" w:hAnsi="Arial"/>
          <w:color w:val="000000"/>
          <w:sz w:val="20"/>
          <w:szCs w:val="20"/>
        </w:rPr>
        <w:tab/>
        <w:t xml:space="preserve">U,  </w:t>
      </w:r>
      <w:r>
        <w:rPr>
          <w:rFonts w:ascii="Arial" w:hAnsi="Arial"/>
          <w:color w:val="000000"/>
          <w:sz w:val="20"/>
          <w:szCs w:val="20"/>
        </w:rPr>
        <w:tab/>
        <w:t xml:space="preserve">Gougoussis C.,  Kokalj A.,  Lazzeri M., Martin-Samos L.,  Marzari N., Mauri F., Mazzarello </w:t>
      </w:r>
      <w:r>
        <w:rPr>
          <w:rFonts w:ascii="Arial" w:hAnsi="Arial"/>
          <w:color w:val="000000"/>
          <w:sz w:val="20"/>
          <w:szCs w:val="20"/>
        </w:rPr>
        <w:tab/>
        <w:t>R.,  Paolini S.,  Pasquarello v,  Paulatto L.,  Sbraccia C.</w:t>
      </w:r>
      <w:r>
        <w:rPr>
          <w:rFonts w:ascii="Arial" w:hAnsi="Arial"/>
          <w:color w:val="000000"/>
          <w:sz w:val="20"/>
          <w:szCs w:val="20"/>
        </w:rPr>
        <w:t xml:space="preserve">,  Scandolo S., Sclauzero G., Seitsonen A. P,  </w:t>
      </w:r>
      <w:r>
        <w:rPr>
          <w:rFonts w:ascii="Arial" w:hAnsi="Arial"/>
          <w:color w:val="000000"/>
          <w:sz w:val="20"/>
          <w:szCs w:val="20"/>
        </w:rPr>
        <w:tab/>
        <w:t xml:space="preserve">Smogunov A., Umari P., and Wentzcovitch R. M., </w:t>
      </w:r>
      <w:r>
        <w:rPr>
          <w:rStyle w:val="Emphasis"/>
          <w:rFonts w:ascii="Arial" w:hAnsi="Arial"/>
          <w:i w:val="0"/>
          <w:iCs w:val="0"/>
          <w:color w:val="000000"/>
          <w:sz w:val="20"/>
          <w:szCs w:val="20"/>
        </w:rPr>
        <w:t>QUANTUM ESPRESSO: A modular and open-</w:t>
      </w:r>
      <w:r>
        <w:rPr>
          <w:rStyle w:val="Emphasis"/>
          <w:rFonts w:ascii="Arial" w:hAnsi="Arial"/>
          <w:i w:val="0"/>
          <w:iCs w:val="0"/>
          <w:color w:val="000000"/>
          <w:sz w:val="20"/>
          <w:szCs w:val="20"/>
        </w:rPr>
        <w:tab/>
        <w:t xml:space="preserve">source software </w:t>
      </w:r>
      <w:r>
        <w:rPr>
          <w:rStyle w:val="Emphasis"/>
          <w:rFonts w:ascii="Arial" w:hAnsi="Arial"/>
          <w:i w:val="0"/>
          <w:iCs w:val="0"/>
          <w:color w:val="000000"/>
          <w:sz w:val="20"/>
          <w:szCs w:val="20"/>
        </w:rPr>
        <w:tab/>
        <w:t>project for quantum simulations of materials,</w:t>
      </w:r>
      <w:r>
        <w:rPr>
          <w:rFonts w:ascii="Arial" w:hAnsi="Arial"/>
          <w:color w:val="000000"/>
          <w:sz w:val="20"/>
          <w:szCs w:val="20"/>
        </w:rPr>
        <w:t xml:space="preserve"> </w:t>
      </w:r>
      <w:r>
        <w:rPr>
          <w:rStyle w:val="StrongEmphasis"/>
          <w:rFonts w:ascii="Arial" w:hAnsi="Arial"/>
          <w:b w:val="0"/>
          <w:bCs w:val="0"/>
          <w:color w:val="000000"/>
          <w:sz w:val="20"/>
          <w:szCs w:val="20"/>
        </w:rPr>
        <w:t xml:space="preserve">Journal of Physics: Condensed </w:t>
      </w:r>
      <w:r>
        <w:rPr>
          <w:rStyle w:val="StrongEmphasis"/>
          <w:rFonts w:ascii="Arial" w:hAnsi="Arial"/>
          <w:b w:val="0"/>
          <w:bCs w:val="0"/>
          <w:color w:val="000000"/>
          <w:sz w:val="20"/>
          <w:szCs w:val="20"/>
        </w:rPr>
        <w:tab/>
        <w:t>Matter</w:t>
      </w:r>
      <w:r>
        <w:rPr>
          <w:rFonts w:ascii="Arial" w:hAnsi="Arial"/>
          <w:color w:val="000000"/>
          <w:sz w:val="20"/>
          <w:szCs w:val="20"/>
        </w:rPr>
        <w:t xml:space="preserve">, 21 395502, </w:t>
      </w:r>
      <w:r>
        <w:rPr>
          <w:rFonts w:ascii="Arial" w:hAnsi="Arial"/>
          <w:color w:val="000000"/>
          <w:sz w:val="20"/>
          <w:szCs w:val="20"/>
        </w:rPr>
        <w:tab/>
      </w:r>
      <w:r>
        <w:rPr>
          <w:rStyle w:val="StrongEmphasis"/>
          <w:rFonts w:ascii="Arial" w:hAnsi="Arial"/>
          <w:b w:val="0"/>
          <w:bCs w:val="0"/>
          <w:color w:val="000000"/>
          <w:sz w:val="20"/>
          <w:szCs w:val="20"/>
        </w:rPr>
        <w:t>DOI</w:t>
      </w:r>
      <w:r>
        <w:rPr>
          <w:rFonts w:ascii="Arial" w:hAnsi="Arial"/>
          <w:color w:val="000000"/>
          <w:sz w:val="20"/>
          <w:szCs w:val="20"/>
        </w:rPr>
        <w:t>10.1088/0953-8984/21/39/395502.</w:t>
      </w:r>
    </w:p>
    <w:p w:rsidR="00B83644" w:rsidRDefault="0002316D">
      <w:pPr>
        <w:pStyle w:val="BodyText"/>
        <w:tabs>
          <w:tab w:val="left" w:pos="0"/>
        </w:tabs>
        <w:jc w:val="both"/>
      </w:pPr>
      <w:r>
        <w:rPr>
          <w:rFonts w:ascii="Arial" w:hAnsi="Arial"/>
          <w:color w:val="000000"/>
          <w:sz w:val="20"/>
          <w:szCs w:val="20"/>
        </w:rPr>
        <w:t>[25]</w:t>
      </w:r>
      <w:r>
        <w:rPr>
          <w:rFonts w:ascii="Arial" w:hAnsi="Arial"/>
          <w:color w:val="000000"/>
          <w:sz w:val="20"/>
          <w:szCs w:val="20"/>
        </w:rPr>
        <w:tab/>
        <w:t xml:space="preserve">Perdew J. P., Burke K., &amp;  Ernzerhof M., (1996). </w:t>
      </w:r>
      <w:r>
        <w:rPr>
          <w:rStyle w:val="Emphasis"/>
          <w:rFonts w:ascii="Arial" w:hAnsi="Arial"/>
          <w:i w:val="0"/>
          <w:iCs w:val="0"/>
          <w:color w:val="000000"/>
          <w:sz w:val="20"/>
          <w:szCs w:val="20"/>
        </w:rPr>
        <w:t>Generalized Gradient Approximation Made Simple,</w:t>
      </w:r>
      <w:r>
        <w:rPr>
          <w:rFonts w:ascii="Arial" w:hAnsi="Arial"/>
          <w:color w:val="000000"/>
          <w:sz w:val="20"/>
          <w:szCs w:val="20"/>
        </w:rPr>
        <w:t xml:space="preserve"> </w:t>
      </w:r>
      <w:r>
        <w:rPr>
          <w:rFonts w:ascii="Arial" w:hAnsi="Arial"/>
          <w:color w:val="000000"/>
          <w:sz w:val="20"/>
          <w:szCs w:val="20"/>
        </w:rPr>
        <w:tab/>
      </w:r>
      <w:r>
        <w:rPr>
          <w:rStyle w:val="StrongEmphasis"/>
          <w:rFonts w:ascii="Arial" w:hAnsi="Arial"/>
          <w:b w:val="0"/>
          <w:bCs w:val="0"/>
          <w:color w:val="000000"/>
          <w:sz w:val="20"/>
          <w:szCs w:val="20"/>
        </w:rPr>
        <w:t>Physical Review Letters</w:t>
      </w:r>
      <w:r>
        <w:rPr>
          <w:rFonts w:ascii="Arial" w:hAnsi="Arial"/>
          <w:color w:val="000000"/>
          <w:sz w:val="20"/>
          <w:szCs w:val="20"/>
        </w:rPr>
        <w:t>, 77 3865–3868 DOI:https://doi.org/10.1103/PhysRevLett.77.3865</w:t>
      </w:r>
    </w:p>
    <w:p w:rsidR="00B83644" w:rsidRDefault="0002316D">
      <w:pPr>
        <w:pStyle w:val="BodyText"/>
        <w:jc w:val="both"/>
      </w:pPr>
      <w:r>
        <w:rPr>
          <w:rStyle w:val="StrongEmphasis"/>
          <w:rFonts w:ascii="Arial" w:hAnsi="Arial"/>
          <w:b w:val="0"/>
          <w:bCs w:val="0"/>
          <w:color w:val="000000"/>
          <w:sz w:val="20"/>
          <w:szCs w:val="20"/>
        </w:rPr>
        <w:t>[26]</w:t>
      </w:r>
      <w:r>
        <w:rPr>
          <w:rStyle w:val="StrongEmphasis"/>
          <w:rFonts w:ascii="Arial" w:hAnsi="Arial"/>
          <w:b w:val="0"/>
          <w:bCs w:val="0"/>
          <w:color w:val="000000"/>
          <w:sz w:val="20"/>
          <w:szCs w:val="20"/>
        </w:rPr>
        <w:tab/>
        <w:t>Pugh S., (1954). XCII. Relatio</w:t>
      </w:r>
      <w:r>
        <w:rPr>
          <w:rStyle w:val="StrongEmphasis"/>
          <w:rFonts w:ascii="Arial" w:hAnsi="Arial"/>
          <w:b w:val="0"/>
          <w:bCs w:val="0"/>
          <w:color w:val="000000"/>
          <w:sz w:val="20"/>
          <w:szCs w:val="20"/>
        </w:rPr>
        <w:t xml:space="preserve">ns between the Elastic Moduli and the Plastic Properties of </w:t>
      </w:r>
      <w:r>
        <w:rPr>
          <w:rStyle w:val="StrongEmphasis"/>
          <w:rFonts w:ascii="Arial" w:hAnsi="Arial"/>
          <w:b w:val="0"/>
          <w:bCs w:val="0"/>
          <w:color w:val="000000"/>
          <w:sz w:val="20"/>
          <w:szCs w:val="20"/>
        </w:rPr>
        <w:tab/>
        <w:t xml:space="preserve">Polycrystalline Pure Metals, The London, Edinburgh, and Dublin Philosophical Magazine and Journal </w:t>
      </w:r>
      <w:r>
        <w:rPr>
          <w:rStyle w:val="StrongEmphasis"/>
          <w:rFonts w:ascii="Arial" w:hAnsi="Arial"/>
          <w:b w:val="0"/>
          <w:bCs w:val="0"/>
          <w:color w:val="000000"/>
          <w:sz w:val="20"/>
          <w:szCs w:val="20"/>
        </w:rPr>
        <w:tab/>
        <w:t>of Science, 45, 823-843. https://doi.org/10.1080/14786440808520496 .</w:t>
      </w:r>
    </w:p>
    <w:p w:rsidR="00B83644" w:rsidRDefault="0002316D">
      <w:pPr>
        <w:pStyle w:val="BodyText"/>
        <w:jc w:val="both"/>
      </w:pPr>
      <w:r>
        <w:rPr>
          <w:rStyle w:val="StrongEmphasis"/>
          <w:rFonts w:ascii="Arial" w:hAnsi="Arial"/>
          <w:b w:val="0"/>
          <w:bCs w:val="0"/>
          <w:color w:val="000000"/>
          <w:sz w:val="20"/>
          <w:szCs w:val="20"/>
        </w:rPr>
        <w:t>[27]</w:t>
      </w:r>
      <w:r>
        <w:rPr>
          <w:rStyle w:val="StrongEmphasis"/>
          <w:rFonts w:ascii="Arial" w:hAnsi="Arial"/>
          <w:b w:val="0"/>
          <w:bCs w:val="0"/>
          <w:color w:val="000000"/>
          <w:sz w:val="20"/>
          <w:szCs w:val="20"/>
        </w:rPr>
        <w:tab/>
      </w:r>
      <w:r>
        <w:rPr>
          <w:rStyle w:val="StrongEmphasis"/>
          <w:rFonts w:ascii="Arial" w:hAnsi="Arial" w:cs="Times New Roman"/>
          <w:b w:val="0"/>
          <w:bCs w:val="0"/>
          <w:color w:val="000000"/>
          <w:sz w:val="20"/>
          <w:szCs w:val="20"/>
          <w:lang w:val="en-GB"/>
        </w:rPr>
        <w:t>Obiahu S.C, and Nenuwe</w:t>
      </w:r>
      <w:r>
        <w:rPr>
          <w:rStyle w:val="StrongEmphasis"/>
          <w:rFonts w:ascii="Arial" w:hAnsi="Arial" w:cs="Times New Roman"/>
          <w:b w:val="0"/>
          <w:bCs w:val="0"/>
          <w:color w:val="000000"/>
          <w:sz w:val="20"/>
          <w:szCs w:val="20"/>
          <w:lang w:val="en-GB"/>
        </w:rPr>
        <w:t xml:space="preserve"> N.O, (2025). FIRST PRINCIPLES INVESTIGATION OF HALF-METALLIC </w:t>
      </w:r>
      <w:r>
        <w:rPr>
          <w:rStyle w:val="StrongEmphasis"/>
          <w:rFonts w:ascii="Arial" w:hAnsi="Arial" w:cs="Times New Roman"/>
          <w:b w:val="0"/>
          <w:bCs w:val="0"/>
          <w:color w:val="000000"/>
          <w:sz w:val="20"/>
          <w:szCs w:val="20"/>
          <w:lang w:val="en-GB"/>
        </w:rPr>
        <w:tab/>
        <w:t xml:space="preserve">MgSrB AND MgSrAl. </w:t>
      </w:r>
      <w:r>
        <w:rPr>
          <w:rStyle w:val="StrongEmphasis"/>
          <w:rFonts w:ascii="Arial" w:hAnsi="Arial" w:cs="Times New Roman"/>
          <w:b w:val="0"/>
          <w:bCs w:val="0"/>
          <w:i/>
          <w:color w:val="000000"/>
          <w:sz w:val="20"/>
          <w:szCs w:val="20"/>
          <w:lang w:val="en-GB"/>
        </w:rPr>
        <w:t>The Journals of the Nigerian Association of Mathematical Physics</w:t>
      </w:r>
      <w:r>
        <w:rPr>
          <w:rStyle w:val="StrongEmphasis"/>
          <w:rFonts w:ascii="Arial" w:hAnsi="Arial" w:cs="Times New Roman"/>
          <w:b w:val="0"/>
          <w:bCs w:val="0"/>
          <w:color w:val="000000"/>
          <w:sz w:val="20"/>
          <w:szCs w:val="20"/>
          <w:lang w:val="en-GB"/>
        </w:rPr>
        <w:t xml:space="preserve">, </w:t>
      </w:r>
      <w:r>
        <w:rPr>
          <w:rStyle w:val="StrongEmphasis"/>
          <w:rFonts w:ascii="Arial" w:hAnsi="Arial" w:cs="Times New Roman"/>
          <w:b w:val="0"/>
          <w:bCs w:val="0"/>
          <w:i/>
          <w:color w:val="000000"/>
          <w:sz w:val="20"/>
          <w:szCs w:val="20"/>
          <w:lang w:val="en-GB"/>
        </w:rPr>
        <w:t>70</w:t>
      </w:r>
      <w:r>
        <w:rPr>
          <w:rStyle w:val="StrongEmphasis"/>
          <w:rFonts w:ascii="Arial" w:hAnsi="Arial" w:cs="Times New Roman"/>
          <w:b w:val="0"/>
          <w:bCs w:val="0"/>
          <w:color w:val="000000"/>
          <w:sz w:val="20"/>
          <w:szCs w:val="20"/>
          <w:lang w:val="en-GB"/>
        </w:rPr>
        <w:t xml:space="preserve">, 67-78. </w:t>
      </w:r>
      <w:r>
        <w:rPr>
          <w:rStyle w:val="StrongEmphasis"/>
          <w:rFonts w:ascii="Arial" w:hAnsi="Arial" w:cs="Times New Roman"/>
          <w:b w:val="0"/>
          <w:bCs w:val="0"/>
          <w:color w:val="000000"/>
          <w:sz w:val="20"/>
          <w:szCs w:val="20"/>
          <w:lang w:val="en-GB"/>
        </w:rPr>
        <w:tab/>
      </w:r>
      <w:hyperlink r:id="rId37">
        <w:r>
          <w:rPr>
            <w:rStyle w:val="Hyperlink"/>
            <w:rFonts w:ascii="Arial" w:hAnsi="Arial" w:cs="Times New Roman"/>
            <w:color w:val="000000"/>
            <w:sz w:val="20"/>
            <w:szCs w:val="20"/>
            <w:lang w:val="en-GB"/>
          </w:rPr>
          <w:t>https://doi.org/10.60787/jnamp.vol</w:t>
        </w:r>
        <w:r>
          <w:rPr>
            <w:rStyle w:val="Hyperlink"/>
            <w:rFonts w:ascii="Arial" w:hAnsi="Arial" w:cs="Times New Roman"/>
            <w:color w:val="000000"/>
            <w:sz w:val="20"/>
            <w:szCs w:val="20"/>
            <w:lang w:val="en-GB"/>
          </w:rPr>
          <w:t>69no2.536</w:t>
        </w:r>
      </w:hyperlink>
    </w:p>
    <w:p w:rsidR="00B83644" w:rsidRDefault="00B83644">
      <w:pPr>
        <w:pStyle w:val="BodyText"/>
        <w:jc w:val="both"/>
      </w:pPr>
    </w:p>
    <w:sectPr w:rsidR="00B83644">
      <w:type w:val="continuous"/>
      <w:pgSz w:w="11906" w:h="16838"/>
      <w:pgMar w:top="1134" w:right="1134" w:bottom="1693" w:left="1134" w:header="0" w:footer="1134"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02316D">
      <w:r>
        <w:separator/>
      </w:r>
    </w:p>
  </w:endnote>
  <w:endnote w:type="continuationSeparator" w:id="0">
    <w:p w:rsidR="00000000" w:rsidRDefault="00023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1"/>
    <w:family w:val="swiss"/>
    <w:pitch w:val="variable"/>
  </w:font>
  <w:font w:name="Noto Serif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1"/>
    <w:family w:val="roman"/>
    <w:pitch w:val="variable"/>
  </w:font>
  <w:font w:name="Mangal">
    <w:panose1 w:val="00000400000000000000"/>
    <w:charset w:val="00"/>
    <w:family w:val="roman"/>
    <w:pitch w:val="variable"/>
    <w:sig w:usb0="00008003" w:usb1="00000000" w:usb2="00000000" w:usb3="00000000" w:csb0="00000001" w:csb1="00000000"/>
  </w:font>
  <w:font w:name="Liberation Sans">
    <w:altName w:val="Arial"/>
    <w:charset w:val="01"/>
    <w:family w:val="roman"/>
    <w:pitch w:val="variable"/>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44" w:rsidRDefault="00B836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44" w:rsidRDefault="0002316D">
    <w:pPr>
      <w:pStyle w:val="Footer"/>
    </w:pPr>
    <w:r>
      <w:tab/>
    </w:r>
    <w:r>
      <w:fldChar w:fldCharType="begin"/>
    </w:r>
    <w:r>
      <w:instrText xml:space="preserve"> PAGE </w:instrText>
    </w:r>
    <w:r>
      <w:fldChar w:fldCharType="separate"/>
    </w:r>
    <w: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44" w:rsidRDefault="0002316D">
    <w:pPr>
      <w:pStyle w:val="Footer"/>
    </w:pPr>
    <w:r>
      <w:tab/>
    </w:r>
    <w:r>
      <w:fldChar w:fldCharType="begin"/>
    </w:r>
    <w:r>
      <w:instrText xml:space="preserve"> PAGE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02316D">
      <w:r>
        <w:separator/>
      </w:r>
    </w:p>
  </w:footnote>
  <w:footnote w:type="continuationSeparator" w:id="0">
    <w:p w:rsidR="00000000" w:rsidRDefault="000231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44" w:rsidRDefault="0002316D">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shape_0" o:spid="_x0000_s1025" type="#_x0000_t136" style="position:absolute;margin-left:0;margin-top:0;width:610.2pt;height:65.85pt;rotation:315;z-index:251658752;mso-wrap-style:none;mso-position-horizontal:center;mso-position-horizontal-relative:margin;mso-position-vertical:center;mso-position-vertical-relative:margin;v-text-anchor:middle" o:allowincell="f" fillcolor="silver" stroked="f" strokecolor="#3465a4">
          <v:fill opacity=".5" color2="#3f3f3f" o:detectmouseclick="t"/>
          <v:textpath style="font-family:&quot;Liberation Serif&quot;;font-size:1pt" trim="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44" w:rsidRDefault="0002316D">
    <w:pPr>
      <w:pStyle w:val="Header"/>
    </w:pPr>
    <w:r>
      <w:rPr>
        <w:noProof/>
      </w:rPr>
      <w:pict>
        <v:shapetype id="_x0000_t202" coordsize="21600,21600" o:spt="202" path="m,l,21600r21600,l21600,xe">
          <v:stroke joinstyle="miter"/>
          <v:path gradientshapeok="t" o:connecttype="rect"/>
        </v:shapetype>
        <v:shape id="_x0000_s1027" type="#_x0000_t202" style="position:absolute;margin-left:0;margin-top:0;width:10.4pt;height:1.2pt;rotation:-45;z-index:-251659776;visibility:visible;mso-wrap-style:square;mso-wrap-distance-left:9pt;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" o:allowincell="f" filled="f" stroked="f">
          <v:textbox inset="0,0,0,0">
            <w:txbxContent>
              <w:p w:rsidR="00B83644" w:rsidRDefault="0002316D">
                <w:pPr>
                  <w:overflowPunct w:val="0"/>
                </w:pPr>
                <w:r w:rsidRPr="0002316D">
                  <w:rPr>
                    <w:color w:val="C0C0C0"/>
                    <w:sz w:val="2"/>
                  </w:rPr>
                  <w:t>UNDER PEER REVIEW</w:t>
                </w:r>
              </w:p>
            </w:txbxContent>
          </v:textbox>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83644" w:rsidRDefault="0002316D">
    <w:pPr>
      <w:pStyle w:val="Header"/>
    </w:pPr>
    <w:r>
      <w:rPr>
        <w:noProof/>
      </w:rPr>
      <w:pict>
        <v:shapetype id="_x0000_t202" coordsize="21600,21600" o:spt="202" path="m,l,21600r21600,l21600,xe">
          <v:stroke joinstyle="miter"/>
          <v:path gradientshapeok="t" o:connecttype="rect"/>
        </v:shapetype>
        <v:shape id="_x0000_s1026" type="#_x0000_t202" style="position:absolute;margin-left:0;margin-top:0;width:10.4pt;height:1.2pt;rotation:-45;z-index:-251658752;visibility:visible;mso-wrap-style:square;mso-wrap-distance-left:9pt;mso-wrap-distance-top:0;mso-wrap-distance-right:0;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" o:allowincell="f" filled="f" stroked="f">
          <v:textbox inset="0,0,0,0">
            <w:txbxContent>
              <w:p w:rsidR="00B83644" w:rsidRDefault="0002316D">
                <w:pPr>
                  <w:overflowPunct w:val="0"/>
                </w:pPr>
                <w:r w:rsidRPr="0002316D">
                  <w:rPr>
                    <w:color w:val="C0C0C0"/>
                    <w:sz w:val="2"/>
                  </w:rPr>
                  <w:t>UNDER PEER REVIEW</w:t>
                </w:r>
              </w:p>
            </w:txbxContent>
          </v:textbox>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9"/>
  <w:autoHyphenation/>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83644"/>
    <w:rsid w:val="0002316D"/>
    <w:rsid w:val="00B8364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1F7FEB"/>
  <w15:docId w15:val="{49EAE681-9CEC-43DD-9FCA-7F239FE6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oto Serif CJK SC" w:hAnsi="Liberation Serif" w:cs="Lohit Devanagari"/>
        <w:kern w:val="2"/>
        <w:sz w:val="24"/>
        <w:szCs w:val="24"/>
        <w:lang w:val="en-US" w:eastAsia="zh-CN" w:bidi="hi-IN"/>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Heading"/>
    <w:next w:val="BodyText"/>
    <w:uiPriority w:val="9"/>
    <w:qFormat/>
    <w:pPr>
      <w:outlineLvl w:val="0"/>
    </w:pPr>
    <w:rPr>
      <w:rFonts w:ascii="Liberation Serif" w:eastAsia="Noto Serif CJK SC" w:hAnsi="Liberation Serif"/>
      <w:b/>
      <w:bCs/>
      <w:sz w:val="48"/>
      <w:szCs w:val="48"/>
    </w:rPr>
  </w:style>
  <w:style w:type="paragraph" w:styleId="Heading3">
    <w:name w:val="heading 3"/>
    <w:basedOn w:val="Heading"/>
    <w:next w:val="BodyText"/>
    <w:uiPriority w:val="9"/>
    <w:unhideWhenUsed/>
    <w:qFormat/>
    <w:pPr>
      <w:spacing w:before="140"/>
      <w:outlineLvl w:val="2"/>
    </w:pPr>
    <w:rPr>
      <w:rFonts w:ascii="Liberation Serif" w:eastAsia="Noto Serif CJK SC" w:hAnsi="Liberation Serif"/>
      <w:b/>
      <w:bCs/>
    </w:rPr>
  </w:style>
  <w:style w:type="paragraph" w:styleId="Heading4">
    <w:name w:val="heading 4"/>
    <w:basedOn w:val="Heading"/>
    <w:next w:val="BodyText"/>
    <w:uiPriority w:val="9"/>
    <w:unhideWhenUsed/>
    <w:qFormat/>
    <w:pPr>
      <w:spacing w:before="120"/>
      <w:outlineLvl w:val="3"/>
    </w:pPr>
    <w:rPr>
      <w:rFonts w:ascii="Liberation Serif" w:eastAsia="Noto Serif CJK SC"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rongEmphasis">
    <w:name w:val="Strong Emphasis"/>
    <w:qFormat/>
    <w:rPr>
      <w:b/>
      <w:bCs/>
    </w:rPr>
  </w:style>
  <w:style w:type="character" w:styleId="Emphasis">
    <w:name w:val="Emphasis"/>
    <w:qFormat/>
    <w:rPr>
      <w:i/>
      <w:iCs/>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character" w:styleId="Hyperlink">
    <w:name w:val="Hyperlink"/>
    <w:rPr>
      <w:color w:val="000080"/>
      <w:u w:val="single"/>
    </w:rPr>
  </w:style>
  <w:style w:type="character" w:styleId="Strong">
    <w:name w:val="Strong"/>
    <w:qFormat/>
    <w:rPr>
      <w:b/>
      <w:bCs/>
    </w:rPr>
  </w:style>
  <w:style w:type="character" w:styleId="UnresolvedMention">
    <w:name w:val="Unresolved Mention"/>
    <w:basedOn w:val="DefaultParagraphFont"/>
    <w:uiPriority w:val="99"/>
    <w:semiHidden/>
    <w:unhideWhenUsed/>
    <w:qFormat/>
    <w:rsid w:val="009D7D7E"/>
    <w:rPr>
      <w:color w:val="605E5C"/>
      <w:shd w:val="clear" w:color="auto" w:fill="E1DFDD"/>
    </w:rPr>
  </w:style>
  <w:style w:type="character" w:customStyle="1" w:styleId="HeaderChar">
    <w:name w:val="Header Char"/>
    <w:basedOn w:val="DefaultParagraphFont"/>
    <w:link w:val="Header"/>
    <w:uiPriority w:val="99"/>
    <w:qFormat/>
    <w:rsid w:val="00702F5F"/>
    <w:rPr>
      <w:rFonts w:cs="Mangal"/>
      <w:szCs w:val="21"/>
    </w:rPr>
  </w:style>
  <w:style w:type="character" w:styleId="FollowedHyperlink">
    <w:name w:val="FollowedHyperlink"/>
    <w:rPr>
      <w:color w:val="800080"/>
      <w:u w:val="single"/>
    </w:rPr>
  </w:style>
  <w:style w:type="paragraph" w:customStyle="1" w:styleId="Heading">
    <w:name w:val="Heading"/>
    <w:basedOn w:val="Normal"/>
    <w:next w:val="BodyText"/>
    <w:qFormat/>
    <w:pPr>
      <w:keepNext/>
      <w:spacing w:before="240" w:after="120"/>
    </w:pPr>
    <w:rPr>
      <w:rFonts w:ascii="Liberation Sans" w:eastAsia="Noto Sans CJK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HorizontalLine">
    <w:name w:val="Horizontal Line"/>
    <w:basedOn w:val="Normal"/>
    <w:next w:val="BodyText"/>
    <w:qFormat/>
    <w:pPr>
      <w:suppressLineNumbers/>
      <w:pBdr>
        <w:bottom w:val="double" w:sz="2" w:space="0" w:color="808080"/>
      </w:pBdr>
      <w:spacing w:after="283"/>
    </w:pPr>
    <w:rPr>
      <w:sz w:val="12"/>
      <w:szCs w:val="12"/>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paragraph" w:customStyle="1" w:styleId="HeaderandFooter">
    <w:name w:val="Header and Footer"/>
    <w:basedOn w:val="Normal"/>
    <w:qFormat/>
    <w:pPr>
      <w:suppressLineNumbers/>
      <w:tabs>
        <w:tab w:val="center" w:pos="4819"/>
        <w:tab w:val="right" w:pos="9638"/>
      </w:tabs>
    </w:pPr>
  </w:style>
  <w:style w:type="paragraph" w:styleId="Footer">
    <w:name w:val="footer"/>
    <w:basedOn w:val="HeaderandFooter"/>
  </w:style>
  <w:style w:type="paragraph" w:styleId="Header">
    <w:name w:val="header"/>
    <w:basedOn w:val="Normal"/>
    <w:link w:val="HeaderChar"/>
    <w:uiPriority w:val="99"/>
    <w:unhideWhenUsed/>
    <w:rsid w:val="00702F5F"/>
    <w:pPr>
      <w:tabs>
        <w:tab w:val="center" w:pos="4680"/>
        <w:tab w:val="right" w:pos="9360"/>
      </w:tabs>
    </w:pPr>
    <w:rPr>
      <w:rFonts w:cs="Mangal"/>
      <w:szCs w:val="21"/>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02/adma.202308168?urlappend=%3Futm_source%3Dresearchgate.net%26utm_medium%3Darticle" TargetMode="External"/><Relationship Id="rId26" Type="http://schemas.openxmlformats.org/officeDocument/2006/relationships/hyperlink" Target="https://doi.org/10.1016/j.physb.2025.417180" TargetMode="External"/><Relationship Id="rId39" Type="http://schemas.openxmlformats.org/officeDocument/2006/relationships/theme" Target="theme/theme1.xml"/><Relationship Id="rId21" Type="http://schemas.openxmlformats.org/officeDocument/2006/relationships/hyperlink" Target="https://doi.org/10.46481/jnsps.2022.297" TargetMode="External"/><Relationship Id="rId34" Type="http://schemas.openxmlformats.org/officeDocument/2006/relationships/hyperlink" Target="https://doi.org/10.1007/978-3-662-04569-5" TargetMode="Externa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3390/met15030329" TargetMode="External"/><Relationship Id="rId33" Type="http://schemas.openxmlformats.org/officeDocument/2006/relationships/hyperlink" Target="http://authors.go2articles.com/id/eprint/1451"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hyperlink" Target="https://pubs.acs.org/doi/10.1021/acs.inorgchem.6b02913" TargetMode="External"/><Relationship Id="rId29" Type="http://schemas.openxmlformats.org/officeDocument/2006/relationships/hyperlink" Target="https://doi.org/10.1038/s41598-025-91458-2"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hyperlink" Target="https://doi.org/10.1016/j.vacuum.2025.114249" TargetMode="External"/><Relationship Id="rId32" Type="http://schemas.openxmlformats.org/officeDocument/2006/relationships/hyperlink" Target="https://doi.org/10.1021/acsnano.0c10250" TargetMode="External"/><Relationship Id="rId37" Type="http://schemas.openxmlformats.org/officeDocument/2006/relationships/hyperlink" Target="https://doi.org/10.60787/jnamp.vol69no2.536" TargetMode="External"/><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hyperlink" Target="https://doi.org/10.47176/ijpr.23.3.41671" TargetMode="External"/><Relationship Id="rId28" Type="http://schemas.openxmlformats.org/officeDocument/2006/relationships/hyperlink" Target="https://doi.org/10.1038/s41598-025-" TargetMode="External"/><Relationship Id="rId36" Type="http://schemas.openxmlformats.org/officeDocument/2006/relationships/hyperlink" Target="https://doi.org/10.1016/j.matdes.2016.11.005" TargetMode="External"/><Relationship Id="rId10" Type="http://schemas.openxmlformats.org/officeDocument/2006/relationships/header" Target="header3.xml"/><Relationship Id="rId19" Type="http://schemas.openxmlformats.org/officeDocument/2006/relationships/hyperlink" Target="https://doi.org/10.3390/batteries10010029" TargetMode="External"/><Relationship Id="rId31" Type="http://schemas.openxmlformats.org/officeDocument/2006/relationships/hyperlink" Target="https://doi.org/10.3390/en14185758?urlappend=%3Futm_source%3Dresearchgate"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hyperlink" Target="https://doi.org/10.1039/c5sc00825e" TargetMode="External"/><Relationship Id="rId27" Type="http://schemas.openxmlformats.org/officeDocument/2006/relationships/hyperlink" Target="https://doi.org/10.1038/s41598-" TargetMode="External"/><Relationship Id="rId30" Type="http://schemas.openxmlformats.org/officeDocument/2006/relationships/hyperlink" Target="https://doi.org/10.1063/10.0036529" TargetMode="External"/><Relationship Id="rId35" Type="http://schemas.openxmlformats.org/officeDocument/2006/relationships/hyperlink" Target="https://doi.org/10.1063/10.0028623" TargetMode="External"/><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1265</TotalTime>
  <Pages>12</Pages>
  <Words>5019</Words>
  <Characters>28614</Characters>
  <Application>Microsoft Office Word</Application>
  <DocSecurity>0</DocSecurity>
  <Lines>238</Lines>
  <Paragraphs>67</Paragraphs>
  <ScaleCrop>false</ScaleCrop>
  <Company/>
  <LinksUpToDate>false</LinksUpToDate>
  <CharactersWithSpaces>33566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Editor-1183</cp:lastModifiedBy>
  <cp:revision>234</cp:revision>
  <cp:lastPrinted>2025-11-04T03:51:00Z</cp:lastPrinted>
  <dcterms:created xsi:type="dcterms:W3CDTF">2025-10-11T10:19:00Z</dcterms:created>
  <dcterms:modified xsi:type="dcterms:W3CDTF">2026-02-23T10:25:00Z</dcterms:modified>
  <dc:language>en-NG</dc:language>
</cp:coreProperties>
</file>