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3E751" w14:textId="214B0D85" w:rsidR="0018627E" w:rsidRDefault="00DF1A66" w:rsidP="004C27A2">
      <w:pPr>
        <w:pStyle w:val="Author"/>
        <w:spacing w:line="240" w:lineRule="auto"/>
        <w:rPr>
          <w:rFonts w:ascii="Arial" w:hAnsi="Arial" w:cs="Arial"/>
          <w:bCs/>
          <w:iCs/>
          <w:kern w:val="28"/>
          <w:sz w:val="34"/>
          <w:szCs w:val="34"/>
        </w:rPr>
      </w:pPr>
      <w:r w:rsidRPr="00DF1A66">
        <w:rPr>
          <w:rFonts w:ascii="Arial" w:hAnsi="Arial" w:cs="Arial"/>
          <w:bCs/>
          <w:iCs/>
          <w:kern w:val="28"/>
          <w:sz w:val="34"/>
          <w:szCs w:val="34"/>
          <w:highlight w:val="green"/>
        </w:rPr>
        <w:t xml:space="preserve">Assessment of Geothermal Gradient in </w:t>
      </w:r>
      <w:proofErr w:type="spellStart"/>
      <w:r w:rsidRPr="00DF1A66">
        <w:rPr>
          <w:rFonts w:ascii="Arial" w:hAnsi="Arial" w:cs="Arial"/>
          <w:bCs/>
          <w:iCs/>
          <w:kern w:val="28"/>
          <w:sz w:val="34"/>
          <w:szCs w:val="34"/>
          <w:highlight w:val="green"/>
        </w:rPr>
        <w:t>Samaru</w:t>
      </w:r>
      <w:proofErr w:type="spellEnd"/>
      <w:r w:rsidRPr="00DF1A66">
        <w:rPr>
          <w:rFonts w:ascii="Arial" w:hAnsi="Arial" w:cs="Arial"/>
          <w:bCs/>
          <w:iCs/>
          <w:kern w:val="28"/>
          <w:sz w:val="34"/>
          <w:szCs w:val="34"/>
          <w:highlight w:val="green"/>
        </w:rPr>
        <w:t>, Zaria, Northwestern Nigeria: Implications for Groundwater and Subsurface Engineering</w:t>
      </w:r>
    </w:p>
    <w:p w14:paraId="7A990532" w14:textId="77777777" w:rsidR="00FD6D72" w:rsidRPr="00FB3A86" w:rsidRDefault="00FD6D72" w:rsidP="00E0431D">
      <w:pPr>
        <w:pStyle w:val="Affiliation"/>
        <w:rPr>
          <w:rFonts w:ascii="Arial" w:hAnsi="Arial" w:cs="Arial"/>
        </w:rPr>
      </w:pPr>
    </w:p>
    <w:p w14:paraId="17DED451" w14:textId="77777777" w:rsidR="00B01FCD" w:rsidRPr="00FB3A86" w:rsidRDefault="0020714F" w:rsidP="00441B6F">
      <w:pPr>
        <w:pStyle w:val="Copyright"/>
        <w:spacing w:after="0" w:line="240" w:lineRule="auto"/>
        <w:jc w:val="both"/>
        <w:rPr>
          <w:rFonts w:ascii="Arial" w:hAnsi="Arial" w:cs="Arial"/>
        </w:rPr>
        <w:sectPr w:rsidR="00B01FCD" w:rsidRPr="00FB3A86" w:rsidSect="00F65A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A0AEC3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A83E83D" w14:textId="15943DDD" w:rsidR="00B01FCD" w:rsidRDefault="00B01FCD" w:rsidP="00441B6F">
      <w:pPr>
        <w:pStyle w:val="AbstHead"/>
        <w:spacing w:after="0"/>
        <w:jc w:val="both"/>
        <w:rPr>
          <w:rFonts w:ascii="Arial" w:hAnsi="Arial" w:cs="Arial"/>
        </w:rPr>
      </w:pPr>
      <w:r w:rsidRPr="00FB3A86">
        <w:rPr>
          <w:rFonts w:ascii="Arial" w:hAnsi="Arial" w:cs="Arial"/>
        </w:rPr>
        <w:t>ABSTRACT</w:t>
      </w:r>
    </w:p>
    <w:p w14:paraId="11714A9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4E68569" w14:textId="77777777" w:rsidTr="001E44FE">
        <w:tc>
          <w:tcPr>
            <w:tcW w:w="9576" w:type="dxa"/>
            <w:shd w:val="clear" w:color="auto" w:fill="F2F2F2"/>
          </w:tcPr>
          <w:p w14:paraId="0BEE8AC7" w14:textId="1AC8FC2F" w:rsidR="005B2B06" w:rsidRPr="005B2B06" w:rsidRDefault="005B2B06" w:rsidP="005B2B06">
            <w:pPr>
              <w:pStyle w:val="Body"/>
              <w:rPr>
                <w:rFonts w:ascii="Arial" w:eastAsia="Calibri" w:hAnsi="Arial" w:cs="Arial"/>
                <w:b/>
                <w:bCs/>
                <w:sz w:val="22"/>
                <w:szCs w:val="24"/>
                <w:highlight w:val="green"/>
              </w:rPr>
            </w:pPr>
            <w:r w:rsidRPr="005B2B06">
              <w:rPr>
                <w:rFonts w:ascii="Arial" w:eastAsia="Calibri" w:hAnsi="Arial" w:cs="Arial"/>
                <w:b/>
                <w:bCs/>
                <w:sz w:val="22"/>
                <w:szCs w:val="24"/>
                <w:highlight w:val="green"/>
              </w:rPr>
              <w:t xml:space="preserve">Background: </w:t>
            </w:r>
            <w:r w:rsidRPr="005B2B06">
              <w:rPr>
                <w:rFonts w:ascii="Arial" w:eastAsia="Calibri" w:hAnsi="Arial" w:cs="Arial"/>
                <w:sz w:val="22"/>
                <w:szCs w:val="24"/>
                <w:highlight w:val="green"/>
              </w:rPr>
              <w:t>Geothermal gradient is an essential parameter in subsurface thermal analysis, geothermal resource calculation, and hydrogeological studies. This research was aimed at determining the shallow geothermal gradient at Samaru, Zaria, Northwestern Nigeria, and examining the potential implications on groundwater development and subsurface engineering.</w:t>
            </w:r>
          </w:p>
          <w:p w14:paraId="38FFE851" w14:textId="139BE103" w:rsidR="005B2B06" w:rsidRPr="005B2B06" w:rsidRDefault="005B2B06" w:rsidP="005B2B06">
            <w:pPr>
              <w:pStyle w:val="Body"/>
              <w:rPr>
                <w:rFonts w:ascii="Arial" w:eastAsia="Calibri" w:hAnsi="Arial" w:cs="Arial"/>
                <w:b/>
                <w:bCs/>
                <w:sz w:val="22"/>
                <w:szCs w:val="24"/>
                <w:highlight w:val="green"/>
              </w:rPr>
            </w:pPr>
            <w:r w:rsidRPr="005B2B06">
              <w:rPr>
                <w:rFonts w:ascii="Arial" w:eastAsia="Calibri" w:hAnsi="Arial" w:cs="Arial"/>
                <w:b/>
                <w:bCs/>
                <w:sz w:val="22"/>
                <w:szCs w:val="24"/>
                <w:highlight w:val="green"/>
              </w:rPr>
              <w:t xml:space="preserve">Methods: </w:t>
            </w:r>
            <w:r w:rsidRPr="005B2B06">
              <w:rPr>
                <w:rFonts w:ascii="Arial" w:eastAsia="Calibri" w:hAnsi="Arial" w:cs="Arial"/>
                <w:sz w:val="22"/>
                <w:szCs w:val="24"/>
                <w:highlight w:val="green"/>
              </w:rPr>
              <w:t xml:space="preserve">A cross-sectional research design was used, where data </w:t>
            </w:r>
            <w:r w:rsidR="00EC7A85">
              <w:rPr>
                <w:rFonts w:ascii="Arial" w:eastAsia="Calibri" w:hAnsi="Arial" w:cs="Arial"/>
                <w:sz w:val="22"/>
                <w:szCs w:val="24"/>
                <w:highlight w:val="green"/>
              </w:rPr>
              <w:t>were</w:t>
            </w:r>
            <w:r w:rsidRPr="005B2B06">
              <w:rPr>
                <w:rFonts w:ascii="Arial" w:eastAsia="Calibri" w:hAnsi="Arial" w:cs="Arial"/>
                <w:sz w:val="22"/>
                <w:szCs w:val="24"/>
                <w:highlight w:val="green"/>
              </w:rPr>
              <w:t xml:space="preserve"> systematically obtained from 45 randomly sampled hand-dug wells. Data was collected from January to March 2024. Water surface temperatures were obtained using a UTi80 thermal imaging camera, while water table depth was recorded using a meter rule. Coordinates and elevations were obtained using a handheld GPS device. Linear regression analysis was used to establish the relationship, while contour maps were used to establish spatial relationships.</w:t>
            </w:r>
          </w:p>
          <w:p w14:paraId="2B3009D5" w14:textId="77777777" w:rsidR="00445094" w:rsidRPr="005B2B06" w:rsidRDefault="005B2B06" w:rsidP="005B2B06">
            <w:pPr>
              <w:pStyle w:val="Body"/>
              <w:rPr>
                <w:rFonts w:ascii="Arial" w:eastAsia="Calibri" w:hAnsi="Arial" w:cs="Arial"/>
                <w:sz w:val="22"/>
                <w:szCs w:val="24"/>
                <w:highlight w:val="green"/>
              </w:rPr>
            </w:pPr>
            <w:r w:rsidRPr="005B2B06">
              <w:rPr>
                <w:rFonts w:ascii="Arial" w:eastAsia="Calibri" w:hAnsi="Arial" w:cs="Arial"/>
                <w:b/>
                <w:bCs/>
                <w:sz w:val="22"/>
                <w:szCs w:val="24"/>
                <w:highlight w:val="green"/>
              </w:rPr>
              <w:t xml:space="preserve">Results: </w:t>
            </w:r>
            <w:r w:rsidRPr="005B2B06">
              <w:rPr>
                <w:rFonts w:ascii="Arial" w:eastAsia="Calibri" w:hAnsi="Arial" w:cs="Arial"/>
                <w:sz w:val="22"/>
                <w:szCs w:val="24"/>
                <w:highlight w:val="green"/>
              </w:rPr>
              <w:t>Water surface temperatures ranged from 22.4°C to 28.4°C, while the water table depth ranged from 1.30 m to 7.79 m. Linear regression analysis showed that the shallow geothermal gradient was 0.4708°C/m, which is way above the global average of 0.025°C/m. Contour maps showed deeper water tables in the west and east, which are potential sites for boreholes, while the northwest showed shallow water tables, indicating high groundwater vulnerability.</w:t>
            </w:r>
          </w:p>
          <w:p w14:paraId="771D94E8" w14:textId="0614DA28" w:rsidR="005B2B06" w:rsidRPr="00445094" w:rsidRDefault="005B2B06" w:rsidP="005B2B06">
            <w:pPr>
              <w:pStyle w:val="Body"/>
              <w:rPr>
                <w:rFonts w:ascii="Arial" w:eastAsia="Calibri" w:hAnsi="Arial" w:cs="Arial"/>
                <w:b/>
                <w:bCs/>
                <w:sz w:val="22"/>
                <w:szCs w:val="24"/>
              </w:rPr>
            </w:pPr>
            <w:r w:rsidRPr="005B2B06">
              <w:rPr>
                <w:rFonts w:ascii="Arial" w:eastAsia="Calibri" w:hAnsi="Arial" w:cs="Arial"/>
                <w:b/>
                <w:bCs/>
                <w:sz w:val="22"/>
                <w:szCs w:val="24"/>
                <w:highlight w:val="green"/>
              </w:rPr>
              <w:t xml:space="preserve">Conclusion: </w:t>
            </w:r>
            <w:r w:rsidRPr="005B2B06">
              <w:rPr>
                <w:rFonts w:ascii="Arial" w:eastAsia="Calibri" w:hAnsi="Arial" w:cs="Arial"/>
                <w:sz w:val="22"/>
                <w:szCs w:val="24"/>
                <w:highlight w:val="green"/>
              </w:rPr>
              <w:t>The high gradient values indicate local conditions of shallow subsurface environments rather than deep crustal heat flow. The results provide critical background information for groundwater management, borehole placement, and shallow engineering in crystalline basement environments. The results add to Nigeria’s developing geothermal resource database.</w:t>
            </w:r>
          </w:p>
        </w:tc>
      </w:tr>
    </w:tbl>
    <w:p w14:paraId="5A98F42B" w14:textId="77777777" w:rsidR="00636EB2" w:rsidRDefault="00636EB2" w:rsidP="00441B6F">
      <w:pPr>
        <w:pStyle w:val="Body"/>
        <w:spacing w:after="0"/>
        <w:rPr>
          <w:rFonts w:ascii="Arial" w:hAnsi="Arial" w:cs="Arial"/>
          <w:i/>
        </w:rPr>
      </w:pPr>
    </w:p>
    <w:p w14:paraId="38DC0C75" w14:textId="640C4FAE" w:rsidR="00A24E7E" w:rsidRDefault="00A24E7E" w:rsidP="00441B6F">
      <w:pPr>
        <w:pStyle w:val="Body"/>
        <w:spacing w:after="0"/>
        <w:rPr>
          <w:rFonts w:ascii="Arial" w:hAnsi="Arial" w:cs="Arial"/>
          <w:i/>
        </w:rPr>
      </w:pPr>
      <w:r w:rsidRPr="001C2862">
        <w:rPr>
          <w:rFonts w:ascii="Arial" w:hAnsi="Arial" w:cs="Arial"/>
          <w:b/>
          <w:bCs/>
          <w:i/>
        </w:rPr>
        <w:t>Keywords</w:t>
      </w:r>
      <w:r>
        <w:rPr>
          <w:rFonts w:ascii="Arial" w:hAnsi="Arial" w:cs="Arial"/>
          <w:i/>
        </w:rPr>
        <w:t xml:space="preserve">: </w:t>
      </w:r>
      <w:r w:rsidR="006B0146" w:rsidRPr="006B0146">
        <w:rPr>
          <w:rFonts w:ascii="Arial" w:hAnsi="Arial" w:cs="Arial"/>
          <w:i/>
        </w:rPr>
        <w:t>Geothermal gradient, shallow subsurface, hand-dug wells, groundwater, crystalline basement, Nigeria</w:t>
      </w:r>
      <w:r w:rsidR="001C2862">
        <w:rPr>
          <w:rFonts w:ascii="Arial" w:hAnsi="Arial" w:cs="Arial"/>
          <w:i/>
        </w:rPr>
        <w:t>.</w:t>
      </w:r>
    </w:p>
    <w:p w14:paraId="6C89C68B" w14:textId="77777777" w:rsidR="00505F06" w:rsidRPr="00A24E7E" w:rsidRDefault="00505F06" w:rsidP="00441B6F">
      <w:pPr>
        <w:pStyle w:val="Body"/>
        <w:spacing w:after="0"/>
        <w:rPr>
          <w:rFonts w:ascii="Arial" w:hAnsi="Arial" w:cs="Arial"/>
          <w:i/>
        </w:rPr>
      </w:pPr>
    </w:p>
    <w:p w14:paraId="7C92A553" w14:textId="17C376AB" w:rsidR="007F7B32" w:rsidRDefault="00B01FCD" w:rsidP="00916D3A">
      <w:pPr>
        <w:pStyle w:val="AbstHead"/>
        <w:numPr>
          <w:ilvl w:val="0"/>
          <w:numId w:val="34"/>
        </w:numPr>
        <w:spacing w:after="0" w:line="360" w:lineRule="auto"/>
        <w:ind w:left="426" w:hanging="426"/>
        <w:jc w:val="both"/>
        <w:outlineLvl w:val="1"/>
        <w:rPr>
          <w:rFonts w:ascii="Arial" w:hAnsi="Arial" w:cs="Arial"/>
        </w:rPr>
      </w:pPr>
      <w:r w:rsidRPr="00FB3A86">
        <w:rPr>
          <w:rFonts w:ascii="Arial" w:hAnsi="Arial" w:cs="Arial"/>
        </w:rPr>
        <w:t>I</w:t>
      </w:r>
      <w:r w:rsidR="00C75224">
        <w:rPr>
          <w:rFonts w:ascii="Arial" w:hAnsi="Arial" w:cs="Arial"/>
          <w:caps w:val="0"/>
        </w:rPr>
        <w:t>NTRODUCTION</w:t>
      </w:r>
    </w:p>
    <w:p w14:paraId="6E365CF7" w14:textId="2C855653" w:rsidR="00790ADA" w:rsidRDefault="009B4CDB" w:rsidP="00C75224">
      <w:pPr>
        <w:pStyle w:val="Body"/>
        <w:spacing w:line="276" w:lineRule="auto"/>
        <w:rPr>
          <w:rFonts w:ascii="Arial" w:hAnsi="Arial" w:cs="Arial"/>
        </w:rPr>
      </w:pPr>
      <w:r w:rsidRPr="009B4CDB">
        <w:rPr>
          <w:rFonts w:ascii="Arial" w:hAnsi="Arial" w:cs="Arial"/>
        </w:rPr>
        <w:t>Significant changes in the global energy map can be observed in recent times, with the dual challenges of growing demand and environmental degradation being the driving forces behind the shift in global focus to renewable sources of energy. Among the many alternatives that the world is turning to, geothermal energy stands out as the most reliable source of renewable energy, with the Earth's internal heat being tapped as the source of power generation</w:t>
      </w:r>
      <w:sdt>
        <w:sdtPr>
          <w:rPr>
            <w:rFonts w:ascii="Arial" w:hAnsi="Arial" w:cs="Arial"/>
          </w:rPr>
          <w:id w:val="333661352"/>
          <w:citation/>
        </w:sdtPr>
        <w:sdtEndPr/>
        <w:sdtContent>
          <w:r w:rsidR="00B855E5">
            <w:rPr>
              <w:rFonts w:ascii="Arial" w:hAnsi="Arial" w:cs="Arial"/>
            </w:rPr>
            <w:fldChar w:fldCharType="begin"/>
          </w:r>
          <w:r w:rsidR="00B855E5">
            <w:rPr>
              <w:rFonts w:ascii="Arial" w:hAnsi="Arial" w:cs="Arial"/>
            </w:rPr>
            <w:instrText xml:space="preserve"> CITATION Atr25 \l 1033 </w:instrText>
          </w:r>
          <w:r w:rsidR="00B855E5">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(Atre, 2025)</w:t>
          </w:r>
          <w:r w:rsidR="00B855E5">
            <w:rPr>
              <w:rFonts w:ascii="Arial" w:hAnsi="Arial" w:cs="Arial"/>
            </w:rPr>
            <w:fldChar w:fldCharType="end"/>
          </w:r>
        </w:sdtContent>
      </w:sdt>
      <w:r w:rsidRPr="009B4CDB">
        <w:rPr>
          <w:rFonts w:ascii="Arial" w:hAnsi="Arial" w:cs="Arial"/>
        </w:rPr>
        <w:t>. Unlike solar and wind energy, the source of geothermal energy can provide baseload power as it can operate at any time of the year</w:t>
      </w:r>
      <w:r w:rsidR="00C75224">
        <w:rPr>
          <w:rFonts w:ascii="Arial" w:hAnsi="Arial" w:cs="Arial"/>
        </w:rPr>
        <w:t>,</w:t>
      </w:r>
      <w:r w:rsidRPr="009B4CDB">
        <w:rPr>
          <w:rFonts w:ascii="Arial" w:hAnsi="Arial" w:cs="Arial"/>
        </w:rPr>
        <w:t xml:space="preserve"> irrespective of the weather</w:t>
      </w:r>
      <w:sdt>
        <w:sdtPr>
          <w:rPr>
            <w:rFonts w:ascii="Arial" w:hAnsi="Arial" w:cs="Arial"/>
          </w:rPr>
          <w:id w:val="-1186586139"/>
          <w:citation/>
        </w:sdtPr>
        <w:sdtEndPr/>
        <w:sdtContent>
          <w:r w:rsidR="00067922">
            <w:rPr>
              <w:rFonts w:ascii="Arial" w:hAnsi="Arial" w:cs="Arial"/>
            </w:rPr>
            <w:fldChar w:fldCharType="begin"/>
          </w:r>
          <w:r w:rsidR="00067922">
            <w:rPr>
              <w:rFonts w:ascii="Arial" w:hAnsi="Arial" w:cs="Arial"/>
            </w:rPr>
            <w:instrText xml:space="preserve"> CITATION Ano11 \l 1033 </w:instrText>
          </w:r>
          <w:r w:rsidR="00067922">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(Anomoharan, 2011)</w:t>
          </w:r>
          <w:r w:rsidR="00067922">
            <w:rPr>
              <w:rFonts w:ascii="Arial" w:hAnsi="Arial" w:cs="Arial"/>
            </w:rPr>
            <w:fldChar w:fldCharType="end"/>
          </w:r>
        </w:sdtContent>
      </w:sdt>
      <w:r w:rsidRPr="009B4CDB">
        <w:rPr>
          <w:rFonts w:ascii="Arial" w:hAnsi="Arial" w:cs="Arial"/>
        </w:rPr>
        <w:t>. The exploration of this source of energy is based on the geothermal gradient</w:t>
      </w:r>
      <w:r w:rsidR="00067922">
        <w:rPr>
          <w:rFonts w:ascii="Arial" w:hAnsi="Arial" w:cs="Arial"/>
        </w:rPr>
        <w:t xml:space="preserve">, </w:t>
      </w:r>
      <w:r w:rsidRPr="009B4CDB">
        <w:rPr>
          <w:rFonts w:ascii="Arial" w:hAnsi="Arial" w:cs="Arial"/>
        </w:rPr>
        <w:t>the rate at which the temperature increases with the depth of the Earth's crust</w:t>
      </w:r>
      <w:r w:rsidR="00B855E5">
        <w:rPr>
          <w:rFonts w:ascii="Arial" w:hAnsi="Arial" w:cs="Arial"/>
        </w:rPr>
        <w:t xml:space="preserve">, </w:t>
      </w:r>
      <w:r w:rsidRPr="009B4CDB">
        <w:rPr>
          <w:rFonts w:ascii="Arial" w:hAnsi="Arial" w:cs="Arial"/>
        </w:rPr>
        <w:t>a parameter that is not only essential in the assessment of the source of energy but also plays a vital role in hydrogeology and geotechnical engineering</w:t>
      </w:r>
      <w:sdt>
        <w:sdtPr>
          <w:rPr>
            <w:rFonts w:ascii="Arial" w:hAnsi="Arial" w:cs="Arial"/>
          </w:rPr>
          <w:id w:val="1846201516"/>
          <w:citation/>
        </w:sdtPr>
        <w:sdtEndPr/>
        <w:sdtContent>
          <w:r w:rsidR="00067922">
            <w:rPr>
              <w:rFonts w:ascii="Arial" w:hAnsi="Arial" w:cs="Arial"/>
            </w:rPr>
            <w:fldChar w:fldCharType="begin"/>
          </w:r>
          <w:r w:rsidR="00067922">
            <w:rPr>
              <w:rFonts w:ascii="Arial" w:hAnsi="Arial" w:cs="Arial"/>
            </w:rPr>
            <w:instrText xml:space="preserve"> CITATION Ben25 \l 1033  \m Zub25</w:instrText>
          </w:r>
          <w:r w:rsidR="00067922">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(Benavides, et al., 2025; Zubair, et al., 2025)</w:t>
          </w:r>
          <w:r w:rsidR="00067922">
            <w:rPr>
              <w:rFonts w:ascii="Arial" w:hAnsi="Arial" w:cs="Arial"/>
            </w:rPr>
            <w:fldChar w:fldCharType="end"/>
          </w:r>
        </w:sdtContent>
      </w:sdt>
      <w:r w:rsidRPr="009B4CDB">
        <w:rPr>
          <w:rFonts w:ascii="Arial" w:hAnsi="Arial" w:cs="Arial"/>
        </w:rPr>
        <w:t>.</w:t>
      </w:r>
    </w:p>
    <w:p w14:paraId="281562AF" w14:textId="4288206B" w:rsidR="009B4CDB" w:rsidRDefault="009B4CDB" w:rsidP="00C75224">
      <w:pPr>
        <w:pStyle w:val="Body"/>
        <w:spacing w:line="276" w:lineRule="auto"/>
        <w:rPr>
          <w:rFonts w:ascii="Arial" w:hAnsi="Arial" w:cs="Arial"/>
        </w:rPr>
      </w:pPr>
      <w:r w:rsidRPr="009B4CDB">
        <w:rPr>
          <w:rFonts w:ascii="Arial" w:hAnsi="Arial" w:cs="Arial"/>
        </w:rPr>
        <w:lastRenderedPageBreak/>
        <w:t xml:space="preserve">In Nigeria, for instance, despite the abundance of renewable energy resources, geothermal studies are remarkably less developed. The energy sources of the country are dominated by fossil fuels and hydroelectric energy, while geothermal resources are yet to be explored. </w:t>
      </w:r>
      <w:r w:rsidR="00E3512F">
        <w:rPr>
          <w:rFonts w:ascii="Arial" w:hAnsi="Arial" w:cs="Arial"/>
        </w:rPr>
        <w:t>Recent</w:t>
      </w:r>
      <w:r w:rsidRPr="009B4CDB">
        <w:rPr>
          <w:rFonts w:ascii="Arial" w:hAnsi="Arial" w:cs="Arial"/>
        </w:rPr>
        <w:t xml:space="preserve"> studies have shown that there is a considerable variability of geothermal gradients in Nigeria, which is dependent on the varied geological settings, tectonic evolution, and lithological variations. Such variability indicates the need for localized studies to provide a sound basis for the development of reliable baseline information, which is often obscured by regional trends with significant thermal implications</w:t>
      </w:r>
      <w:sdt>
        <w:sdtPr>
          <w:rPr>
            <w:rFonts w:ascii="Arial" w:hAnsi="Arial" w:cs="Arial"/>
          </w:rPr>
          <w:id w:val="-1059388778"/>
          <w:citation/>
        </w:sdtPr>
        <w:sdtEndPr/>
        <w:sdtContent>
          <w:r w:rsidR="00622146">
            <w:rPr>
              <w:rFonts w:ascii="Arial" w:hAnsi="Arial" w:cs="Arial"/>
            </w:rPr>
            <w:fldChar w:fldCharType="begin"/>
          </w:r>
          <w:r w:rsidR="00622146">
            <w:rPr>
              <w:rFonts w:ascii="Arial" w:hAnsi="Arial" w:cs="Arial"/>
            </w:rPr>
            <w:instrText xml:space="preserve"> CITATION Wen20 \l 1033  \m Hay25</w:instrText>
          </w:r>
          <w:r w:rsidR="00622146">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(Wenas, et al., 2020; Hayatudeen, et al., 2025)</w:t>
          </w:r>
          <w:r w:rsidR="00622146">
            <w:rPr>
              <w:rFonts w:ascii="Arial" w:hAnsi="Arial" w:cs="Arial"/>
            </w:rPr>
            <w:fldChar w:fldCharType="end"/>
          </w:r>
        </w:sdtContent>
      </w:sdt>
      <w:r>
        <w:rPr>
          <w:rFonts w:ascii="Arial" w:hAnsi="Arial" w:cs="Arial"/>
        </w:rPr>
        <w:t>.</w:t>
      </w:r>
    </w:p>
    <w:p w14:paraId="21D6912F" w14:textId="7B5086E7" w:rsidR="009B4CDB" w:rsidRDefault="009B4CDB" w:rsidP="00C75224">
      <w:pPr>
        <w:pStyle w:val="Body"/>
        <w:spacing w:line="276" w:lineRule="auto"/>
        <w:rPr>
          <w:rFonts w:ascii="Arial" w:hAnsi="Arial" w:cs="Arial"/>
        </w:rPr>
      </w:pPr>
      <w:r w:rsidRPr="009B4CDB">
        <w:rPr>
          <w:rFonts w:ascii="Arial" w:hAnsi="Arial" w:cs="Arial"/>
        </w:rPr>
        <w:t>The region of Samaru, within Zaria in Northwestern Nigeria's Kaduna State, presents an interesting case for a geothermal exploration. This region is an academic and residential hub with a high population density, facing issues of water resource management and infrastructure development. The crystalline basement complex geology of this region has led to the formation of shallow aquifers, which are major sources of water for this region's population. The hand-dug wells are common in this region and provide an unconventional means of exploring the subsurface thermal environment. The water table in these wells acts as a reservoir of heat flow from the geological medium</w:t>
      </w:r>
      <w:sdt>
        <w:sdtPr>
          <w:rPr>
            <w:rFonts w:ascii="Arial" w:hAnsi="Arial" w:cs="Arial"/>
          </w:rPr>
          <w:id w:val="-1700846238"/>
          <w:citation/>
        </w:sdtPr>
        <w:sdtEndPr/>
        <w:sdtContent>
          <w:r w:rsidR="00622146">
            <w:rPr>
              <w:rFonts w:ascii="Arial" w:hAnsi="Arial" w:cs="Arial"/>
            </w:rPr>
            <w:fldChar w:fldCharType="begin"/>
          </w:r>
          <w:r w:rsidR="00622146">
            <w:rPr>
              <w:rFonts w:ascii="Arial" w:hAnsi="Arial" w:cs="Arial"/>
            </w:rPr>
            <w:instrText xml:space="preserve"> CITATION Moh14 \l 1033 </w:instrText>
          </w:r>
          <w:r w:rsidR="0003791B">
            <w:rPr>
              <w:rFonts w:ascii="Arial" w:hAnsi="Arial" w:cs="Arial"/>
            </w:rPr>
            <w:instrText xml:space="preserve"> \m Emu14</w:instrText>
          </w:r>
          <w:r w:rsidR="00622146">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(Mohammed, 2014; Emujakporue &amp; Ekine, 2014)</w:t>
          </w:r>
          <w:r w:rsidR="00622146">
            <w:rPr>
              <w:rFonts w:ascii="Arial" w:hAnsi="Arial" w:cs="Arial"/>
            </w:rPr>
            <w:fldChar w:fldCharType="end"/>
          </w:r>
        </w:sdtContent>
      </w:sdt>
    </w:p>
    <w:p w14:paraId="77887DE5" w14:textId="651063DF" w:rsidR="009B4CDB" w:rsidRDefault="009B4CDB" w:rsidP="00C75224">
      <w:pPr>
        <w:pStyle w:val="Body"/>
        <w:spacing w:line="276" w:lineRule="auto"/>
        <w:rPr>
          <w:rFonts w:ascii="Arial" w:hAnsi="Arial" w:cs="Arial"/>
        </w:rPr>
      </w:pPr>
      <w:r w:rsidRPr="009B4CDB">
        <w:rPr>
          <w:rFonts w:ascii="Arial" w:hAnsi="Arial" w:cs="Arial"/>
        </w:rPr>
        <w:t>The relationship between groundwater temperature and depth may be used as a practical approach to estimate local geothermal gradients. Groundwater tends to equilibrate with the rocks it traverses during its passage through the subsurface</w:t>
      </w:r>
      <w:r w:rsidR="0003791B">
        <w:rPr>
          <w:rFonts w:ascii="Arial" w:hAnsi="Arial" w:cs="Arial"/>
        </w:rPr>
        <w:t xml:space="preserve"> (Alao, 2023; 2024; &amp; 2025)</w:t>
      </w:r>
      <w:r w:rsidRPr="009B4CDB">
        <w:rPr>
          <w:rFonts w:ascii="Arial" w:hAnsi="Arial" w:cs="Arial"/>
        </w:rPr>
        <w:t>. By measuring the temperatures of groundwater at various depths within multiple wells, it is possible to construct a profile of temperatures</w:t>
      </w:r>
      <w:sdt>
        <w:sdtPr>
          <w:rPr>
            <w:rFonts w:ascii="Arial" w:hAnsi="Arial" w:cs="Arial"/>
          </w:rPr>
          <w:id w:val="-1461951686"/>
          <w:citation/>
        </w:sdtPr>
        <w:sdtEndPr/>
        <w:sdtContent>
          <w:r w:rsidR="00E94D61">
            <w:rPr>
              <w:rFonts w:ascii="Arial" w:hAnsi="Arial" w:cs="Arial"/>
            </w:rPr>
            <w:fldChar w:fldCharType="begin"/>
          </w:r>
          <w:r w:rsidR="00DC1B80">
            <w:rPr>
              <w:rFonts w:ascii="Arial" w:hAnsi="Arial" w:cs="Arial"/>
            </w:rPr>
            <w:instrText xml:space="preserve">CITATION Abo16 \m Dog172 \m Kur17 \m Ala \m Placeholder7 \m Ala \l 1033 </w:instrText>
          </w:r>
          <w:r w:rsidR="00E94D61">
            <w:rPr>
              <w:rFonts w:ascii="Arial" w:hAnsi="Arial" w:cs="Arial"/>
            </w:rPr>
            <w:fldChar w:fldCharType="separate"/>
          </w:r>
          <w:r w:rsidR="00DC1B80">
            <w:rPr>
              <w:rFonts w:ascii="Arial" w:hAnsi="Arial" w:cs="Arial"/>
              <w:noProof/>
            </w:rPr>
            <w:t xml:space="preserve"> </w:t>
          </w:r>
          <w:r w:rsidR="00DC1B80" w:rsidRPr="00DC1B80">
            <w:rPr>
              <w:rFonts w:ascii="Arial" w:hAnsi="Arial" w:cs="Arial"/>
              <w:noProof/>
            </w:rPr>
            <w:t>(Aboh, et al., 2016; Dogara, et al., 2017a; Kure, et al., 2017; Joseph, et al., 2024; Omeiza &amp; Dary, 2018; Joseph, et al., 2024)</w:t>
          </w:r>
          <w:r w:rsidR="00E94D61">
            <w:rPr>
              <w:rFonts w:ascii="Arial" w:hAnsi="Arial" w:cs="Arial"/>
            </w:rPr>
            <w:fldChar w:fldCharType="end"/>
          </w:r>
        </w:sdtContent>
      </w:sdt>
      <w:r w:rsidRPr="009B4CDB">
        <w:rPr>
          <w:rFonts w:ascii="Arial" w:hAnsi="Arial" w:cs="Arial"/>
        </w:rPr>
        <w:t>. This method may be considered less accurate than borehole measurements</w:t>
      </w:r>
      <w:r w:rsidR="00E94D61">
        <w:rPr>
          <w:rFonts w:ascii="Arial" w:hAnsi="Arial" w:cs="Arial"/>
        </w:rPr>
        <w:t>,</w:t>
      </w:r>
      <w:r w:rsidRPr="009B4CDB">
        <w:rPr>
          <w:rFonts w:ascii="Arial" w:hAnsi="Arial" w:cs="Arial"/>
        </w:rPr>
        <w:t xml:space="preserve"> but </w:t>
      </w:r>
      <w:r w:rsidR="00E94D61">
        <w:rPr>
          <w:rFonts w:ascii="Arial" w:hAnsi="Arial" w:cs="Arial"/>
        </w:rPr>
        <w:t xml:space="preserve">it </w:t>
      </w:r>
      <w:r w:rsidRPr="009B4CDB">
        <w:rPr>
          <w:rFonts w:ascii="Arial" w:hAnsi="Arial" w:cs="Arial"/>
        </w:rPr>
        <w:t>may be of particular interest for shallow subsurface engineering applications.</w:t>
      </w:r>
    </w:p>
    <w:p w14:paraId="628958A2" w14:textId="0B3D6369" w:rsidR="009B4CDB" w:rsidRDefault="009B4CDB" w:rsidP="00C75224">
      <w:pPr>
        <w:pStyle w:val="Body"/>
        <w:spacing w:line="276" w:lineRule="auto"/>
        <w:rPr>
          <w:rFonts w:ascii="Arial" w:hAnsi="Arial" w:cs="Arial"/>
        </w:rPr>
      </w:pPr>
      <w:r w:rsidRPr="009B4CDB">
        <w:rPr>
          <w:rFonts w:ascii="Arial" w:hAnsi="Arial" w:cs="Arial"/>
        </w:rPr>
        <w:t>Apart from the energy aspect, the significance of the geothermal gradient has far-reaching implications for groundwater resource development and geotechnical engineering. Regions of high thermal gradients could affect the chemical composition of groundwater, microbial processes, and recharge mechanisms of aquifers</w:t>
      </w:r>
      <w:sdt>
        <w:sdtPr>
          <w:rPr>
            <w:rFonts w:ascii="Arial" w:hAnsi="Arial" w:cs="Arial"/>
          </w:rPr>
          <w:id w:val="-611432028"/>
          <w:citation/>
        </w:sdtPr>
        <w:sdtEndPr/>
        <w:sdtContent>
          <w:r w:rsidR="00E94D61">
            <w:rPr>
              <w:rFonts w:ascii="Arial" w:hAnsi="Arial" w:cs="Arial"/>
            </w:rPr>
            <w:fldChar w:fldCharType="begin"/>
          </w:r>
          <w:r w:rsidR="00E94D61">
            <w:rPr>
              <w:rFonts w:ascii="Arial" w:hAnsi="Arial" w:cs="Arial"/>
            </w:rPr>
            <w:instrText xml:space="preserve"> CITATION Bel25 \l 1033 </w:instrText>
          </w:r>
          <w:r w:rsidR="00E94D61">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(Bello, et al., 2025)</w:t>
          </w:r>
          <w:r w:rsidR="00E94D61">
            <w:rPr>
              <w:rFonts w:ascii="Arial" w:hAnsi="Arial" w:cs="Arial"/>
            </w:rPr>
            <w:fldChar w:fldCharType="end"/>
          </w:r>
        </w:sdtContent>
      </w:sdt>
      <w:r w:rsidRPr="009B4CDB">
        <w:rPr>
          <w:rFonts w:ascii="Arial" w:hAnsi="Arial" w:cs="Arial"/>
        </w:rPr>
        <w:t>. In borehole location, information on the thermal conditions of the subsurface can be used for the selection of the appropriate drilling depth and type of casing materials. In geotechnical engineering, temperature fluctuations influence soil mechanics, foundation settlement, and the performance of underground structures</w:t>
      </w:r>
      <w:sdt>
        <w:sdtPr>
          <w:rPr>
            <w:rFonts w:ascii="Arial" w:hAnsi="Arial" w:cs="Arial"/>
          </w:rPr>
          <w:id w:val="-463273171"/>
          <w:citation/>
        </w:sdtPr>
        <w:sdtEndPr/>
        <w:sdtContent>
          <w:r w:rsidR="00E94D61">
            <w:rPr>
              <w:rFonts w:ascii="Arial" w:hAnsi="Arial" w:cs="Arial"/>
            </w:rPr>
            <w:fldChar w:fldCharType="begin"/>
          </w:r>
          <w:r w:rsidR="00E94D61">
            <w:rPr>
              <w:rFonts w:ascii="Arial" w:hAnsi="Arial" w:cs="Arial"/>
            </w:rPr>
            <w:instrText xml:space="preserve"> CITATION Ala242 \l 1033  \m Ala253</w:instrText>
          </w:r>
          <w:r w:rsidR="00E94D61">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(Alao, 2024; Joseph, 2025b)</w:t>
          </w:r>
          <w:r w:rsidR="00E94D61">
            <w:rPr>
              <w:rFonts w:ascii="Arial" w:hAnsi="Arial" w:cs="Arial"/>
            </w:rPr>
            <w:fldChar w:fldCharType="end"/>
          </w:r>
        </w:sdtContent>
      </w:sdt>
      <w:r w:rsidRPr="009B4CDB">
        <w:rPr>
          <w:rFonts w:ascii="Arial" w:hAnsi="Arial" w:cs="Arial"/>
        </w:rPr>
        <w:t>. With the increasing urbanization of Samaru, such information is critical for sustainable development</w:t>
      </w:r>
      <w:r>
        <w:rPr>
          <w:rFonts w:ascii="Arial" w:hAnsi="Arial" w:cs="Arial"/>
        </w:rPr>
        <w:t>.</w:t>
      </w:r>
    </w:p>
    <w:p w14:paraId="056435AA" w14:textId="770F22D2" w:rsidR="009B4CDB" w:rsidRDefault="009B4CDB" w:rsidP="00C75224">
      <w:pPr>
        <w:pStyle w:val="Body"/>
        <w:spacing w:line="276" w:lineRule="auto"/>
        <w:rPr>
          <w:rFonts w:ascii="Arial" w:hAnsi="Arial" w:cs="Arial"/>
        </w:rPr>
      </w:pPr>
      <w:r w:rsidRPr="009B4CDB">
        <w:rPr>
          <w:rFonts w:ascii="Arial" w:hAnsi="Arial" w:cs="Arial"/>
        </w:rPr>
        <w:t>This study is designed to find the geothermal gradient in some parts of Samaru through temperature and depth observations using hand-dug wells, while also assessing the spatial distribution of some hydrologic parameters. By establishing this basic information, this research hopes to make a contribution to the emerging geothermal profile in Nigeria while providing useful information for groundwater resources management, borehole construction, and engineering in crystalline basement rocks. This research has potential applicability not just for local interests but also for other regions with similar geology in sub-Saharan Africa</w:t>
      </w:r>
      <w:r w:rsidR="00E94D61">
        <w:rPr>
          <w:rFonts w:ascii="Arial" w:hAnsi="Arial" w:cs="Arial"/>
        </w:rPr>
        <w:t>,</w:t>
      </w:r>
      <w:r w:rsidRPr="009B4CDB">
        <w:rPr>
          <w:rFonts w:ascii="Arial" w:hAnsi="Arial" w:cs="Arial"/>
        </w:rPr>
        <w:t xml:space="preserve"> where shallow groundwater systems act as vital water resources.</w:t>
      </w:r>
    </w:p>
    <w:p w14:paraId="36995975" w14:textId="0FEF483A" w:rsidR="007F7B32" w:rsidRDefault="009B4CDB" w:rsidP="00916D3A">
      <w:pPr>
        <w:pStyle w:val="AbstHead"/>
        <w:numPr>
          <w:ilvl w:val="0"/>
          <w:numId w:val="36"/>
        </w:numPr>
        <w:spacing w:after="0" w:line="360" w:lineRule="auto"/>
        <w:ind w:left="426" w:hanging="426"/>
        <w:jc w:val="both"/>
        <w:outlineLvl w:val="1"/>
        <w:rPr>
          <w:rFonts w:ascii="Arial" w:hAnsi="Arial" w:cs="Arial"/>
        </w:rPr>
      </w:pPr>
      <w:r>
        <w:rPr>
          <w:rFonts w:ascii="Arial" w:hAnsi="Arial" w:cs="Arial"/>
        </w:rPr>
        <w:t>Materials</w:t>
      </w:r>
      <w:r w:rsidR="00902823">
        <w:rPr>
          <w:rFonts w:ascii="Arial" w:hAnsi="Arial" w:cs="Arial"/>
        </w:rPr>
        <w:t xml:space="preserve"> and method</w:t>
      </w:r>
      <w:r w:rsidR="00000F8F">
        <w:rPr>
          <w:rFonts w:ascii="Arial" w:hAnsi="Arial" w:cs="Arial"/>
        </w:rPr>
        <w:t>s</w:t>
      </w:r>
    </w:p>
    <w:p w14:paraId="39875BAD" w14:textId="68A44A74" w:rsidR="00C75224" w:rsidRPr="00C75224" w:rsidRDefault="00C75224" w:rsidP="00C75224">
      <w:pPr>
        <w:pStyle w:val="Heading2"/>
        <w:numPr>
          <w:ilvl w:val="1"/>
          <w:numId w:val="36"/>
        </w:numPr>
        <w:spacing w:line="360" w:lineRule="auto"/>
        <w:ind w:left="426" w:hanging="426"/>
        <w:jc w:val="both"/>
        <w:rPr>
          <w:rFonts w:ascii="Arial" w:hAnsi="Arial" w:cs="Arial"/>
          <w:b/>
          <w:bCs/>
          <w:color w:val="auto"/>
          <w:sz w:val="20"/>
          <w:szCs w:val="20"/>
        </w:rPr>
      </w:pPr>
      <w:r w:rsidRPr="00C75224">
        <w:rPr>
          <w:rFonts w:ascii="Arial" w:hAnsi="Arial" w:cs="Arial"/>
          <w:b/>
          <w:bCs/>
          <w:color w:val="auto"/>
          <w:sz w:val="20"/>
          <w:szCs w:val="20"/>
        </w:rPr>
        <w:t>Site Description</w:t>
      </w:r>
    </w:p>
    <w:p w14:paraId="2E41EDDC" w14:textId="639244B7" w:rsidR="008529D6" w:rsidRPr="009B4CDB" w:rsidRDefault="008529D6" w:rsidP="008529D6">
      <w:pPr>
        <w:spacing w:after="240" w:line="276" w:lineRule="auto"/>
        <w:jc w:val="both"/>
        <w:rPr>
          <w:rFonts w:ascii="Arial" w:hAnsi="Arial" w:cs="Arial"/>
        </w:rPr>
      </w:pPr>
      <w:r w:rsidRPr="006B0146">
        <w:rPr>
          <w:rFonts w:ascii="Arial" w:hAnsi="Arial" w:cs="Arial"/>
          <w:highlight w:val="green"/>
        </w:rPr>
        <w:t>The study area is in Samaru, Zaria, which is in Northwestern Nigeria, in Kaduna State. The area is situated between 11°16′N and 7°39′E (Fig. 1). The geological and hydrological conditions in this area make it conducive for assessing the thermal conditions in the subsurface using the shallow groundwater flow system. This area is in the crystalline basement complex, and as such, Abubakar et al. (2025) showed, in their study on the application of integrated geophysical evaluation in the search for gold mineralization, this area is very important in understanding the geological conditions in the subsurface. The application of systematic spatial analysis, as Abubakar et al. (2024) showed in their study on the application of mineral potential mapping, is very important in understanding the spatial distribution of hydrogeological parameters such as depth and temperature, as shown in this study</w:t>
      </w:r>
      <w:r w:rsidRPr="008529D6">
        <w:rPr>
          <w:rFonts w:ascii="Arial" w:hAnsi="Arial" w:cs="Arial"/>
        </w:rPr>
        <w:t>.</w:t>
      </w:r>
    </w:p>
    <w:p w14:paraId="1F10755D" w14:textId="77777777" w:rsidR="009B4CDB" w:rsidRPr="009B4CDB" w:rsidRDefault="009B4CDB" w:rsidP="009B4CDB">
      <w:pPr>
        <w:spacing w:line="276" w:lineRule="auto"/>
        <w:jc w:val="both"/>
        <w:rPr>
          <w:rFonts w:ascii="Arial" w:hAnsi="Arial" w:cs="Arial"/>
        </w:rPr>
      </w:pPr>
      <w:r w:rsidRPr="009B4CDB">
        <w:rPr>
          <w:rFonts w:ascii="Arial" w:hAnsi="Arial" w:cs="Arial"/>
          <w:noProof/>
          <w:lang w:val="en-IN" w:eastAsia="en-IN"/>
        </w:rPr>
        <w:lastRenderedPageBreak/>
        <w:drawing>
          <wp:inline distT="0" distB="0" distL="0" distR="0" wp14:anchorId="1C52B153" wp14:editId="6F0B3035">
            <wp:extent cx="5215671" cy="3582988"/>
            <wp:effectExtent l="0" t="0" r="0" b="0"/>
            <wp:docPr id="1" name="Picture 1" descr="C:\Users\user\AppData\Local\Microsoft\Windows\INetCache\Content.Word\IMG_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6291.jpg"/>
                    <pic:cNvPicPr>
                      <a:picLocks noChangeAspect="1" noChangeArrowheads="1"/>
                    </pic:cNvPicPr>
                  </pic:nvPicPr>
                  <pic:blipFill>
                    <a:blip r:embed="rId14"/>
                    <a:srcRect/>
                    <a:stretch>
                      <a:fillRect/>
                    </a:stretch>
                  </pic:blipFill>
                  <pic:spPr bwMode="auto">
                    <a:xfrm>
                      <a:off x="0" y="0"/>
                      <a:ext cx="5252436" cy="3608244"/>
                    </a:xfrm>
                    <a:prstGeom prst="rect">
                      <a:avLst/>
                    </a:prstGeom>
                    <a:noFill/>
                    <a:ln w="9525">
                      <a:noFill/>
                      <a:miter lim="800000"/>
                      <a:headEnd/>
                      <a:tailEnd/>
                    </a:ln>
                  </pic:spPr>
                </pic:pic>
              </a:graphicData>
            </a:graphic>
          </wp:inline>
        </w:drawing>
      </w:r>
    </w:p>
    <w:p w14:paraId="5573400F" w14:textId="77777777" w:rsidR="009B4CDB" w:rsidRPr="009B4CDB" w:rsidRDefault="009B4CDB" w:rsidP="00C75224">
      <w:pPr>
        <w:spacing w:after="240" w:line="276" w:lineRule="auto"/>
        <w:jc w:val="both"/>
        <w:rPr>
          <w:rFonts w:ascii="Arial" w:hAnsi="Arial" w:cs="Arial"/>
        </w:rPr>
      </w:pPr>
      <w:r w:rsidRPr="009B4CDB">
        <w:rPr>
          <w:rFonts w:ascii="Arial" w:hAnsi="Arial" w:cs="Arial"/>
          <w:bCs/>
        </w:rPr>
        <w:t>Fig. 1: Location</w:t>
      </w:r>
      <w:r w:rsidRPr="009B4CDB">
        <w:rPr>
          <w:rFonts w:ascii="Arial" w:hAnsi="Arial" w:cs="Arial"/>
        </w:rPr>
        <w:t xml:space="preserve"> of the Study Area (Map)</w:t>
      </w:r>
    </w:p>
    <w:p w14:paraId="416D6008" w14:textId="77777777" w:rsidR="009B4CDB" w:rsidRPr="009B4CDB" w:rsidRDefault="009B4CDB" w:rsidP="00C75224">
      <w:pPr>
        <w:pStyle w:val="Heading2"/>
        <w:numPr>
          <w:ilvl w:val="1"/>
          <w:numId w:val="36"/>
        </w:numPr>
        <w:spacing w:line="360" w:lineRule="auto"/>
        <w:ind w:left="426" w:hanging="426"/>
        <w:jc w:val="both"/>
        <w:rPr>
          <w:rFonts w:ascii="Arial" w:hAnsi="Arial" w:cs="Arial"/>
          <w:b/>
          <w:bCs/>
          <w:color w:val="auto"/>
          <w:sz w:val="20"/>
          <w:szCs w:val="20"/>
        </w:rPr>
      </w:pPr>
      <w:r w:rsidRPr="009B4CDB">
        <w:rPr>
          <w:rFonts w:ascii="Arial" w:hAnsi="Arial" w:cs="Arial"/>
          <w:b/>
          <w:bCs/>
          <w:color w:val="auto"/>
          <w:sz w:val="20"/>
          <w:szCs w:val="20"/>
        </w:rPr>
        <w:t>Data Collection</w:t>
      </w:r>
    </w:p>
    <w:p w14:paraId="1C09F1EB" w14:textId="77777777" w:rsidR="009B4CDB" w:rsidRPr="009B4CDB" w:rsidRDefault="009B4CDB" w:rsidP="00C75224">
      <w:pPr>
        <w:spacing w:after="240" w:line="276" w:lineRule="auto"/>
        <w:jc w:val="both"/>
        <w:rPr>
          <w:rFonts w:ascii="Arial" w:hAnsi="Arial" w:cs="Arial"/>
        </w:rPr>
      </w:pPr>
      <w:r w:rsidRPr="009B4CDB">
        <w:rPr>
          <w:rFonts w:ascii="Arial" w:hAnsi="Arial" w:cs="Arial"/>
        </w:rPr>
        <w:t>Field measurements were carried out at 45 randomly selected hand-dug wells across the study area. Water surface temperatures were measured using a UTi80 thermal imager, while depths to the water table were determined using a meter rule. The geographic coordinates and elevations of each well were recorded using a handheld Global Positioning System (GPS). A uniform emissivity value of 0.95 was applied during thermal measurements to ensure consistency and accuracy.</w:t>
      </w:r>
    </w:p>
    <w:p w14:paraId="44928423" w14:textId="77777777" w:rsidR="009B4CDB" w:rsidRPr="009B4CDB" w:rsidRDefault="009B4CDB" w:rsidP="00916D3A">
      <w:pPr>
        <w:pStyle w:val="Heading2"/>
        <w:numPr>
          <w:ilvl w:val="1"/>
          <w:numId w:val="36"/>
        </w:numPr>
        <w:spacing w:line="360" w:lineRule="auto"/>
        <w:ind w:left="426" w:hanging="426"/>
        <w:jc w:val="both"/>
        <w:rPr>
          <w:rFonts w:ascii="Arial" w:hAnsi="Arial" w:cs="Arial"/>
          <w:b/>
          <w:bCs/>
          <w:color w:val="auto"/>
          <w:sz w:val="20"/>
          <w:szCs w:val="20"/>
        </w:rPr>
      </w:pPr>
      <w:r w:rsidRPr="009B4CDB">
        <w:rPr>
          <w:rFonts w:ascii="Arial" w:hAnsi="Arial" w:cs="Arial"/>
          <w:b/>
          <w:bCs/>
          <w:color w:val="auto"/>
          <w:sz w:val="20"/>
          <w:szCs w:val="20"/>
        </w:rPr>
        <w:t>Determination of Geothermal Gradient</w:t>
      </w:r>
    </w:p>
    <w:p w14:paraId="464637E3" w14:textId="26C239EA" w:rsidR="00790ADA" w:rsidRPr="00FB3A86" w:rsidRDefault="009B4CDB" w:rsidP="00C75224">
      <w:pPr>
        <w:spacing w:after="240" w:line="276" w:lineRule="auto"/>
        <w:jc w:val="both"/>
        <w:rPr>
          <w:rFonts w:ascii="Arial" w:hAnsi="Arial" w:cs="Arial"/>
        </w:rPr>
      </w:pPr>
      <w:r w:rsidRPr="009B4CDB">
        <w:rPr>
          <w:rFonts w:ascii="Arial" w:hAnsi="Arial" w:cs="Arial"/>
        </w:rPr>
        <w:t>The geothermal gradient was determined by analyzing the relationship between measured water surface temperatures and corresponding depths. Temperature values were plotted against depth</w:t>
      </w:r>
      <w:r w:rsidR="00C75224">
        <w:rPr>
          <w:rFonts w:ascii="Arial" w:hAnsi="Arial" w:cs="Arial"/>
        </w:rPr>
        <w:t>,</w:t>
      </w:r>
      <w:r w:rsidRPr="009B4CDB">
        <w:rPr>
          <w:rFonts w:ascii="Arial" w:hAnsi="Arial" w:cs="Arial"/>
        </w:rPr>
        <w:t xml:space="preserve"> and a linear regression analysis was performed. The geothermal gradient was obtained from the slope of the best-fit line, assuming a linear increase in temperature with depth within the shallow subsurface interval considered.</w:t>
      </w:r>
    </w:p>
    <w:p w14:paraId="0EDAC753" w14:textId="4B517608" w:rsidR="00902823" w:rsidRDefault="00000F8F" w:rsidP="00916D3A">
      <w:pPr>
        <w:pStyle w:val="Head1"/>
        <w:numPr>
          <w:ilvl w:val="0"/>
          <w:numId w:val="38"/>
        </w:numPr>
        <w:spacing w:after="0" w:line="360" w:lineRule="auto"/>
        <w:jc w:val="both"/>
        <w:outlineLvl w:val="1"/>
        <w:rPr>
          <w:rFonts w:ascii="Arial" w:hAnsi="Arial" w:cs="Arial"/>
        </w:rPr>
      </w:pPr>
      <w:r>
        <w:rPr>
          <w:rFonts w:ascii="Arial" w:hAnsi="Arial" w:cs="Arial"/>
        </w:rPr>
        <w:t xml:space="preserve">results </w:t>
      </w:r>
    </w:p>
    <w:p w14:paraId="441D8633" w14:textId="67781407" w:rsidR="00C75224" w:rsidRPr="00C75224" w:rsidRDefault="00C75224" w:rsidP="00C75224">
      <w:pPr>
        <w:spacing w:line="276" w:lineRule="auto"/>
        <w:jc w:val="both"/>
        <w:rPr>
          <w:rFonts w:ascii="Arial" w:hAnsi="Arial" w:cs="Arial"/>
        </w:rPr>
      </w:pPr>
      <w:r w:rsidRPr="00C75224">
        <w:rPr>
          <w:rFonts w:ascii="Arial" w:hAnsi="Arial" w:cs="Arial"/>
        </w:rPr>
        <w:t xml:space="preserve">The measured water surface temperatures ranged from approximately 22.4 °C to 28.4 °C, while depths to the water table varied between 1.30 m and 7.79 m across the study area. A plot of temperature versus depth produced a linear relationship described by the equation </w:t>
      </w:r>
      <w:r>
        <w:rPr>
          <w:rFonts w:ascii="Arial" w:hAnsi="Arial" w:cs="Arial"/>
        </w:rPr>
        <w:t>(1).</w:t>
      </w:r>
    </w:p>
    <w:p w14:paraId="3BB230DD" w14:textId="223C1545" w:rsidR="00C75224" w:rsidRPr="00C75224" w:rsidRDefault="00C75224" w:rsidP="00C75224">
      <w:pPr>
        <w:spacing w:line="276" w:lineRule="auto"/>
        <w:jc w:val="center"/>
        <w:rPr>
          <w:rFonts w:ascii="Arial" w:eastAsiaTheme="minorEastAsia" w:hAnsi="Arial" w:cs="Arial"/>
        </w:rPr>
      </w:pPr>
      <m:oMath>
        <m:r>
          <w:rPr>
            <w:rFonts w:ascii="Cambria Math" w:hAnsi="Cambria Math" w:cs="Arial"/>
          </w:rPr>
          <m:t>y=0.4708x+22.779</m:t>
        </m:r>
      </m:oMath>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(1)</w:t>
      </w:r>
    </w:p>
    <w:p w14:paraId="3E095C10" w14:textId="77777777" w:rsidR="00C75224" w:rsidRPr="00C75224" w:rsidRDefault="00C75224" w:rsidP="00C75224">
      <w:pPr>
        <w:spacing w:line="276" w:lineRule="auto"/>
        <w:jc w:val="both"/>
        <w:rPr>
          <w:rFonts w:ascii="Arial" w:hAnsi="Arial" w:cs="Arial"/>
        </w:rPr>
      </w:pPr>
      <w:r w:rsidRPr="00C75224">
        <w:rPr>
          <w:rFonts w:ascii="Arial" w:hAnsi="Arial" w:cs="Arial"/>
        </w:rPr>
        <w:t>where T is temperature (°C) and D is depth (m). The graph of temperature (</w:t>
      </w:r>
      <w:r w:rsidRPr="00C75224">
        <w:rPr>
          <w:rFonts w:ascii="Arial" w:hAnsi="Arial" w:cs="Arial"/>
          <w:vertAlign w:val="superscript"/>
        </w:rPr>
        <w:t>0</w:t>
      </w:r>
      <w:r w:rsidRPr="00C75224">
        <w:rPr>
          <w:rFonts w:ascii="Arial" w:hAnsi="Arial" w:cs="Arial"/>
        </w:rPr>
        <w:t>C) and depth (m) was plotted as shown in Fig. 2.</w:t>
      </w:r>
    </w:p>
    <w:p w14:paraId="081D9A1F" w14:textId="77777777" w:rsidR="00C75224" w:rsidRPr="00C75224" w:rsidRDefault="00C75224" w:rsidP="00C75224">
      <w:pPr>
        <w:spacing w:line="276" w:lineRule="auto"/>
        <w:jc w:val="both"/>
        <w:rPr>
          <w:rFonts w:ascii="Arial" w:hAnsi="Arial" w:cs="Arial"/>
        </w:rPr>
      </w:pPr>
      <w:r w:rsidRPr="00C75224">
        <w:rPr>
          <w:rFonts w:ascii="Arial" w:hAnsi="Arial" w:cs="Arial"/>
          <w:noProof/>
          <w:lang w:val="en-IN" w:eastAsia="en-IN"/>
        </w:rPr>
        <w:lastRenderedPageBreak/>
        <w:drawing>
          <wp:inline distT="0" distB="0" distL="0" distR="0" wp14:anchorId="346BAF0A" wp14:editId="7EFF19AF">
            <wp:extent cx="5138737" cy="2924175"/>
            <wp:effectExtent l="0" t="0" r="0" b="0"/>
            <wp:docPr id="3" name="Chart 3">
              <a:extLst xmlns:a="http://schemas.openxmlformats.org/drawingml/2006/main">
                <a:ext uri="{FF2B5EF4-FFF2-40B4-BE49-F238E27FC236}">
                  <a16:creationId xmlns:a16="http://schemas.microsoft.com/office/drawing/2014/main" id="{1699FE72-4D86-4CED-B345-48496139C4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AE5599" w14:textId="77777777" w:rsidR="00C75224" w:rsidRPr="00C75224" w:rsidRDefault="00C75224" w:rsidP="00C75224">
      <w:pPr>
        <w:spacing w:after="240" w:line="276" w:lineRule="auto"/>
        <w:jc w:val="both"/>
        <w:rPr>
          <w:rFonts w:ascii="Arial" w:hAnsi="Arial" w:cs="Arial"/>
        </w:rPr>
      </w:pPr>
      <w:r w:rsidRPr="00C75224">
        <w:rPr>
          <w:rFonts w:ascii="Arial" w:hAnsi="Arial" w:cs="Arial"/>
        </w:rPr>
        <w:t>Fig. 2: Graph of Temperature (</w:t>
      </w:r>
      <w:r w:rsidRPr="00C75224">
        <w:rPr>
          <w:rFonts w:ascii="Arial" w:hAnsi="Arial" w:cs="Arial"/>
          <w:vertAlign w:val="superscript"/>
        </w:rPr>
        <w:t>0</w:t>
      </w:r>
      <w:r w:rsidRPr="00C75224">
        <w:rPr>
          <w:rFonts w:ascii="Arial" w:hAnsi="Arial" w:cs="Arial"/>
        </w:rPr>
        <w:t>C) against Depth (m)</w:t>
      </w:r>
    </w:p>
    <w:p w14:paraId="2516D395" w14:textId="77777777" w:rsidR="00C75224" w:rsidRPr="00C75224" w:rsidRDefault="00C75224" w:rsidP="00C75224">
      <w:pPr>
        <w:spacing w:line="276" w:lineRule="auto"/>
        <w:jc w:val="both"/>
        <w:rPr>
          <w:rFonts w:ascii="Arial" w:hAnsi="Arial" w:cs="Arial"/>
        </w:rPr>
      </w:pPr>
      <w:r w:rsidRPr="00C75224">
        <w:rPr>
          <w:rFonts w:ascii="Arial" w:hAnsi="Arial" w:cs="Arial"/>
        </w:rPr>
        <w:t>The slope of the regression line indicates an average geothermal gradient of 0.4708 °C/m for the study area. This value is significantly higher than the global average geothermal gradient of approximately 0.025 °C/m. The elevated gradient may be attributed to the shallow depth range considered, localized geological conditions and groundwater circulation effects within the area. Similar variations in geothermal gradients have been reported in other localized geothermal studies, where near-surface measurements tend to exhibit higher apparent gradients.</w:t>
      </w:r>
    </w:p>
    <w:p w14:paraId="77BFBE7D" w14:textId="57A7D9D1" w:rsidR="00C75224" w:rsidRPr="00C75224" w:rsidRDefault="00C75224" w:rsidP="00C75224">
      <w:pPr>
        <w:spacing w:after="240" w:line="276" w:lineRule="auto"/>
        <w:jc w:val="both"/>
        <w:rPr>
          <w:rFonts w:ascii="Arial" w:hAnsi="Arial" w:cs="Arial"/>
        </w:rPr>
      </w:pPr>
      <w:r w:rsidRPr="00C75224">
        <w:rPr>
          <w:rFonts w:ascii="Arial" w:hAnsi="Arial" w:cs="Arial"/>
        </w:rPr>
        <w:t xml:space="preserve">Contour </w:t>
      </w:r>
      <w:r w:rsidR="00E94D61">
        <w:rPr>
          <w:rFonts w:ascii="Arial" w:hAnsi="Arial" w:cs="Arial"/>
        </w:rPr>
        <w:t>plots</w:t>
      </w:r>
      <w:r w:rsidRPr="00C75224">
        <w:rPr>
          <w:rFonts w:ascii="Arial" w:hAnsi="Arial" w:cs="Arial"/>
        </w:rPr>
        <w:t xml:space="preserve"> of the depth to </w:t>
      </w:r>
      <w:r w:rsidR="00E94D61">
        <w:rPr>
          <w:rFonts w:ascii="Arial" w:hAnsi="Arial" w:cs="Arial"/>
        </w:rPr>
        <w:t xml:space="preserve">the </w:t>
      </w:r>
      <w:r w:rsidRPr="00C75224">
        <w:rPr>
          <w:rFonts w:ascii="Arial" w:hAnsi="Arial" w:cs="Arial"/>
        </w:rPr>
        <w:t xml:space="preserve">water table and temperature </w:t>
      </w:r>
      <w:r w:rsidR="00E94D61">
        <w:rPr>
          <w:rFonts w:ascii="Arial" w:hAnsi="Arial" w:cs="Arial"/>
        </w:rPr>
        <w:t>were</w:t>
      </w:r>
      <w:r w:rsidRPr="00C75224">
        <w:rPr>
          <w:rFonts w:ascii="Arial" w:hAnsi="Arial" w:cs="Arial"/>
        </w:rPr>
        <w:t xml:space="preserve"> plotted as shown in Fig. 3 and Fig. 4</w:t>
      </w:r>
      <w:r w:rsidR="00E94D61">
        <w:rPr>
          <w:rFonts w:ascii="Arial" w:hAnsi="Arial" w:cs="Arial"/>
        </w:rPr>
        <w:t>,</w:t>
      </w:r>
      <w:r w:rsidRPr="00C75224">
        <w:rPr>
          <w:rFonts w:ascii="Arial" w:hAnsi="Arial" w:cs="Arial"/>
        </w:rPr>
        <w:t xml:space="preserve"> respectively.</w:t>
      </w:r>
    </w:p>
    <w:p w14:paraId="11FBA691" w14:textId="77777777" w:rsidR="00C75224" w:rsidRPr="00C75224" w:rsidRDefault="00C75224" w:rsidP="00C75224">
      <w:pPr>
        <w:spacing w:line="276" w:lineRule="auto"/>
        <w:jc w:val="both"/>
        <w:rPr>
          <w:rFonts w:ascii="Arial" w:hAnsi="Arial" w:cs="Arial"/>
        </w:rPr>
      </w:pPr>
      <w:r w:rsidRPr="00C75224">
        <w:rPr>
          <w:rFonts w:ascii="Arial" w:hAnsi="Arial" w:cs="Arial"/>
          <w:noProof/>
          <w:lang w:val="en-IN" w:eastAsia="en-IN"/>
        </w:rPr>
        <w:drawing>
          <wp:inline distT="0" distB="0" distL="0" distR="0" wp14:anchorId="4AAF4B1A" wp14:editId="41E1070D">
            <wp:extent cx="5563133" cy="26464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3054" cy="2651156"/>
                    </a:xfrm>
                    <a:prstGeom prst="rect">
                      <a:avLst/>
                    </a:prstGeom>
                    <a:noFill/>
                    <a:ln>
                      <a:noFill/>
                    </a:ln>
                  </pic:spPr>
                </pic:pic>
              </a:graphicData>
            </a:graphic>
          </wp:inline>
        </w:drawing>
      </w:r>
    </w:p>
    <w:p w14:paraId="7E31C48A" w14:textId="77777777" w:rsidR="00C75224" w:rsidRPr="00C75224" w:rsidRDefault="00C75224" w:rsidP="00C75224">
      <w:pPr>
        <w:spacing w:after="240" w:line="276" w:lineRule="auto"/>
        <w:jc w:val="both"/>
        <w:rPr>
          <w:rFonts w:ascii="Arial" w:hAnsi="Arial" w:cs="Arial"/>
        </w:rPr>
      </w:pPr>
      <w:r w:rsidRPr="00C75224">
        <w:rPr>
          <w:rFonts w:ascii="Arial" w:hAnsi="Arial" w:cs="Arial"/>
          <w:bCs/>
        </w:rPr>
        <w:t>Fig. 3: Contour</w:t>
      </w:r>
      <w:r w:rsidRPr="00C75224">
        <w:rPr>
          <w:rFonts w:ascii="Arial" w:hAnsi="Arial" w:cs="Arial"/>
        </w:rPr>
        <w:t xml:space="preserve"> Plot of the Depth to the Water Table. </w:t>
      </w:r>
    </w:p>
    <w:p w14:paraId="05B16667" w14:textId="465829DD" w:rsidR="00C75224" w:rsidRPr="00C75224" w:rsidRDefault="00C75224" w:rsidP="00E94D61">
      <w:pPr>
        <w:spacing w:after="240" w:line="276" w:lineRule="auto"/>
        <w:jc w:val="both"/>
        <w:rPr>
          <w:rFonts w:ascii="Arial" w:hAnsi="Arial" w:cs="Arial"/>
        </w:rPr>
      </w:pPr>
      <w:r w:rsidRPr="00C75224">
        <w:rPr>
          <w:rFonts w:ascii="Arial" w:hAnsi="Arial" w:cs="Arial"/>
        </w:rPr>
        <w:t>Contour maps of temperature distribution and depth to the water table revealed spatial variations across the study area. The western and eastern portions generally exhibited greater depths to the water table, indicating suitability for borehole siting, while shallower water tables were observed in the northwestern region. These findings highlight the usefulness of geothermal gradient studies in groundwater assessment and civil engineering applications.</w:t>
      </w:r>
      <w:r w:rsidR="00E94D61">
        <w:rPr>
          <w:rFonts w:ascii="Arial" w:hAnsi="Arial" w:cs="Arial"/>
        </w:rPr>
        <w:t xml:space="preserve"> </w:t>
      </w:r>
      <w:r w:rsidRPr="00C75224">
        <w:rPr>
          <w:rFonts w:ascii="Arial" w:hAnsi="Arial" w:cs="Arial"/>
        </w:rPr>
        <w:t>Although the study does not directly confirm commercial geothermal energy potential, the results provide valuable baseline data that can support further geothermal investigations, renewable energy assessments, and subsurface engineering designs in the region</w:t>
      </w:r>
      <w:r>
        <w:rPr>
          <w:rFonts w:ascii="Arial" w:hAnsi="Arial" w:cs="Arial"/>
        </w:rPr>
        <w:t>.</w:t>
      </w:r>
    </w:p>
    <w:p w14:paraId="0666638D" w14:textId="28E9F264" w:rsidR="00790ADA" w:rsidRDefault="00C75224" w:rsidP="00C75224">
      <w:pPr>
        <w:spacing w:line="276" w:lineRule="auto"/>
        <w:jc w:val="center"/>
        <w:rPr>
          <w:rFonts w:ascii="Arial" w:hAnsi="Arial" w:cs="Arial"/>
        </w:rPr>
      </w:pPr>
      <w:r w:rsidRPr="00C75224">
        <w:rPr>
          <w:rFonts w:ascii="Arial" w:hAnsi="Arial" w:cs="Arial"/>
          <w:noProof/>
          <w:lang w:val="en-IN" w:eastAsia="en-IN"/>
        </w:rPr>
        <w:lastRenderedPageBreak/>
        <w:drawing>
          <wp:inline distT="0" distB="0" distL="0" distR="0" wp14:anchorId="70D8590F" wp14:editId="2AE9C988">
            <wp:extent cx="3967843" cy="1775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7843" cy="1775818"/>
                    </a:xfrm>
                    <a:prstGeom prst="rect">
                      <a:avLst/>
                    </a:prstGeom>
                    <a:noFill/>
                    <a:ln>
                      <a:noFill/>
                    </a:ln>
                  </pic:spPr>
                </pic:pic>
              </a:graphicData>
            </a:graphic>
          </wp:inline>
        </w:drawing>
      </w:r>
    </w:p>
    <w:p w14:paraId="2ADD7A29" w14:textId="49892D2A" w:rsidR="00C75224" w:rsidRPr="00B855E5" w:rsidRDefault="00916D3A" w:rsidP="00C75224">
      <w:pPr>
        <w:spacing w:line="276" w:lineRule="auto"/>
        <w:jc w:val="center"/>
        <w:rPr>
          <w:rFonts w:ascii="Arial" w:hAnsi="Arial" w:cs="Arial"/>
        </w:rPr>
      </w:pPr>
      <w:r w:rsidRPr="00B855E5">
        <w:rPr>
          <w:rFonts w:ascii="Arial" w:hAnsi="Arial" w:cs="Arial"/>
        </w:rPr>
        <w:t>fig. 4: Contour plot of temperature</w:t>
      </w:r>
    </w:p>
    <w:p w14:paraId="653BE270" w14:textId="31A50FDB" w:rsidR="00FE7B7B" w:rsidRPr="00B855E5" w:rsidRDefault="00FE7B7B" w:rsidP="00093DD9">
      <w:pPr>
        <w:pStyle w:val="AbstHead"/>
        <w:numPr>
          <w:ilvl w:val="0"/>
          <w:numId w:val="39"/>
        </w:numPr>
        <w:spacing w:after="0" w:line="360" w:lineRule="auto"/>
        <w:ind w:left="426" w:hanging="426"/>
        <w:jc w:val="both"/>
        <w:outlineLvl w:val="1"/>
        <w:rPr>
          <w:rFonts w:ascii="Arial" w:hAnsi="Arial" w:cs="Arial"/>
        </w:rPr>
      </w:pPr>
      <w:r w:rsidRPr="00B855E5">
        <w:rPr>
          <w:rFonts w:ascii="Arial" w:hAnsi="Arial" w:cs="Arial"/>
        </w:rPr>
        <w:t>Discuss</w:t>
      </w:r>
      <w:r w:rsidRPr="00B855E5">
        <w:rPr>
          <w:rFonts w:ascii="Arial" w:hAnsi="Arial" w:cs="Arial"/>
          <w:caps w:val="0"/>
        </w:rPr>
        <w:t>ION</w:t>
      </w:r>
    </w:p>
    <w:p w14:paraId="35F9DF88" w14:textId="2EC2612A" w:rsidR="00093DD9" w:rsidRPr="00B855E5" w:rsidRDefault="00093DD9" w:rsidP="00B855E5">
      <w:pPr>
        <w:spacing w:line="276" w:lineRule="auto"/>
        <w:jc w:val="both"/>
        <w:rPr>
          <w:rFonts w:ascii="Arial" w:hAnsi="Arial" w:cs="Arial"/>
        </w:rPr>
      </w:pPr>
      <w:r w:rsidRPr="00B855E5">
        <w:rPr>
          <w:rFonts w:ascii="Arial" w:hAnsi="Arial" w:cs="Arial"/>
        </w:rPr>
        <w:t>The geothermal gradient determined for Samaru, Zaria (0.4708 °C/m) is significantly higher than the global average of ~0.025 °C/m. This elevated gradient reflects localized geological and hydrogeological conditions rather than deep crustal heat flow. Near-surface measurements often exaggerate gradients due to shallow depth ranges, groundwater circulation, and lithological variations, as observed in similar studies across Nigeria and other regions</w:t>
      </w:r>
      <w:sdt>
        <w:sdtPr>
          <w:rPr>
            <w:rFonts w:ascii="Arial" w:hAnsi="Arial" w:cs="Arial"/>
          </w:rPr>
          <w:id w:val="-368840739"/>
          <w:citation/>
        </w:sdtPr>
        <w:sdtEndPr/>
        <w:sdtContent>
          <w:r w:rsidR="00E94D61">
            <w:rPr>
              <w:rFonts w:ascii="Arial" w:hAnsi="Arial" w:cs="Arial"/>
            </w:rPr>
            <w:fldChar w:fldCharType="begin"/>
          </w:r>
          <w:r w:rsidR="00E94D61">
            <w:rPr>
              <w:rFonts w:ascii="Arial" w:hAnsi="Arial" w:cs="Arial"/>
            </w:rPr>
            <w:instrText xml:space="preserve"> CITATION Emu14 \l 1033  \m Moh14</w:instrText>
          </w:r>
          <w:r w:rsidR="00E94D61">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(Emujakporue &amp; Ekine, 2014; Mohammed, 2014)</w:t>
          </w:r>
          <w:r w:rsidR="00E94D61">
            <w:rPr>
              <w:rFonts w:ascii="Arial" w:hAnsi="Arial" w:cs="Arial"/>
            </w:rPr>
            <w:fldChar w:fldCharType="end"/>
          </w:r>
        </w:sdtContent>
      </w:sdt>
      <w:r w:rsidRPr="00B855E5">
        <w:rPr>
          <w:rFonts w:ascii="Arial" w:hAnsi="Arial" w:cs="Arial"/>
        </w:rPr>
        <w:t>.</w:t>
      </w:r>
    </w:p>
    <w:p w14:paraId="3A7B7082" w14:textId="2FB84DE0" w:rsidR="00DC1B80" w:rsidRDefault="00DC1B80" w:rsidP="00093DD9">
      <w:pPr>
        <w:spacing w:before="160" w:line="276" w:lineRule="auto"/>
        <w:jc w:val="both"/>
        <w:rPr>
          <w:rFonts w:ascii="Arial" w:hAnsi="Arial" w:cs="Arial"/>
        </w:rPr>
      </w:pPr>
      <w:r w:rsidRPr="006B0146">
        <w:rPr>
          <w:rFonts w:ascii="Arial" w:hAnsi="Arial" w:cs="Arial"/>
          <w:highlight w:val="green"/>
        </w:rPr>
        <w:t>This methodology, based on temperature profiling in hand-dug wells, is useful but has some drawbacks. Shallow wells are prone to effects of seasonality, groundwater recharge, and human activities. These effects can create anomalies in the determination of the real geothermal gradient, unlike borehole-derived bottom-hole temperatures, which are less prone to surface effects</w:t>
      </w:r>
      <w:sdt>
        <w:sdtPr>
          <w:rPr>
            <w:rFonts w:ascii="Arial" w:hAnsi="Arial" w:cs="Arial"/>
            <w:highlight w:val="green"/>
          </w:rPr>
          <w:id w:val="-951550354"/>
          <w:citation/>
        </w:sdtPr>
        <w:sdtEndPr/>
        <w:sdtContent>
          <w:r w:rsidRPr="006B0146">
            <w:rPr>
              <w:rFonts w:ascii="Arial" w:hAnsi="Arial" w:cs="Arial"/>
              <w:highlight w:val="green"/>
            </w:rPr>
            <w:fldChar w:fldCharType="begin"/>
          </w:r>
          <w:r w:rsidRPr="006B0146">
            <w:rPr>
              <w:rFonts w:ascii="Arial" w:hAnsi="Arial" w:cs="Arial"/>
              <w:highlight w:val="green"/>
            </w:rPr>
            <w:instrText xml:space="preserve"> CITATION Tel90 \l 1033  \m Low07</w:instrText>
          </w:r>
          <w:r w:rsidRPr="006B0146">
            <w:rPr>
              <w:rFonts w:ascii="Arial" w:hAnsi="Arial" w:cs="Arial"/>
              <w:highlight w:val="green"/>
            </w:rPr>
            <w:fldChar w:fldCharType="separate"/>
          </w:r>
          <w:r w:rsidRPr="006B0146">
            <w:rPr>
              <w:rFonts w:ascii="Arial" w:hAnsi="Arial" w:cs="Arial"/>
              <w:noProof/>
              <w:highlight w:val="green"/>
            </w:rPr>
            <w:t xml:space="preserve"> (Telford, et al., 1990; Lowrie, 2007)</w:t>
          </w:r>
          <w:r w:rsidRPr="006B0146">
            <w:rPr>
              <w:rFonts w:ascii="Arial" w:hAnsi="Arial" w:cs="Arial"/>
              <w:highlight w:val="green"/>
            </w:rPr>
            <w:fldChar w:fldCharType="end"/>
          </w:r>
        </w:sdtContent>
      </w:sdt>
      <w:r w:rsidRPr="006B0146">
        <w:rPr>
          <w:rFonts w:ascii="Arial" w:hAnsi="Arial" w:cs="Arial"/>
          <w:highlight w:val="green"/>
        </w:rPr>
        <w:t xml:space="preserve">. However, the linear regression method used in this research is in agreement with existing geothermal gradient determination methods. It is, therefore, useful in data-scarce regions. This method can be used in conjunction with conventional surface geophysical exploration, which is commonly used in subsurface resource exploration in Nigeria. </w:t>
      </w:r>
      <w:proofErr w:type="spellStart"/>
      <w:r w:rsidRPr="006B0146">
        <w:rPr>
          <w:rFonts w:ascii="Arial" w:hAnsi="Arial" w:cs="Arial"/>
          <w:highlight w:val="green"/>
        </w:rPr>
        <w:t>Dogara</w:t>
      </w:r>
      <w:proofErr w:type="spellEnd"/>
      <w:r w:rsidRPr="006B0146">
        <w:rPr>
          <w:rFonts w:ascii="Arial" w:hAnsi="Arial" w:cs="Arial"/>
          <w:highlight w:val="green"/>
        </w:rPr>
        <w:t xml:space="preserve"> </w:t>
      </w:r>
      <w:r w:rsidR="0021118D">
        <w:rPr>
          <w:rFonts w:ascii="Arial" w:hAnsi="Arial" w:cs="Arial"/>
          <w:highlight w:val="green"/>
        </w:rPr>
        <w:t>&amp;</w:t>
      </w:r>
      <w:r w:rsidRPr="006B0146">
        <w:rPr>
          <w:rFonts w:ascii="Arial" w:hAnsi="Arial" w:cs="Arial"/>
          <w:highlight w:val="green"/>
        </w:rPr>
        <w:t xml:space="preserve"> </w:t>
      </w:r>
      <w:proofErr w:type="spellStart"/>
      <w:r w:rsidRPr="006B0146">
        <w:rPr>
          <w:rFonts w:ascii="Arial" w:hAnsi="Arial" w:cs="Arial"/>
          <w:highlight w:val="green"/>
        </w:rPr>
        <w:t>Alao</w:t>
      </w:r>
      <w:proofErr w:type="spellEnd"/>
      <w:r w:rsidRPr="006B0146">
        <w:rPr>
          <w:rFonts w:ascii="Arial" w:hAnsi="Arial" w:cs="Arial"/>
          <w:highlight w:val="green"/>
        </w:rPr>
        <w:t xml:space="preserve"> (2017b,c), for example, showed the effectiveness of electrical resistivity methods in the preliminary exploration of solid minerals, such as gypsum, in Nigeria. Although the research was based on data from a different physical method, it shows the effectiveness of integrating data in subsurface resource exploration</w:t>
      </w:r>
      <w:r w:rsidRPr="00DC1B80">
        <w:rPr>
          <w:rFonts w:ascii="Arial" w:hAnsi="Arial" w:cs="Arial"/>
        </w:rPr>
        <w:t>.</w:t>
      </w:r>
    </w:p>
    <w:p w14:paraId="601E3E71" w14:textId="4507579E" w:rsidR="00EA6685" w:rsidRPr="00B855E5" w:rsidRDefault="00EA6685" w:rsidP="00093DD9">
      <w:pPr>
        <w:spacing w:before="160" w:line="276" w:lineRule="auto"/>
        <w:jc w:val="both"/>
        <w:rPr>
          <w:rFonts w:ascii="Arial" w:hAnsi="Arial" w:cs="Arial"/>
        </w:rPr>
      </w:pPr>
      <w:r w:rsidRPr="006B0146">
        <w:rPr>
          <w:rFonts w:ascii="Arial" w:hAnsi="Arial" w:cs="Arial"/>
          <w:highlight w:val="green"/>
        </w:rPr>
        <w:t>The methodology, temperature profiling in hand-dug wells, although providing useful baseline data, also has some limitations. Nevertheless, the linear regression technique employed in this case is in line with conventional approaches to determining the geothermal gradient. The application of surface geophysical surveys in the exploration of subsurface features, such as those described in the study by Joseph et al. (2023; 2024), in which they employed the technique in the exploration of magnetic anomalies, also highlights the usefulness of this technique in the exploration and evaluation of the environment and hydrogeological features. The technique, although direct, can also be employed in conjunction with in-situ temperature validation in the shallow subsurface</w:t>
      </w:r>
    </w:p>
    <w:p w14:paraId="1FC3B3D0" w14:textId="0FC104AE" w:rsidR="00093DD9" w:rsidRPr="00B855E5" w:rsidRDefault="00093DD9" w:rsidP="00093DD9">
      <w:pPr>
        <w:spacing w:before="160" w:line="276" w:lineRule="auto"/>
        <w:jc w:val="both"/>
        <w:rPr>
          <w:rFonts w:ascii="Arial" w:hAnsi="Arial" w:cs="Arial"/>
        </w:rPr>
      </w:pPr>
      <w:r w:rsidRPr="00B855E5">
        <w:rPr>
          <w:rFonts w:ascii="Arial" w:hAnsi="Arial" w:cs="Arial"/>
        </w:rPr>
        <w:t>Spatial variations revealed by contour maps highlight the engineering relevance of geothermal studies. Areas with deeper water tables in the western and eastern portions of Samaru suggest better borehole siting potential, while shallow water tables in the northwest may pose challenges for groundwater sustainability. Such findings align with the broader utility of geothermal gradient data in hydrogeology, civil engineering, and renewable energy planning.</w:t>
      </w:r>
    </w:p>
    <w:p w14:paraId="31D5F2DA" w14:textId="3096BA68" w:rsidR="00093DD9" w:rsidRPr="00B855E5" w:rsidRDefault="00093DD9" w:rsidP="00093DD9">
      <w:pPr>
        <w:spacing w:before="160" w:line="276" w:lineRule="auto"/>
        <w:jc w:val="both"/>
        <w:rPr>
          <w:rFonts w:ascii="Arial" w:hAnsi="Arial" w:cs="Arial"/>
        </w:rPr>
      </w:pPr>
      <w:r w:rsidRPr="00B855E5">
        <w:rPr>
          <w:rFonts w:ascii="Arial" w:hAnsi="Arial" w:cs="Arial"/>
        </w:rPr>
        <w:t>From an energy perspective, while the study does not confirm commercial geothermal potential, the relatively high gradient suggests localized heat anomalies that merit further investigation. Nigeria’s geothermal research remains limited, and localized studies like this contribute to building a national geothermal database. Comparative studies in the Niger Delta and Delta State have similarly reported elevated gradients, reinforcing the need for systematic exploration</w:t>
      </w:r>
      <w:sdt>
        <w:sdtPr>
          <w:rPr>
            <w:rFonts w:ascii="Arial" w:hAnsi="Arial" w:cs="Arial"/>
          </w:rPr>
          <w:id w:val="1365869377"/>
          <w:citation/>
        </w:sdtPr>
        <w:sdtEndPr/>
        <w:sdtContent>
          <w:r w:rsidR="00012923">
            <w:rPr>
              <w:rFonts w:ascii="Arial" w:hAnsi="Arial" w:cs="Arial"/>
            </w:rPr>
            <w:fldChar w:fldCharType="begin"/>
          </w:r>
          <w:r w:rsidR="00012923">
            <w:rPr>
              <w:rFonts w:ascii="Arial" w:hAnsi="Arial" w:cs="Arial"/>
            </w:rPr>
            <w:instrText xml:space="preserve"> CITATION Ano11 \l 1033 </w:instrText>
          </w:r>
          <w:r w:rsidR="00012923">
            <w:rPr>
              <w:rFonts w:ascii="Arial" w:hAnsi="Arial" w:cs="Arial"/>
            </w:rPr>
            <w:fldChar w:fldCharType="separate"/>
          </w:r>
          <w:r w:rsidR="00012923">
            <w:rPr>
              <w:rFonts w:ascii="Arial" w:hAnsi="Arial" w:cs="Arial"/>
              <w:noProof/>
            </w:rPr>
            <w:t xml:space="preserve"> </w:t>
          </w:r>
          <w:r w:rsidR="00012923" w:rsidRPr="00012923">
            <w:rPr>
              <w:rFonts w:ascii="Arial" w:hAnsi="Arial" w:cs="Arial"/>
              <w:noProof/>
            </w:rPr>
            <w:t>(Anomoharan, 2011)</w:t>
          </w:r>
          <w:r w:rsidR="00012923">
            <w:rPr>
              <w:rFonts w:ascii="Arial" w:hAnsi="Arial" w:cs="Arial"/>
            </w:rPr>
            <w:fldChar w:fldCharType="end"/>
          </w:r>
        </w:sdtContent>
      </w:sdt>
      <w:r w:rsidRPr="00B855E5">
        <w:rPr>
          <w:rFonts w:ascii="Arial" w:hAnsi="Arial" w:cs="Arial"/>
        </w:rPr>
        <w:t>.</w:t>
      </w:r>
    </w:p>
    <w:p w14:paraId="58AFF6B5" w14:textId="77777777" w:rsidR="00093DD9" w:rsidRPr="00B855E5" w:rsidRDefault="00093DD9" w:rsidP="00093DD9">
      <w:pPr>
        <w:spacing w:before="160" w:line="276" w:lineRule="auto"/>
        <w:jc w:val="both"/>
        <w:rPr>
          <w:rFonts w:ascii="Arial" w:hAnsi="Arial" w:cs="Arial"/>
        </w:rPr>
      </w:pPr>
      <w:r w:rsidRPr="00B855E5">
        <w:rPr>
          <w:rFonts w:ascii="Arial" w:hAnsi="Arial" w:cs="Arial"/>
        </w:rPr>
        <w:t>However, the study is constrained by its reliance on shallow hand-dug wells, which are susceptible to seasonal temperature variations, atmospheric influences, and groundwater recharge effects. The measurements represent water table temperatures rather than true formation temperatures, potentially overestimating the actual geothermal gradient. Additionally, the absence of lithological logs and heat flow measurements limits interpretation of underlying thermal mechanisms.</w:t>
      </w:r>
    </w:p>
    <w:p w14:paraId="4046ACFE" w14:textId="142E4A02" w:rsidR="00790ADA" w:rsidRPr="00B855E5" w:rsidRDefault="00093DD9" w:rsidP="00B855E5">
      <w:pPr>
        <w:spacing w:before="160" w:after="240" w:line="276" w:lineRule="auto"/>
        <w:jc w:val="both"/>
        <w:rPr>
          <w:rFonts w:ascii="Arial" w:hAnsi="Arial" w:cs="Arial"/>
        </w:rPr>
      </w:pPr>
      <w:bookmarkStart w:id="0" w:name="_GoBack"/>
      <w:r w:rsidRPr="00B855E5">
        <w:rPr>
          <w:rFonts w:ascii="Arial" w:hAnsi="Arial" w:cs="Arial"/>
        </w:rPr>
        <w:lastRenderedPageBreak/>
        <w:t xml:space="preserve">Future research should integrate deeper borehole temperature logging, thermal conductivity measurements, and lithostratigraphic analysis to validate these findings. </w:t>
      </w:r>
      <w:bookmarkEnd w:id="0"/>
      <w:r w:rsidRPr="00B855E5">
        <w:rPr>
          <w:rFonts w:ascii="Arial" w:hAnsi="Arial" w:cs="Arial"/>
        </w:rPr>
        <w:t>Heat flow modeling and seasonal monitoring would refine understanding of the area's geothermal regime and its renewable energy potential.</w:t>
      </w:r>
    </w:p>
    <w:p w14:paraId="6C08D23E" w14:textId="0F2A9FDC" w:rsidR="00B855E5" w:rsidRPr="00B855E5" w:rsidRDefault="00B855E5" w:rsidP="00B855E5">
      <w:pPr>
        <w:pStyle w:val="AbstHead"/>
        <w:numPr>
          <w:ilvl w:val="0"/>
          <w:numId w:val="39"/>
        </w:numPr>
        <w:spacing w:after="0" w:line="360" w:lineRule="auto"/>
        <w:ind w:left="426" w:hanging="426"/>
        <w:jc w:val="both"/>
        <w:outlineLvl w:val="1"/>
        <w:rPr>
          <w:rFonts w:ascii="Arial" w:hAnsi="Arial" w:cs="Arial"/>
        </w:rPr>
      </w:pPr>
      <w:r w:rsidRPr="00B855E5">
        <w:rPr>
          <w:rFonts w:ascii="Arial" w:hAnsi="Arial" w:cs="Arial"/>
        </w:rPr>
        <w:t>Conclus</w:t>
      </w:r>
      <w:r w:rsidRPr="00B855E5">
        <w:rPr>
          <w:rFonts w:ascii="Arial" w:hAnsi="Arial" w:cs="Arial"/>
          <w:caps w:val="0"/>
        </w:rPr>
        <w:t>ION</w:t>
      </w:r>
    </w:p>
    <w:p w14:paraId="2AEE2310" w14:textId="2E359AD3" w:rsidR="00093DD9" w:rsidRPr="00B855E5" w:rsidRDefault="00B855E5" w:rsidP="00DD28E2">
      <w:pPr>
        <w:spacing w:before="160" w:after="240" w:line="276" w:lineRule="auto"/>
        <w:jc w:val="both"/>
        <w:rPr>
          <w:rFonts w:ascii="Arial" w:hAnsi="Arial" w:cs="Arial"/>
        </w:rPr>
      </w:pPr>
      <w:r w:rsidRPr="00B855E5">
        <w:rPr>
          <w:rFonts w:ascii="Arial" w:hAnsi="Arial" w:cs="Arial"/>
        </w:rPr>
        <w:t xml:space="preserve">This study </w:t>
      </w:r>
      <w:r w:rsidR="00602755">
        <w:rPr>
          <w:rFonts w:ascii="Arial" w:hAnsi="Arial" w:cs="Arial"/>
        </w:rPr>
        <w:t>records</w:t>
      </w:r>
      <w:r w:rsidRPr="00B855E5">
        <w:rPr>
          <w:rFonts w:ascii="Arial" w:hAnsi="Arial" w:cs="Arial"/>
        </w:rPr>
        <w:t xml:space="preserve"> an average geothermal gradient of 0.4708 °C/m in Samaru, Zaria, a value considerably higher than the global mean. While influenced by shallow subsurface conditions, the findings underscore the area’s notable geothermal characteristics and their implications for groundwater development, borehole siting, and civil engineering design. More importantly, the study contributes essential baseline data to Nigeria’s underdeveloped geothermal research landscape. By integrating deeper borehole measurements and advanced heat flow modeling, future investigations could unlock the renewable energy potential of Northwestern Nigeria, positioning geothermal energy as a viable complement to the nation’s energy mix. </w:t>
      </w:r>
      <w:r w:rsidR="00093DD9" w:rsidRPr="00B855E5">
        <w:rPr>
          <w:rFonts w:ascii="Arial" w:hAnsi="Arial" w:cs="Arial"/>
        </w:rPr>
        <w:t xml:space="preserve">In summary, the </w:t>
      </w:r>
      <w:proofErr w:type="spellStart"/>
      <w:r w:rsidR="00093DD9" w:rsidRPr="00B855E5">
        <w:rPr>
          <w:rFonts w:ascii="Arial" w:hAnsi="Arial" w:cs="Arial"/>
        </w:rPr>
        <w:t>Samaru</w:t>
      </w:r>
      <w:proofErr w:type="spellEnd"/>
      <w:r w:rsidR="00093DD9" w:rsidRPr="00B855E5">
        <w:rPr>
          <w:rFonts w:ascii="Arial" w:hAnsi="Arial" w:cs="Arial"/>
        </w:rPr>
        <w:t xml:space="preserve"> study demonstrates the importance of integrating shallow geothermal measurements with hydrogeological mapping. Though constrained by depth and methodology, the results provide a foundation for renewable energy assessment, borehole planning, and subsurface engineering in Northwestern Nigeria. Future work should incorporate deeper borehole data, heat flow modeling, and lithological analysis to refine geothermal potential estimates</w:t>
      </w:r>
    </w:p>
    <w:p w14:paraId="6A183E7E" w14:textId="77777777" w:rsidR="00E8334E" w:rsidRPr="00CA3906" w:rsidRDefault="00E8334E" w:rsidP="00E8334E">
      <w:pPr>
        <w:rPr>
          <w:b/>
          <w:highlight w:val="yellow"/>
        </w:rPr>
      </w:pPr>
      <w:r w:rsidRPr="00CA3906">
        <w:rPr>
          <w:b/>
          <w:highlight w:val="yellow"/>
        </w:rPr>
        <w:t>Disclaimer (Artificial intelligence)</w:t>
      </w:r>
    </w:p>
    <w:p w14:paraId="3F225E63" w14:textId="77777777" w:rsidR="00E8334E" w:rsidRPr="00740879" w:rsidRDefault="00E8334E" w:rsidP="00E8334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1198462" w14:textId="77777777" w:rsidR="00E8334E" w:rsidRPr="00B855E5" w:rsidRDefault="00E8334E" w:rsidP="00DD28E2">
      <w:pPr>
        <w:pStyle w:val="ReferHead"/>
        <w:jc w:val="both"/>
        <w:rPr>
          <w:rFonts w:ascii="Arial" w:hAnsi="Arial" w:cs="Arial"/>
        </w:rPr>
      </w:pPr>
    </w:p>
    <w:sdt>
      <w:sdtPr>
        <w:rPr>
          <w:rFonts w:ascii="Arial" w:hAnsi="Arial" w:cs="Arial"/>
          <w:b w:val="0"/>
          <w:caps w:val="0"/>
          <w:sz w:val="20"/>
        </w:rPr>
        <w:id w:val="706691"/>
        <w:docPartObj>
          <w:docPartGallery w:val="Bibliographies"/>
          <w:docPartUnique/>
        </w:docPartObj>
      </w:sdtPr>
      <w:sdtEndPr/>
      <w:sdtContent>
        <w:p w14:paraId="72BBF49F" w14:textId="54948820" w:rsidR="00901C81" w:rsidRPr="00DD28E2" w:rsidRDefault="00DD28E2" w:rsidP="00DD28E2">
          <w:pPr>
            <w:pStyle w:val="ReferHead"/>
            <w:jc w:val="both"/>
            <w:rPr>
              <w:rFonts w:ascii="Arial" w:hAnsi="Arial" w:cs="Arial"/>
            </w:rPr>
          </w:pPr>
          <w:r w:rsidRPr="00B855E5">
            <w:rPr>
              <w:rFonts w:ascii="Arial" w:hAnsi="Arial" w:cs="Arial"/>
            </w:rPr>
            <w:t>References</w:t>
          </w:r>
        </w:p>
        <w:sdt>
          <w:sdtPr>
            <w:rPr>
              <w:rFonts w:ascii="Arial" w:hAnsi="Arial" w:cs="Arial"/>
            </w:rPr>
            <w:id w:val="-573587230"/>
            <w:bibliography/>
          </w:sdtPr>
          <w:sdtEndPr/>
          <w:sdtContent>
            <w:p w14:paraId="4E07B78A" w14:textId="77777777" w:rsidR="008529D6" w:rsidRDefault="00901C81" w:rsidP="008529D6">
              <w:pPr>
                <w:pStyle w:val="Bibliography"/>
                <w:spacing w:line="276" w:lineRule="auto"/>
                <w:ind w:left="720" w:hanging="720"/>
                <w:jc w:val="both"/>
                <w:rPr>
                  <w:rFonts w:ascii="Arial" w:hAnsi="Arial" w:cs="Arial"/>
                  <w:noProof/>
                </w:rPr>
              </w:pPr>
              <w:r w:rsidRPr="001D61C3">
                <w:rPr>
                  <w:rFonts w:ascii="Arial" w:hAnsi="Arial" w:cs="Arial"/>
                </w:rPr>
                <w:fldChar w:fldCharType="begin"/>
              </w:r>
              <w:r w:rsidRPr="001D61C3">
                <w:rPr>
                  <w:rFonts w:ascii="Arial" w:hAnsi="Arial" w:cs="Arial"/>
                </w:rPr>
                <w:instrText xml:space="preserve"> BIBLIOGRAPHY </w:instrText>
              </w:r>
              <w:r w:rsidRPr="001D61C3">
                <w:rPr>
                  <w:rFonts w:ascii="Arial" w:hAnsi="Arial" w:cs="Arial"/>
                </w:rPr>
                <w:fldChar w:fldCharType="separate"/>
              </w:r>
              <w:r w:rsidRPr="001D61C3">
                <w:rPr>
                  <w:rFonts w:ascii="Arial" w:hAnsi="Arial" w:cs="Arial"/>
                  <w:noProof/>
                </w:rPr>
                <w:t xml:space="preserve">Aboh, H. O., Dogara, M. D., &amp; Alao, J. O. (2016). Evaluation of the Geotechnical Parameters in Part of Kaduna, Kaduna State Nigeria. </w:t>
              </w:r>
              <w:r w:rsidRPr="001D61C3">
                <w:rPr>
                  <w:rFonts w:ascii="Arial" w:hAnsi="Arial" w:cs="Arial"/>
                  <w:i/>
                  <w:iCs/>
                  <w:noProof/>
                </w:rPr>
                <w:t>World Journal of Applied Science and Technology, Vol. 8 No. 2. 108 -117. ISSN: 2141 – 3290; www.wojast.com</w:t>
              </w:r>
              <w:r w:rsidRPr="001D61C3">
                <w:rPr>
                  <w:rFonts w:ascii="Arial" w:hAnsi="Arial" w:cs="Arial"/>
                  <w:noProof/>
                </w:rPr>
                <w:t>.</w:t>
              </w:r>
            </w:p>
            <w:p w14:paraId="7A608194" w14:textId="77777777" w:rsidR="008529D6" w:rsidRDefault="008529D6" w:rsidP="008529D6">
              <w:pPr>
                <w:pStyle w:val="Bibliography"/>
                <w:spacing w:line="276" w:lineRule="auto"/>
                <w:ind w:left="720" w:hanging="720"/>
                <w:jc w:val="both"/>
              </w:pPr>
              <w:r>
                <w:t>Abubakar, F., Alao, J.O., Ogah, A.J. et al. (2024). Evaluation of gold mineralisation potential using AHP systems and weighted overlay analysis. Nature Scientific Report 14, 21263. https://doi.org/10.1038/s41598-024-70957-8</w:t>
              </w:r>
            </w:p>
            <w:p w14:paraId="5758868E" w14:textId="0640AE04" w:rsidR="008529D6" w:rsidRPr="008529D6" w:rsidRDefault="008529D6" w:rsidP="008529D6">
              <w:pPr>
                <w:pStyle w:val="Bibliography"/>
                <w:spacing w:line="276" w:lineRule="auto"/>
                <w:ind w:left="720" w:hanging="720"/>
                <w:jc w:val="both"/>
                <w:rPr>
                  <w:rFonts w:ascii="Arial" w:hAnsi="Arial" w:cs="Arial"/>
                  <w:noProof/>
                </w:rPr>
              </w:pPr>
              <w:r>
                <w:t>Abubakar, F., Ahmed, B. M., Rabiu, I. A., Alao, J. O. (2025). Integrated geophysical evaluation of potential gold mineralisation within Nigerian Yashi Sheet 56 (1:100, 000). Physics and Chemistry of the Earth, Parts A/B/C, 140, 103986. https://doi.org/10.1016/j.pce.2025.103986</w:t>
              </w:r>
            </w:p>
            <w:p w14:paraId="6AD68057" w14:textId="77777777" w:rsidR="00205E58" w:rsidRDefault="00901C81" w:rsidP="00205E58">
              <w:pPr>
                <w:pStyle w:val="Bibliography"/>
                <w:spacing w:line="276" w:lineRule="auto"/>
                <w:ind w:left="720" w:hanging="720"/>
                <w:jc w:val="both"/>
                <w:rPr>
                  <w:rFonts w:ascii="Arial" w:hAnsi="Arial" w:cs="Arial"/>
                  <w:noProof/>
                </w:rPr>
              </w:pPr>
              <w:r w:rsidRPr="001D61C3">
                <w:rPr>
                  <w:rFonts w:ascii="Arial" w:hAnsi="Arial" w:cs="Arial"/>
                  <w:noProof/>
                </w:rPr>
                <w:t xml:space="preserve">Alao, J. O. (2024). Determination of the geophysical signature of soft-clay and hard lateritic soils and the implications on geotechnical works using electrical resistivity imaging. </w:t>
              </w:r>
              <w:r w:rsidRPr="001D61C3">
                <w:rPr>
                  <w:rFonts w:ascii="Arial" w:hAnsi="Arial" w:cs="Arial"/>
                  <w:i/>
                  <w:iCs/>
                  <w:noProof/>
                </w:rPr>
                <w:t>Results in Earth Sciences, 2, 100025. https://doi.org/10.1016/j.rines.2024.100025</w:t>
              </w:r>
              <w:r w:rsidRPr="001D61C3">
                <w:rPr>
                  <w:rFonts w:ascii="Arial" w:hAnsi="Arial" w:cs="Arial"/>
                  <w:noProof/>
                </w:rPr>
                <w:t>.</w:t>
              </w:r>
            </w:p>
            <w:p w14:paraId="01B76849" w14:textId="77777777" w:rsidR="00205E58" w:rsidRDefault="00205E58" w:rsidP="00205E58">
              <w:pPr>
                <w:pStyle w:val="Bibliography"/>
                <w:spacing w:line="276" w:lineRule="auto"/>
                <w:ind w:left="720" w:hanging="720"/>
                <w:jc w:val="both"/>
              </w:pPr>
              <w:r>
                <w:t>Alao, J. O. (2022). Impacts of open dumpsite leachates on soil and groundwater quality. Groundwater for Sustainable Development 20, 100877: https://doi.org/10.1016/j.gsd.2022.100877</w:t>
              </w:r>
            </w:p>
            <w:p w14:paraId="241345D1" w14:textId="77777777" w:rsidR="00205E58" w:rsidRDefault="00205E58" w:rsidP="00205E58">
              <w:pPr>
                <w:pStyle w:val="Bibliography"/>
                <w:spacing w:line="276" w:lineRule="auto"/>
                <w:ind w:left="720" w:hanging="720"/>
                <w:jc w:val="both"/>
              </w:pPr>
              <w:r>
                <w:t xml:space="preserve">Alao J.O. (2024) The Factors Influencing the Landfill Leachate Plume Contaminants in Soils, Surface and Groundwater and Associated Health Risks: A Geophysical and </w:t>
              </w:r>
            </w:p>
            <w:p w14:paraId="63FC029A" w14:textId="02D0ECA6" w:rsidR="00205E58" w:rsidRPr="00205E58" w:rsidRDefault="00205E58" w:rsidP="00205E58">
              <w:pPr>
                <w:pStyle w:val="Bibliography"/>
                <w:spacing w:line="276" w:lineRule="auto"/>
                <w:ind w:left="720" w:hanging="720"/>
                <w:jc w:val="both"/>
                <w:rPr>
                  <w:rFonts w:ascii="Arial" w:hAnsi="Arial" w:cs="Arial"/>
                  <w:noProof/>
                </w:rPr>
              </w:pPr>
              <w:r>
                <w:t>Alao, J. O. (2025). Understanding the Interactions between Uncaptured Landfill Plume Contaminants, Soil, Groundwater Resources, Public Health Systems, and their Implications. Environmental Pollution, 127190. https://doi.org/10.1016/j.envpol.2025.127190</w:t>
              </w:r>
            </w:p>
            <w:p w14:paraId="7183BC3A"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Anomoharan, O. (2011). Determination of Geothermal Gradient and Heat Flow Distribution in Delta State, Nigeria. </w:t>
              </w:r>
              <w:r w:rsidRPr="001D61C3">
                <w:rPr>
                  <w:rFonts w:ascii="Arial" w:hAnsi="Arial" w:cs="Arial"/>
                  <w:i/>
                  <w:iCs/>
                  <w:noProof/>
                </w:rPr>
                <w:t>International Journal of the Physical Science.ISSN: 1992-1950. Vol.6(31), pp.7106-7111</w:t>
              </w:r>
              <w:r w:rsidRPr="001D61C3">
                <w:rPr>
                  <w:rFonts w:ascii="Arial" w:hAnsi="Arial" w:cs="Arial"/>
                  <w:noProof/>
                </w:rPr>
                <w:t>.</w:t>
              </w:r>
            </w:p>
            <w:p w14:paraId="65D90237"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Atre, P. (2025). Horizontal Drilling Powering Zero-Carbon Baseload with Geothermal. </w:t>
              </w:r>
              <w:r w:rsidRPr="001D61C3">
                <w:rPr>
                  <w:rFonts w:ascii="Arial" w:hAnsi="Arial" w:cs="Arial"/>
                  <w:i/>
                  <w:iCs/>
                  <w:noProof/>
                </w:rPr>
                <w:t>Power: https://www.powermag.com/horizontal-drilling-powering-zero-carbon-baseload-with-geothermal/?utm_source=omeda&amp;utm_medium=email&amp;utm_campaign=pwrnews+eletter</w:t>
              </w:r>
              <w:r w:rsidRPr="001D61C3">
                <w:rPr>
                  <w:rFonts w:ascii="Arial" w:hAnsi="Arial" w:cs="Arial"/>
                  <w:noProof/>
                </w:rPr>
                <w:t>.</w:t>
              </w:r>
            </w:p>
            <w:p w14:paraId="5136EFA4" w14:textId="4091A9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Bello, Y. A., Evans, S. C., Lawal, H. A., Alao, J. O., &amp; al., e</w:t>
              </w:r>
              <w:r w:rsidR="00DC1B80">
                <w:rPr>
                  <w:rFonts w:ascii="Arial" w:hAnsi="Arial" w:cs="Arial"/>
                  <w:noProof/>
                </w:rPr>
                <w:t>t al</w:t>
              </w:r>
              <w:r w:rsidRPr="001D61C3">
                <w:rPr>
                  <w:rFonts w:ascii="Arial" w:hAnsi="Arial" w:cs="Arial"/>
                  <w:noProof/>
                </w:rPr>
                <w:t xml:space="preserve">. (2025). Investigating hydrothermal alteration associated with gold mineralization in Birnin-Gwari through transformation of aero-radiometric data. </w:t>
              </w:r>
              <w:r w:rsidRPr="001D61C3">
                <w:rPr>
                  <w:rFonts w:ascii="Arial" w:hAnsi="Arial" w:cs="Arial"/>
                  <w:i/>
                  <w:iCs/>
                  <w:noProof/>
                </w:rPr>
                <w:t>Proceedings of the Nigerian Society of Physical Sciences 2. 171. DOI:10.61298/pnspsc.2025.2.171</w:t>
              </w:r>
              <w:r w:rsidRPr="001D61C3">
                <w:rPr>
                  <w:rFonts w:ascii="Arial" w:hAnsi="Arial" w:cs="Arial"/>
                  <w:noProof/>
                </w:rPr>
                <w:t>.</w:t>
              </w:r>
            </w:p>
            <w:p w14:paraId="4394437D"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lastRenderedPageBreak/>
                <w:t xml:space="preserve">Benavides, J., Aydin, H., &amp; Kabir, C. S. (2025). Ensuring Baseload Power Delivery by Complementing Two Independent Energy Sources: Solar Energy and Wellbore Closed-Loop Thermal Energy. </w:t>
              </w:r>
              <w:r w:rsidRPr="001D61C3">
                <w:rPr>
                  <w:rFonts w:ascii="Arial" w:hAnsi="Arial" w:cs="Arial"/>
                  <w:i/>
                  <w:iCs/>
                  <w:noProof/>
                </w:rPr>
                <w:t>SPE J. 30 (07): 4431–4447. https://doi.org/10.2118/226183-PA</w:t>
              </w:r>
              <w:r w:rsidRPr="001D61C3">
                <w:rPr>
                  <w:rFonts w:ascii="Arial" w:hAnsi="Arial" w:cs="Arial"/>
                  <w:noProof/>
                </w:rPr>
                <w:t>.</w:t>
              </w:r>
            </w:p>
            <w:p w14:paraId="50D53617" w14:textId="61A0E7E4" w:rsidR="00DC1B80" w:rsidRDefault="00901C81" w:rsidP="00DC1B80">
              <w:pPr>
                <w:pStyle w:val="Bibliography"/>
                <w:spacing w:line="276" w:lineRule="auto"/>
                <w:ind w:left="720" w:hanging="720"/>
                <w:jc w:val="both"/>
                <w:rPr>
                  <w:rFonts w:ascii="Arial" w:hAnsi="Arial" w:cs="Arial"/>
                  <w:noProof/>
                </w:rPr>
              </w:pPr>
              <w:r w:rsidRPr="001D61C3">
                <w:rPr>
                  <w:rFonts w:ascii="Arial" w:hAnsi="Arial" w:cs="Arial"/>
                  <w:noProof/>
                </w:rPr>
                <w:t>Dogara, M. D., Aboh, H. O., J</w:t>
              </w:r>
              <w:r w:rsidR="00DC1B80">
                <w:rPr>
                  <w:rFonts w:ascii="Arial" w:hAnsi="Arial" w:cs="Arial"/>
                  <w:noProof/>
                </w:rPr>
                <w:t xml:space="preserve">oseph, </w:t>
              </w:r>
              <w:r w:rsidRPr="001D61C3">
                <w:rPr>
                  <w:rFonts w:ascii="Arial" w:hAnsi="Arial" w:cs="Arial"/>
                  <w:noProof/>
                </w:rPr>
                <w:t>O.</w:t>
              </w:r>
              <w:r w:rsidR="00DC1B80">
                <w:rPr>
                  <w:rFonts w:ascii="Arial" w:hAnsi="Arial" w:cs="Arial"/>
                  <w:noProof/>
                </w:rPr>
                <w:t xml:space="preserve"> A</w:t>
              </w:r>
              <w:r w:rsidRPr="001D61C3">
                <w:rPr>
                  <w:rFonts w:ascii="Arial" w:hAnsi="Arial" w:cs="Arial"/>
                  <w:noProof/>
                </w:rPr>
                <w:t>, &amp; Kogi, K. A. (2017</w:t>
              </w:r>
              <w:r w:rsidR="00DC1B80">
                <w:rPr>
                  <w:rFonts w:ascii="Arial" w:hAnsi="Arial" w:cs="Arial"/>
                  <w:noProof/>
                </w:rPr>
                <w:t>a</w:t>
              </w:r>
              <w:r w:rsidRPr="001D61C3">
                <w:rPr>
                  <w:rFonts w:ascii="Arial" w:hAnsi="Arial" w:cs="Arial"/>
                  <w:noProof/>
                </w:rPr>
                <w:t xml:space="preserve">). The Aquifer Overlying the Basement Complex in Some Parts of Dan-Hono, Kaduna, Nigeria. </w:t>
              </w:r>
              <w:r w:rsidRPr="001D61C3">
                <w:rPr>
                  <w:rFonts w:ascii="Arial" w:hAnsi="Arial" w:cs="Arial"/>
                  <w:i/>
                  <w:iCs/>
                  <w:noProof/>
                </w:rPr>
                <w:t>KADA Journal (1) 2, 45-52</w:t>
              </w:r>
              <w:r w:rsidRPr="001D61C3">
                <w:rPr>
                  <w:rFonts w:ascii="Arial" w:hAnsi="Arial" w:cs="Arial"/>
                  <w:noProof/>
                </w:rPr>
                <w:t>.</w:t>
              </w:r>
            </w:p>
            <w:p w14:paraId="058B86A4" w14:textId="74ED0EFC" w:rsidR="00DC1B80" w:rsidRDefault="00DC1B80" w:rsidP="00DC1B80">
              <w:pPr>
                <w:pStyle w:val="Bibliography"/>
                <w:spacing w:line="276" w:lineRule="auto"/>
                <w:ind w:left="720" w:hanging="720"/>
                <w:jc w:val="both"/>
              </w:pPr>
              <w:r>
                <w:t>Dogara M. D. and Alao J. O. (2017b). Preliminary Estimate of Gypsum Deposit Based on Wenner and Schlumberger Electrical Resistivity Methods at Ikpeshi, Edo State, Nigeria. Science World Journal Vol 12 (No 2) 2017 www.scienceworldjournal.org. ISSN 1597-6343</w:t>
              </w:r>
            </w:p>
            <w:p w14:paraId="25D62F5F" w14:textId="4564CEBC" w:rsidR="00DC1B80" w:rsidRPr="00DC1B80" w:rsidRDefault="00DC1B80" w:rsidP="00DC1B80">
              <w:pPr>
                <w:pStyle w:val="Bibliography"/>
                <w:spacing w:line="276" w:lineRule="auto"/>
                <w:ind w:left="720" w:hanging="720"/>
                <w:jc w:val="both"/>
                <w:rPr>
                  <w:rFonts w:ascii="Arial" w:hAnsi="Arial" w:cs="Arial"/>
                  <w:noProof/>
                </w:rPr>
              </w:pPr>
              <w:r>
                <w:t>Dogara, M.D., and Alao, J.O, (2017c). Exploration for Gypsum Using Electrical Resistivity Methods at Ikpeshi, Edo State Nigeria. KADA Journal, Department of Physics, Kaduna State University, Kaduna (1) 1, 66-77</w:t>
              </w:r>
            </w:p>
            <w:p w14:paraId="28E61568"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Emujakporue, G. O., &amp; Ekine, A. S. (2014). Determination of Geothermal Gradient in the Eastern Niger Delta Sedimentary Basin from Bottom Hole Temperature. </w:t>
              </w:r>
              <w:r w:rsidRPr="001D61C3">
                <w:rPr>
                  <w:rFonts w:ascii="Arial" w:hAnsi="Arial" w:cs="Arial"/>
                  <w:i/>
                  <w:iCs/>
                  <w:noProof/>
                </w:rPr>
                <w:t>Journal of Earth Sciences and Geotechnical Engineering ISSN: 1792-9040., Vol.4, pp.109-114.</w:t>
              </w:r>
              <w:r w:rsidRPr="001D61C3">
                <w:rPr>
                  <w:rFonts w:ascii="Arial" w:hAnsi="Arial" w:cs="Arial"/>
                  <w:noProof/>
                </w:rPr>
                <w:t xml:space="preserve"> </w:t>
              </w:r>
            </w:p>
            <w:p w14:paraId="1DCFEE01"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Hayatudeen, M., Garba, M. A., &amp; Ezekiel, K. (2025). Investigating Subsurface Thermal Regimes Using High-Resolution Aeromagnetic Data in the Upper Benue Trough, Northeastern Nigeria. </w:t>
              </w:r>
              <w:r w:rsidRPr="001D61C3">
                <w:rPr>
                  <w:rFonts w:ascii="Arial" w:hAnsi="Arial" w:cs="Arial"/>
                  <w:i/>
                  <w:iCs/>
                  <w:noProof/>
                </w:rPr>
                <w:t>IJIES, Vol (12) 10. 10.35940/ijies.K1134.12101025</w:t>
              </w:r>
              <w:r w:rsidRPr="001D61C3">
                <w:rPr>
                  <w:rFonts w:ascii="Arial" w:hAnsi="Arial" w:cs="Arial"/>
                  <w:noProof/>
                </w:rPr>
                <w:t>.</w:t>
              </w:r>
            </w:p>
            <w:p w14:paraId="4CEA712F"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Joseph, O. A. (2025b). The Emerging Roles of 3D and 4D Geophysical and Geological Modelling in Evaluating Seismic Risks: A Critical Review. </w:t>
              </w:r>
              <w:r w:rsidRPr="001D61C3">
                <w:rPr>
                  <w:rFonts w:ascii="Arial" w:hAnsi="Arial" w:cs="Arial"/>
                  <w:i/>
                  <w:iCs/>
                  <w:noProof/>
                </w:rPr>
                <w:t>Earthquake Research Advances, 100399. https://doi.org/10.1016/j.eqrea.2025.100399</w:t>
              </w:r>
              <w:r w:rsidRPr="001D61C3">
                <w:rPr>
                  <w:rFonts w:ascii="Arial" w:hAnsi="Arial" w:cs="Arial"/>
                  <w:noProof/>
                </w:rPr>
                <w:t>.</w:t>
              </w:r>
            </w:p>
            <w:p w14:paraId="1A9D93E5" w14:textId="77777777" w:rsidR="00EA6685" w:rsidRDefault="00901C81" w:rsidP="00EA6685">
              <w:pPr>
                <w:pStyle w:val="Bibliography"/>
                <w:spacing w:line="276" w:lineRule="auto"/>
                <w:ind w:left="720" w:hanging="720"/>
                <w:jc w:val="both"/>
                <w:rPr>
                  <w:rFonts w:ascii="Arial" w:hAnsi="Arial" w:cs="Arial"/>
                  <w:noProof/>
                </w:rPr>
              </w:pPr>
              <w:r w:rsidRPr="001D61C3">
                <w:rPr>
                  <w:rFonts w:ascii="Arial" w:hAnsi="Arial" w:cs="Arial"/>
                  <w:noProof/>
                </w:rPr>
                <w:t>Joseph, O. A., Lawal, H. A., &amp; Abdulsalami, M. e</w:t>
              </w:r>
              <w:r w:rsidR="00EA6685">
                <w:rPr>
                  <w:rFonts w:ascii="Arial" w:hAnsi="Arial" w:cs="Arial"/>
                  <w:noProof/>
                </w:rPr>
                <w:t>t al</w:t>
              </w:r>
              <w:r w:rsidRPr="001D61C3">
                <w:rPr>
                  <w:rFonts w:ascii="Arial" w:hAnsi="Arial" w:cs="Arial"/>
                  <w:noProof/>
                </w:rPr>
                <w:t xml:space="preserve">. (2024). Delineation of aquifer storage potential in response to regional groundwater development. </w:t>
              </w:r>
              <w:r w:rsidRPr="001D61C3">
                <w:rPr>
                  <w:rFonts w:ascii="Arial" w:hAnsi="Arial" w:cs="Arial"/>
                  <w:i/>
                  <w:iCs/>
                  <w:noProof/>
                </w:rPr>
                <w:t>Discov Water 4, 25. https://doi.org/10.1007/s43832-024-00084-y</w:t>
              </w:r>
              <w:r w:rsidRPr="001D61C3">
                <w:rPr>
                  <w:rFonts w:ascii="Arial" w:hAnsi="Arial" w:cs="Arial"/>
                  <w:noProof/>
                </w:rPr>
                <w:t>.</w:t>
              </w:r>
            </w:p>
            <w:p w14:paraId="7B681894" w14:textId="77777777" w:rsidR="00EA6685" w:rsidRDefault="00EA6685" w:rsidP="00EA6685">
              <w:pPr>
                <w:pStyle w:val="Bibliography"/>
                <w:spacing w:line="276" w:lineRule="auto"/>
                <w:ind w:left="720" w:hanging="720"/>
                <w:jc w:val="both"/>
              </w:pPr>
              <w:r>
                <w:t>Joseph, O. A, Lawal, K. M., Dewu, B., Raimi, J. (2024), The Studying of Magnetic Anomalies Due to Shallow Underground Targets and the Environmental Applications., Results in Earth Sciences, doi:https://doi.org/10.1016/j.rines.2024.100016</w:t>
              </w:r>
            </w:p>
            <w:p w14:paraId="4986C97C" w14:textId="602EB87A" w:rsidR="00EA6685" w:rsidRPr="00EA6685" w:rsidRDefault="00EA6685" w:rsidP="00EA6685">
              <w:pPr>
                <w:pStyle w:val="Bibliography"/>
                <w:spacing w:line="276" w:lineRule="auto"/>
                <w:ind w:left="720" w:hanging="720"/>
                <w:jc w:val="both"/>
                <w:rPr>
                  <w:rFonts w:ascii="Arial" w:hAnsi="Arial" w:cs="Arial"/>
                  <w:noProof/>
                </w:rPr>
              </w:pPr>
              <w:r>
                <w:t>Joseph, O. A, Lawal, K. M., Dewu, B. B. M., Raimi, J (2023) Characterization of Buried Targets at an Experimental Geophysical Site Using Ground Magnetic Geophysical Methods. J Geol Geophys. 12:1163. DOI: 10.35248/2381-8719.23.12.1163</w:t>
              </w:r>
            </w:p>
            <w:p w14:paraId="2B8E0907"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Kure, N., Aboh, H. O., Jimoh, R., Alao, J. O., &amp; Isaac, H. D. (2017). The Delineation of the Aquifer Overlying the Basement Complex within Ahmadu Bello University (Main Campus) Zaria. Department of Physics, Kaduna State University, Kaduna, Nigeria. </w:t>
              </w:r>
              <w:r w:rsidRPr="001D61C3">
                <w:rPr>
                  <w:rFonts w:ascii="Arial" w:hAnsi="Arial" w:cs="Arial"/>
                  <w:i/>
                  <w:iCs/>
                  <w:noProof/>
                </w:rPr>
                <w:t>British Journal of Applied Sciences; 19(1): 1-9; DOI: 10.9734/BJAST/2016/31343</w:t>
              </w:r>
              <w:r w:rsidRPr="001D61C3">
                <w:rPr>
                  <w:rFonts w:ascii="Arial" w:hAnsi="Arial" w:cs="Arial"/>
                  <w:noProof/>
                </w:rPr>
                <w:t>.</w:t>
              </w:r>
            </w:p>
            <w:p w14:paraId="02FD2D09"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Lowrie, W. (2007). </w:t>
              </w:r>
              <w:r w:rsidRPr="001D61C3">
                <w:rPr>
                  <w:rFonts w:ascii="Arial" w:hAnsi="Arial" w:cs="Arial"/>
                  <w:i/>
                  <w:iCs/>
                  <w:noProof/>
                </w:rPr>
                <w:t>Fundamentals of Geophysics; second Eddition.</w:t>
              </w:r>
              <w:r w:rsidRPr="001D61C3">
                <w:rPr>
                  <w:rFonts w:ascii="Arial" w:hAnsi="Arial" w:cs="Arial"/>
                  <w:noProof/>
                </w:rPr>
                <w:t xml:space="preserve"> New York: Cambridge University Press.</w:t>
              </w:r>
            </w:p>
            <w:p w14:paraId="45B55D6E" w14:textId="7E406EB6"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Mohammed, M. (2014). Geothermal Gradient calculation Method: A case Study of Hoffell Low-temperature Field, Se-Iceland. </w:t>
              </w:r>
              <w:r w:rsidRPr="001D61C3">
                <w:rPr>
                  <w:rFonts w:ascii="Arial" w:hAnsi="Arial" w:cs="Arial"/>
                  <w:i/>
                  <w:iCs/>
                  <w:noProof/>
                </w:rPr>
                <w:t xml:space="preserve">International </w:t>
              </w:r>
              <w:r w:rsidR="00205E58">
                <w:rPr>
                  <w:rFonts w:ascii="Arial" w:hAnsi="Arial" w:cs="Arial"/>
                  <w:i/>
                  <w:iCs/>
                  <w:noProof/>
                </w:rPr>
                <w:t>Research</w:t>
              </w:r>
              <w:r w:rsidRPr="001D61C3">
                <w:rPr>
                  <w:rFonts w:ascii="Arial" w:hAnsi="Arial" w:cs="Arial"/>
                  <w:i/>
                  <w:iCs/>
                  <w:noProof/>
                </w:rPr>
                <w:t xml:space="preserve"> Journal of Geology and Mining. ISSN: 2276-6618, vol.4(6), pp.163-175</w:t>
              </w:r>
              <w:r w:rsidRPr="001D61C3">
                <w:rPr>
                  <w:rFonts w:ascii="Arial" w:hAnsi="Arial" w:cs="Arial"/>
                  <w:noProof/>
                </w:rPr>
                <w:t>.</w:t>
              </w:r>
            </w:p>
            <w:p w14:paraId="59CE106A" w14:textId="3997E539"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Omeiza, J. A., &amp; Dary, D. (2018). Aquifer vulnerability to surface contamination: a case of the new millennium city, Kaduna, Kaduna State</w:t>
              </w:r>
              <w:r w:rsidR="00205E58">
                <w:rPr>
                  <w:rFonts w:ascii="Arial" w:hAnsi="Arial" w:cs="Arial"/>
                  <w:noProof/>
                </w:rPr>
                <w:t>,</w:t>
              </w:r>
              <w:r w:rsidRPr="001D61C3">
                <w:rPr>
                  <w:rFonts w:ascii="Arial" w:hAnsi="Arial" w:cs="Arial"/>
                  <w:noProof/>
                </w:rPr>
                <w:t xml:space="preserve"> Nigeria. </w:t>
              </w:r>
              <w:r w:rsidRPr="001D61C3">
                <w:rPr>
                  <w:rFonts w:ascii="Arial" w:hAnsi="Arial" w:cs="Arial"/>
                  <w:i/>
                  <w:iCs/>
                  <w:noProof/>
                </w:rPr>
                <w:t>World Journal of Applied Physics. 2018;3(1): DOI: 10.11648/j.wjap.20180301.11</w:t>
              </w:r>
              <w:r w:rsidRPr="001D61C3">
                <w:rPr>
                  <w:rFonts w:ascii="Arial" w:hAnsi="Arial" w:cs="Arial"/>
                  <w:noProof/>
                </w:rPr>
                <w:t>, 1-12.</w:t>
              </w:r>
            </w:p>
            <w:p w14:paraId="51589FFA"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Telford, W. M., Geldart, L. P., &amp; Sheriff, E. E. (1990). Applied geophysics. 2nd Edn. </w:t>
              </w:r>
              <w:r w:rsidRPr="001D61C3">
                <w:rPr>
                  <w:rFonts w:ascii="Arial" w:hAnsi="Arial" w:cs="Arial"/>
                  <w:i/>
                  <w:iCs/>
                  <w:noProof/>
                </w:rPr>
                <w:t>New York; Cambridge University Press</w:t>
              </w:r>
              <w:r w:rsidRPr="001D61C3">
                <w:rPr>
                  <w:rFonts w:ascii="Arial" w:hAnsi="Arial" w:cs="Arial"/>
                  <w:noProof/>
                </w:rPr>
                <w:t>.</w:t>
              </w:r>
            </w:p>
            <w:p w14:paraId="4FFE221F" w14:textId="5673DF54"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Wenas, D. R., Tulandi, D. A., &amp; Bujung, C. A. (2020). Geothermal Gradient and Subsurface Temperature for Estimation of Geothermal Sources, Pattern and Heat Flow Directions n the Hydrothermal Area of Minahasa Indonesia. </w:t>
              </w:r>
              <w:r w:rsidRPr="001D61C3">
                <w:rPr>
                  <w:rFonts w:ascii="Arial" w:hAnsi="Arial" w:cs="Arial"/>
                  <w:i/>
                  <w:iCs/>
                  <w:noProof/>
                </w:rPr>
                <w:t>Journal of Critical Reviews, ISSN-239</w:t>
              </w:r>
              <w:r w:rsidRPr="001D61C3">
                <w:rPr>
                  <w:rFonts w:ascii="Arial" w:hAnsi="Arial" w:cs="Arial"/>
                  <w:noProof/>
                </w:rPr>
                <w:t>.</w:t>
              </w:r>
            </w:p>
            <w:p w14:paraId="636FD31B"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Zubair, N. A., Yaro, U. Y., Sarki Yandoka, B. M., Mustapha, B. A., &amp; Ekwo, E. O. (2025). Fractal analysis of satellite magnetic data for determination of Curie point, geothermal gradient and heat flow in some parts of Bida Basin, Niger State, Nigeria. </w:t>
              </w:r>
              <w:r w:rsidRPr="001D61C3">
                <w:rPr>
                  <w:rFonts w:ascii="Arial" w:hAnsi="Arial" w:cs="Arial"/>
                  <w:i/>
                  <w:iCs/>
                  <w:noProof/>
                </w:rPr>
                <w:t>Dutse Journal of Pure and Applied Sciences, 11(1d), 303–317. https://doi.org/10.4314/dujopas.v11i1d.30</w:t>
              </w:r>
              <w:r w:rsidRPr="001D61C3">
                <w:rPr>
                  <w:rFonts w:ascii="Arial" w:hAnsi="Arial" w:cs="Arial"/>
                  <w:noProof/>
                </w:rPr>
                <w:t>.</w:t>
              </w:r>
            </w:p>
            <w:p w14:paraId="54029676" w14:textId="77777777" w:rsidR="00901C81" w:rsidRPr="001D61C3" w:rsidRDefault="00901C81" w:rsidP="00901C81">
              <w:pPr>
                <w:spacing w:line="276" w:lineRule="auto"/>
                <w:jc w:val="both"/>
                <w:rPr>
                  <w:rFonts w:ascii="Arial" w:hAnsi="Arial" w:cs="Arial"/>
                </w:rPr>
              </w:pPr>
              <w:r w:rsidRPr="001D61C3">
                <w:rPr>
                  <w:rFonts w:ascii="Arial" w:hAnsi="Arial" w:cs="Arial"/>
                  <w:b/>
                  <w:bCs/>
                  <w:noProof/>
                </w:rPr>
                <w:fldChar w:fldCharType="end"/>
              </w:r>
            </w:p>
          </w:sdtContent>
        </w:sdt>
      </w:sdtContent>
    </w:sdt>
    <w:sectPr w:rsidR="00901C81" w:rsidRPr="001D61C3" w:rsidSect="00F65A43">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F43F3" w14:textId="77777777" w:rsidR="0092136C" w:rsidRDefault="0092136C" w:rsidP="00C37E61">
      <w:r>
        <w:separator/>
      </w:r>
    </w:p>
  </w:endnote>
  <w:endnote w:type="continuationSeparator" w:id="0">
    <w:p w14:paraId="69CB213C" w14:textId="77777777" w:rsidR="0092136C" w:rsidRDefault="0092136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D1E06" w14:textId="77777777" w:rsidR="00F65A43" w:rsidRDefault="00F65A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4E5B3" w14:textId="77777777" w:rsidR="00F65A43" w:rsidRDefault="00F65A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18011" w14:textId="77777777" w:rsidR="009E048A" w:rsidRDefault="009E048A">
    <w:pPr>
      <w:pStyle w:val="Footer"/>
      <w:rPr>
        <w:rFonts w:ascii="Arial" w:hAnsi="Arial" w:cs="Arial"/>
        <w:sz w:val="16"/>
      </w:rPr>
    </w:pPr>
  </w:p>
  <w:p w14:paraId="7C6ADEF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AF8C549" w14:textId="77777777" w:rsidR="009E048A" w:rsidRDefault="009E048A">
    <w:pPr>
      <w:pStyle w:val="Footer"/>
      <w:rPr>
        <w:rFonts w:ascii="Arial" w:hAnsi="Arial" w:cs="Arial"/>
        <w:sz w:val="16"/>
      </w:rPr>
    </w:pPr>
  </w:p>
  <w:p w14:paraId="24B5384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69F4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29404" w14:textId="77777777" w:rsidR="0092136C" w:rsidRDefault="0092136C" w:rsidP="00C37E61">
      <w:r>
        <w:separator/>
      </w:r>
    </w:p>
  </w:footnote>
  <w:footnote w:type="continuationSeparator" w:id="0">
    <w:p w14:paraId="2CBF1C99" w14:textId="77777777" w:rsidR="0092136C" w:rsidRDefault="0092136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3C7A6" w14:textId="3B3154AC" w:rsidR="00F65A43" w:rsidRDefault="0020714F">
    <w:pPr>
      <w:pStyle w:val="Header"/>
    </w:pPr>
    <w:r>
      <w:rPr>
        <w:noProof/>
      </w:rPr>
      <w:pict w14:anchorId="65564F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378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3C361" w14:textId="42425605" w:rsidR="00F65A43" w:rsidRDefault="0020714F">
    <w:pPr>
      <w:pStyle w:val="Header"/>
    </w:pPr>
    <w:r>
      <w:rPr>
        <w:noProof/>
      </w:rPr>
      <w:pict w14:anchorId="08AF2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378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A6034" w14:textId="5C4ED9E1" w:rsidR="00296529" w:rsidRPr="00296529" w:rsidRDefault="0020714F" w:rsidP="00296529">
    <w:pPr>
      <w:ind w:left="2160"/>
      <w:jc w:val="center"/>
      <w:rPr>
        <w:rFonts w:ascii="Times New Roman" w:eastAsia="Calibri" w:hAnsi="Times New Roman"/>
        <w:i/>
        <w:sz w:val="18"/>
        <w:szCs w:val="22"/>
      </w:rPr>
    </w:pPr>
    <w:r>
      <w:rPr>
        <w:noProof/>
      </w:rPr>
      <w:pict w14:anchorId="2C087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378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F59A1F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CA6D92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E6240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3021A5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2B9024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E9917A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D7D26" w14:textId="38C6628E" w:rsidR="00F65A43" w:rsidRDefault="0020714F">
    <w:pPr>
      <w:pStyle w:val="Header"/>
    </w:pPr>
    <w:r>
      <w:rPr>
        <w:noProof/>
      </w:rPr>
      <w:pict w14:anchorId="4744E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378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DC347" w14:textId="08433BDD" w:rsidR="00F65A43" w:rsidRDefault="0020714F">
    <w:pPr>
      <w:pStyle w:val="Header"/>
    </w:pPr>
    <w:r>
      <w:rPr>
        <w:noProof/>
      </w:rPr>
      <w:pict w14:anchorId="13ED0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378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3F87C" w14:textId="1C561FEE" w:rsidR="00F65A43" w:rsidRDefault="0020714F">
    <w:pPr>
      <w:pStyle w:val="Header"/>
    </w:pPr>
    <w:r>
      <w:rPr>
        <w:noProof/>
      </w:rPr>
      <w:pict w14:anchorId="7B08D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378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8D7992"/>
    <w:multiLevelType w:val="multilevel"/>
    <w:tmpl w:val="2876B4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EB76B3"/>
    <w:multiLevelType w:val="multilevel"/>
    <w:tmpl w:val="E0AE352E"/>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D364E48"/>
    <w:multiLevelType w:val="multilevel"/>
    <w:tmpl w:val="B2E8E838"/>
    <w:lvl w:ilvl="0">
      <w:start w:val="4"/>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2" w15:restartNumberingAfterBreak="0">
    <w:nsid w:val="21476628"/>
    <w:multiLevelType w:val="multilevel"/>
    <w:tmpl w:val="CDD4CCE2"/>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A77413B"/>
    <w:multiLevelType w:val="hybridMultilevel"/>
    <w:tmpl w:val="5414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49DC50AC"/>
    <w:multiLevelType w:val="hybridMultilevel"/>
    <w:tmpl w:val="6AE69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031B8F"/>
    <w:multiLevelType w:val="hybridMultilevel"/>
    <w:tmpl w:val="6D526F3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3358EE"/>
    <w:multiLevelType w:val="hybridMultilevel"/>
    <w:tmpl w:val="C3EE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62117D5"/>
    <w:multiLevelType w:val="hybridMultilevel"/>
    <w:tmpl w:val="D52A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3"/>
  </w:num>
  <w:num w:numId="8">
    <w:abstractNumId w:val="17"/>
  </w:num>
  <w:num w:numId="9">
    <w:abstractNumId w:val="34"/>
  </w:num>
  <w:num w:numId="10">
    <w:abstractNumId w:val="4"/>
  </w:num>
  <w:num w:numId="11">
    <w:abstractNumId w:val="26"/>
  </w:num>
  <w:num w:numId="12">
    <w:abstractNumId w:val="5"/>
  </w:num>
  <w:num w:numId="13">
    <w:abstractNumId w:val="25"/>
  </w:num>
  <w:num w:numId="14">
    <w:abstractNumId w:val="10"/>
  </w:num>
  <w:num w:numId="15">
    <w:abstractNumId w:val="29"/>
  </w:num>
  <w:num w:numId="16">
    <w:abstractNumId w:val="7"/>
  </w:num>
  <w:num w:numId="17">
    <w:abstractNumId w:val="30"/>
  </w:num>
  <w:num w:numId="18">
    <w:abstractNumId w:val="19"/>
  </w:num>
  <w:num w:numId="19">
    <w:abstractNumId w:val="37"/>
  </w:num>
  <w:num w:numId="20">
    <w:abstractNumId w:val="15"/>
  </w:num>
  <w:num w:numId="21">
    <w:abstractNumId w:val="13"/>
  </w:num>
  <w:num w:numId="22">
    <w:abstractNumId w:val="18"/>
  </w:num>
  <w:num w:numId="23">
    <w:abstractNumId w:val="27"/>
  </w:num>
  <w:num w:numId="24">
    <w:abstractNumId w:val="35"/>
  </w:num>
  <w:num w:numId="25">
    <w:abstractNumId w:val="6"/>
  </w:num>
  <w:num w:numId="26">
    <w:abstractNumId w:val="22"/>
  </w:num>
  <w:num w:numId="27">
    <w:abstractNumId w:val="28"/>
  </w:num>
  <w:num w:numId="28">
    <w:abstractNumId w:val="36"/>
  </w:num>
  <w:num w:numId="29">
    <w:abstractNumId w:val="33"/>
  </w:num>
  <w:num w:numId="30">
    <w:abstractNumId w:val="14"/>
  </w:num>
  <w:num w:numId="31">
    <w:abstractNumId w:val="1"/>
  </w:num>
  <w:num w:numId="32">
    <w:abstractNumId w:val="16"/>
  </w:num>
  <w:num w:numId="33">
    <w:abstractNumId w:val="20"/>
  </w:num>
  <w:num w:numId="34">
    <w:abstractNumId w:val="12"/>
  </w:num>
  <w:num w:numId="35">
    <w:abstractNumId w:val="32"/>
  </w:num>
  <w:num w:numId="36">
    <w:abstractNumId w:val="2"/>
  </w:num>
  <w:num w:numId="37">
    <w:abstractNumId w:val="24"/>
  </w:num>
  <w:num w:numId="38">
    <w:abstractNumId w:val="23"/>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c3tzQzMDUwNjA1NDFQ0lEKTi0uzszPAykwrAUARVTteiwAAAA="/>
  </w:docVars>
  <w:rsids>
    <w:rsidRoot w:val="00AA6219"/>
    <w:rsid w:val="00000F8F"/>
    <w:rsid w:val="00012923"/>
    <w:rsid w:val="00030174"/>
    <w:rsid w:val="0003791B"/>
    <w:rsid w:val="0004579C"/>
    <w:rsid w:val="00067922"/>
    <w:rsid w:val="00070643"/>
    <w:rsid w:val="00093DD9"/>
    <w:rsid w:val="000A47FA"/>
    <w:rsid w:val="000A65D3"/>
    <w:rsid w:val="000B1E33"/>
    <w:rsid w:val="000D689F"/>
    <w:rsid w:val="000E7B7B"/>
    <w:rsid w:val="000E7D62"/>
    <w:rsid w:val="000F03DF"/>
    <w:rsid w:val="00103357"/>
    <w:rsid w:val="00123C9F"/>
    <w:rsid w:val="00126190"/>
    <w:rsid w:val="00130F17"/>
    <w:rsid w:val="001320BF"/>
    <w:rsid w:val="00163BC4"/>
    <w:rsid w:val="0018627E"/>
    <w:rsid w:val="00191062"/>
    <w:rsid w:val="00192B72"/>
    <w:rsid w:val="001A29D8"/>
    <w:rsid w:val="001A5CAA"/>
    <w:rsid w:val="001B0427"/>
    <w:rsid w:val="001C2862"/>
    <w:rsid w:val="001D3A51"/>
    <w:rsid w:val="001E10D2"/>
    <w:rsid w:val="001E25B4"/>
    <w:rsid w:val="001E44FE"/>
    <w:rsid w:val="00200595"/>
    <w:rsid w:val="00204835"/>
    <w:rsid w:val="00205E58"/>
    <w:rsid w:val="0020714F"/>
    <w:rsid w:val="0021118D"/>
    <w:rsid w:val="00231920"/>
    <w:rsid w:val="0023195C"/>
    <w:rsid w:val="0024282C"/>
    <w:rsid w:val="002460DC"/>
    <w:rsid w:val="00250985"/>
    <w:rsid w:val="002556F6"/>
    <w:rsid w:val="00283105"/>
    <w:rsid w:val="00284C4C"/>
    <w:rsid w:val="00287E68"/>
    <w:rsid w:val="00293267"/>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5094"/>
    <w:rsid w:val="00446221"/>
    <w:rsid w:val="00450E62"/>
    <w:rsid w:val="004539DB"/>
    <w:rsid w:val="00471A80"/>
    <w:rsid w:val="00491B01"/>
    <w:rsid w:val="004B0925"/>
    <w:rsid w:val="004C27A2"/>
    <w:rsid w:val="004D305E"/>
    <w:rsid w:val="004D4277"/>
    <w:rsid w:val="00502516"/>
    <w:rsid w:val="00505F06"/>
    <w:rsid w:val="00506828"/>
    <w:rsid w:val="0053056E"/>
    <w:rsid w:val="00554FDA"/>
    <w:rsid w:val="005742F4"/>
    <w:rsid w:val="005962CF"/>
    <w:rsid w:val="005B2B06"/>
    <w:rsid w:val="005C784C"/>
    <w:rsid w:val="005C7D2B"/>
    <w:rsid w:val="005D17F6"/>
    <w:rsid w:val="005E5539"/>
    <w:rsid w:val="005F102C"/>
    <w:rsid w:val="0060200E"/>
    <w:rsid w:val="00602755"/>
    <w:rsid w:val="00602BF5"/>
    <w:rsid w:val="00617FDD"/>
    <w:rsid w:val="00622146"/>
    <w:rsid w:val="00633614"/>
    <w:rsid w:val="00633F68"/>
    <w:rsid w:val="00636487"/>
    <w:rsid w:val="00636EB2"/>
    <w:rsid w:val="006375B8"/>
    <w:rsid w:val="0066510A"/>
    <w:rsid w:val="00673F9F"/>
    <w:rsid w:val="00686953"/>
    <w:rsid w:val="00687CB9"/>
    <w:rsid w:val="00687DEA"/>
    <w:rsid w:val="00687E67"/>
    <w:rsid w:val="006967F7"/>
    <w:rsid w:val="006A20CD"/>
    <w:rsid w:val="006A250C"/>
    <w:rsid w:val="006B0146"/>
    <w:rsid w:val="006B21D3"/>
    <w:rsid w:val="006B57D0"/>
    <w:rsid w:val="006D30FF"/>
    <w:rsid w:val="006D6940"/>
    <w:rsid w:val="006F11EC"/>
    <w:rsid w:val="0070082C"/>
    <w:rsid w:val="007369E6"/>
    <w:rsid w:val="00743DB1"/>
    <w:rsid w:val="00746E59"/>
    <w:rsid w:val="00754C9A"/>
    <w:rsid w:val="0075599A"/>
    <w:rsid w:val="00761D52"/>
    <w:rsid w:val="0077749E"/>
    <w:rsid w:val="00790ADA"/>
    <w:rsid w:val="007D2288"/>
    <w:rsid w:val="007E088F"/>
    <w:rsid w:val="007F7B32"/>
    <w:rsid w:val="00804BC2"/>
    <w:rsid w:val="0081431A"/>
    <w:rsid w:val="00830357"/>
    <w:rsid w:val="0083216F"/>
    <w:rsid w:val="008529D6"/>
    <w:rsid w:val="00860000"/>
    <w:rsid w:val="00863BD3"/>
    <w:rsid w:val="008641ED"/>
    <w:rsid w:val="00866D66"/>
    <w:rsid w:val="008671C6"/>
    <w:rsid w:val="00875803"/>
    <w:rsid w:val="008B459E"/>
    <w:rsid w:val="008E13AE"/>
    <w:rsid w:val="008E1506"/>
    <w:rsid w:val="008E710C"/>
    <w:rsid w:val="008F69D6"/>
    <w:rsid w:val="00901C81"/>
    <w:rsid w:val="00902823"/>
    <w:rsid w:val="00915CA6"/>
    <w:rsid w:val="00916D3A"/>
    <w:rsid w:val="0092136C"/>
    <w:rsid w:val="00927834"/>
    <w:rsid w:val="009500A6"/>
    <w:rsid w:val="00957C18"/>
    <w:rsid w:val="009659BA"/>
    <w:rsid w:val="00983040"/>
    <w:rsid w:val="009B3FB9"/>
    <w:rsid w:val="009B4CDB"/>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7D42"/>
    <w:rsid w:val="00A51431"/>
    <w:rsid w:val="00A539AD"/>
    <w:rsid w:val="00A94063"/>
    <w:rsid w:val="00AA6219"/>
    <w:rsid w:val="00AA74E0"/>
    <w:rsid w:val="00AB703F"/>
    <w:rsid w:val="00AC6BB8"/>
    <w:rsid w:val="00AE008F"/>
    <w:rsid w:val="00B01FCD"/>
    <w:rsid w:val="00B1776C"/>
    <w:rsid w:val="00B52583"/>
    <w:rsid w:val="00B52896"/>
    <w:rsid w:val="00B855E5"/>
    <w:rsid w:val="00B92499"/>
    <w:rsid w:val="00B95236"/>
    <w:rsid w:val="00B96BD9"/>
    <w:rsid w:val="00BA1B01"/>
    <w:rsid w:val="00BA2641"/>
    <w:rsid w:val="00BA7B59"/>
    <w:rsid w:val="00BB37AA"/>
    <w:rsid w:val="00BB6BAF"/>
    <w:rsid w:val="00BC53A0"/>
    <w:rsid w:val="00BE62AD"/>
    <w:rsid w:val="00BF121F"/>
    <w:rsid w:val="00BF1F80"/>
    <w:rsid w:val="00C166EF"/>
    <w:rsid w:val="00C17EB0"/>
    <w:rsid w:val="00C27F5F"/>
    <w:rsid w:val="00C30A0F"/>
    <w:rsid w:val="00C37E61"/>
    <w:rsid w:val="00C70304"/>
    <w:rsid w:val="00C70F1B"/>
    <w:rsid w:val="00C71A47"/>
    <w:rsid w:val="00C7464C"/>
    <w:rsid w:val="00C75224"/>
    <w:rsid w:val="00C85588"/>
    <w:rsid w:val="00CD6755"/>
    <w:rsid w:val="00CD6856"/>
    <w:rsid w:val="00CE0089"/>
    <w:rsid w:val="00CE793C"/>
    <w:rsid w:val="00CF193C"/>
    <w:rsid w:val="00D173F1"/>
    <w:rsid w:val="00D74CB0"/>
    <w:rsid w:val="00D8295D"/>
    <w:rsid w:val="00DC1B80"/>
    <w:rsid w:val="00DC2A65"/>
    <w:rsid w:val="00DD28E2"/>
    <w:rsid w:val="00DE15F0"/>
    <w:rsid w:val="00DE5663"/>
    <w:rsid w:val="00DE78AA"/>
    <w:rsid w:val="00DF1A66"/>
    <w:rsid w:val="00E0431D"/>
    <w:rsid w:val="00E053D0"/>
    <w:rsid w:val="00E15994"/>
    <w:rsid w:val="00E3114E"/>
    <w:rsid w:val="00E31A70"/>
    <w:rsid w:val="00E3512F"/>
    <w:rsid w:val="00E35B02"/>
    <w:rsid w:val="00E66496"/>
    <w:rsid w:val="00E66B35"/>
    <w:rsid w:val="00E66E10"/>
    <w:rsid w:val="00E769F6"/>
    <w:rsid w:val="00E8334E"/>
    <w:rsid w:val="00E8407C"/>
    <w:rsid w:val="00E84F3C"/>
    <w:rsid w:val="00E94D61"/>
    <w:rsid w:val="00EA012C"/>
    <w:rsid w:val="00EA6685"/>
    <w:rsid w:val="00EC6A55"/>
    <w:rsid w:val="00EC7A85"/>
    <w:rsid w:val="00ED0288"/>
    <w:rsid w:val="00EE52CB"/>
    <w:rsid w:val="00EE6E54"/>
    <w:rsid w:val="00EF581D"/>
    <w:rsid w:val="00EF7FD8"/>
    <w:rsid w:val="00F06F59"/>
    <w:rsid w:val="00F17988"/>
    <w:rsid w:val="00F32C99"/>
    <w:rsid w:val="00F469F0"/>
    <w:rsid w:val="00F53273"/>
    <w:rsid w:val="00F65A43"/>
    <w:rsid w:val="00F755E4"/>
    <w:rsid w:val="00F77D02"/>
    <w:rsid w:val="00FB3A86"/>
    <w:rsid w:val="00FD36C8"/>
    <w:rsid w:val="00FD6D72"/>
    <w:rsid w:val="00FE7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2" type="connector" idref="#_x0000_s1026"/>
      </o:rules>
    </o:shapelayout>
  </w:shapeDefaults>
  <w:decimalSymbol w:val="."/>
  <w:listSeparator w:val=","/>
  <w14:docId w14:val="60A06BF1"/>
  <w15:docId w15:val="{55BE6BF3-45A8-4359-A944-EDDD78FE3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9B4C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FD6D7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rsid w:val="009B4CDB"/>
    <w:rPr>
      <w:rFonts w:asciiTheme="majorHAnsi" w:eastAsiaTheme="majorEastAsia" w:hAnsiTheme="majorHAnsi" w:cstheme="majorBidi"/>
      <w:color w:val="365F91" w:themeColor="accent1" w:themeShade="BF"/>
      <w:sz w:val="26"/>
      <w:szCs w:val="26"/>
    </w:rPr>
  </w:style>
  <w:style w:type="paragraph" w:styleId="Quote">
    <w:name w:val="Quote"/>
    <w:basedOn w:val="Normal"/>
    <w:next w:val="Normal"/>
    <w:link w:val="QuoteChar"/>
    <w:uiPriority w:val="29"/>
    <w:qFormat/>
    <w:rsid w:val="00C75224"/>
    <w:pPr>
      <w:spacing w:before="160" w:after="160" w:line="278" w:lineRule="auto"/>
      <w:jc w:val="center"/>
    </w:pPr>
    <w:rPr>
      <w:rFonts w:asciiTheme="minorHAnsi" w:eastAsiaTheme="minorHAnsi" w:hAnsiTheme="minorHAnsi" w:cstheme="minorBidi"/>
      <w:i/>
      <w:iCs/>
      <w:color w:val="404040" w:themeColor="text1" w:themeTint="BF"/>
      <w:kern w:val="2"/>
      <w:sz w:val="24"/>
      <w:szCs w:val="24"/>
    </w:rPr>
  </w:style>
  <w:style w:type="character" w:customStyle="1" w:styleId="QuoteChar">
    <w:name w:val="Quote Char"/>
    <w:basedOn w:val="DefaultParagraphFont"/>
    <w:link w:val="Quote"/>
    <w:uiPriority w:val="29"/>
    <w:rsid w:val="00C75224"/>
    <w:rPr>
      <w:rFonts w:asciiTheme="minorHAnsi" w:eastAsiaTheme="minorHAnsi" w:hAnsiTheme="minorHAnsi" w:cstheme="minorBidi"/>
      <w:i/>
      <w:iCs/>
      <w:color w:val="404040" w:themeColor="text1" w:themeTint="BF"/>
      <w:kern w:val="2"/>
      <w:sz w:val="24"/>
      <w:szCs w:val="24"/>
    </w:rPr>
  </w:style>
  <w:style w:type="paragraph" w:styleId="ListParagraph">
    <w:name w:val="List Paragraph"/>
    <w:basedOn w:val="Normal"/>
    <w:uiPriority w:val="34"/>
    <w:qFormat/>
    <w:rsid w:val="00093DD9"/>
    <w:pPr>
      <w:ind w:left="720"/>
      <w:contextualSpacing/>
    </w:pPr>
  </w:style>
  <w:style w:type="paragraph" w:styleId="Bibliography">
    <w:name w:val="Bibliography"/>
    <w:basedOn w:val="Normal"/>
    <w:next w:val="Normal"/>
    <w:uiPriority w:val="37"/>
    <w:unhideWhenUsed/>
    <w:rsid w:val="00901C81"/>
  </w:style>
  <w:style w:type="character" w:customStyle="1" w:styleId="Heading3Char">
    <w:name w:val="Heading 3 Char"/>
    <w:basedOn w:val="DefaultParagraphFont"/>
    <w:link w:val="Heading3"/>
    <w:semiHidden/>
    <w:rsid w:val="00FD6D72"/>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B92499"/>
    <w:rPr>
      <w:rFonts w:ascii="Helvetica" w:hAnsi="Helvetica"/>
      <w:b/>
      <w:bCs/>
      <w:lang w:val="en-US" w:eastAsia="en-US"/>
    </w:rPr>
  </w:style>
  <w:style w:type="character" w:customStyle="1" w:styleId="CommentSubjectChar">
    <w:name w:val="Comment Subject Char"/>
    <w:basedOn w:val="CommentTextChar"/>
    <w:link w:val="CommentSubject"/>
    <w:semiHidden/>
    <w:rsid w:val="00B92499"/>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5526">
      <w:bodyDiv w:val="1"/>
      <w:marLeft w:val="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410503">
      <w:bodyDiv w:val="1"/>
      <w:marLeft w:val="0"/>
      <w:marRight w:val="0"/>
      <w:marTop w:val="0"/>
      <w:marBottom w:val="0"/>
      <w:divBdr>
        <w:top w:val="none" w:sz="0" w:space="0" w:color="auto"/>
        <w:left w:val="none" w:sz="0" w:space="0" w:color="auto"/>
        <w:bottom w:val="none" w:sz="0" w:space="0" w:color="auto"/>
        <w:right w:val="none" w:sz="0" w:space="0" w:color="auto"/>
      </w:divBdr>
    </w:div>
    <w:div w:id="74010093">
      <w:bodyDiv w:val="1"/>
      <w:marLeft w:val="0"/>
      <w:marRight w:val="0"/>
      <w:marTop w:val="0"/>
      <w:marBottom w:val="0"/>
      <w:divBdr>
        <w:top w:val="none" w:sz="0" w:space="0" w:color="auto"/>
        <w:left w:val="none" w:sz="0" w:space="0" w:color="auto"/>
        <w:bottom w:val="none" w:sz="0" w:space="0" w:color="auto"/>
        <w:right w:val="none" w:sz="0" w:space="0" w:color="auto"/>
      </w:divBdr>
    </w:div>
    <w:div w:id="11260129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8890661">
      <w:bodyDiv w:val="1"/>
      <w:marLeft w:val="0"/>
      <w:marRight w:val="0"/>
      <w:marTop w:val="0"/>
      <w:marBottom w:val="0"/>
      <w:divBdr>
        <w:top w:val="none" w:sz="0" w:space="0" w:color="auto"/>
        <w:left w:val="none" w:sz="0" w:space="0" w:color="auto"/>
        <w:bottom w:val="none" w:sz="0" w:space="0" w:color="auto"/>
        <w:right w:val="none" w:sz="0" w:space="0" w:color="auto"/>
      </w:divBdr>
    </w:div>
    <w:div w:id="182132902">
      <w:bodyDiv w:val="1"/>
      <w:marLeft w:val="0"/>
      <w:marRight w:val="0"/>
      <w:marTop w:val="0"/>
      <w:marBottom w:val="0"/>
      <w:divBdr>
        <w:top w:val="none" w:sz="0" w:space="0" w:color="auto"/>
        <w:left w:val="none" w:sz="0" w:space="0" w:color="auto"/>
        <w:bottom w:val="none" w:sz="0" w:space="0" w:color="auto"/>
        <w:right w:val="none" w:sz="0" w:space="0" w:color="auto"/>
      </w:divBdr>
    </w:div>
    <w:div w:id="20009915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3634207">
      <w:bodyDiv w:val="1"/>
      <w:marLeft w:val="0"/>
      <w:marRight w:val="0"/>
      <w:marTop w:val="0"/>
      <w:marBottom w:val="0"/>
      <w:divBdr>
        <w:top w:val="none" w:sz="0" w:space="0" w:color="auto"/>
        <w:left w:val="none" w:sz="0" w:space="0" w:color="auto"/>
        <w:bottom w:val="none" w:sz="0" w:space="0" w:color="auto"/>
        <w:right w:val="none" w:sz="0" w:space="0" w:color="auto"/>
      </w:divBdr>
    </w:div>
    <w:div w:id="257061321">
      <w:bodyDiv w:val="1"/>
      <w:marLeft w:val="0"/>
      <w:marRight w:val="0"/>
      <w:marTop w:val="0"/>
      <w:marBottom w:val="0"/>
      <w:divBdr>
        <w:top w:val="none" w:sz="0" w:space="0" w:color="auto"/>
        <w:left w:val="none" w:sz="0" w:space="0" w:color="auto"/>
        <w:bottom w:val="none" w:sz="0" w:space="0" w:color="auto"/>
        <w:right w:val="none" w:sz="0" w:space="0" w:color="auto"/>
      </w:divBdr>
    </w:div>
    <w:div w:id="307327647">
      <w:bodyDiv w:val="1"/>
      <w:marLeft w:val="0"/>
      <w:marRight w:val="0"/>
      <w:marTop w:val="0"/>
      <w:marBottom w:val="0"/>
      <w:divBdr>
        <w:top w:val="none" w:sz="0" w:space="0" w:color="auto"/>
        <w:left w:val="none" w:sz="0" w:space="0" w:color="auto"/>
        <w:bottom w:val="none" w:sz="0" w:space="0" w:color="auto"/>
        <w:right w:val="none" w:sz="0" w:space="0" w:color="auto"/>
      </w:divBdr>
    </w:div>
    <w:div w:id="311905502">
      <w:bodyDiv w:val="1"/>
      <w:marLeft w:val="0"/>
      <w:marRight w:val="0"/>
      <w:marTop w:val="0"/>
      <w:marBottom w:val="0"/>
      <w:divBdr>
        <w:top w:val="none" w:sz="0" w:space="0" w:color="auto"/>
        <w:left w:val="none" w:sz="0" w:space="0" w:color="auto"/>
        <w:bottom w:val="none" w:sz="0" w:space="0" w:color="auto"/>
        <w:right w:val="none" w:sz="0" w:space="0" w:color="auto"/>
      </w:divBdr>
    </w:div>
    <w:div w:id="357585517">
      <w:bodyDiv w:val="1"/>
      <w:marLeft w:val="0"/>
      <w:marRight w:val="0"/>
      <w:marTop w:val="0"/>
      <w:marBottom w:val="0"/>
      <w:divBdr>
        <w:top w:val="none" w:sz="0" w:space="0" w:color="auto"/>
        <w:left w:val="none" w:sz="0" w:space="0" w:color="auto"/>
        <w:bottom w:val="none" w:sz="0" w:space="0" w:color="auto"/>
        <w:right w:val="none" w:sz="0" w:space="0" w:color="auto"/>
      </w:divBdr>
    </w:div>
    <w:div w:id="388310664">
      <w:bodyDiv w:val="1"/>
      <w:marLeft w:val="0"/>
      <w:marRight w:val="0"/>
      <w:marTop w:val="0"/>
      <w:marBottom w:val="0"/>
      <w:divBdr>
        <w:top w:val="none" w:sz="0" w:space="0" w:color="auto"/>
        <w:left w:val="none" w:sz="0" w:space="0" w:color="auto"/>
        <w:bottom w:val="none" w:sz="0" w:space="0" w:color="auto"/>
        <w:right w:val="none" w:sz="0" w:space="0" w:color="auto"/>
      </w:divBdr>
    </w:div>
    <w:div w:id="393163217">
      <w:bodyDiv w:val="1"/>
      <w:marLeft w:val="0"/>
      <w:marRight w:val="0"/>
      <w:marTop w:val="0"/>
      <w:marBottom w:val="0"/>
      <w:divBdr>
        <w:top w:val="none" w:sz="0" w:space="0" w:color="auto"/>
        <w:left w:val="none" w:sz="0" w:space="0" w:color="auto"/>
        <w:bottom w:val="none" w:sz="0" w:space="0" w:color="auto"/>
        <w:right w:val="none" w:sz="0" w:space="0" w:color="auto"/>
      </w:divBdr>
    </w:div>
    <w:div w:id="498153319">
      <w:bodyDiv w:val="1"/>
      <w:marLeft w:val="0"/>
      <w:marRight w:val="0"/>
      <w:marTop w:val="0"/>
      <w:marBottom w:val="0"/>
      <w:divBdr>
        <w:top w:val="none" w:sz="0" w:space="0" w:color="auto"/>
        <w:left w:val="none" w:sz="0" w:space="0" w:color="auto"/>
        <w:bottom w:val="none" w:sz="0" w:space="0" w:color="auto"/>
        <w:right w:val="none" w:sz="0" w:space="0" w:color="auto"/>
      </w:divBdr>
    </w:div>
    <w:div w:id="514341892">
      <w:bodyDiv w:val="1"/>
      <w:marLeft w:val="0"/>
      <w:marRight w:val="0"/>
      <w:marTop w:val="0"/>
      <w:marBottom w:val="0"/>
      <w:divBdr>
        <w:top w:val="none" w:sz="0" w:space="0" w:color="auto"/>
        <w:left w:val="none" w:sz="0" w:space="0" w:color="auto"/>
        <w:bottom w:val="none" w:sz="0" w:space="0" w:color="auto"/>
        <w:right w:val="none" w:sz="0" w:space="0" w:color="auto"/>
      </w:divBdr>
    </w:div>
    <w:div w:id="578290429">
      <w:bodyDiv w:val="1"/>
      <w:marLeft w:val="0"/>
      <w:marRight w:val="0"/>
      <w:marTop w:val="0"/>
      <w:marBottom w:val="0"/>
      <w:divBdr>
        <w:top w:val="none" w:sz="0" w:space="0" w:color="auto"/>
        <w:left w:val="none" w:sz="0" w:space="0" w:color="auto"/>
        <w:bottom w:val="none" w:sz="0" w:space="0" w:color="auto"/>
        <w:right w:val="none" w:sz="0" w:space="0" w:color="auto"/>
      </w:divBdr>
    </w:div>
    <w:div w:id="580990937">
      <w:bodyDiv w:val="1"/>
      <w:marLeft w:val="0"/>
      <w:marRight w:val="0"/>
      <w:marTop w:val="0"/>
      <w:marBottom w:val="0"/>
      <w:divBdr>
        <w:top w:val="none" w:sz="0" w:space="0" w:color="auto"/>
        <w:left w:val="none" w:sz="0" w:space="0" w:color="auto"/>
        <w:bottom w:val="none" w:sz="0" w:space="0" w:color="auto"/>
        <w:right w:val="none" w:sz="0" w:space="0" w:color="auto"/>
      </w:divBdr>
    </w:div>
    <w:div w:id="593783867">
      <w:bodyDiv w:val="1"/>
      <w:marLeft w:val="0"/>
      <w:marRight w:val="0"/>
      <w:marTop w:val="0"/>
      <w:marBottom w:val="0"/>
      <w:divBdr>
        <w:top w:val="none" w:sz="0" w:space="0" w:color="auto"/>
        <w:left w:val="none" w:sz="0" w:space="0" w:color="auto"/>
        <w:bottom w:val="none" w:sz="0" w:space="0" w:color="auto"/>
        <w:right w:val="none" w:sz="0" w:space="0" w:color="auto"/>
      </w:divBdr>
    </w:div>
    <w:div w:id="596643609">
      <w:bodyDiv w:val="1"/>
      <w:marLeft w:val="0"/>
      <w:marRight w:val="0"/>
      <w:marTop w:val="0"/>
      <w:marBottom w:val="0"/>
      <w:divBdr>
        <w:top w:val="none" w:sz="0" w:space="0" w:color="auto"/>
        <w:left w:val="none" w:sz="0" w:space="0" w:color="auto"/>
        <w:bottom w:val="none" w:sz="0" w:space="0" w:color="auto"/>
        <w:right w:val="none" w:sz="0" w:space="0" w:color="auto"/>
      </w:divBdr>
    </w:div>
    <w:div w:id="598833225">
      <w:bodyDiv w:val="1"/>
      <w:marLeft w:val="0"/>
      <w:marRight w:val="0"/>
      <w:marTop w:val="0"/>
      <w:marBottom w:val="0"/>
      <w:divBdr>
        <w:top w:val="none" w:sz="0" w:space="0" w:color="auto"/>
        <w:left w:val="none" w:sz="0" w:space="0" w:color="auto"/>
        <w:bottom w:val="none" w:sz="0" w:space="0" w:color="auto"/>
        <w:right w:val="none" w:sz="0" w:space="0" w:color="auto"/>
      </w:divBdr>
    </w:div>
    <w:div w:id="63190824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8583657">
      <w:bodyDiv w:val="1"/>
      <w:marLeft w:val="0"/>
      <w:marRight w:val="0"/>
      <w:marTop w:val="0"/>
      <w:marBottom w:val="0"/>
      <w:divBdr>
        <w:top w:val="none" w:sz="0" w:space="0" w:color="auto"/>
        <w:left w:val="none" w:sz="0" w:space="0" w:color="auto"/>
        <w:bottom w:val="none" w:sz="0" w:space="0" w:color="auto"/>
        <w:right w:val="none" w:sz="0" w:space="0" w:color="auto"/>
      </w:divBdr>
    </w:div>
    <w:div w:id="692076578">
      <w:bodyDiv w:val="1"/>
      <w:marLeft w:val="0"/>
      <w:marRight w:val="0"/>
      <w:marTop w:val="0"/>
      <w:marBottom w:val="0"/>
      <w:divBdr>
        <w:top w:val="none" w:sz="0" w:space="0" w:color="auto"/>
        <w:left w:val="none" w:sz="0" w:space="0" w:color="auto"/>
        <w:bottom w:val="none" w:sz="0" w:space="0" w:color="auto"/>
        <w:right w:val="none" w:sz="0" w:space="0" w:color="auto"/>
      </w:divBdr>
    </w:div>
    <w:div w:id="709888671">
      <w:bodyDiv w:val="1"/>
      <w:marLeft w:val="0"/>
      <w:marRight w:val="0"/>
      <w:marTop w:val="0"/>
      <w:marBottom w:val="0"/>
      <w:divBdr>
        <w:top w:val="none" w:sz="0" w:space="0" w:color="auto"/>
        <w:left w:val="none" w:sz="0" w:space="0" w:color="auto"/>
        <w:bottom w:val="none" w:sz="0" w:space="0" w:color="auto"/>
        <w:right w:val="none" w:sz="0" w:space="0" w:color="auto"/>
      </w:divBdr>
    </w:div>
    <w:div w:id="747575062">
      <w:bodyDiv w:val="1"/>
      <w:marLeft w:val="0"/>
      <w:marRight w:val="0"/>
      <w:marTop w:val="0"/>
      <w:marBottom w:val="0"/>
      <w:divBdr>
        <w:top w:val="none" w:sz="0" w:space="0" w:color="auto"/>
        <w:left w:val="none" w:sz="0" w:space="0" w:color="auto"/>
        <w:bottom w:val="none" w:sz="0" w:space="0" w:color="auto"/>
        <w:right w:val="none" w:sz="0" w:space="0" w:color="auto"/>
      </w:divBdr>
    </w:div>
    <w:div w:id="761754873">
      <w:bodyDiv w:val="1"/>
      <w:marLeft w:val="0"/>
      <w:marRight w:val="0"/>
      <w:marTop w:val="0"/>
      <w:marBottom w:val="0"/>
      <w:divBdr>
        <w:top w:val="none" w:sz="0" w:space="0" w:color="auto"/>
        <w:left w:val="none" w:sz="0" w:space="0" w:color="auto"/>
        <w:bottom w:val="none" w:sz="0" w:space="0" w:color="auto"/>
        <w:right w:val="none" w:sz="0" w:space="0" w:color="auto"/>
      </w:divBdr>
    </w:div>
    <w:div w:id="767627735">
      <w:bodyDiv w:val="1"/>
      <w:marLeft w:val="0"/>
      <w:marRight w:val="0"/>
      <w:marTop w:val="0"/>
      <w:marBottom w:val="0"/>
      <w:divBdr>
        <w:top w:val="none" w:sz="0" w:space="0" w:color="auto"/>
        <w:left w:val="none" w:sz="0" w:space="0" w:color="auto"/>
        <w:bottom w:val="none" w:sz="0" w:space="0" w:color="auto"/>
        <w:right w:val="none" w:sz="0" w:space="0" w:color="auto"/>
      </w:divBdr>
    </w:div>
    <w:div w:id="897664682">
      <w:bodyDiv w:val="1"/>
      <w:marLeft w:val="0"/>
      <w:marRight w:val="0"/>
      <w:marTop w:val="0"/>
      <w:marBottom w:val="0"/>
      <w:divBdr>
        <w:top w:val="none" w:sz="0" w:space="0" w:color="auto"/>
        <w:left w:val="none" w:sz="0" w:space="0" w:color="auto"/>
        <w:bottom w:val="none" w:sz="0" w:space="0" w:color="auto"/>
        <w:right w:val="none" w:sz="0" w:space="0" w:color="auto"/>
      </w:divBdr>
    </w:div>
    <w:div w:id="898978657">
      <w:bodyDiv w:val="1"/>
      <w:marLeft w:val="0"/>
      <w:marRight w:val="0"/>
      <w:marTop w:val="0"/>
      <w:marBottom w:val="0"/>
      <w:divBdr>
        <w:top w:val="none" w:sz="0" w:space="0" w:color="auto"/>
        <w:left w:val="none" w:sz="0" w:space="0" w:color="auto"/>
        <w:bottom w:val="none" w:sz="0" w:space="0" w:color="auto"/>
        <w:right w:val="none" w:sz="0" w:space="0" w:color="auto"/>
      </w:divBdr>
    </w:div>
    <w:div w:id="926112053">
      <w:bodyDiv w:val="1"/>
      <w:marLeft w:val="0"/>
      <w:marRight w:val="0"/>
      <w:marTop w:val="0"/>
      <w:marBottom w:val="0"/>
      <w:divBdr>
        <w:top w:val="none" w:sz="0" w:space="0" w:color="auto"/>
        <w:left w:val="none" w:sz="0" w:space="0" w:color="auto"/>
        <w:bottom w:val="none" w:sz="0" w:space="0" w:color="auto"/>
        <w:right w:val="none" w:sz="0" w:space="0" w:color="auto"/>
      </w:divBdr>
    </w:div>
    <w:div w:id="97787618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5424240">
      <w:bodyDiv w:val="1"/>
      <w:marLeft w:val="0"/>
      <w:marRight w:val="0"/>
      <w:marTop w:val="0"/>
      <w:marBottom w:val="0"/>
      <w:divBdr>
        <w:top w:val="none" w:sz="0" w:space="0" w:color="auto"/>
        <w:left w:val="none" w:sz="0" w:space="0" w:color="auto"/>
        <w:bottom w:val="none" w:sz="0" w:space="0" w:color="auto"/>
        <w:right w:val="none" w:sz="0" w:space="0" w:color="auto"/>
      </w:divBdr>
    </w:div>
    <w:div w:id="1050959409">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8817799">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6508409">
      <w:bodyDiv w:val="1"/>
      <w:marLeft w:val="0"/>
      <w:marRight w:val="0"/>
      <w:marTop w:val="0"/>
      <w:marBottom w:val="0"/>
      <w:divBdr>
        <w:top w:val="none" w:sz="0" w:space="0" w:color="auto"/>
        <w:left w:val="none" w:sz="0" w:space="0" w:color="auto"/>
        <w:bottom w:val="none" w:sz="0" w:space="0" w:color="auto"/>
        <w:right w:val="none" w:sz="0" w:space="0" w:color="auto"/>
      </w:divBdr>
    </w:div>
    <w:div w:id="1220704397">
      <w:bodyDiv w:val="1"/>
      <w:marLeft w:val="0"/>
      <w:marRight w:val="0"/>
      <w:marTop w:val="0"/>
      <w:marBottom w:val="0"/>
      <w:divBdr>
        <w:top w:val="none" w:sz="0" w:space="0" w:color="auto"/>
        <w:left w:val="none" w:sz="0" w:space="0" w:color="auto"/>
        <w:bottom w:val="none" w:sz="0" w:space="0" w:color="auto"/>
        <w:right w:val="none" w:sz="0" w:space="0" w:color="auto"/>
      </w:divBdr>
    </w:div>
    <w:div w:id="1224877349">
      <w:bodyDiv w:val="1"/>
      <w:marLeft w:val="0"/>
      <w:marRight w:val="0"/>
      <w:marTop w:val="0"/>
      <w:marBottom w:val="0"/>
      <w:divBdr>
        <w:top w:val="none" w:sz="0" w:space="0" w:color="auto"/>
        <w:left w:val="none" w:sz="0" w:space="0" w:color="auto"/>
        <w:bottom w:val="none" w:sz="0" w:space="0" w:color="auto"/>
        <w:right w:val="none" w:sz="0" w:space="0" w:color="auto"/>
      </w:divBdr>
    </w:div>
    <w:div w:id="1227958352">
      <w:bodyDiv w:val="1"/>
      <w:marLeft w:val="0"/>
      <w:marRight w:val="0"/>
      <w:marTop w:val="0"/>
      <w:marBottom w:val="0"/>
      <w:divBdr>
        <w:top w:val="none" w:sz="0" w:space="0" w:color="auto"/>
        <w:left w:val="none" w:sz="0" w:space="0" w:color="auto"/>
        <w:bottom w:val="none" w:sz="0" w:space="0" w:color="auto"/>
        <w:right w:val="none" w:sz="0" w:space="0" w:color="auto"/>
      </w:divBdr>
    </w:div>
    <w:div w:id="1274627071">
      <w:bodyDiv w:val="1"/>
      <w:marLeft w:val="0"/>
      <w:marRight w:val="0"/>
      <w:marTop w:val="0"/>
      <w:marBottom w:val="0"/>
      <w:divBdr>
        <w:top w:val="none" w:sz="0" w:space="0" w:color="auto"/>
        <w:left w:val="none" w:sz="0" w:space="0" w:color="auto"/>
        <w:bottom w:val="none" w:sz="0" w:space="0" w:color="auto"/>
        <w:right w:val="none" w:sz="0" w:space="0" w:color="auto"/>
      </w:divBdr>
    </w:div>
    <w:div w:id="1309554576">
      <w:bodyDiv w:val="1"/>
      <w:marLeft w:val="0"/>
      <w:marRight w:val="0"/>
      <w:marTop w:val="0"/>
      <w:marBottom w:val="0"/>
      <w:divBdr>
        <w:top w:val="none" w:sz="0" w:space="0" w:color="auto"/>
        <w:left w:val="none" w:sz="0" w:space="0" w:color="auto"/>
        <w:bottom w:val="none" w:sz="0" w:space="0" w:color="auto"/>
        <w:right w:val="none" w:sz="0" w:space="0" w:color="auto"/>
      </w:divBdr>
    </w:div>
    <w:div w:id="1339772043">
      <w:bodyDiv w:val="1"/>
      <w:marLeft w:val="0"/>
      <w:marRight w:val="0"/>
      <w:marTop w:val="0"/>
      <w:marBottom w:val="0"/>
      <w:divBdr>
        <w:top w:val="none" w:sz="0" w:space="0" w:color="auto"/>
        <w:left w:val="none" w:sz="0" w:space="0" w:color="auto"/>
        <w:bottom w:val="none" w:sz="0" w:space="0" w:color="auto"/>
        <w:right w:val="none" w:sz="0" w:space="0" w:color="auto"/>
      </w:divBdr>
    </w:div>
    <w:div w:id="1347289553">
      <w:bodyDiv w:val="1"/>
      <w:marLeft w:val="0"/>
      <w:marRight w:val="0"/>
      <w:marTop w:val="0"/>
      <w:marBottom w:val="0"/>
      <w:divBdr>
        <w:top w:val="none" w:sz="0" w:space="0" w:color="auto"/>
        <w:left w:val="none" w:sz="0" w:space="0" w:color="auto"/>
        <w:bottom w:val="none" w:sz="0" w:space="0" w:color="auto"/>
        <w:right w:val="none" w:sz="0" w:space="0" w:color="auto"/>
      </w:divBdr>
    </w:div>
    <w:div w:id="1360738179">
      <w:bodyDiv w:val="1"/>
      <w:marLeft w:val="0"/>
      <w:marRight w:val="0"/>
      <w:marTop w:val="0"/>
      <w:marBottom w:val="0"/>
      <w:divBdr>
        <w:top w:val="none" w:sz="0" w:space="0" w:color="auto"/>
        <w:left w:val="none" w:sz="0" w:space="0" w:color="auto"/>
        <w:bottom w:val="none" w:sz="0" w:space="0" w:color="auto"/>
        <w:right w:val="none" w:sz="0" w:space="0" w:color="auto"/>
      </w:divBdr>
    </w:div>
    <w:div w:id="1379552406">
      <w:bodyDiv w:val="1"/>
      <w:marLeft w:val="0"/>
      <w:marRight w:val="0"/>
      <w:marTop w:val="0"/>
      <w:marBottom w:val="0"/>
      <w:divBdr>
        <w:top w:val="none" w:sz="0" w:space="0" w:color="auto"/>
        <w:left w:val="none" w:sz="0" w:space="0" w:color="auto"/>
        <w:bottom w:val="none" w:sz="0" w:space="0" w:color="auto"/>
        <w:right w:val="none" w:sz="0" w:space="0" w:color="auto"/>
      </w:divBdr>
    </w:div>
    <w:div w:id="1430005840">
      <w:bodyDiv w:val="1"/>
      <w:marLeft w:val="0"/>
      <w:marRight w:val="0"/>
      <w:marTop w:val="0"/>
      <w:marBottom w:val="0"/>
      <w:divBdr>
        <w:top w:val="none" w:sz="0" w:space="0" w:color="auto"/>
        <w:left w:val="none" w:sz="0" w:space="0" w:color="auto"/>
        <w:bottom w:val="none" w:sz="0" w:space="0" w:color="auto"/>
        <w:right w:val="none" w:sz="0" w:space="0" w:color="auto"/>
      </w:divBdr>
    </w:div>
    <w:div w:id="1442148652">
      <w:bodyDiv w:val="1"/>
      <w:marLeft w:val="0"/>
      <w:marRight w:val="0"/>
      <w:marTop w:val="0"/>
      <w:marBottom w:val="0"/>
      <w:divBdr>
        <w:top w:val="none" w:sz="0" w:space="0" w:color="auto"/>
        <w:left w:val="none" w:sz="0" w:space="0" w:color="auto"/>
        <w:bottom w:val="none" w:sz="0" w:space="0" w:color="auto"/>
        <w:right w:val="none" w:sz="0" w:space="0" w:color="auto"/>
      </w:divBdr>
    </w:div>
    <w:div w:id="1461459019">
      <w:bodyDiv w:val="1"/>
      <w:marLeft w:val="0"/>
      <w:marRight w:val="0"/>
      <w:marTop w:val="0"/>
      <w:marBottom w:val="0"/>
      <w:divBdr>
        <w:top w:val="none" w:sz="0" w:space="0" w:color="auto"/>
        <w:left w:val="none" w:sz="0" w:space="0" w:color="auto"/>
        <w:bottom w:val="none" w:sz="0" w:space="0" w:color="auto"/>
        <w:right w:val="none" w:sz="0" w:space="0" w:color="auto"/>
      </w:divBdr>
    </w:div>
    <w:div w:id="1478834921">
      <w:bodyDiv w:val="1"/>
      <w:marLeft w:val="0"/>
      <w:marRight w:val="0"/>
      <w:marTop w:val="0"/>
      <w:marBottom w:val="0"/>
      <w:divBdr>
        <w:top w:val="none" w:sz="0" w:space="0" w:color="auto"/>
        <w:left w:val="none" w:sz="0" w:space="0" w:color="auto"/>
        <w:bottom w:val="none" w:sz="0" w:space="0" w:color="auto"/>
        <w:right w:val="none" w:sz="0" w:space="0" w:color="auto"/>
      </w:divBdr>
    </w:div>
    <w:div w:id="1564944333">
      <w:bodyDiv w:val="1"/>
      <w:marLeft w:val="0"/>
      <w:marRight w:val="0"/>
      <w:marTop w:val="0"/>
      <w:marBottom w:val="0"/>
      <w:divBdr>
        <w:top w:val="none" w:sz="0" w:space="0" w:color="auto"/>
        <w:left w:val="none" w:sz="0" w:space="0" w:color="auto"/>
        <w:bottom w:val="none" w:sz="0" w:space="0" w:color="auto"/>
        <w:right w:val="none" w:sz="0" w:space="0" w:color="auto"/>
      </w:divBdr>
    </w:div>
    <w:div w:id="1566837029">
      <w:bodyDiv w:val="1"/>
      <w:marLeft w:val="0"/>
      <w:marRight w:val="0"/>
      <w:marTop w:val="0"/>
      <w:marBottom w:val="0"/>
      <w:divBdr>
        <w:top w:val="none" w:sz="0" w:space="0" w:color="auto"/>
        <w:left w:val="none" w:sz="0" w:space="0" w:color="auto"/>
        <w:bottom w:val="none" w:sz="0" w:space="0" w:color="auto"/>
        <w:right w:val="none" w:sz="0" w:space="0" w:color="auto"/>
      </w:divBdr>
    </w:div>
    <w:div w:id="1567913253">
      <w:bodyDiv w:val="1"/>
      <w:marLeft w:val="0"/>
      <w:marRight w:val="0"/>
      <w:marTop w:val="0"/>
      <w:marBottom w:val="0"/>
      <w:divBdr>
        <w:top w:val="none" w:sz="0" w:space="0" w:color="auto"/>
        <w:left w:val="none" w:sz="0" w:space="0" w:color="auto"/>
        <w:bottom w:val="none" w:sz="0" w:space="0" w:color="auto"/>
        <w:right w:val="none" w:sz="0" w:space="0" w:color="auto"/>
      </w:divBdr>
    </w:div>
    <w:div w:id="1629627644">
      <w:bodyDiv w:val="1"/>
      <w:marLeft w:val="0"/>
      <w:marRight w:val="0"/>
      <w:marTop w:val="0"/>
      <w:marBottom w:val="0"/>
      <w:divBdr>
        <w:top w:val="none" w:sz="0" w:space="0" w:color="auto"/>
        <w:left w:val="none" w:sz="0" w:space="0" w:color="auto"/>
        <w:bottom w:val="none" w:sz="0" w:space="0" w:color="auto"/>
        <w:right w:val="none" w:sz="0" w:space="0" w:color="auto"/>
      </w:divBdr>
    </w:div>
    <w:div w:id="171750553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4862308">
      <w:bodyDiv w:val="1"/>
      <w:marLeft w:val="0"/>
      <w:marRight w:val="0"/>
      <w:marTop w:val="0"/>
      <w:marBottom w:val="0"/>
      <w:divBdr>
        <w:top w:val="none" w:sz="0" w:space="0" w:color="auto"/>
        <w:left w:val="none" w:sz="0" w:space="0" w:color="auto"/>
        <w:bottom w:val="none" w:sz="0" w:space="0" w:color="auto"/>
        <w:right w:val="none" w:sz="0" w:space="0" w:color="auto"/>
      </w:divBdr>
    </w:div>
    <w:div w:id="1788697473">
      <w:bodyDiv w:val="1"/>
      <w:marLeft w:val="0"/>
      <w:marRight w:val="0"/>
      <w:marTop w:val="0"/>
      <w:marBottom w:val="0"/>
      <w:divBdr>
        <w:top w:val="none" w:sz="0" w:space="0" w:color="auto"/>
        <w:left w:val="none" w:sz="0" w:space="0" w:color="auto"/>
        <w:bottom w:val="none" w:sz="0" w:space="0" w:color="auto"/>
        <w:right w:val="none" w:sz="0" w:space="0" w:color="auto"/>
      </w:divBdr>
    </w:div>
    <w:div w:id="1805542545">
      <w:bodyDiv w:val="1"/>
      <w:marLeft w:val="0"/>
      <w:marRight w:val="0"/>
      <w:marTop w:val="0"/>
      <w:marBottom w:val="0"/>
      <w:divBdr>
        <w:top w:val="none" w:sz="0" w:space="0" w:color="auto"/>
        <w:left w:val="none" w:sz="0" w:space="0" w:color="auto"/>
        <w:bottom w:val="none" w:sz="0" w:space="0" w:color="auto"/>
        <w:right w:val="none" w:sz="0" w:space="0" w:color="auto"/>
      </w:divBdr>
    </w:div>
    <w:div w:id="1859393673">
      <w:bodyDiv w:val="1"/>
      <w:marLeft w:val="0"/>
      <w:marRight w:val="0"/>
      <w:marTop w:val="0"/>
      <w:marBottom w:val="0"/>
      <w:divBdr>
        <w:top w:val="none" w:sz="0" w:space="0" w:color="auto"/>
        <w:left w:val="none" w:sz="0" w:space="0" w:color="auto"/>
        <w:bottom w:val="none" w:sz="0" w:space="0" w:color="auto"/>
        <w:right w:val="none" w:sz="0" w:space="0" w:color="auto"/>
      </w:divBdr>
    </w:div>
    <w:div w:id="1874921656">
      <w:bodyDiv w:val="1"/>
      <w:marLeft w:val="0"/>
      <w:marRight w:val="0"/>
      <w:marTop w:val="0"/>
      <w:marBottom w:val="0"/>
      <w:divBdr>
        <w:top w:val="none" w:sz="0" w:space="0" w:color="auto"/>
        <w:left w:val="none" w:sz="0" w:space="0" w:color="auto"/>
        <w:bottom w:val="none" w:sz="0" w:space="0" w:color="auto"/>
        <w:right w:val="none" w:sz="0" w:space="0" w:color="auto"/>
      </w:divBdr>
    </w:div>
    <w:div w:id="1893031181">
      <w:bodyDiv w:val="1"/>
      <w:marLeft w:val="0"/>
      <w:marRight w:val="0"/>
      <w:marTop w:val="0"/>
      <w:marBottom w:val="0"/>
      <w:divBdr>
        <w:top w:val="none" w:sz="0" w:space="0" w:color="auto"/>
        <w:left w:val="none" w:sz="0" w:space="0" w:color="auto"/>
        <w:bottom w:val="none" w:sz="0" w:space="0" w:color="auto"/>
        <w:right w:val="none" w:sz="0" w:space="0" w:color="auto"/>
      </w:divBdr>
    </w:div>
    <w:div w:id="1905800545">
      <w:bodyDiv w:val="1"/>
      <w:marLeft w:val="0"/>
      <w:marRight w:val="0"/>
      <w:marTop w:val="0"/>
      <w:marBottom w:val="0"/>
      <w:divBdr>
        <w:top w:val="none" w:sz="0" w:space="0" w:color="auto"/>
        <w:left w:val="none" w:sz="0" w:space="0" w:color="auto"/>
        <w:bottom w:val="none" w:sz="0" w:space="0" w:color="auto"/>
        <w:right w:val="none" w:sz="0" w:space="0" w:color="auto"/>
      </w:divBdr>
    </w:div>
    <w:div w:id="196013855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1254512">
      <w:bodyDiv w:val="1"/>
      <w:marLeft w:val="0"/>
      <w:marRight w:val="0"/>
      <w:marTop w:val="0"/>
      <w:marBottom w:val="0"/>
      <w:divBdr>
        <w:top w:val="none" w:sz="0" w:space="0" w:color="auto"/>
        <w:left w:val="none" w:sz="0" w:space="0" w:color="auto"/>
        <w:bottom w:val="none" w:sz="0" w:space="0" w:color="auto"/>
        <w:right w:val="none" w:sz="0" w:space="0" w:color="auto"/>
      </w:divBdr>
    </w:div>
    <w:div w:id="1995526469">
      <w:bodyDiv w:val="1"/>
      <w:marLeft w:val="0"/>
      <w:marRight w:val="0"/>
      <w:marTop w:val="0"/>
      <w:marBottom w:val="0"/>
      <w:divBdr>
        <w:top w:val="none" w:sz="0" w:space="0" w:color="auto"/>
        <w:left w:val="none" w:sz="0" w:space="0" w:color="auto"/>
        <w:bottom w:val="none" w:sz="0" w:space="0" w:color="auto"/>
        <w:right w:val="none" w:sz="0" w:space="0" w:color="auto"/>
      </w:divBdr>
    </w:div>
    <w:div w:id="2039353485">
      <w:bodyDiv w:val="1"/>
      <w:marLeft w:val="0"/>
      <w:marRight w:val="0"/>
      <w:marTop w:val="0"/>
      <w:marBottom w:val="0"/>
      <w:divBdr>
        <w:top w:val="none" w:sz="0" w:space="0" w:color="auto"/>
        <w:left w:val="none" w:sz="0" w:space="0" w:color="auto"/>
        <w:bottom w:val="none" w:sz="0" w:space="0" w:color="auto"/>
        <w:right w:val="none" w:sz="0" w:space="0" w:color="auto"/>
      </w:divBdr>
    </w:div>
    <w:div w:id="2045935444">
      <w:bodyDiv w:val="1"/>
      <w:marLeft w:val="0"/>
      <w:marRight w:val="0"/>
      <w:marTop w:val="0"/>
      <w:marBottom w:val="0"/>
      <w:divBdr>
        <w:top w:val="none" w:sz="0" w:space="0" w:color="auto"/>
        <w:left w:val="none" w:sz="0" w:space="0" w:color="auto"/>
        <w:bottom w:val="none" w:sz="0" w:space="0" w:color="auto"/>
        <w:right w:val="none" w:sz="0" w:space="0" w:color="auto"/>
      </w:divBdr>
    </w:div>
    <w:div w:id="2054384498">
      <w:bodyDiv w:val="1"/>
      <w:marLeft w:val="0"/>
      <w:marRight w:val="0"/>
      <w:marTop w:val="0"/>
      <w:marBottom w:val="0"/>
      <w:divBdr>
        <w:top w:val="none" w:sz="0" w:space="0" w:color="auto"/>
        <w:left w:val="none" w:sz="0" w:space="0" w:color="auto"/>
        <w:bottom w:val="none" w:sz="0" w:space="0" w:color="auto"/>
        <w:right w:val="none" w:sz="0" w:space="0" w:color="auto"/>
      </w:divBdr>
    </w:div>
    <w:div w:id="2108116531">
      <w:bodyDiv w:val="1"/>
      <w:marLeft w:val="0"/>
      <w:marRight w:val="0"/>
      <w:marTop w:val="0"/>
      <w:marBottom w:val="0"/>
      <w:divBdr>
        <w:top w:val="none" w:sz="0" w:space="0" w:color="auto"/>
        <w:left w:val="none" w:sz="0" w:space="0" w:color="auto"/>
        <w:bottom w:val="none" w:sz="0" w:space="0" w:color="auto"/>
        <w:right w:val="none" w:sz="0" w:space="0" w:color="auto"/>
      </w:divBdr>
    </w:div>
    <w:div w:id="2125807688">
      <w:bodyDiv w:val="1"/>
      <w:marLeft w:val="0"/>
      <w:marRight w:val="0"/>
      <w:marTop w:val="0"/>
      <w:marBottom w:val="0"/>
      <w:divBdr>
        <w:top w:val="none" w:sz="0" w:space="0" w:color="auto"/>
        <w:left w:val="none" w:sz="0" w:space="0" w:color="auto"/>
        <w:bottom w:val="none" w:sz="0" w:space="0" w:color="auto"/>
        <w:right w:val="none" w:sz="0" w:space="0" w:color="auto"/>
      </w:divBdr>
    </w:div>
    <w:div w:id="2136873559">
      <w:bodyDiv w:val="1"/>
      <w:marLeft w:val="0"/>
      <w:marRight w:val="0"/>
      <w:marTop w:val="0"/>
      <w:marBottom w:val="0"/>
      <w:divBdr>
        <w:top w:val="none" w:sz="0" w:space="0" w:color="auto"/>
        <w:left w:val="none" w:sz="0" w:space="0" w:color="auto"/>
        <w:bottom w:val="none" w:sz="0" w:space="0" w:color="auto"/>
        <w:right w:val="none" w:sz="0" w:space="0" w:color="auto"/>
      </w:divBdr>
    </w:div>
    <w:div w:id="2137603976">
      <w:bodyDiv w:val="1"/>
      <w:marLeft w:val="0"/>
      <w:marRight w:val="0"/>
      <w:marTop w:val="0"/>
      <w:marBottom w:val="0"/>
      <w:divBdr>
        <w:top w:val="none" w:sz="0" w:space="0" w:color="auto"/>
        <w:left w:val="none" w:sz="0" w:space="0" w:color="auto"/>
        <w:bottom w:val="none" w:sz="0" w:space="0" w:color="auto"/>
        <w:right w:val="none" w:sz="0" w:space="0" w:color="auto"/>
      </w:divBdr>
    </w:div>
    <w:div w:id="214029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ATIMOH\Desktop\U16PY1088\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07661580123962E-2"/>
          <c:y val="0.12477718360071301"/>
          <c:w val="0.88455033135986594"/>
          <c:h val="0.8068331298159922"/>
        </c:manualLayout>
      </c:layout>
      <c:scatterChart>
        <c:scatterStyle val="lineMarker"/>
        <c:varyColors val="0"/>
        <c:ser>
          <c:idx val="0"/>
          <c:order val="0"/>
          <c:tx>
            <c:strRef>
              <c:f>Sheet1!$I$1</c:f>
              <c:strCache>
                <c:ptCount val="1"/>
                <c:pt idx="0">
                  <c:v>Temp</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1"/>
            <c:trendlineLbl>
              <c:layout>
                <c:manualLayout>
                  <c:x val="-2.2217847769028872E-3"/>
                  <c:y val="0.1890208515602216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Sheet1!$H$2:$H$45</c:f>
              <c:numCache>
                <c:formatCode>General</c:formatCode>
                <c:ptCount val="44"/>
                <c:pt idx="0">
                  <c:v>5.79</c:v>
                </c:pt>
                <c:pt idx="1">
                  <c:v>5.99</c:v>
                </c:pt>
                <c:pt idx="2">
                  <c:v>5.89</c:v>
                </c:pt>
                <c:pt idx="3">
                  <c:v>5.69</c:v>
                </c:pt>
                <c:pt idx="4">
                  <c:v>5.79</c:v>
                </c:pt>
                <c:pt idx="5">
                  <c:v>7.79</c:v>
                </c:pt>
                <c:pt idx="6">
                  <c:v>4.0999999999999996</c:v>
                </c:pt>
                <c:pt idx="7">
                  <c:v>5.3</c:v>
                </c:pt>
                <c:pt idx="8">
                  <c:v>4.8</c:v>
                </c:pt>
                <c:pt idx="9">
                  <c:v>4.3</c:v>
                </c:pt>
                <c:pt idx="10">
                  <c:v>4.4000000000000004</c:v>
                </c:pt>
                <c:pt idx="11">
                  <c:v>4.4000000000000004</c:v>
                </c:pt>
                <c:pt idx="12">
                  <c:v>4.2</c:v>
                </c:pt>
                <c:pt idx="13">
                  <c:v>3.2</c:v>
                </c:pt>
                <c:pt idx="14">
                  <c:v>3.1</c:v>
                </c:pt>
                <c:pt idx="15">
                  <c:v>3.1</c:v>
                </c:pt>
                <c:pt idx="16">
                  <c:v>3.4</c:v>
                </c:pt>
                <c:pt idx="17">
                  <c:v>2.9</c:v>
                </c:pt>
                <c:pt idx="18">
                  <c:v>3.2</c:v>
                </c:pt>
                <c:pt idx="19">
                  <c:v>1.8</c:v>
                </c:pt>
                <c:pt idx="20">
                  <c:v>3.3</c:v>
                </c:pt>
                <c:pt idx="21">
                  <c:v>2.4</c:v>
                </c:pt>
                <c:pt idx="22">
                  <c:v>2.5</c:v>
                </c:pt>
                <c:pt idx="23">
                  <c:v>2.2999999999999998</c:v>
                </c:pt>
                <c:pt idx="24">
                  <c:v>2.7</c:v>
                </c:pt>
                <c:pt idx="25">
                  <c:v>2.4</c:v>
                </c:pt>
                <c:pt idx="26">
                  <c:v>2.38</c:v>
                </c:pt>
                <c:pt idx="27">
                  <c:v>1.9</c:v>
                </c:pt>
                <c:pt idx="28">
                  <c:v>1.6</c:v>
                </c:pt>
                <c:pt idx="29">
                  <c:v>4.8</c:v>
                </c:pt>
                <c:pt idx="30">
                  <c:v>2.5</c:v>
                </c:pt>
                <c:pt idx="31">
                  <c:v>3</c:v>
                </c:pt>
                <c:pt idx="32">
                  <c:v>1.3</c:v>
                </c:pt>
                <c:pt idx="33">
                  <c:v>6.2</c:v>
                </c:pt>
                <c:pt idx="34">
                  <c:v>4.0999999999999996</c:v>
                </c:pt>
                <c:pt idx="35">
                  <c:v>2.9</c:v>
                </c:pt>
                <c:pt idx="36">
                  <c:v>4.4000000000000004</c:v>
                </c:pt>
                <c:pt idx="37">
                  <c:v>3.3</c:v>
                </c:pt>
                <c:pt idx="38">
                  <c:v>4.0999999999999996</c:v>
                </c:pt>
                <c:pt idx="39">
                  <c:v>3.9</c:v>
                </c:pt>
                <c:pt idx="40">
                  <c:v>4.2</c:v>
                </c:pt>
                <c:pt idx="41">
                  <c:v>3.4</c:v>
                </c:pt>
                <c:pt idx="42">
                  <c:v>3.7</c:v>
                </c:pt>
                <c:pt idx="43">
                  <c:v>3.48</c:v>
                </c:pt>
              </c:numCache>
            </c:numRef>
          </c:xVal>
          <c:yVal>
            <c:numRef>
              <c:f>Sheet1!$I$2:$I$45</c:f>
              <c:numCache>
                <c:formatCode>General</c:formatCode>
                <c:ptCount val="44"/>
                <c:pt idx="0">
                  <c:v>25.5</c:v>
                </c:pt>
                <c:pt idx="1">
                  <c:v>27.2</c:v>
                </c:pt>
                <c:pt idx="2">
                  <c:v>25.4</c:v>
                </c:pt>
                <c:pt idx="3">
                  <c:v>25.3</c:v>
                </c:pt>
                <c:pt idx="4">
                  <c:v>26.2</c:v>
                </c:pt>
                <c:pt idx="5">
                  <c:v>25</c:v>
                </c:pt>
                <c:pt idx="6">
                  <c:v>22.6</c:v>
                </c:pt>
                <c:pt idx="7">
                  <c:v>24.9</c:v>
                </c:pt>
                <c:pt idx="8">
                  <c:v>24.1</c:v>
                </c:pt>
                <c:pt idx="9">
                  <c:v>25.3</c:v>
                </c:pt>
                <c:pt idx="10">
                  <c:v>24.6</c:v>
                </c:pt>
                <c:pt idx="11">
                  <c:v>24.7</c:v>
                </c:pt>
                <c:pt idx="12">
                  <c:v>24.3</c:v>
                </c:pt>
                <c:pt idx="13">
                  <c:v>25</c:v>
                </c:pt>
                <c:pt idx="14">
                  <c:v>24.4</c:v>
                </c:pt>
                <c:pt idx="15">
                  <c:v>24.3</c:v>
                </c:pt>
                <c:pt idx="16">
                  <c:v>24.5</c:v>
                </c:pt>
                <c:pt idx="17">
                  <c:v>24.5</c:v>
                </c:pt>
                <c:pt idx="18">
                  <c:v>23.8</c:v>
                </c:pt>
                <c:pt idx="19">
                  <c:v>24</c:v>
                </c:pt>
                <c:pt idx="20">
                  <c:v>24.2</c:v>
                </c:pt>
                <c:pt idx="21">
                  <c:v>23.9</c:v>
                </c:pt>
                <c:pt idx="22">
                  <c:v>22.8</c:v>
                </c:pt>
                <c:pt idx="23">
                  <c:v>23.7</c:v>
                </c:pt>
                <c:pt idx="24">
                  <c:v>23</c:v>
                </c:pt>
                <c:pt idx="25">
                  <c:v>24.3</c:v>
                </c:pt>
                <c:pt idx="26">
                  <c:v>23.4</c:v>
                </c:pt>
                <c:pt idx="27">
                  <c:v>22.6</c:v>
                </c:pt>
                <c:pt idx="28">
                  <c:v>22.6</c:v>
                </c:pt>
                <c:pt idx="29">
                  <c:v>24.4</c:v>
                </c:pt>
                <c:pt idx="30">
                  <c:v>25.1</c:v>
                </c:pt>
                <c:pt idx="31">
                  <c:v>23</c:v>
                </c:pt>
                <c:pt idx="32">
                  <c:v>21.8</c:v>
                </c:pt>
                <c:pt idx="33">
                  <c:v>25.1</c:v>
                </c:pt>
                <c:pt idx="34">
                  <c:v>24.6</c:v>
                </c:pt>
                <c:pt idx="35">
                  <c:v>28.3</c:v>
                </c:pt>
                <c:pt idx="36">
                  <c:v>25.5</c:v>
                </c:pt>
                <c:pt idx="37">
                  <c:v>24.7</c:v>
                </c:pt>
                <c:pt idx="38">
                  <c:v>26.4</c:v>
                </c:pt>
                <c:pt idx="39">
                  <c:v>25</c:v>
                </c:pt>
                <c:pt idx="40">
                  <c:v>25.4</c:v>
                </c:pt>
                <c:pt idx="41">
                  <c:v>25.5</c:v>
                </c:pt>
                <c:pt idx="42">
                  <c:v>24.6</c:v>
                </c:pt>
                <c:pt idx="43">
                  <c:v>24.9</c:v>
                </c:pt>
              </c:numCache>
            </c:numRef>
          </c:yVal>
          <c:smooth val="0"/>
          <c:extLst>
            <c:ext xmlns:c16="http://schemas.microsoft.com/office/drawing/2014/chart" uri="{C3380CC4-5D6E-409C-BE32-E72D297353CC}">
              <c16:uniqueId val="{00000001-9041-4423-88C7-239A36E942D0}"/>
            </c:ext>
          </c:extLst>
        </c:ser>
        <c:dLbls>
          <c:showLegendKey val="0"/>
          <c:showVal val="0"/>
          <c:showCatName val="0"/>
          <c:showSerName val="0"/>
          <c:showPercent val="0"/>
          <c:showBubbleSize val="0"/>
        </c:dLbls>
        <c:axId val="156185728"/>
        <c:axId val="156187648"/>
      </c:scatterChart>
      <c:valAx>
        <c:axId val="15618572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n-US" sz="1400"/>
                  <a:t>DEPTH (m)</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6187648"/>
        <c:crosses val="autoZero"/>
        <c:crossBetween val="midCat"/>
      </c:valAx>
      <c:valAx>
        <c:axId val="15618764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600"/>
                  <a:t>TEMP </a:t>
                </a:r>
                <a:r>
                  <a:rPr lang="en-US" sz="1600" baseline="30000"/>
                  <a:t>(0</a:t>
                </a:r>
                <a:r>
                  <a:rPr lang="en-US" sz="1600" baseline="0"/>
                  <a:t>C</a:t>
                </a:r>
                <a:r>
                  <a:rPr lang="en-US" sz="1600" baseline="30000"/>
                  <a:t>)</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618572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Atr25</b:Tag>
    <b:SourceType>JournalArticle</b:SourceType>
    <b:Guid>{9C1F6A0F-6A74-4340-9F60-E56405A9DAA3}</b:Guid>
    <b:Author>
      <b:Author>
        <b:NameList>
          <b:Person>
            <b:Last>Atre</b:Last>
            <b:First>P</b:First>
          </b:Person>
        </b:NameList>
      </b:Author>
    </b:Author>
    <b:Title>Horizontal Drilling Powering Zero-Carbon Baseload with Geothermal</b:Title>
    <b:JournalName>Power: https://www.powermag.com/horizontal-drilling-powering-zero-carbon-baseload-with-geothermal/?utm_source=omeda&amp;utm_medium=email&amp;utm_campaign=pwrnews+eletter</b:JournalName>
    <b:Year>2025</b:Year>
    <b:RefOrder>1</b:RefOrder>
  </b:Source>
  <b:Source>
    <b:Tag>Ano11</b:Tag>
    <b:SourceType>JournalArticle</b:SourceType>
    <b:Guid>{15BC01A6-83EF-4CD3-B8FD-2A2F1BF18566}</b:Guid>
    <b:Author>
      <b:Author>
        <b:NameList>
          <b:Person>
            <b:Last>Anomoharan</b:Last>
            <b:First>O</b:First>
          </b:Person>
        </b:NameList>
      </b:Author>
    </b:Author>
    <b:Title>Determination of Geothermal Gradient and Heat Flow Distribution in Delta State, Nigeria</b:Title>
    <b:JournalName>International Journal of the Physical Science.ISSN: 1992-1950. Vol.6(31), pp.7106-7111</b:JournalName>
    <b:Year>2011</b:Year>
    <b:RefOrder>2</b:RefOrder>
  </b:Source>
  <b:Source>
    <b:Tag>Ben25</b:Tag>
    <b:SourceType>JournalArticle</b:SourceType>
    <b:Guid>{D5E15F0A-6597-4165-86F0-9ADBF6B0A1EF}</b:Guid>
    <b:Author>
      <b:Author>
        <b:NameList>
          <b:Person>
            <b:Last>Benavides</b:Last>
            <b:First>J</b:First>
          </b:Person>
          <b:Person>
            <b:Last>Aydin</b:Last>
            <b:First>H</b:First>
          </b:Person>
          <b:Person>
            <b:Last>Kabir</b:Last>
            <b:First>C</b:First>
            <b:Middle>S</b:Middle>
          </b:Person>
        </b:NameList>
      </b:Author>
    </b:Author>
    <b:Title>Ensuring Baseload Power Delivery by Complementing Two Independent Energy Sources: Solar Energy and Wellbore Closed-Loop Thermal Energy</b:Title>
    <b:JournalName>SPE J. 30 (07): 4431–4447. https://doi.org/10.2118/226183-PA</b:JournalName>
    <b:Year>2025</b:Year>
    <b:RefOrder>3</b:RefOrder>
  </b:Source>
  <b:Source>
    <b:Tag>Zub25</b:Tag>
    <b:SourceType>JournalArticle</b:SourceType>
    <b:Guid>{78387A1A-9672-4637-BF4D-BAB414885FE8}</b:Guid>
    <b:Author>
      <b:Author>
        <b:NameList>
          <b:Person>
            <b:Last>Zubair</b:Last>
            <b:First>N</b:First>
            <b:Middle>A</b:Middle>
          </b:Person>
          <b:Person>
            <b:Last>Yaro</b:Last>
            <b:First>U</b:First>
            <b:Middle>Y</b:Middle>
          </b:Person>
          <b:Person>
            <b:Last>Sarki Yandoka</b:Last>
            <b:First>B</b:First>
            <b:Middle>M</b:Middle>
          </b:Person>
          <b:Person>
            <b:Last>Mustapha</b:Last>
            <b:First>B</b:First>
            <b:Middle>A</b:Middle>
          </b:Person>
          <b:Person>
            <b:Last>Ekwo</b:Last>
            <b:First>E</b:First>
            <b:Middle>O</b:Middle>
          </b:Person>
        </b:NameList>
      </b:Author>
    </b:Author>
    <b:Title>Fractal analysis of satellite magnetic data for determination of Curie point, geothermal gradient and heat flow in some parts of Bida Basin, Niger State, Nigeria</b:Title>
    <b:JournalName>Dutse Journal of Pure and Applied Sciences, 11(1d), 303–317. https://doi.org/10.4314/dujopas.v11i1d.30</b:JournalName>
    <b:Year>2025</b:Year>
    <b:RefOrder>4</b:RefOrder>
  </b:Source>
  <b:Source>
    <b:Tag>Wen20</b:Tag>
    <b:SourceType>JournalArticle</b:SourceType>
    <b:Guid>{3B2AE1C9-7854-4577-BCD7-B14737914F4D}</b:Guid>
    <b:Author>
      <b:Author>
        <b:NameList>
          <b:Person>
            <b:Last>Wenas</b:Last>
            <b:First>D</b:First>
            <b:Middle>R</b:Middle>
          </b:Person>
          <b:Person>
            <b:Last>Tulandi</b:Last>
            <b:First>D</b:First>
            <b:Middle>A</b:Middle>
          </b:Person>
          <b:Person>
            <b:Last>Bujung</b:Last>
            <b:First>C</b:First>
            <b:Middle>A N</b:Middle>
          </b:Person>
        </b:NameList>
      </b:Author>
    </b:Author>
    <b:Title>Geothermal Gradient and Subsurface Temperature for Estimation of Geothermal Sources, Pattern and Heat Flow Directions n the Hydrothermal Area of Minahasa Indonesia</b:Title>
    <b:JournalName>Journal of Critical Reviews., ISSN-239</b:JournalName>
    <b:Year>2020</b:Year>
    <b:RefOrder>5</b:RefOrder>
  </b:Source>
  <b:Source>
    <b:Tag>Hay25</b:Tag>
    <b:SourceType>JournalArticle</b:SourceType>
    <b:Guid>{54292F36-9EC1-4C92-A620-940FE9AEA100}</b:Guid>
    <b:Author>
      <b:Author>
        <b:NameList>
          <b:Person>
            <b:Last>Hayatudeen</b:Last>
            <b:First>M</b:First>
          </b:Person>
          <b:Person>
            <b:Last>Garba</b:Last>
            <b:First>M</b:First>
            <b:Middle>A</b:Middle>
          </b:Person>
          <b:Person>
            <b:Last>Ezekiel</b:Last>
            <b:First>K</b:First>
          </b:Person>
        </b:NameList>
      </b:Author>
    </b:Author>
    <b:Title>Investigating Subsurface Thermal Regimes Using High-Resolution Aeromagnetic Data in the Upper Benue Trough, Northeastern Nigeria</b:Title>
    <b:JournalName>IJIES, Vol (12) 10. 10.35940/ijies.K1134.12101025</b:JournalName>
    <b:Year>2025</b:Year>
    <b:RefOrder>6</b:RefOrder>
  </b:Source>
  <b:Source>
    <b:Tag>Moh14</b:Tag>
    <b:SourceType>JournalArticle</b:SourceType>
    <b:Guid>{956357FE-272A-43CA-AB8A-E3D21E1D2288}</b:Guid>
    <b:Author>
      <b:Author>
        <b:NameList>
          <b:Person>
            <b:Last>Mohammed</b:Last>
            <b:First>M</b:First>
          </b:Person>
        </b:NameList>
      </b:Author>
    </b:Author>
    <b:Title>Geothermal Gradient calculation Method: A case Study of Hoffell Low-temperature Field, Se-Iceland</b:Title>
    <b:JournalName>International Reserch Journal of Geology and Mining. ISSN: 2276-6618., vol.4(6), pp.163-175</b:JournalName>
    <b:Year>2014</b:Year>
    <b:RefOrder>7</b:RefOrder>
  </b:Source>
  <b:Source>
    <b:Tag>Emu14</b:Tag>
    <b:SourceType>JournalArticle</b:SourceType>
    <b:Guid>{0ECE7701-889B-487F-A7ED-8B0194BE70CF}</b:Guid>
    <b:Author>
      <b:Author>
        <b:NameList>
          <b:Person>
            <b:Last>Emujakporue</b:Last>
            <b:First>G</b:First>
            <b:Middle>O</b:Middle>
          </b:Person>
          <b:Person>
            <b:Last>Ekine</b:Last>
            <b:First>A</b:First>
            <b:Middle>S</b:Middle>
          </b:Person>
        </b:NameList>
      </b:Author>
    </b:Author>
    <b:Title>Determination of Geothermal Gradient in the Eastern Niger Delta Sedimentary Basin from Bottom Hole Temperature</b:Title>
    <b:JournalName>Journal of Earth Sciences and Geotechnical Engineering ISSN: 1792-9040., Vol.4, pp.109-114.</b:JournalName>
    <b:Year>2014</b:Year>
    <b:RefOrder>8</b:RefOrder>
  </b:Source>
  <b:Source>
    <b:Tag>Placeholder7</b:Tag>
    <b:SourceType>JournalArticle</b:SourceType>
    <b:Guid>{8A06D2A2-0126-47DD-92FA-BE512FA916F8}</b:Guid>
    <b:Title>Aquifer vulnerability to surface contamination: a case of the new millennium city, Kaduna, Kaduna State Nigeria</b:Title>
    <b:JournalName>World Journal of Applied Physics. 2018;3(1): DOI: 10.11648/j.wjap.20180301.11</b:JournalName>
    <b:Year>2018</b:Year>
    <b:Pages>1-12</b:Pages>
    <b:Author>
      <b:Author>
        <b:NameList>
          <b:Person>
            <b:Last>Omeiza</b:Last>
            <b:First>J</b:First>
            <b:Middle>A</b:Middle>
          </b:Person>
          <b:Person>
            <b:Last>Dary</b:Last>
            <b:First>D</b:First>
          </b:Person>
        </b:NameList>
      </b:Author>
    </b:Author>
    <b:RefOrder>13</b:RefOrder>
  </b:Source>
  <b:Source>
    <b:Tag>Ala242</b:Tag>
    <b:SourceType>JournalArticle</b:SourceType>
    <b:Guid>{D960A544-CC1C-4204-930D-D200E455CB59}</b:Guid>
    <b:Title>Determination of the geophysical signature of soft-clay and hard lateritic soils and the implications on geotechnical works using electrical resistivity imaging</b:Title>
    <b:JournalName>Results in Earth Sciences, 2, 100025. https://doi.org/10.1016/j.rines.2024.100025</b:JournalName>
    <b:Year>2024</b:Year>
    <b:Author>
      <b:Author>
        <b:NameList>
          <b:Person>
            <b:Last>Alao</b:Last>
            <b:Middle>O</b:Middle>
            <b:First>J</b:First>
          </b:Person>
        </b:NameList>
      </b:Author>
    </b:Author>
    <b:RefOrder>15</b:RefOrder>
  </b:Source>
  <b:Source>
    <b:Tag>Bij20</b:Tag>
    <b:SourceType>JournalArticle</b:SourceType>
    <b:Guid>{DD07DD46-0443-4843-A044-273AD9C07A8D}</b:Guid>
    <b:Title>Understanding the Interactions between Uncaptured Landfill Plume Contaminants, Soil, Groundwater Resources, Public Health Systems, and their Implications</b:Title>
    <b:JournalName>Environmental Pollution 386, 127190. https://doi.org/10.1016/j.envpol.2025.127190</b:JournalName>
    <b:Year>2025</b:Year>
    <b:Author>
      <b:Author>
        <b:NameList>
          <b:Person>
            <b:Last>Alao</b:Last>
            <b:First>J</b:First>
            <b:Middle>O</b:Middle>
          </b:Person>
        </b:NameList>
      </b:Author>
    </b:Author>
    <b:RefOrder>19</b:RefOrder>
  </b:Source>
  <b:Source>
    <b:Tag>Ala22</b:Tag>
    <b:SourceType>JournalArticle</b:SourceType>
    <b:Guid>{9BD6F757-67CA-44E3-8842-F71D344BD46D}</b:Guid>
    <b:Title>Impacts of open dumpsite leachates on soil and groundwater quality</b:Title>
    <b:JournalName>Groundwater for Sustainable Development 20, 100877: https://doi.org/10.1016/j.gsd.2022.100877</b:JournalName>
    <b:Year>2023</b:Year>
    <b:Author>
      <b:Author>
        <b:NameList>
          <b:Person>
            <b:Last>Alao</b:Last>
            <b:Middle>O</b:Middle>
            <b:First>J</b:First>
          </b:Person>
        </b:NameList>
      </b:Author>
    </b:Author>
    <b:RefOrder>20</b:RefOrder>
  </b:Source>
  <b:Source>
    <b:Tag>Ala253</b:Tag>
    <b:SourceType>JournalArticle</b:SourceType>
    <b:Guid>{8992B6AD-5EB7-431D-9A43-5D839740438F}</b:Guid>
    <b:Title>The Emerging Roles of 3D and 4D Geophysical and Geological Modelling in Evaluating Seismic Risks: A Critical Review</b:Title>
    <b:JournalName>Earthquake Research Advances, 100399. https://doi.org/10.1016/j.eqrea.2025.100399</b:JournalName>
    <b:Year>2025b</b:Year>
    <b:Author>
      <b:Author>
        <b:NameList>
          <b:Person>
            <b:Last>Joseph</b:Last>
            <b:First>O</b:First>
            <b:Middle>A</b:Middle>
          </b:Person>
        </b:NameList>
      </b:Author>
    </b:Author>
    <b:RefOrder>16</b:RefOrder>
  </b:Source>
  <b:Source>
    <b:Tag>Abo16</b:Tag>
    <b:SourceType>JournalArticle</b:SourceType>
    <b:Guid>{91C402A8-129E-45DA-91AE-8C91335A8114}</b:Guid>
    <b:Title>Evaluation of the Geotechnical Parameters in Part of Kaduna, Kaduna State Nigeria.</b:Title>
    <b:JournalName>World Journal of Applied Science and Technology, Vol. 8 No. 2. 108 -117. ISSN: 2141 – 3290; www.wojast.com</b:JournalName>
    <b:Year>2016</b:Year>
    <b:Author>
      <b:Author>
        <b:NameList>
          <b:Person>
            <b:Last>Aboh</b:Last>
            <b:Middle>O</b:Middle>
            <b:First>H</b:First>
          </b:Person>
          <b:Person>
            <b:Last>Dogara</b:Last>
            <b:Middle>D</b:Middle>
            <b:First>M</b:First>
          </b:Person>
          <b:Person>
            <b:Last>Alao</b:Last>
            <b:Middle>O</b:Middle>
            <b:First>J</b:First>
          </b:Person>
        </b:NameList>
      </b:Author>
    </b:Author>
    <b:RefOrder>9</b:RefOrder>
  </b:Source>
  <b:Source>
    <b:Tag>Kur17</b:Tag>
    <b:SourceType>JournalArticle</b:SourceType>
    <b:Guid>{0E2D0712-0FEA-48FC-AF4F-6A89C3A2ACCB}</b:Guid>
    <b:Title>The Delineation of the Aquifer Overlying the Basement Complex within Ahmadu Bello University (Main Campus) Zaria. Department of Physics, Kaduna State University, Kaduna, Nigeria</b:Title>
    <b:JournalName>British Journal of Applied Sciences; 19(1): 1-9; DOI: 10.9734/BJAST/2016/31343</b:JournalName>
    <b:Year>2017</b:Year>
    <b:Author>
      <b:Author>
        <b:NameList>
          <b:Person>
            <b:Last>Kure</b:Last>
            <b:First>N</b:First>
          </b:Person>
          <b:Person>
            <b:Last>Aboh</b:Last>
            <b:Middle>O</b:Middle>
            <b:First>H</b:First>
          </b:Person>
          <b:Person>
            <b:Last>Jimoh</b:Last>
            <b:First>R</b:First>
          </b:Person>
          <b:Person>
            <b:Last>Alao</b:Last>
            <b:Middle>O</b:Middle>
            <b:First>J</b:First>
          </b:Person>
          <b:Person>
            <b:Last>Isaac</b:Last>
            <b:Middle>Daniel</b:Middle>
            <b:First>H</b:First>
          </b:Person>
        </b:NameList>
      </b:Author>
    </b:Author>
    <b:RefOrder>11</b:RefOrder>
  </b:Source>
  <b:Source>
    <b:Tag>Bel25</b:Tag>
    <b:SourceType>JournalArticle</b:SourceType>
    <b:Guid>{E57DE2B8-1B13-4618-9D41-3F776A891D89}</b:Guid>
    <b:Author>
      <b:Author>
        <b:NameList>
          <b:Person>
            <b:Last>Bello</b:Last>
            <b:First>Y</b:First>
            <b:Middle>A</b:Middle>
          </b:Person>
          <b:Person>
            <b:Last>Evans</b:Last>
            <b:First>S</b:First>
            <b:Middle>C</b:Middle>
          </b:Person>
          <b:Person>
            <b:Last>Lawal</b:Last>
            <b:First>H</b:First>
            <b:Middle>A</b:Middle>
          </b:Person>
          <b:Person>
            <b:Last>Alao</b:Last>
            <b:First>J</b:First>
            <b:Middle>O</b:Middle>
          </b:Person>
          <b:Person>
            <b:Last>al.</b:Last>
            <b:First>et</b:First>
          </b:Person>
        </b:NameList>
      </b:Author>
    </b:Author>
    <b:Title>Investigating hydrothermal alteration associated with gold mineralization in Birnin-Gwari through transformation of aero-radiometric data</b:Title>
    <b:JournalName>Proceedings of the Nigerian Society of Physical Sciences 2. 171. DOI:10.61298/pnspsc.2025.2.171</b:JournalName>
    <b:Year>2025</b:Year>
    <b:RefOrder>14</b:RefOrder>
  </b:Source>
  <b:Source>
    <b:Tag>Low07</b:Tag>
    <b:SourceType>Book</b:SourceType>
    <b:Guid>{7C94BF1B-6262-4CCB-AE0D-A724C055C315}</b:Guid>
    <b:Title>Fundamentals of Geophysics; second Eddition</b:Title>
    <b:Year>2007</b:Year>
    <b:City>New York</b:City>
    <b:Publisher>Cambridge University Press</b:Publisher>
    <b:Author>
      <b:Author>
        <b:NameList>
          <b:Person>
            <b:Last>Lowrie</b:Last>
            <b:First>William</b:First>
          </b:Person>
        </b:NameList>
      </b:Author>
    </b:Author>
    <b:RefOrder>18</b:RefOrder>
  </b:Source>
  <b:Source>
    <b:Tag>Tel90</b:Tag>
    <b:SourceType>JournalArticle</b:SourceType>
    <b:Guid>{B3B90FFE-6B3A-4AEF-8B72-F8C506E3256A}</b:Guid>
    <b:Title>Applied geophysics. 2nd Edn.</b:Title>
    <b:JournalName>New York; Cambridge University Press</b:JournalName>
    <b:Year>1990</b:Year>
    <b:Author>
      <b:Author>
        <b:NameList>
          <b:Person>
            <b:Last>Telford</b:Last>
            <b:Middle>M</b:Middle>
            <b:First>W</b:First>
          </b:Person>
          <b:Person>
            <b:Last>Geldart</b:Last>
            <b:Middle>P</b:Middle>
            <b:First>L</b:First>
          </b:Person>
          <b:Person>
            <b:Last>Sheriff</b:Last>
            <b:Middle>E</b:Middle>
            <b:First>E</b:First>
          </b:Person>
        </b:NameList>
      </b:Author>
    </b:Author>
    <b:RefOrder>17</b:RefOrder>
  </b:Source>
  <b:Source>
    <b:Tag>Ala244</b:Tag>
    <b:SourceType>JournalArticle</b:SourceType>
    <b:Guid>{2AC0AECA-0B29-4B20-8213-FF321F222627}</b:Guid>
    <b:Title>The Factors Influencing the Landfill Leachate Plume Contaminants in Soils, Surface and Groundwater and Associated Health Risks: A Geophysical and Geochemical View</b:Title>
    <b:JournalName>Public Health and Environment. 1 (1): 20-43. https://doi.org/10.70737/7ejde223</b:JournalName>
    <b:Year>2024</b:Year>
    <b:Author>
      <b:Author>
        <b:NameList>
          <b:Person>
            <b:Last>Alao</b:Last>
            <b:First>J</b:First>
            <b:Middle>O</b:Middle>
          </b:Person>
        </b:NameList>
      </b:Author>
    </b:Author>
    <b:RefOrder>21</b:RefOrder>
  </b:Source>
  <b:Source>
    <b:Tag>Ala</b:Tag>
    <b:SourceType>JournalArticle</b:SourceType>
    <b:Guid>{01E17F80-CF26-40F2-8AFE-BBB0D0F3630A}</b:Guid>
    <b:Title>Delineation of aquifer storage potential in response to regional groundwater development</b:Title>
    <b:JournalName>Discov Water 4, 25. https://doi.org/10.1007/s43832-024-00084-y</b:JournalName>
    <b:Author>
      <b:Author>
        <b:NameList>
          <b:Person>
            <b:Last>Joseph</b:Last>
            <b:First>O</b:First>
            <b:Middle>A</b:Middle>
          </b:Person>
          <b:Person>
            <b:Last>Lawal</b:Last>
            <b:First>H</b:First>
            <b:Middle>A</b:Middle>
          </b:Person>
          <b:Person>
            <b:Last>Abdulsalami</b:Last>
            <b:First>M.</b:First>
            <b:Middle>et al.</b:Middle>
          </b:Person>
        </b:NameList>
      </b:Author>
    </b:Author>
    <b:Year>2024</b:Year>
    <b:RefOrder>12</b:RefOrder>
  </b:Source>
  <b:Source>
    <b:Tag>Dog172</b:Tag>
    <b:SourceType>JournalArticle</b:SourceType>
    <b:Guid>{AAE40858-AF07-43D4-ADE1-7BCFA38D65CB}</b:Guid>
    <b:Title>The Aquifer Overlying the Basement Complex in Some Parts of Dan-Hono, Kaduna, Nigeria</b:Title>
    <b:JournalName>KADA Journal (1) 2, 45-52</b:JournalName>
    <b:Year>2017a</b:Year>
    <b:Author>
      <b:Author>
        <b:NameList>
          <b:Person>
            <b:Last>Dogara</b:Last>
            <b:Middle>D</b:Middle>
            <b:First>M</b:First>
          </b:Person>
          <b:Person>
            <b:Last>Aboh</b:Last>
            <b:Middle>O</b:Middle>
            <b:First>H</b:First>
          </b:Person>
          <b:Person>
            <b:Last>Alao</b:Last>
            <b:Middle>O</b:Middle>
            <b:First>J</b:First>
          </b:Person>
          <b:Person>
            <b:Last>Kogi</b:Last>
            <b:Middle>A</b:Middle>
            <b:First>K</b:First>
          </b:Person>
        </b:NameList>
      </b:Author>
    </b:Author>
    <b:RefOrder>10</b:RefOrder>
  </b:Source>
</b:Sources>
</file>

<file path=customXml/itemProps1.xml><?xml version="1.0" encoding="utf-8"?>
<ds:datastoreItem xmlns:ds="http://schemas.openxmlformats.org/officeDocument/2006/customXml" ds:itemID="{3E219B32-0263-4CF4-B4E7-F285312E4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258</TotalTime>
  <Pages>7</Pages>
  <Words>3403</Words>
  <Characters>19403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22761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34</cp:revision>
  <cp:lastPrinted>1999-07-06T11:00:00Z</cp:lastPrinted>
  <dcterms:created xsi:type="dcterms:W3CDTF">2014-10-25T14:34:00Z</dcterms:created>
  <dcterms:modified xsi:type="dcterms:W3CDTF">2026-03-12T09:02:00Z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3053471b-9fbe-4652-b583-716d0c1c1dc3</vt:lpwstr>
  </property>
</Properties>
</file>