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4F8E" w14:textId="77777777" w:rsidR="002264C5" w:rsidRDefault="002264C5" w:rsidP="002264C5">
      <w:pPr>
        <w:spacing w:after="0" w:line="240" w:lineRule="auto"/>
        <w:jc w:val="center"/>
        <w:rPr>
          <w:rFonts w:ascii="Times New Roman" w:eastAsia="Times New Roman" w:hAnsi="Times New Roman" w:cs="Times New Roman"/>
          <w:b/>
          <w:bCs/>
          <w:sz w:val="24"/>
          <w:szCs w:val="24"/>
        </w:rPr>
      </w:pPr>
      <w:r w:rsidRPr="001F4DCC">
        <w:rPr>
          <w:rFonts w:ascii="Times New Roman" w:eastAsia="Times New Roman" w:hAnsi="Times New Roman" w:cs="Times New Roman"/>
          <w:b/>
          <w:bCs/>
          <w:sz w:val="24"/>
          <w:szCs w:val="24"/>
          <w:shd w:val="clear" w:color="auto" w:fill="F7F7F8"/>
        </w:rPr>
        <w:t xml:space="preserve">LEVELS OF </w:t>
      </w:r>
      <w:r w:rsidRPr="00152CF8">
        <w:rPr>
          <w:rFonts w:ascii="Times New Roman" w:eastAsia="Times New Roman" w:hAnsi="Times New Roman" w:cs="Times New Roman"/>
          <w:b/>
          <w:bCs/>
          <w:sz w:val="24"/>
          <w:szCs w:val="24"/>
        </w:rPr>
        <w:t xml:space="preserve">PESTICIDE RESIDUES </w:t>
      </w:r>
      <w:r>
        <w:rPr>
          <w:rFonts w:ascii="Times New Roman" w:eastAsia="Times New Roman" w:hAnsi="Times New Roman" w:cs="Times New Roman"/>
          <w:b/>
          <w:bCs/>
          <w:sz w:val="24"/>
          <w:szCs w:val="24"/>
        </w:rPr>
        <w:t xml:space="preserve">AND </w:t>
      </w:r>
      <w:r w:rsidRPr="00E319B5">
        <w:rPr>
          <w:rFonts w:ascii="Times New Roman" w:eastAsia="Times New Roman" w:hAnsi="Times New Roman" w:cs="Times New Roman"/>
          <w:b/>
          <w:bCs/>
          <w:sz w:val="24"/>
          <w:szCs w:val="24"/>
        </w:rPr>
        <w:t>PHYSICOCHEMICAL PROPERTIES</w:t>
      </w:r>
      <w:r>
        <w:rPr>
          <w:rFonts w:ascii="Times New Roman" w:eastAsia="Times New Roman" w:hAnsi="Times New Roman" w:cs="Times New Roman"/>
          <w:b/>
          <w:bCs/>
          <w:sz w:val="24"/>
          <w:szCs w:val="24"/>
        </w:rPr>
        <w:t xml:space="preserve"> OF</w:t>
      </w:r>
      <w:r w:rsidRPr="00967FDF">
        <w:rPr>
          <w:rFonts w:ascii="Times New Roman" w:eastAsia="Times New Roman" w:hAnsi="Times New Roman" w:cs="Times New Roman"/>
          <w:i/>
          <w:iCs/>
          <w:sz w:val="24"/>
          <w:szCs w:val="24"/>
        </w:rPr>
        <w:t xml:space="preserve"> </w:t>
      </w:r>
      <w:r w:rsidRPr="00E54C6F">
        <w:rPr>
          <w:rFonts w:ascii="Times New Roman" w:eastAsia="Times New Roman" w:hAnsi="Times New Roman" w:cs="Times New Roman"/>
          <w:b/>
          <w:bCs/>
          <w:sz w:val="24"/>
          <w:szCs w:val="24"/>
        </w:rPr>
        <w:t>WATER</w:t>
      </w:r>
      <w:r>
        <w:rPr>
          <w:rFonts w:ascii="Times New Roman" w:eastAsia="Times New Roman" w:hAnsi="Times New Roman" w:cs="Times New Roman"/>
          <w:i/>
          <w:iCs/>
          <w:sz w:val="24"/>
          <w:szCs w:val="24"/>
        </w:rPr>
        <w:t xml:space="preserve"> </w:t>
      </w:r>
      <w:r w:rsidRPr="00152CF8">
        <w:rPr>
          <w:rFonts w:ascii="Times New Roman" w:eastAsia="Times New Roman" w:hAnsi="Times New Roman" w:cs="Times New Roman"/>
          <w:b/>
          <w:bCs/>
          <w:sz w:val="24"/>
          <w:szCs w:val="24"/>
        </w:rPr>
        <w:t>IN RIVER TARABA, TELLA</w:t>
      </w:r>
      <w:r>
        <w:rPr>
          <w:rFonts w:ascii="Times New Roman" w:eastAsia="Times New Roman" w:hAnsi="Times New Roman" w:cs="Times New Roman"/>
          <w:b/>
          <w:bCs/>
          <w:sz w:val="24"/>
          <w:szCs w:val="24"/>
        </w:rPr>
        <w:t>,</w:t>
      </w:r>
      <w:r w:rsidRPr="00152CF8">
        <w:rPr>
          <w:rFonts w:ascii="Times New Roman" w:eastAsia="Times New Roman" w:hAnsi="Times New Roman" w:cs="Times New Roman"/>
          <w:b/>
          <w:bCs/>
          <w:sz w:val="24"/>
          <w:szCs w:val="24"/>
        </w:rPr>
        <w:t xml:space="preserve"> GASSOL LOCAL GOVERNMENT AREA</w:t>
      </w:r>
      <w:r>
        <w:rPr>
          <w:rFonts w:ascii="Times New Roman" w:eastAsia="Times New Roman" w:hAnsi="Times New Roman" w:cs="Times New Roman"/>
          <w:b/>
          <w:bCs/>
          <w:sz w:val="24"/>
          <w:szCs w:val="24"/>
        </w:rPr>
        <w:t xml:space="preserve">, </w:t>
      </w:r>
      <w:r w:rsidRPr="00152CF8">
        <w:rPr>
          <w:rFonts w:ascii="Times New Roman" w:eastAsia="Times New Roman" w:hAnsi="Times New Roman" w:cs="Times New Roman"/>
          <w:b/>
          <w:bCs/>
          <w:sz w:val="24"/>
          <w:szCs w:val="24"/>
        </w:rPr>
        <w:t>TARABA STATE, NIGERIA</w:t>
      </w:r>
    </w:p>
    <w:p w14:paraId="4153054D" w14:textId="77777777" w:rsidR="002264C5" w:rsidRDefault="002264C5" w:rsidP="002264C5">
      <w:pPr>
        <w:spacing w:after="0" w:line="240" w:lineRule="auto"/>
        <w:jc w:val="center"/>
        <w:rPr>
          <w:rFonts w:ascii="Times New Roman" w:eastAsia="Times New Roman" w:hAnsi="Times New Roman" w:cs="Times New Roman"/>
          <w:b/>
          <w:bCs/>
          <w:sz w:val="24"/>
          <w:szCs w:val="24"/>
        </w:rPr>
      </w:pPr>
    </w:p>
    <w:p w14:paraId="520EA9E3" w14:textId="7D3AA67C" w:rsidR="002264C5" w:rsidRPr="00597C94" w:rsidRDefault="002264C5" w:rsidP="002264C5">
      <w:pPr>
        <w:spacing w:line="240" w:lineRule="auto"/>
        <w:rPr>
          <w:rFonts w:ascii="Times New Roman" w:eastAsia="Times New Roman" w:hAnsi="Times New Roman" w:cs="Times New Roman"/>
          <w:b/>
          <w:bCs/>
          <w:sz w:val="24"/>
          <w:szCs w:val="24"/>
        </w:rPr>
      </w:pPr>
      <w:r w:rsidRPr="00597C94">
        <w:rPr>
          <w:rFonts w:ascii="Times New Roman" w:eastAsia="Times New Roman" w:hAnsi="Times New Roman" w:cs="Times New Roman"/>
          <w:b/>
          <w:bCs/>
          <w:sz w:val="24"/>
          <w:szCs w:val="24"/>
        </w:rPr>
        <w:t>Abstract</w:t>
      </w:r>
    </w:p>
    <w:p w14:paraId="179852E4" w14:textId="24A17188" w:rsidR="002264C5" w:rsidRDefault="002264C5" w:rsidP="002264C5">
      <w:pPr>
        <w:spacing w:after="0" w:line="240" w:lineRule="auto"/>
        <w:jc w:val="both"/>
        <w:rPr>
          <w:rFonts w:ascii="Times New Roman" w:eastAsia="Times New Roman" w:hAnsi="Times New Roman" w:cs="Times New Roman"/>
          <w:i/>
          <w:iCs/>
          <w:sz w:val="24"/>
          <w:szCs w:val="24"/>
        </w:rPr>
      </w:pPr>
      <w:r w:rsidRPr="00967FDF">
        <w:rPr>
          <w:rFonts w:ascii="Times New Roman" w:eastAsia="Times New Roman" w:hAnsi="Times New Roman" w:cs="Times New Roman"/>
          <w:i/>
          <w:iCs/>
          <w:sz w:val="24"/>
          <w:szCs w:val="24"/>
        </w:rPr>
        <w:t xml:space="preserve">This study assessed the physicochemical properties and pesticide residues in water samples collected from six sampling stations (A–F) in </w:t>
      </w:r>
      <w:proofErr w:type="spellStart"/>
      <w:r w:rsidRPr="00967FDF">
        <w:rPr>
          <w:rFonts w:ascii="Times New Roman" w:eastAsia="Times New Roman" w:hAnsi="Times New Roman" w:cs="Times New Roman"/>
          <w:i/>
          <w:iCs/>
          <w:sz w:val="24"/>
          <w:szCs w:val="24"/>
        </w:rPr>
        <w:t>Tella</w:t>
      </w:r>
      <w:proofErr w:type="spellEnd"/>
      <w:r w:rsidRPr="00967FDF">
        <w:rPr>
          <w:rFonts w:ascii="Times New Roman" w:eastAsia="Times New Roman" w:hAnsi="Times New Roman" w:cs="Times New Roman"/>
          <w:i/>
          <w:iCs/>
          <w:sz w:val="24"/>
          <w:szCs w:val="24"/>
        </w:rPr>
        <w:t xml:space="preserve">, </w:t>
      </w:r>
      <w:proofErr w:type="spellStart"/>
      <w:r w:rsidRPr="00967FDF">
        <w:rPr>
          <w:rFonts w:ascii="Times New Roman" w:eastAsia="Times New Roman" w:hAnsi="Times New Roman" w:cs="Times New Roman"/>
          <w:i/>
          <w:iCs/>
          <w:sz w:val="24"/>
          <w:szCs w:val="24"/>
        </w:rPr>
        <w:t>Gassol</w:t>
      </w:r>
      <w:proofErr w:type="spellEnd"/>
      <w:r w:rsidRPr="00967FDF">
        <w:rPr>
          <w:rFonts w:ascii="Times New Roman" w:eastAsia="Times New Roman" w:hAnsi="Times New Roman" w:cs="Times New Roman"/>
          <w:i/>
          <w:iCs/>
          <w:sz w:val="24"/>
          <w:szCs w:val="24"/>
        </w:rPr>
        <w:t xml:space="preserve"> L.G.A Taraba State to determine their safety based on World Health Organization (WHO) and Standards Organization of Nigeria (SON) guidelines. Parameters analyzed included pH, Total Dissolved Solids (TDS), Electrical Conductivity (EC), Biological Oxygen Demand (BOD), and Dissolved Oxygen (DO)</w:t>
      </w:r>
      <w:r w:rsidR="00F06C53">
        <w:rPr>
          <w:rFonts w:ascii="Times New Roman" w:eastAsia="Times New Roman" w:hAnsi="Times New Roman" w:cs="Times New Roman"/>
          <w:i/>
          <w:iCs/>
          <w:sz w:val="24"/>
          <w:szCs w:val="24"/>
        </w:rPr>
        <w:t xml:space="preserve"> </w:t>
      </w:r>
      <w:r w:rsidR="00F06C53" w:rsidRPr="00F06C53">
        <w:rPr>
          <w:rFonts w:ascii="Times New Roman" w:eastAsia="Times New Roman" w:hAnsi="Times New Roman" w:cs="Times New Roman"/>
          <w:i/>
          <w:iCs/>
          <w:sz w:val="24"/>
          <w:szCs w:val="24"/>
          <w:highlight w:val="yellow"/>
        </w:rPr>
        <w:t xml:space="preserve">using standard </w:t>
      </w:r>
      <w:r w:rsidR="00BF3ED9">
        <w:rPr>
          <w:rFonts w:ascii="Times New Roman" w:eastAsia="Times New Roman" w:hAnsi="Times New Roman" w:cs="Times New Roman"/>
          <w:i/>
          <w:iCs/>
          <w:sz w:val="24"/>
          <w:szCs w:val="24"/>
          <w:highlight w:val="yellow"/>
        </w:rPr>
        <w:t>analytical</w:t>
      </w:r>
      <w:r w:rsidR="00F06C53" w:rsidRPr="00F06C53">
        <w:rPr>
          <w:rFonts w:ascii="Times New Roman" w:eastAsia="Times New Roman" w:hAnsi="Times New Roman" w:cs="Times New Roman"/>
          <w:i/>
          <w:iCs/>
          <w:sz w:val="24"/>
          <w:szCs w:val="24"/>
          <w:highlight w:val="yellow"/>
        </w:rPr>
        <w:t xml:space="preserve"> procedures</w:t>
      </w:r>
      <w:r w:rsidRPr="00967FDF">
        <w:rPr>
          <w:rFonts w:ascii="Times New Roman" w:eastAsia="Times New Roman" w:hAnsi="Times New Roman" w:cs="Times New Roman"/>
          <w:i/>
          <w:iCs/>
          <w:sz w:val="24"/>
          <w:szCs w:val="24"/>
        </w:rPr>
        <w:t>.</w:t>
      </w:r>
      <w:r w:rsidR="00F06C53">
        <w:rPr>
          <w:rFonts w:ascii="Times New Roman" w:eastAsia="Times New Roman" w:hAnsi="Times New Roman" w:cs="Times New Roman"/>
          <w:i/>
          <w:iCs/>
          <w:sz w:val="24"/>
          <w:szCs w:val="24"/>
        </w:rPr>
        <w:t xml:space="preserve"> </w:t>
      </w:r>
      <w:r w:rsidR="00C93ADA" w:rsidRPr="00F06C53">
        <w:rPr>
          <w:rFonts w:ascii="Times New Roman" w:eastAsia="Times New Roman" w:hAnsi="Times New Roman" w:cs="Times New Roman"/>
          <w:i/>
          <w:iCs/>
          <w:sz w:val="24"/>
          <w:szCs w:val="24"/>
          <w:highlight w:val="yellow"/>
        </w:rPr>
        <w:t>GC</w:t>
      </w:r>
      <w:r w:rsidR="00F06C53" w:rsidRPr="00F06C53">
        <w:rPr>
          <w:rFonts w:ascii="Times New Roman" w:eastAsia="Times New Roman" w:hAnsi="Times New Roman" w:cs="Times New Roman"/>
          <w:i/>
          <w:iCs/>
          <w:sz w:val="24"/>
          <w:szCs w:val="24"/>
          <w:highlight w:val="yellow"/>
        </w:rPr>
        <w:t>_</w:t>
      </w:r>
      <w:r w:rsidR="00C93ADA" w:rsidRPr="00F06C53">
        <w:rPr>
          <w:rFonts w:ascii="Times New Roman" w:eastAsia="Times New Roman" w:hAnsi="Times New Roman" w:cs="Times New Roman"/>
          <w:i/>
          <w:iCs/>
          <w:sz w:val="24"/>
          <w:szCs w:val="24"/>
          <w:highlight w:val="yellow"/>
        </w:rPr>
        <w:t>MS was used for the determination of pesticides concentration</w:t>
      </w:r>
      <w:r w:rsidR="00C93ADA">
        <w:rPr>
          <w:rFonts w:ascii="Times New Roman" w:eastAsia="Times New Roman" w:hAnsi="Times New Roman" w:cs="Times New Roman"/>
          <w:i/>
          <w:iCs/>
          <w:sz w:val="24"/>
          <w:szCs w:val="24"/>
        </w:rPr>
        <w:t>.</w:t>
      </w:r>
      <w:r w:rsidRPr="00967FDF">
        <w:rPr>
          <w:rFonts w:ascii="Times New Roman" w:eastAsia="Times New Roman" w:hAnsi="Times New Roman" w:cs="Times New Roman"/>
          <w:i/>
          <w:iCs/>
          <w:sz w:val="24"/>
          <w:szCs w:val="24"/>
        </w:rPr>
        <w:t xml:space="preserve"> The pH value at all stations was 8.80, slightly exceeding the recommended range (6.50–8.50), indicating potential alkalinity. TDS and EC levels were within acceptable limits, ranging from 53.00–56.00 mg/L and 108.00–112.00 </w:t>
      </w:r>
      <w:proofErr w:type="spellStart"/>
      <w:r w:rsidRPr="00967FDF">
        <w:rPr>
          <w:rFonts w:ascii="Times New Roman" w:eastAsia="Times New Roman" w:hAnsi="Times New Roman" w:cs="Times New Roman"/>
          <w:i/>
          <w:iCs/>
          <w:sz w:val="24"/>
          <w:szCs w:val="24"/>
        </w:rPr>
        <w:t>μS</w:t>
      </w:r>
      <w:proofErr w:type="spellEnd"/>
      <w:r w:rsidRPr="00967FDF">
        <w:rPr>
          <w:rFonts w:ascii="Times New Roman" w:eastAsia="Times New Roman" w:hAnsi="Times New Roman" w:cs="Times New Roman"/>
          <w:i/>
          <w:iCs/>
          <w:sz w:val="24"/>
          <w:szCs w:val="24"/>
        </w:rPr>
        <w:t>/cm respectively, reflecting low mineral content and acceptable conductivity.</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BOD ranged from 1.03 to 4.33 mg/L, with Station E exceeding the SON limit (3.00 mg/L) but still within WHO’s acceptable range (5.00 mg/L). DO values (1.52–4.60 mg/L) were below the minimum 5.00 mg/L threshold in all stations, suggesting reduced oxygen availability for aquatic life.</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 xml:space="preserve">Pesticide residue analysis revealed the non-detection of several organochlorines including DDT, DDE, DDD, Endrin, Heptachlor, and Heptachlor epoxide, indicating limited contamination from these compounds. However, Aldrin was detected at extremely high levels (38.17–1050 </w:t>
      </w:r>
      <w:proofErr w:type="spellStart"/>
      <w:r w:rsidRPr="00967FDF">
        <w:rPr>
          <w:rFonts w:ascii="Times New Roman" w:eastAsia="Times New Roman" w:hAnsi="Times New Roman" w:cs="Times New Roman"/>
          <w:i/>
          <w:iCs/>
          <w:sz w:val="24"/>
          <w:szCs w:val="24"/>
        </w:rPr>
        <w:t>μg</w:t>
      </w:r>
      <w:proofErr w:type="spellEnd"/>
      <w:r w:rsidRPr="00967FDF">
        <w:rPr>
          <w:rFonts w:ascii="Times New Roman" w:eastAsia="Times New Roman" w:hAnsi="Times New Roman" w:cs="Times New Roman"/>
          <w:i/>
          <w:iCs/>
          <w:sz w:val="24"/>
          <w:szCs w:val="24"/>
        </w:rPr>
        <w:t>/L), far</w:t>
      </w:r>
      <w:r w:rsidR="00FE5690">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 xml:space="preserve">exceeding the WHO permissible limit of 0.001 </w:t>
      </w:r>
      <w:proofErr w:type="spellStart"/>
      <w:r w:rsidRPr="00967FDF">
        <w:rPr>
          <w:rFonts w:ascii="Times New Roman" w:eastAsia="Times New Roman" w:hAnsi="Times New Roman" w:cs="Times New Roman"/>
          <w:i/>
          <w:iCs/>
          <w:sz w:val="24"/>
          <w:szCs w:val="24"/>
        </w:rPr>
        <w:t>μg</w:t>
      </w:r>
      <w:proofErr w:type="spellEnd"/>
      <w:r w:rsidRPr="00967FDF">
        <w:rPr>
          <w:rFonts w:ascii="Times New Roman" w:eastAsia="Times New Roman" w:hAnsi="Times New Roman" w:cs="Times New Roman"/>
          <w:i/>
          <w:iCs/>
          <w:sz w:val="24"/>
          <w:szCs w:val="24"/>
        </w:rPr>
        <w:t>/</w:t>
      </w:r>
      <w:proofErr w:type="spellStart"/>
      <w:r w:rsidRPr="00967FDF">
        <w:rPr>
          <w:rFonts w:ascii="Times New Roman" w:eastAsia="Times New Roman" w:hAnsi="Times New Roman" w:cs="Times New Roman"/>
          <w:i/>
          <w:iCs/>
          <w:sz w:val="24"/>
          <w:szCs w:val="24"/>
        </w:rPr>
        <w:t>mL.</w:t>
      </w:r>
      <w:proofErr w:type="spellEnd"/>
      <w:r w:rsidRPr="00967FDF">
        <w:rPr>
          <w:rFonts w:ascii="Times New Roman" w:eastAsia="Times New Roman" w:hAnsi="Times New Roman" w:cs="Times New Roman"/>
          <w:i/>
          <w:iCs/>
          <w:sz w:val="24"/>
          <w:szCs w:val="24"/>
        </w:rPr>
        <w:t xml:space="preserve"> Dieldrin was also detected at 90 </w:t>
      </w:r>
      <w:proofErr w:type="spellStart"/>
      <w:r w:rsidRPr="00967FDF">
        <w:rPr>
          <w:rFonts w:ascii="Times New Roman" w:eastAsia="Times New Roman" w:hAnsi="Times New Roman" w:cs="Times New Roman"/>
          <w:i/>
          <w:iCs/>
          <w:sz w:val="24"/>
          <w:szCs w:val="24"/>
        </w:rPr>
        <w:t>μg</w:t>
      </w:r>
      <w:proofErr w:type="spellEnd"/>
      <w:r w:rsidRPr="00967FDF">
        <w:rPr>
          <w:rFonts w:ascii="Times New Roman" w:eastAsia="Times New Roman" w:hAnsi="Times New Roman" w:cs="Times New Roman"/>
          <w:i/>
          <w:iCs/>
          <w:sz w:val="24"/>
          <w:szCs w:val="24"/>
        </w:rPr>
        <w:t xml:space="preserve">/L in Station E, above the allowed limit of 0.07 </w:t>
      </w:r>
      <w:proofErr w:type="spellStart"/>
      <w:r w:rsidRPr="00967FDF">
        <w:rPr>
          <w:rFonts w:ascii="Times New Roman" w:eastAsia="Times New Roman" w:hAnsi="Times New Roman" w:cs="Times New Roman"/>
          <w:i/>
          <w:iCs/>
          <w:sz w:val="24"/>
          <w:szCs w:val="24"/>
        </w:rPr>
        <w:t>μg</w:t>
      </w:r>
      <w:proofErr w:type="spellEnd"/>
      <w:r w:rsidRPr="00967FDF">
        <w:rPr>
          <w:rFonts w:ascii="Times New Roman" w:eastAsia="Times New Roman" w:hAnsi="Times New Roman" w:cs="Times New Roman"/>
          <w:i/>
          <w:iCs/>
          <w:sz w:val="24"/>
          <w:szCs w:val="24"/>
        </w:rPr>
        <w:t>/L.</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Despite relatively good physicochemical quality, the detection of hazardous pesticide residues renders the water unsafe for domestic or ecological use. Regular monitoring and stricter pesticide regulation are essential to protect public health and the environment.</w:t>
      </w:r>
    </w:p>
    <w:p w14:paraId="49B0BE1C" w14:textId="5FDABCB1" w:rsidR="002264C5" w:rsidRPr="00412A98" w:rsidRDefault="002264C5" w:rsidP="002264C5">
      <w:pPr>
        <w:spacing w:after="0" w:line="240" w:lineRule="auto"/>
        <w:jc w:val="both"/>
        <w:rPr>
          <w:rFonts w:ascii="Times New Roman" w:eastAsia="Times New Roman" w:hAnsi="Times New Roman" w:cs="Times New Roman"/>
          <w:i/>
          <w:iCs/>
          <w:sz w:val="24"/>
          <w:szCs w:val="24"/>
        </w:rPr>
      </w:pPr>
      <w:r w:rsidRPr="00412A98">
        <w:rPr>
          <w:rFonts w:ascii="Times New Roman" w:eastAsia="Times New Roman" w:hAnsi="Times New Roman" w:cs="Times New Roman"/>
          <w:b/>
          <w:bCs/>
          <w:i/>
          <w:iCs/>
          <w:sz w:val="24"/>
          <w:szCs w:val="24"/>
        </w:rPr>
        <w:t>Key word</w:t>
      </w:r>
      <w:r>
        <w:rPr>
          <w:rFonts w:ascii="Times New Roman" w:eastAsia="Times New Roman" w:hAnsi="Times New Roman" w:cs="Times New Roman"/>
          <w:i/>
          <w:iCs/>
          <w:sz w:val="24"/>
          <w:szCs w:val="24"/>
        </w:rPr>
        <w:t>s: Pesticides, Residues, Physicochemical properties</w:t>
      </w:r>
      <w:r w:rsidR="00EF69FF">
        <w:rPr>
          <w:rFonts w:ascii="Times New Roman" w:eastAsia="Times New Roman" w:hAnsi="Times New Roman" w:cs="Times New Roman"/>
          <w:i/>
          <w:iCs/>
          <w:sz w:val="24"/>
          <w:szCs w:val="24"/>
        </w:rPr>
        <w:t xml:space="preserve">, </w:t>
      </w:r>
      <w:r w:rsidR="00EF69FF" w:rsidRPr="00F06C53">
        <w:rPr>
          <w:rFonts w:ascii="Times New Roman" w:eastAsia="Times New Roman" w:hAnsi="Times New Roman" w:cs="Times New Roman"/>
          <w:i/>
          <w:iCs/>
          <w:sz w:val="24"/>
          <w:szCs w:val="24"/>
          <w:highlight w:val="yellow"/>
        </w:rPr>
        <w:t>River Taraba</w:t>
      </w:r>
    </w:p>
    <w:p w14:paraId="1C7A0460" w14:textId="77777777" w:rsidR="002264C5" w:rsidRDefault="002264C5" w:rsidP="002264C5">
      <w:pPr>
        <w:spacing w:after="0" w:line="360" w:lineRule="auto"/>
        <w:jc w:val="both"/>
        <w:rPr>
          <w:rFonts w:ascii="Times New Roman" w:eastAsia="Times New Roman" w:hAnsi="Times New Roman" w:cs="Times New Roman"/>
          <w:sz w:val="24"/>
          <w:szCs w:val="24"/>
        </w:rPr>
      </w:pPr>
    </w:p>
    <w:p w14:paraId="1006A64D" w14:textId="77777777" w:rsidR="002264C5" w:rsidRPr="00967FDF" w:rsidRDefault="002264C5" w:rsidP="002264C5">
      <w:pPr>
        <w:spacing w:after="0" w:line="360" w:lineRule="auto"/>
        <w:jc w:val="both"/>
        <w:rPr>
          <w:rFonts w:ascii="Times New Roman" w:eastAsia="Times New Roman" w:hAnsi="Times New Roman" w:cs="Times New Roman"/>
          <w:sz w:val="24"/>
          <w:szCs w:val="24"/>
        </w:rPr>
        <w:sectPr w:rsidR="002264C5" w:rsidRPr="00967FDF" w:rsidSect="002264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6A26A020" w14:textId="77777777" w:rsidR="002264C5" w:rsidRPr="00152CF8" w:rsidRDefault="002264C5" w:rsidP="002264C5">
      <w:pPr>
        <w:spacing w:after="0" w:line="360" w:lineRule="auto"/>
        <w:ind w:left="-170" w:right="-170"/>
        <w:jc w:val="both"/>
        <w:rPr>
          <w:rFonts w:ascii="Times New Roman" w:eastAsia="Times New Roman" w:hAnsi="Times New Roman" w:cs="Times New Roman"/>
          <w:b/>
          <w:bCs/>
          <w:sz w:val="24"/>
          <w:szCs w:val="24"/>
        </w:rPr>
      </w:pPr>
      <w:r w:rsidRPr="00152CF8">
        <w:rPr>
          <w:rFonts w:ascii="Times New Roman" w:eastAsia="Times New Roman" w:hAnsi="Times New Roman" w:cs="Times New Roman"/>
          <w:b/>
          <w:bCs/>
          <w:sz w:val="24"/>
          <w:szCs w:val="24"/>
        </w:rPr>
        <w:t>1. Introduction</w:t>
      </w:r>
    </w:p>
    <w:p w14:paraId="66D9E8C1" w14:textId="1542DF73" w:rsidR="002264C5" w:rsidRPr="00502829" w:rsidRDefault="00A11F88" w:rsidP="002264C5">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Research on environmental components—encompassing food, water, air, and waste—is a fundamental aspect of public health preventive strategies. Such investigations aim to identify, monitor, and mitigate environmental risks in order to protect and promote the health of populations. By understanding how these environmental factors influence disease occurrence and overall well-being, public health interventions can be designed to prevent illness, reduce exposure to hazards, and ensure the sustainable management of essential resources for community health</w:t>
      </w:r>
      <w:r>
        <w:rPr>
          <w:rFonts w:ascii="Times New Roman" w:eastAsia="Times New Roman" w:hAnsi="Times New Roman" w:cs="Times New Roman"/>
          <w:sz w:val="24"/>
          <w:szCs w:val="24"/>
        </w:rPr>
        <w:t xml:space="preserve"> </w:t>
      </w:r>
      <w:r w:rsidR="002264C5">
        <w:rPr>
          <w:rFonts w:ascii="Times New Roman" w:eastAsia="Times New Roman" w:hAnsi="Times New Roman" w:cs="Times New Roman"/>
          <w:sz w:val="24"/>
          <w:szCs w:val="24"/>
        </w:rPr>
        <w:t>(</w:t>
      </w:r>
      <w:proofErr w:type="spellStart"/>
      <w:r w:rsidR="002264C5" w:rsidRPr="00502829">
        <w:rPr>
          <w:rFonts w:ascii="Times New Roman" w:eastAsia="Times New Roman" w:hAnsi="Times New Roman" w:cs="Times New Roman"/>
          <w:sz w:val="24"/>
          <w:szCs w:val="24"/>
        </w:rPr>
        <w:t>Abera</w:t>
      </w:r>
      <w:proofErr w:type="spellEnd"/>
      <w:r w:rsidR="002264C5" w:rsidRPr="00502829">
        <w:rPr>
          <w:rFonts w:ascii="Times New Roman" w:eastAsia="Times New Roman" w:hAnsi="Times New Roman" w:cs="Times New Roman"/>
          <w:sz w:val="24"/>
          <w:szCs w:val="24"/>
        </w:rPr>
        <w:t>,</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r w:rsidRPr="00A11F88">
        <w:rPr>
          <w:rFonts w:ascii="Times New Roman" w:eastAsia="Times New Roman" w:hAnsi="Times New Roman" w:cs="Times New Roman"/>
          <w:sz w:val="24"/>
          <w:szCs w:val="24"/>
        </w:rPr>
        <w:t xml:space="preserve">Both the quality and quantity of water supplied to the public are critical determinants of population health. Ensuring safe and adequate water provision is a fundamental public health responsibility. The monitoring of environmental factors that influence health, including water quality, constitutes an obligation of the state. In order to safeguard the integrity and independence of public health practice, such monitoring and related preventive activities should be financed through public budgets. This </w:t>
      </w:r>
      <w:r w:rsidRPr="00A11F88">
        <w:rPr>
          <w:rFonts w:ascii="Times New Roman" w:eastAsia="Times New Roman" w:hAnsi="Times New Roman" w:cs="Times New Roman"/>
          <w:sz w:val="24"/>
          <w:szCs w:val="24"/>
        </w:rPr>
        <w:lastRenderedPageBreak/>
        <w:t xml:space="preserve">approach enables health professionals to operate without undue influence, ensuring that decisions and interventions </w:t>
      </w:r>
      <w:proofErr w:type="spellStart"/>
      <w:r w:rsidRPr="00A11F88">
        <w:rPr>
          <w:rFonts w:ascii="Times New Roman" w:eastAsia="Times New Roman" w:hAnsi="Times New Roman" w:cs="Times New Roman"/>
          <w:sz w:val="24"/>
          <w:szCs w:val="24"/>
        </w:rPr>
        <w:t>prioritise</w:t>
      </w:r>
      <w:proofErr w:type="spellEnd"/>
      <w:r w:rsidRPr="00A11F88">
        <w:rPr>
          <w:rFonts w:ascii="Times New Roman" w:eastAsia="Times New Roman" w:hAnsi="Times New Roman" w:cs="Times New Roman"/>
          <w:sz w:val="24"/>
          <w:szCs w:val="24"/>
        </w:rPr>
        <w:t xml:space="preserve"> the health and well-being of the population</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shd w:val="clear" w:color="auto" w:fill="FFFFFF"/>
        </w:rPr>
        <w:t>Al-Bahry</w:t>
      </w:r>
      <w:r w:rsidR="002264C5">
        <w:rPr>
          <w:rFonts w:ascii="Times New Roman" w:eastAsia="Times New Roman" w:hAnsi="Times New Roman" w:cs="Times New Roman"/>
          <w:sz w:val="24"/>
          <w:szCs w:val="24"/>
          <w:shd w:val="clear" w:color="auto" w:fill="FFFFFF"/>
        </w:rPr>
        <w:t>, 2011)</w:t>
      </w:r>
      <w:r w:rsidR="002264C5" w:rsidRPr="00502829">
        <w:rPr>
          <w:rFonts w:ascii="Times New Roman" w:eastAsia="Times New Roman" w:hAnsi="Times New Roman" w:cs="Times New Roman"/>
          <w:sz w:val="24"/>
          <w:szCs w:val="24"/>
        </w:rPr>
        <w:t xml:space="preserve">. </w:t>
      </w:r>
      <w:r w:rsidRPr="00A11F88">
        <w:rPr>
          <w:rFonts w:ascii="Times New Roman" w:eastAsia="Times New Roman" w:hAnsi="Times New Roman" w:cs="Times New Roman"/>
          <w:sz w:val="24"/>
          <w:szCs w:val="24"/>
        </w:rPr>
        <w:t>Water is one of the most essential natural resources, indispensable for the survival of all living organisms. Both its quality and its availability in the public supply are critical for safeguarding public health. Safe and sufficient water supports fundamental physiological functions, prevents the spread of waterborne diseases, and underpins overall community well-being, making its management a central concern of public health practice</w:t>
      </w:r>
      <w:r w:rsidR="002264C5">
        <w:rPr>
          <w:rFonts w:ascii="Times New Roman" w:eastAsia="Times New Roman" w:hAnsi="Times New Roman" w:cs="Times New Roman"/>
          <w:sz w:val="24"/>
          <w:szCs w:val="24"/>
        </w:rPr>
        <w:t xml:space="preserve"> (</w:t>
      </w:r>
      <w:proofErr w:type="spellStart"/>
      <w:r w:rsidR="002264C5" w:rsidRPr="00502829">
        <w:rPr>
          <w:rFonts w:ascii="Times New Roman" w:eastAsia="Times New Roman" w:hAnsi="Times New Roman" w:cs="Times New Roman"/>
          <w:sz w:val="24"/>
          <w:szCs w:val="24"/>
        </w:rPr>
        <w:t>Ayeloja</w:t>
      </w:r>
      <w:proofErr w:type="spellEnd"/>
      <w:r w:rsidR="002264C5">
        <w:rPr>
          <w:rFonts w:ascii="Times New Roman" w:eastAsia="Times New Roman" w:hAnsi="Times New Roman" w:cs="Times New Roman"/>
          <w:sz w:val="24"/>
          <w:szCs w:val="24"/>
        </w:rPr>
        <w:t xml:space="preserve"> </w:t>
      </w:r>
      <w:r w:rsidR="002264C5">
        <w:rPr>
          <w:rFonts w:ascii="Times New Roman" w:eastAsia="Times New Roman" w:hAnsi="Times New Roman" w:cs="Times New Roman"/>
          <w:i/>
          <w:iCs/>
          <w:sz w:val="24"/>
          <w:szCs w:val="24"/>
        </w:rPr>
        <w:t xml:space="preserve">et al. </w:t>
      </w:r>
      <w:r w:rsidR="002264C5">
        <w:rPr>
          <w:rFonts w:ascii="Times New Roman" w:eastAsia="Times New Roman" w:hAnsi="Times New Roman" w:cs="Times New Roman"/>
          <w:sz w:val="24"/>
          <w:szCs w:val="24"/>
        </w:rPr>
        <w:t>2014).</w:t>
      </w:r>
      <w:r w:rsidR="002264C5" w:rsidRPr="00502829">
        <w:rPr>
          <w:rFonts w:ascii="Times New Roman" w:eastAsia="Times New Roman" w:hAnsi="Times New Roman" w:cs="Times New Roman"/>
          <w:sz w:val="24"/>
          <w:szCs w:val="24"/>
        </w:rPr>
        <w:t xml:space="preserve"> </w:t>
      </w:r>
      <w:r w:rsidRPr="00A11F88">
        <w:rPr>
          <w:rFonts w:ascii="Times New Roman" w:eastAsia="Times New Roman" w:hAnsi="Times New Roman" w:cs="Times New Roman"/>
          <w:sz w:val="24"/>
          <w:szCs w:val="24"/>
        </w:rPr>
        <w:t xml:space="preserve">Fouling is defined as the unwanted accumulation of materials on the surfaces of drinking water distribution systems. This phenomenon can impair water quality, reduce system efficiency, and create </w:t>
      </w:r>
      <w:proofErr w:type="spellStart"/>
      <w:r w:rsidRPr="00A11F88">
        <w:rPr>
          <w:rFonts w:ascii="Times New Roman" w:eastAsia="Times New Roman" w:hAnsi="Times New Roman" w:cs="Times New Roman"/>
          <w:sz w:val="24"/>
          <w:szCs w:val="24"/>
        </w:rPr>
        <w:t>favourable</w:t>
      </w:r>
      <w:proofErr w:type="spellEnd"/>
      <w:r w:rsidRPr="00A11F88">
        <w:rPr>
          <w:rFonts w:ascii="Times New Roman" w:eastAsia="Times New Roman" w:hAnsi="Times New Roman" w:cs="Times New Roman"/>
          <w:sz w:val="24"/>
          <w:szCs w:val="24"/>
        </w:rPr>
        <w:t xml:space="preserve"> conditions for microbial growth, thereby posing challenges to the safe delivery of potable water</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rPr>
        <w:t>Chau</w:t>
      </w:r>
      <w:r w:rsidR="002264C5">
        <w:rPr>
          <w:rFonts w:ascii="Times New Roman" w:eastAsia="Times New Roman" w:hAnsi="Times New Roman" w:cs="Times New Roman"/>
          <w:sz w:val="24"/>
          <w:szCs w:val="24"/>
        </w:rPr>
        <w:t xml:space="preserve">, 2015). </w:t>
      </w:r>
      <w:r w:rsidRPr="00A11F88">
        <w:rPr>
          <w:rFonts w:ascii="Times New Roman" w:eastAsia="Times New Roman" w:hAnsi="Times New Roman" w:cs="Times New Roman"/>
          <w:sz w:val="24"/>
          <w:szCs w:val="24"/>
        </w:rPr>
        <w:t>The need to control pest populations and enhance food production has rendered the use of pesticides in agriculture virtually unavoidable. While these chemicals contribute significantly to crop protection and yield improvement, their widespread application also raises concerns regarding environmental contamination, human health risks, and the sustainability of agricultural practices</w:t>
      </w:r>
      <w:r w:rsidR="002264C5" w:rsidRPr="00502829">
        <w:rPr>
          <w:rFonts w:ascii="Times New Roman" w:eastAsia="Times New Roman" w:hAnsi="Times New Roman" w:cs="Times New Roman"/>
          <w:sz w:val="24"/>
          <w:szCs w:val="24"/>
        </w:rPr>
        <w:t xml:space="preserve"> </w:t>
      </w:r>
      <w:r w:rsidR="002264C5">
        <w:rPr>
          <w:rFonts w:ascii="Times New Roman" w:eastAsia="Times New Roman" w:hAnsi="Times New Roman" w:cs="Times New Roman"/>
          <w:sz w:val="24"/>
          <w:szCs w:val="24"/>
        </w:rPr>
        <w:t>(</w:t>
      </w:r>
      <w:r w:rsidR="002264C5" w:rsidRPr="00502829">
        <w:rPr>
          <w:rFonts w:ascii="Times New Roman" w:eastAsia="Times New Roman" w:hAnsi="Times New Roman" w:cs="Times New Roman"/>
          <w:sz w:val="24"/>
          <w:szCs w:val="24"/>
        </w:rPr>
        <w:t xml:space="preserve">Akoto </w:t>
      </w:r>
      <w:r w:rsidR="002264C5" w:rsidRPr="00502829">
        <w:rPr>
          <w:rFonts w:ascii="Times New Roman" w:eastAsia="Times New Roman" w:hAnsi="Times New Roman" w:cs="Times New Roman"/>
          <w:i/>
          <w:sz w:val="24"/>
          <w:szCs w:val="24"/>
        </w:rPr>
        <w:t>et al.,</w:t>
      </w:r>
      <w:r w:rsidR="002264C5" w:rsidRPr="00502829">
        <w:rPr>
          <w:rFonts w:ascii="Times New Roman" w:eastAsia="Times New Roman" w:hAnsi="Times New Roman" w:cs="Times New Roman"/>
          <w:sz w:val="24"/>
          <w:szCs w:val="24"/>
        </w:rPr>
        <w:t xml:space="preserve"> 2013).</w:t>
      </w:r>
    </w:p>
    <w:p w14:paraId="50C31AFD" w14:textId="0E2B08D2" w:rsidR="002264C5" w:rsidRPr="00502829" w:rsidRDefault="00A11F88" w:rsidP="002264C5">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Pesticides encompass a range of chemical agents designed to manage or eliminate organisms considered harmful to crops and agricultural productivity. These include herbicides, which target weeds and unwanted vegetation; insecticides, used to control insect populations; and fungicides, employed to prevent the growth of molds and mildew. Additionally, pesticides comprise any other substances with comparable functions aimed at protecting plants and enhancing crop yields</w:t>
      </w:r>
      <w:r w:rsidR="002264C5" w:rsidRPr="00502829">
        <w:rPr>
          <w:rFonts w:ascii="Times New Roman" w:eastAsia="Times New Roman" w:hAnsi="Times New Roman" w:cs="Times New Roman"/>
          <w:sz w:val="24"/>
          <w:szCs w:val="24"/>
        </w:rPr>
        <w:t xml:space="preserve"> (</w:t>
      </w:r>
      <w:proofErr w:type="spellStart"/>
      <w:r w:rsidR="002264C5" w:rsidRPr="00502829">
        <w:rPr>
          <w:rFonts w:ascii="Times New Roman" w:eastAsia="Times New Roman" w:hAnsi="Times New Roman" w:cs="Times New Roman"/>
          <w:sz w:val="24"/>
          <w:szCs w:val="24"/>
        </w:rPr>
        <w:t>Jeyakumar</w:t>
      </w:r>
      <w:proofErr w:type="spellEnd"/>
      <w:r w:rsidR="002264C5" w:rsidRPr="00502829">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i/>
          <w:sz w:val="24"/>
          <w:szCs w:val="24"/>
        </w:rPr>
        <w:t>et al.,</w:t>
      </w:r>
      <w:r w:rsidR="002264C5" w:rsidRPr="00502829">
        <w:rPr>
          <w:rFonts w:ascii="Times New Roman" w:eastAsia="Times New Roman" w:hAnsi="Times New Roman" w:cs="Times New Roman"/>
          <w:sz w:val="24"/>
          <w:szCs w:val="24"/>
        </w:rPr>
        <w:t xml:space="preserve"> 2014). </w:t>
      </w:r>
    </w:p>
    <w:p w14:paraId="79B7132D" w14:textId="77777777" w:rsidR="00A11F88" w:rsidRDefault="00A11F88" w:rsidP="002264C5">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Abu-</w:t>
      </w:r>
      <w:proofErr w:type="spellStart"/>
      <w:r w:rsidRPr="00A11F88">
        <w:rPr>
          <w:rFonts w:ascii="Times New Roman" w:eastAsia="Times New Roman" w:hAnsi="Times New Roman" w:cs="Times New Roman"/>
          <w:sz w:val="24"/>
          <w:szCs w:val="24"/>
        </w:rPr>
        <w:t>Hilal</w:t>
      </w:r>
      <w:proofErr w:type="spellEnd"/>
      <w:r w:rsidRPr="00A11F88">
        <w:rPr>
          <w:rFonts w:ascii="Times New Roman" w:eastAsia="Times New Roman" w:hAnsi="Times New Roman" w:cs="Times New Roman"/>
          <w:sz w:val="24"/>
          <w:szCs w:val="24"/>
        </w:rPr>
        <w:t xml:space="preserve"> (1993) reported that the continuous occurrence of agricultural, fishing, and municipal activities along the banks of the </w:t>
      </w:r>
      <w:proofErr w:type="spellStart"/>
      <w:r w:rsidRPr="00A11F88">
        <w:rPr>
          <w:rFonts w:ascii="Times New Roman" w:eastAsia="Times New Roman" w:hAnsi="Times New Roman" w:cs="Times New Roman"/>
          <w:sz w:val="24"/>
          <w:szCs w:val="24"/>
        </w:rPr>
        <w:t>Tella</w:t>
      </w:r>
      <w:proofErr w:type="spellEnd"/>
      <w:r w:rsidRPr="00A11F88">
        <w:rPr>
          <w:rFonts w:ascii="Times New Roman" w:eastAsia="Times New Roman" w:hAnsi="Times New Roman" w:cs="Times New Roman"/>
          <w:sz w:val="24"/>
          <w:szCs w:val="24"/>
        </w:rPr>
        <w:t xml:space="preserve"> River throughout the year can lead to water quality deterioration and disruptions in aquatic life. Pesticides represent one of the most hazardous classes of environmental contaminants, posing significant risks to humans and other organisms. Consequently, pesticide poisoning has occasionally been linked to fatalities and chronic health conditions worldwide. The persistence of pesticide residues, particularly organochlorines (OCs), in the environment is of considerable concern due to their potential for long-range transport and bioaccumulation.</w:t>
      </w:r>
    </w:p>
    <w:p w14:paraId="612F9E6D" w14:textId="1359DE6F" w:rsidR="002264C5" w:rsidRPr="00684FD2"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Chlorinated organic pesticides are very stable in both fresh and saltwater and are resistant to photodegradation</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Azhani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2012).</w:t>
      </w:r>
    </w:p>
    <w:p w14:paraId="7ADDA4A5" w14:textId="229D8D3F"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FAO/WHO (2010) </w:t>
      </w:r>
      <w:r w:rsidR="00A11F88" w:rsidRPr="00A11F88">
        <w:rPr>
          <w:rFonts w:ascii="Times New Roman" w:eastAsia="Times New Roman" w:hAnsi="Times New Roman" w:cs="Times New Roman"/>
          <w:sz w:val="24"/>
          <w:szCs w:val="24"/>
        </w:rPr>
        <w:t xml:space="preserve">Water bodies act as secondary contamination sources within ecosystems and serve as major reservoirs of environmental pesticides. They represent a continuous source from which </w:t>
      </w:r>
      <w:r w:rsidR="00A11F88" w:rsidRPr="00A11F88">
        <w:rPr>
          <w:rFonts w:ascii="Times New Roman" w:eastAsia="Times New Roman" w:hAnsi="Times New Roman" w:cs="Times New Roman"/>
          <w:sz w:val="24"/>
          <w:szCs w:val="24"/>
        </w:rPr>
        <w:lastRenderedPageBreak/>
        <w:t>residues can be released into the atmosphere, leach into groundwater, or be absorbed by living organisms</w:t>
      </w:r>
      <w:r w:rsidRPr="00502829">
        <w:rPr>
          <w:rFonts w:ascii="Times New Roman" w:eastAsia="Times New Roman" w:hAnsi="Times New Roman" w:cs="Times New Roman"/>
          <w:sz w:val="24"/>
          <w:szCs w:val="24"/>
        </w:rPr>
        <w:t>.</w:t>
      </w:r>
    </w:p>
    <w:p w14:paraId="2402411C" w14:textId="77777777" w:rsidR="002264C5" w:rsidRDefault="002264C5" w:rsidP="002264C5">
      <w:pPr>
        <w:spacing w:after="0" w:line="360" w:lineRule="auto"/>
        <w:ind w:left="-170" w:right="-170"/>
        <w:rPr>
          <w:rFonts w:ascii="Times New Roman" w:hAnsi="Times New Roman" w:cs="Times New Roman"/>
          <w:b/>
          <w:bCs/>
          <w:sz w:val="24"/>
          <w:szCs w:val="24"/>
        </w:rPr>
      </w:pPr>
      <w:r w:rsidRPr="00152CF8">
        <w:rPr>
          <w:rFonts w:ascii="Times New Roman" w:hAnsi="Times New Roman" w:cs="Times New Roman"/>
          <w:b/>
          <w:bCs/>
          <w:sz w:val="24"/>
          <w:szCs w:val="24"/>
        </w:rPr>
        <w:t>2. Materials and Methods</w:t>
      </w:r>
    </w:p>
    <w:p w14:paraId="058889B2"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502829">
        <w:rPr>
          <w:rFonts w:ascii="Times New Roman" w:eastAsia="Times New Roman" w:hAnsi="Times New Roman" w:cs="Times New Roman"/>
          <w:b/>
          <w:sz w:val="24"/>
          <w:szCs w:val="24"/>
        </w:rPr>
        <w:t>Area of the Study</w:t>
      </w:r>
    </w:p>
    <w:p w14:paraId="62171FD1" w14:textId="6C71E65E"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The study was carried out at River Taraba, </w:t>
      </w:r>
      <w:proofErr w:type="spellStart"/>
      <w:r w:rsidRPr="00502829">
        <w:rPr>
          <w:rFonts w:ascii="Times New Roman" w:eastAsia="Times New Roman" w:hAnsi="Times New Roman" w:cs="Times New Roman"/>
          <w:sz w:val="24"/>
          <w:szCs w:val="24"/>
        </w:rPr>
        <w:t>Gassol</w:t>
      </w:r>
      <w:proofErr w:type="spellEnd"/>
      <w:r w:rsidRPr="00502829">
        <w:rPr>
          <w:rFonts w:ascii="Times New Roman" w:eastAsia="Times New Roman" w:hAnsi="Times New Roman" w:cs="Times New Roman"/>
          <w:sz w:val="24"/>
          <w:szCs w:val="24"/>
        </w:rPr>
        <w:t xml:space="preserve"> Local Government Area of Taraba State, Nigeria. </w:t>
      </w:r>
      <w:proofErr w:type="spellStart"/>
      <w:r w:rsidR="00A11F88" w:rsidRPr="00A11F88">
        <w:rPr>
          <w:rFonts w:ascii="Times New Roman" w:eastAsia="Times New Roman" w:hAnsi="Times New Roman" w:cs="Times New Roman"/>
          <w:sz w:val="24"/>
          <w:szCs w:val="24"/>
        </w:rPr>
        <w:t>Gassol</w:t>
      </w:r>
      <w:proofErr w:type="spellEnd"/>
      <w:r w:rsidR="00A11F88" w:rsidRPr="00A11F88">
        <w:rPr>
          <w:rFonts w:ascii="Times New Roman" w:eastAsia="Times New Roman" w:hAnsi="Times New Roman" w:cs="Times New Roman"/>
          <w:sz w:val="24"/>
          <w:szCs w:val="24"/>
        </w:rPr>
        <w:t xml:space="preserve"> Local Government Area in Taraba State is located between latitude 7°26′–8°32′ N and longitude 10°26′–10°14′ E (Topographic Sheet, 1968). The area lies within the dry guinea savannah and is one of the largest local government areas in Taraba State, encompassing an estimated land area of 5,548 km²</w:t>
      </w:r>
      <w:r w:rsidRPr="00502829">
        <w:rPr>
          <w:rFonts w:ascii="Times New Roman" w:eastAsia="Times New Roman" w:hAnsi="Times New Roman" w:cs="Times New Roman"/>
          <w:sz w:val="24"/>
          <w:szCs w:val="24"/>
        </w:rPr>
        <w:t xml:space="preserve">. </w:t>
      </w:r>
      <w:r w:rsidR="00A11F88" w:rsidRPr="00A11F88">
        <w:rPr>
          <w:rFonts w:ascii="Times New Roman" w:eastAsia="Times New Roman" w:hAnsi="Times New Roman" w:cs="Times New Roman"/>
          <w:sz w:val="24"/>
          <w:szCs w:val="24"/>
        </w:rPr>
        <w:t xml:space="preserve">According to the 2006 National Population Census, </w:t>
      </w:r>
      <w:proofErr w:type="spellStart"/>
      <w:r w:rsidR="00A11F88" w:rsidRPr="00A11F88">
        <w:rPr>
          <w:rFonts w:ascii="Times New Roman" w:eastAsia="Times New Roman" w:hAnsi="Times New Roman" w:cs="Times New Roman"/>
          <w:sz w:val="24"/>
          <w:szCs w:val="24"/>
        </w:rPr>
        <w:t>Gassol</w:t>
      </w:r>
      <w:proofErr w:type="spellEnd"/>
      <w:r w:rsidR="00A11F88" w:rsidRPr="00A11F88">
        <w:rPr>
          <w:rFonts w:ascii="Times New Roman" w:eastAsia="Times New Roman" w:hAnsi="Times New Roman" w:cs="Times New Roman"/>
          <w:sz w:val="24"/>
          <w:szCs w:val="24"/>
        </w:rPr>
        <w:t xml:space="preserve"> Local Government Area had an estimated population of approximately 244,749 (NPC, 2006). The region experiences a tropical climate </w:t>
      </w:r>
      <w:proofErr w:type="spellStart"/>
      <w:r w:rsidR="00A11F88" w:rsidRPr="00A11F88">
        <w:rPr>
          <w:rFonts w:ascii="Times New Roman" w:eastAsia="Times New Roman" w:hAnsi="Times New Roman" w:cs="Times New Roman"/>
          <w:sz w:val="24"/>
          <w:szCs w:val="24"/>
        </w:rPr>
        <w:t>characterised</w:t>
      </w:r>
      <w:proofErr w:type="spellEnd"/>
      <w:r w:rsidR="00A11F88" w:rsidRPr="00A11F88">
        <w:rPr>
          <w:rFonts w:ascii="Times New Roman" w:eastAsia="Times New Roman" w:hAnsi="Times New Roman" w:cs="Times New Roman"/>
          <w:sz w:val="24"/>
          <w:szCs w:val="24"/>
        </w:rPr>
        <w:t xml:space="preserve"> by two distinct seasons: a dry season and a rainy season. The rainy season typically begins in May and ends in November, with an annual rainfall ranging between 1,300 and 1,400 mm.</w:t>
      </w:r>
      <w:r w:rsidRPr="00502829">
        <w:rPr>
          <w:rFonts w:ascii="Times New Roman" w:eastAsia="Times New Roman" w:hAnsi="Times New Roman" w:cs="Times New Roman"/>
          <w:sz w:val="24"/>
          <w:szCs w:val="24"/>
        </w:rPr>
        <w:t xml:space="preserve"> </w:t>
      </w:r>
    </w:p>
    <w:p w14:paraId="2C2C90EF" w14:textId="00649059" w:rsidR="002264C5" w:rsidRPr="00502829" w:rsidRDefault="00A11F88" w:rsidP="002264C5">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 xml:space="preserve">River Taraba, located in Taraba State, Nigeria, is a tributary of the River Benue. It lies at a latitude of 8°34′ N and a longitude of 10°15′ E. The river originates from the high-altitude </w:t>
      </w:r>
      <w:proofErr w:type="spellStart"/>
      <w:r w:rsidRPr="00A11F88">
        <w:rPr>
          <w:rFonts w:ascii="Times New Roman" w:eastAsia="Times New Roman" w:hAnsi="Times New Roman" w:cs="Times New Roman"/>
          <w:sz w:val="24"/>
          <w:szCs w:val="24"/>
        </w:rPr>
        <w:t>Alantika</w:t>
      </w:r>
      <w:proofErr w:type="spellEnd"/>
      <w:r w:rsidRPr="00A11F88">
        <w:rPr>
          <w:rFonts w:ascii="Times New Roman" w:eastAsia="Times New Roman" w:hAnsi="Times New Roman" w:cs="Times New Roman"/>
          <w:sz w:val="24"/>
          <w:szCs w:val="24"/>
        </w:rPr>
        <w:t xml:space="preserve"> Hills along the Nigeria–Cameroon border in the mid-eastern part of the state and flows westwards for approximately 265 km before joining the River Benue (</w:t>
      </w:r>
      <w:proofErr w:type="spellStart"/>
      <w:r w:rsidRPr="00A11F88">
        <w:rPr>
          <w:rFonts w:ascii="Times New Roman" w:eastAsia="Times New Roman" w:hAnsi="Times New Roman" w:cs="Times New Roman"/>
          <w:sz w:val="24"/>
          <w:szCs w:val="24"/>
        </w:rPr>
        <w:t>Akogun</w:t>
      </w:r>
      <w:proofErr w:type="spellEnd"/>
      <w:r w:rsidRPr="00A11F88">
        <w:rPr>
          <w:rFonts w:ascii="Times New Roman" w:eastAsia="Times New Roman" w:hAnsi="Times New Roman" w:cs="Times New Roman"/>
          <w:sz w:val="24"/>
          <w:szCs w:val="24"/>
        </w:rPr>
        <w:t xml:space="preserve">, 1999). Major economic activities along the river include fishing and the cultivation of rice, millet, guinea corn, and groundnut. The predominant ethnic groups residing along the river are the </w:t>
      </w:r>
      <w:proofErr w:type="spellStart"/>
      <w:r w:rsidRPr="00A11F88">
        <w:rPr>
          <w:rFonts w:ascii="Times New Roman" w:eastAsia="Times New Roman" w:hAnsi="Times New Roman" w:cs="Times New Roman"/>
          <w:sz w:val="24"/>
          <w:szCs w:val="24"/>
        </w:rPr>
        <w:t>Jukun</w:t>
      </w:r>
      <w:proofErr w:type="spellEnd"/>
      <w:r w:rsidRPr="00A11F88">
        <w:rPr>
          <w:rFonts w:ascii="Times New Roman" w:eastAsia="Times New Roman" w:hAnsi="Times New Roman" w:cs="Times New Roman"/>
          <w:sz w:val="24"/>
          <w:szCs w:val="24"/>
        </w:rPr>
        <w:t xml:space="preserve">, </w:t>
      </w:r>
      <w:proofErr w:type="spellStart"/>
      <w:r w:rsidRPr="00A11F88">
        <w:rPr>
          <w:rFonts w:ascii="Times New Roman" w:eastAsia="Times New Roman" w:hAnsi="Times New Roman" w:cs="Times New Roman"/>
          <w:sz w:val="24"/>
          <w:szCs w:val="24"/>
        </w:rPr>
        <w:t>Osobo</w:t>
      </w:r>
      <w:proofErr w:type="spellEnd"/>
      <w:r w:rsidRPr="00A11F88">
        <w:rPr>
          <w:rFonts w:ascii="Times New Roman" w:eastAsia="Times New Roman" w:hAnsi="Times New Roman" w:cs="Times New Roman"/>
          <w:sz w:val="24"/>
          <w:szCs w:val="24"/>
        </w:rPr>
        <w:t xml:space="preserve">, and </w:t>
      </w:r>
      <w:proofErr w:type="spellStart"/>
      <w:r w:rsidRPr="00A11F88">
        <w:rPr>
          <w:rFonts w:ascii="Times New Roman" w:eastAsia="Times New Roman" w:hAnsi="Times New Roman" w:cs="Times New Roman"/>
          <w:sz w:val="24"/>
          <w:szCs w:val="24"/>
        </w:rPr>
        <w:t>Wurbo</w:t>
      </w:r>
      <w:proofErr w:type="spellEnd"/>
      <w:r w:rsidR="002264C5" w:rsidRPr="00502829">
        <w:rPr>
          <w:rFonts w:ascii="Times New Roman" w:eastAsia="Times New Roman" w:hAnsi="Times New Roman" w:cs="Times New Roman"/>
          <w:sz w:val="24"/>
          <w:szCs w:val="24"/>
        </w:rPr>
        <w:t>.</w:t>
      </w:r>
    </w:p>
    <w:p w14:paraId="44C0EBE7" w14:textId="77777777" w:rsidR="002264C5" w:rsidRPr="00502829" w:rsidRDefault="002264C5" w:rsidP="002264C5">
      <w:pPr>
        <w:spacing w:line="480" w:lineRule="auto"/>
        <w:ind w:left="-170" w:right="-170"/>
        <w:jc w:val="both"/>
        <w:rPr>
          <w:rFonts w:ascii="Times New Roman" w:eastAsia="Times New Roman" w:hAnsi="Times New Roman" w:cs="Times New Roman"/>
          <w:sz w:val="24"/>
          <w:szCs w:val="24"/>
        </w:rPr>
      </w:pPr>
      <w:r w:rsidRPr="00502829">
        <w:rPr>
          <w:sz w:val="24"/>
          <w:szCs w:val="24"/>
        </w:rPr>
        <w:object w:dxaOrig="11561" w:dyaOrig="12614" w14:anchorId="4814FBB6">
          <v:rect id="rectole0000000001" o:spid="_x0000_i1025" style="width:224.6pt;height:199.35pt" o:ole="" o:preferrelative="t" stroked="f">
            <v:imagedata r:id="rId12" o:title=""/>
          </v:rect>
          <o:OLEObject Type="Embed" ProgID="StaticMetafile" ShapeID="rectole0000000001" DrawAspect="Content" ObjectID="_1834925611" r:id="rId13"/>
        </w:object>
      </w:r>
    </w:p>
    <w:p w14:paraId="3826D6E8" w14:textId="50269094" w:rsidR="002264C5" w:rsidRDefault="00683FF5" w:rsidP="002264C5">
      <w:pPr>
        <w:spacing w:before="28" w:after="0" w:line="480" w:lineRule="auto"/>
        <w:ind w:left="-170" w:right="-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IMAGE</w:t>
      </w:r>
      <w:r w:rsidR="002264C5" w:rsidRPr="00152CF8">
        <w:rPr>
          <w:rFonts w:ascii="Times New Roman" w:eastAsia="Times New Roman" w:hAnsi="Times New Roman" w:cs="Times New Roman"/>
          <w:bCs/>
          <w:spacing w:val="-4"/>
          <w:sz w:val="24"/>
          <w:szCs w:val="24"/>
        </w:rPr>
        <w:t xml:space="preserve"> </w:t>
      </w:r>
      <w:proofErr w:type="gramStart"/>
      <w:r w:rsidR="00A51B37">
        <w:rPr>
          <w:rFonts w:ascii="Times New Roman" w:eastAsia="Times New Roman" w:hAnsi="Times New Roman" w:cs="Times New Roman"/>
          <w:bCs/>
          <w:sz w:val="24"/>
          <w:szCs w:val="24"/>
        </w:rPr>
        <w:t>1 :</w:t>
      </w:r>
      <w:proofErr w:type="gramEnd"/>
      <w:r w:rsidR="00A51B37">
        <w:rPr>
          <w:rFonts w:ascii="Times New Roman" w:eastAsia="Times New Roman" w:hAnsi="Times New Roman" w:cs="Times New Roman"/>
          <w:bCs/>
          <w:sz w:val="24"/>
          <w:szCs w:val="24"/>
        </w:rPr>
        <w:t xml:space="preserve"> </w:t>
      </w:r>
      <w:proofErr w:type="spellStart"/>
      <w:r w:rsidR="002264C5" w:rsidRPr="00152CF8">
        <w:rPr>
          <w:rFonts w:ascii="Times New Roman" w:eastAsia="Times New Roman" w:hAnsi="Times New Roman" w:cs="Times New Roman"/>
          <w:bCs/>
          <w:sz w:val="24"/>
          <w:szCs w:val="24"/>
        </w:rPr>
        <w:t>Gassol</w:t>
      </w:r>
      <w:proofErr w:type="spellEnd"/>
      <w:r w:rsidR="002264C5" w:rsidRPr="00152CF8">
        <w:rPr>
          <w:rFonts w:ascii="Times New Roman" w:eastAsia="Times New Roman" w:hAnsi="Times New Roman" w:cs="Times New Roman"/>
          <w:bCs/>
          <w:sz w:val="24"/>
          <w:szCs w:val="24"/>
        </w:rPr>
        <w:t xml:space="preserve"> Local Government Area</w:t>
      </w:r>
      <w:bookmarkStart w:id="0" w:name="_Hlk168846163"/>
    </w:p>
    <w:p w14:paraId="450F61E4" w14:textId="77777777" w:rsidR="002264C5" w:rsidRPr="00442E0B" w:rsidRDefault="002264C5" w:rsidP="002264C5">
      <w:pPr>
        <w:spacing w:before="28" w:after="0" w:line="480" w:lineRule="auto"/>
        <w:ind w:left="-170" w:right="-170"/>
        <w:jc w:val="both"/>
        <w:rPr>
          <w:rFonts w:ascii="Times New Roman" w:eastAsia="Times New Roman" w:hAnsi="Times New Roman" w:cs="Times New Roman"/>
          <w:bCs/>
          <w:sz w:val="24"/>
          <w:szCs w:val="24"/>
        </w:rPr>
      </w:pPr>
      <w:r w:rsidRPr="00442E0B">
        <w:rPr>
          <w:rFonts w:ascii="Times New Roman" w:eastAsia="Times New Roman" w:hAnsi="Times New Roman" w:cs="Times New Roman"/>
          <w:b/>
          <w:sz w:val="24"/>
          <w:szCs w:val="24"/>
        </w:rPr>
        <w:lastRenderedPageBreak/>
        <w:t xml:space="preserve">2.2 Sample Collection and Preservation  </w:t>
      </w:r>
    </w:p>
    <w:p w14:paraId="7A2B38F9" w14:textId="446691EB" w:rsidR="002264C5" w:rsidRDefault="00A11F88" w:rsidP="002264C5">
      <w:pPr>
        <w:spacing w:after="0" w:line="360" w:lineRule="auto"/>
        <w:ind w:left="-170" w:right="-170"/>
        <w:jc w:val="both"/>
        <w:rPr>
          <w:rFonts w:ascii="Times New Roman" w:eastAsia="Times New Roman" w:hAnsi="Times New Roman" w:cs="Times New Roman"/>
          <w:b/>
          <w:sz w:val="24"/>
          <w:szCs w:val="24"/>
        </w:rPr>
      </w:pPr>
      <w:bookmarkStart w:id="1" w:name="_Hlk168846429"/>
      <w:bookmarkEnd w:id="0"/>
      <w:r w:rsidRPr="00A11F88">
        <w:rPr>
          <w:rFonts w:ascii="Times New Roman" w:eastAsia="Times New Roman" w:hAnsi="Times New Roman" w:cs="Times New Roman"/>
          <w:sz w:val="24"/>
          <w:szCs w:val="24"/>
        </w:rPr>
        <w:t xml:space="preserve">Water samples were collected in 2.5 L plastic bottles that had been thoroughly cleaned with soap and rinsed with acetone. The bottles, fitted with screw caps, were filled from various locations at appropriate depths and at turbulent midstream positions of the water bodies. Following collection, the samples were preserved on ice to </w:t>
      </w:r>
      <w:proofErr w:type="spellStart"/>
      <w:r w:rsidRPr="00A11F88">
        <w:rPr>
          <w:rFonts w:ascii="Times New Roman" w:eastAsia="Times New Roman" w:hAnsi="Times New Roman" w:cs="Times New Roman"/>
          <w:sz w:val="24"/>
          <w:szCs w:val="24"/>
        </w:rPr>
        <w:t>minimise</w:t>
      </w:r>
      <w:proofErr w:type="spellEnd"/>
      <w:r w:rsidRPr="00A11F88">
        <w:rPr>
          <w:rFonts w:ascii="Times New Roman" w:eastAsia="Times New Roman" w:hAnsi="Times New Roman" w:cs="Times New Roman"/>
          <w:sz w:val="24"/>
          <w:szCs w:val="24"/>
        </w:rPr>
        <w:t xml:space="preserve"> pesticide degradation and subsequently stored at 4 °C until extraction</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rPr>
        <w:t xml:space="preserve">Ballesteros </w:t>
      </w:r>
      <w:r w:rsidR="002264C5">
        <w:rPr>
          <w:rFonts w:ascii="Times New Roman" w:eastAsia="Times New Roman" w:hAnsi="Times New Roman" w:cs="Times New Roman"/>
          <w:sz w:val="24"/>
          <w:szCs w:val="24"/>
        </w:rPr>
        <w:t xml:space="preserve">and </w:t>
      </w:r>
      <w:r w:rsidR="002264C5" w:rsidRPr="00502829">
        <w:rPr>
          <w:rFonts w:ascii="Times New Roman" w:eastAsia="Times New Roman" w:hAnsi="Times New Roman" w:cs="Times New Roman"/>
          <w:sz w:val="24"/>
          <w:szCs w:val="24"/>
        </w:rPr>
        <w:t>Parrado,</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rPr>
        <w:t>2014)</w:t>
      </w:r>
    </w:p>
    <w:p w14:paraId="67359DCB" w14:textId="77777777" w:rsidR="002264C5" w:rsidRPr="006B2AB8"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Pr="006B2AB8">
        <w:rPr>
          <w:rFonts w:ascii="Times New Roman" w:eastAsia="Times New Roman" w:hAnsi="Times New Roman" w:cs="Times New Roman"/>
          <w:b/>
          <w:sz w:val="24"/>
          <w:szCs w:val="24"/>
        </w:rPr>
        <w:t>Analytical Procedures for Physicochemical Parameters of Water</w:t>
      </w:r>
    </w:p>
    <w:bookmarkEnd w:id="1"/>
    <w:p w14:paraId="0EF35FF9" w14:textId="77777777" w:rsidR="002264C5" w:rsidRDefault="002264C5" w:rsidP="002264C5">
      <w:pPr>
        <w:tabs>
          <w:tab w:val="left" w:pos="720"/>
        </w:tabs>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 </w:t>
      </w:r>
      <w:r w:rsidRPr="00502829">
        <w:rPr>
          <w:rFonts w:ascii="Times New Roman" w:eastAsia="Times New Roman" w:hAnsi="Times New Roman" w:cs="Times New Roman"/>
          <w:b/>
          <w:sz w:val="24"/>
          <w:szCs w:val="24"/>
        </w:rPr>
        <w:t>Determination of Dissolved Oxygen (DO)</w:t>
      </w:r>
    </w:p>
    <w:p w14:paraId="29B5842A" w14:textId="77777777" w:rsidR="002264C5" w:rsidRPr="00084CAC" w:rsidRDefault="002264C5" w:rsidP="002264C5">
      <w:pPr>
        <w:tabs>
          <w:tab w:val="left" w:pos="720"/>
        </w:tabs>
        <w:spacing w:after="0" w:line="360" w:lineRule="auto"/>
        <w:ind w:left="-170" w:right="-170"/>
        <w:jc w:val="both"/>
        <w:rPr>
          <w:rFonts w:ascii="Times New Roman" w:eastAsia="Times New Roman" w:hAnsi="Times New Roman" w:cs="Times New Roman"/>
          <w:b/>
          <w:sz w:val="24"/>
          <w:szCs w:val="24"/>
        </w:rPr>
      </w:pPr>
      <w:r w:rsidRPr="00502829">
        <w:rPr>
          <w:rFonts w:ascii="Times New Roman" w:eastAsia="Times New Roman" w:hAnsi="Times New Roman" w:cs="Times New Roman"/>
          <w:sz w:val="24"/>
          <w:szCs w:val="24"/>
        </w:rPr>
        <w:t xml:space="preserve">It was carried out in accordance to the procedure described in the manual by the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ociety of Analytical </w:t>
      </w:r>
      <w:r>
        <w:rPr>
          <w:rFonts w:ascii="Times New Roman" w:eastAsia="Times New Roman" w:hAnsi="Times New Roman" w:cs="Times New Roman"/>
          <w:sz w:val="24"/>
          <w:szCs w:val="24"/>
        </w:rPr>
        <w:t>C</w:t>
      </w:r>
      <w:r w:rsidRPr="00502829">
        <w:rPr>
          <w:rFonts w:ascii="Times New Roman" w:eastAsia="Times New Roman" w:hAnsi="Times New Roman" w:cs="Times New Roman"/>
          <w:sz w:val="24"/>
          <w:szCs w:val="24"/>
        </w:rPr>
        <w:t xml:space="preserve">hemistry (SAC, </w:t>
      </w:r>
      <w:r>
        <w:rPr>
          <w:rFonts w:ascii="Times New Roman" w:eastAsia="Times New Roman" w:hAnsi="Times New Roman" w:cs="Times New Roman"/>
          <w:sz w:val="24"/>
          <w:szCs w:val="24"/>
        </w:rPr>
        <w:t>2022</w:t>
      </w:r>
      <w:r w:rsidRPr="00502829">
        <w:rPr>
          <w:rFonts w:ascii="Times New Roman" w:eastAsia="Times New Roman" w:hAnsi="Times New Roman" w:cs="Times New Roman"/>
          <w:sz w:val="24"/>
          <w:szCs w:val="24"/>
        </w:rPr>
        <w:t>). Analysis of water sample for DO started from the sampling site where manganese sulphate solution, alkali-iodide-</w:t>
      </w:r>
      <w:proofErr w:type="spellStart"/>
      <w:r w:rsidRPr="00502829">
        <w:rPr>
          <w:rFonts w:ascii="Times New Roman" w:eastAsia="Times New Roman" w:hAnsi="Times New Roman" w:cs="Times New Roman"/>
          <w:sz w:val="24"/>
          <w:szCs w:val="24"/>
        </w:rPr>
        <w:t>azide</w:t>
      </w:r>
      <w:proofErr w:type="spellEnd"/>
      <w:r w:rsidRPr="00502829">
        <w:rPr>
          <w:rFonts w:ascii="Times New Roman" w:eastAsia="Times New Roman" w:hAnsi="Times New Roman" w:cs="Times New Roman"/>
          <w:sz w:val="24"/>
          <w:szCs w:val="24"/>
        </w:rPr>
        <w:t xml:space="preserve"> reagent had been used to fix the dissolved oxygen.1.0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of concentrated H</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SO</w:t>
      </w:r>
      <w:r w:rsidRPr="00502829">
        <w:rPr>
          <w:rFonts w:ascii="Times New Roman" w:eastAsia="Times New Roman" w:hAnsi="Times New Roman" w:cs="Times New Roman"/>
          <w:sz w:val="24"/>
          <w:szCs w:val="24"/>
          <w:vertAlign w:val="subscript"/>
        </w:rPr>
        <w:t>4</w:t>
      </w:r>
      <w:r w:rsidRPr="00502829">
        <w:rPr>
          <w:rFonts w:ascii="Times New Roman" w:eastAsia="Times New Roman" w:hAnsi="Times New Roman" w:cs="Times New Roman"/>
          <w:sz w:val="24"/>
          <w:szCs w:val="24"/>
        </w:rPr>
        <w:t xml:space="preserve"> was added</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De</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et al., </w:t>
      </w:r>
      <w:r>
        <w:rPr>
          <w:rFonts w:ascii="Times New Roman" w:eastAsia="Times New Roman" w:hAnsi="Times New Roman" w:cs="Times New Roman"/>
          <w:sz w:val="24"/>
          <w:szCs w:val="24"/>
          <w:shd w:val="clear" w:color="auto" w:fill="FFFFFF"/>
        </w:rPr>
        <w:t>2012)</w:t>
      </w:r>
      <w:r w:rsidRPr="00502829">
        <w:rPr>
          <w:rFonts w:ascii="Times New Roman" w:eastAsia="Times New Roman" w:hAnsi="Times New Roman" w:cs="Times New Roman"/>
          <w:sz w:val="24"/>
          <w:szCs w:val="24"/>
        </w:rPr>
        <w:t>. The bottle was re</w:t>
      </w:r>
      <w:r>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stoppered and reinverted several times until there was complete dissolution of the precipitate 200 mL of this mixture of sample was titrated with 0.0125N sodium thiosulphate to a pale straw </w:t>
      </w:r>
      <w:proofErr w:type="spellStart"/>
      <w:r w:rsidRPr="00502829">
        <w:rPr>
          <w:rFonts w:ascii="Times New Roman" w:eastAsia="Times New Roman" w:hAnsi="Times New Roman" w:cs="Times New Roman"/>
          <w:sz w:val="24"/>
          <w:szCs w:val="24"/>
        </w:rPr>
        <w:t>colour</w:t>
      </w:r>
      <w:proofErr w:type="spellEnd"/>
      <w:r w:rsidRPr="00502829">
        <w:rPr>
          <w:rFonts w:ascii="Times New Roman" w:eastAsia="Times New Roman" w:hAnsi="Times New Roman" w:cs="Times New Roman"/>
          <w:sz w:val="24"/>
          <w:szCs w:val="24"/>
        </w:rPr>
        <w:t xml:space="preserve"> and 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w:t>
      </w:r>
      <w:r>
        <w:rPr>
          <w:rFonts w:ascii="Times New Roman" w:eastAsia="Times New Roman" w:hAnsi="Times New Roman" w:cs="Times New Roman"/>
          <w:sz w:val="24"/>
          <w:szCs w:val="24"/>
        </w:rPr>
        <w:t>L</w:t>
      </w:r>
      <w:r w:rsidRPr="00502829">
        <w:rPr>
          <w:rFonts w:ascii="Times New Roman" w:eastAsia="Times New Roman" w:hAnsi="Times New Roman" w:cs="Times New Roman"/>
          <w:sz w:val="24"/>
          <w:szCs w:val="24"/>
        </w:rPr>
        <w:t xml:space="preserve"> of starch solution was added and titration was continued to the first disappearance of blue </w:t>
      </w:r>
      <w:proofErr w:type="spellStart"/>
      <w:r w:rsidRPr="00502829">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Ccanccapa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2016).</w:t>
      </w:r>
      <w:r w:rsidRPr="00502829">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FEAA00" wp14:editId="47CCA80D">
                <wp:simplePos x="0" y="0"/>
                <wp:positionH relativeFrom="column">
                  <wp:posOffset>1466850</wp:posOffset>
                </wp:positionH>
                <wp:positionV relativeFrom="paragraph">
                  <wp:posOffset>182245</wp:posOffset>
                </wp:positionV>
                <wp:extent cx="2600325" cy="19050"/>
                <wp:effectExtent l="19050" t="19050" r="19050" b="19050"/>
                <wp:wrapNone/>
                <wp:docPr id="14885810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19050"/>
                        </a:xfrm>
                        <a:prstGeom prst="straightConnector1">
                          <a:avLst/>
                        </a:prstGeom>
                        <a:noFill/>
                        <a:ln w="38100" cmpd="sng">
                          <a:solidFill>
                            <a:schemeClr val="lt1">
                              <a:lumMod val="9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91DA54" id="_x0000_t32" coordsize="21600,21600" o:spt="32" o:oned="t" path="m,l21600,21600e" filled="f">
                <v:path arrowok="t" fillok="f" o:connecttype="none"/>
                <o:lock v:ext="edit" shapetype="t"/>
              </v:shapetype>
              <v:shape id="AutoShape 5" o:spid="_x0000_s1026" type="#_x0000_t32" style="position:absolute;margin-left:115.5pt;margin-top:14.35pt;width:204.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" strokecolor="#f2f2f2 [3041]" strokeweight="3pt">
                <v:shadow color="#7f7f7f [1601]" opacity=".5" offset="1pt"/>
              </v:shape>
            </w:pict>
          </mc:Fallback>
        </mc:AlternateContent>
      </w:r>
      <w:r w:rsidRPr="00502829">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xml:space="preserve">DO </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mg</m:t>
                </m:r>
              </m:num>
              <m:den>
                <m:r>
                  <m:rPr>
                    <m:sty m:val="p"/>
                  </m:rPr>
                  <w:rPr>
                    <w:rFonts w:ascii="Cambria Math" w:eastAsia="Times New Roman" w:hAnsi="Cambria Math" w:cs="Times New Roman"/>
                    <w:sz w:val="24"/>
                    <w:szCs w:val="24"/>
                  </w:rPr>
                  <m:t>L</m:t>
                </m:r>
              </m:den>
            </m:f>
          </m:e>
        </m:d>
        <m:r>
          <m:rPr>
            <m:sty m:val="p"/>
          </m:rPr>
          <w:rPr>
            <w:rFonts w:ascii="Cambria Math" w:eastAsia="Times New Roman" w:hAnsi="Times New Roman"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Vol. of 0.0125M thiosulphate (mL) × 101.6</m:t>
            </m:r>
          </m:num>
          <m:den>
            <m:r>
              <w:rPr>
                <w:rFonts w:ascii="Cambria Math" w:eastAsia="Times New Roman" w:hAnsi="Cambria Math" w:cs="Times New Roman"/>
                <w:sz w:val="24"/>
                <w:szCs w:val="24"/>
              </w:rPr>
              <m:t>Volume titrated (mL)</m:t>
            </m:r>
          </m:den>
        </m:f>
      </m:oMath>
    </w:p>
    <w:p w14:paraId="339BF548" w14:textId="77777777" w:rsidR="002264C5" w:rsidRPr="006B2AB8" w:rsidRDefault="002264C5" w:rsidP="002264C5">
      <w:pPr>
        <w:spacing w:after="0" w:line="360" w:lineRule="auto"/>
        <w:ind w:left="-170" w:right="-170"/>
        <w:jc w:val="both"/>
        <w:rPr>
          <w:rFonts w:ascii="Times New Roman" w:eastAsia="Times New Roman" w:hAnsi="Times New Roman" w:cs="Times New Roman"/>
          <w:sz w:val="24"/>
          <w:szCs w:val="24"/>
        </w:rPr>
      </w:pPr>
      <w:r w:rsidRPr="006B2AB8">
        <w:rPr>
          <w:rFonts w:ascii="Times New Roman" w:eastAsia="Times New Roman" w:hAnsi="Times New Roman" w:cs="Times New Roman"/>
          <w:b/>
          <w:bCs/>
          <w:sz w:val="24"/>
          <w:szCs w:val="24"/>
        </w:rPr>
        <w:t>2.3.2</w:t>
      </w:r>
      <w:r>
        <w:rPr>
          <w:rFonts w:ascii="Times New Roman" w:eastAsia="Times New Roman" w:hAnsi="Times New Roman" w:cs="Times New Roman"/>
          <w:sz w:val="24"/>
          <w:szCs w:val="24"/>
        </w:rPr>
        <w:t xml:space="preserve"> </w:t>
      </w:r>
      <w:r w:rsidRPr="006B2AB8">
        <w:rPr>
          <w:rFonts w:ascii="Times New Roman" w:eastAsia="Times New Roman" w:hAnsi="Times New Roman" w:cs="Times New Roman"/>
          <w:b/>
          <w:sz w:val="24"/>
          <w:szCs w:val="24"/>
        </w:rPr>
        <w:t>Determination of Biochemical Oxygen Demand (BOD</w:t>
      </w:r>
      <w:r w:rsidRPr="006B2AB8">
        <w:rPr>
          <w:rFonts w:ascii="Times New Roman" w:eastAsia="Times New Roman" w:hAnsi="Times New Roman" w:cs="Times New Roman"/>
          <w:b/>
          <w:sz w:val="24"/>
          <w:szCs w:val="24"/>
          <w:vertAlign w:val="subscript"/>
        </w:rPr>
        <w:t>5</w:t>
      </w:r>
      <w:r w:rsidRPr="006B2AB8">
        <w:rPr>
          <w:rFonts w:ascii="Times New Roman" w:eastAsia="Times New Roman" w:hAnsi="Times New Roman" w:cs="Times New Roman"/>
          <w:b/>
          <w:sz w:val="24"/>
          <w:szCs w:val="24"/>
        </w:rPr>
        <w:t>)</w:t>
      </w:r>
    </w:p>
    <w:p w14:paraId="011DA393" w14:textId="77777777" w:rsidR="002264C5" w:rsidRPr="00502829"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L of distilled water was placed in 2.5-L Winchester bottle with a moderately wide mouth (it must be noted that although distilled water was not necessary required but was used).  To the water in the bottle was added 2.5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each of phosphate buffer, Mg SO</w:t>
      </w:r>
      <w:r w:rsidRPr="00502829">
        <w:rPr>
          <w:rFonts w:ascii="Times New Roman" w:eastAsia="Times New Roman" w:hAnsi="Times New Roman" w:cs="Times New Roman"/>
          <w:sz w:val="24"/>
          <w:szCs w:val="24"/>
          <w:vertAlign w:val="subscript"/>
        </w:rPr>
        <w:t>4</w:t>
      </w:r>
      <w:r w:rsidRPr="00502829">
        <w:rPr>
          <w:rFonts w:ascii="Times New Roman" w:eastAsia="Times New Roman" w:hAnsi="Times New Roman" w:cs="Times New Roman"/>
          <w:sz w:val="24"/>
          <w:szCs w:val="24"/>
        </w:rPr>
        <w:t>, CaCl</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 xml:space="preserve"> and FeCl</w:t>
      </w:r>
      <w:r w:rsidRPr="0050282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w:t>
      </w:r>
      <w:r w:rsidRPr="00502829">
        <w:rPr>
          <w:rFonts w:ascii="Times New Roman" w:eastAsia="Times New Roman" w:hAnsi="Times New Roman" w:cs="Times New Roman"/>
          <w:sz w:val="24"/>
          <w:szCs w:val="24"/>
          <w:vertAlign w:val="subscript"/>
        </w:rPr>
        <w:t xml:space="preserve"> </w:t>
      </w:r>
      <w:r w:rsidRPr="00502829">
        <w:rPr>
          <w:rFonts w:ascii="Times New Roman" w:eastAsia="Times New Roman" w:hAnsi="Times New Roman" w:cs="Times New Roman"/>
          <w:sz w:val="24"/>
          <w:szCs w:val="24"/>
        </w:rPr>
        <w:t>respectively.  The mouth of the bottle was cotton-plugged and left for 5 days in a well aerated place free from dust particles the distilled water used for the dilution water was also checked for oxygen depletion and this did not exceed 0.2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w:t>
      </w:r>
    </w:p>
    <w:p w14:paraId="6918FEC3" w14:textId="2CEFED0D" w:rsidR="002264C5" w:rsidRPr="00502829"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This was carried out by filling a 1</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L graduated glass cylinder to half its capacity (i.e. 500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mark) with the dilution water, this was carefully done to exclude entrainment of air 400</w:t>
      </w:r>
      <w:r w:rsidR="008F3FC8">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of sample water was then carefully added (also without entrainment of air) and by the use of plunger-type glass-rod mixing was achieved without entrainment of air.  More dilution water was added to bring the volume to the 1-L mark.  This dilution water- sample mixture was siphoned into two 250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capacity brown bottles.</w:t>
      </w:r>
    </w:p>
    <w:p w14:paraId="7EF2802A" w14:textId="77777777" w:rsidR="002264C5"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lastRenderedPageBreak/>
        <w:t xml:space="preserve">DO was determined on the content of one of the two bottles by using the method already described in section </w:t>
      </w:r>
    </w:p>
    <w:p w14:paraId="382BC431" w14:textId="77777777" w:rsidR="002264C5" w:rsidRPr="00197378" w:rsidRDefault="002264C5" w:rsidP="002264C5">
      <w:pPr>
        <w:tabs>
          <w:tab w:val="left" w:pos="360"/>
        </w:tabs>
        <w:spacing w:after="0" w:line="360" w:lineRule="auto"/>
        <w:ind w:left="-170" w:right="-170"/>
        <w:jc w:val="both"/>
        <w:rPr>
          <w:rFonts w:ascii="Times New Roman" w:eastAsia="Times New Roman" w:hAnsi="Times New Roman" w:cs="Times New Roman"/>
          <w:b/>
          <w:bCs/>
          <w:sz w:val="24"/>
          <w:szCs w:val="24"/>
        </w:rPr>
      </w:pPr>
      <w:r w:rsidRPr="00197378">
        <w:rPr>
          <w:rFonts w:ascii="Times New Roman" w:eastAsia="Times New Roman" w:hAnsi="Times New Roman" w:cs="Times New Roman"/>
          <w:b/>
          <w:bCs/>
          <w:sz w:val="24"/>
          <w:szCs w:val="24"/>
        </w:rPr>
        <w:t>2.3.3 Determination of DO of Water Sample</w:t>
      </w:r>
    </w:p>
    <w:p w14:paraId="02126C3D" w14:textId="77777777" w:rsidR="002264C5"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This DO represent the initial DO</w:t>
      </w:r>
      <w:r>
        <w:rPr>
          <w:rFonts w:ascii="Times New Roman" w:eastAsia="Times New Roman" w:hAnsi="Times New Roman" w:cs="Times New Roman"/>
          <w:sz w:val="24"/>
          <w:szCs w:val="24"/>
        </w:rPr>
        <w:t xml:space="preserve"> (i.e. DO before incubational.  </w:t>
      </w:r>
      <w:r w:rsidRPr="00502829">
        <w:rPr>
          <w:rFonts w:ascii="Times New Roman" w:eastAsia="Times New Roman" w:hAnsi="Times New Roman" w:cs="Times New Roman"/>
          <w:sz w:val="24"/>
          <w:szCs w:val="24"/>
        </w:rPr>
        <w:t>The other bottle was well stoppered with no air space left and water-sealed and incubated in a cooler of water maintained at a temperature of 20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vertAlign w:val="superscript"/>
        </w:rPr>
        <w:t>0</w:t>
      </w:r>
      <w:r w:rsidRPr="00502829">
        <w:rPr>
          <w:rFonts w:ascii="Times New Roman" w:eastAsia="Times New Roman" w:hAnsi="Times New Roman" w:cs="Times New Roman"/>
          <w:sz w:val="24"/>
          <w:szCs w:val="24"/>
        </w:rPr>
        <w:t xml:space="preserve">C.  A dilution water blank was also incubated along with each batch of BOD samples.  After 5 days DO was determined on the incubated sample and this represented final DO.      </w:t>
      </w:r>
    </w:p>
    <w:p w14:paraId="17CF0AD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BO</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5</m:t>
            </m:r>
          </m:sub>
        </m:sSub>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mg</m:t>
                </m:r>
              </m:num>
              <m:den>
                <m:r>
                  <m:rPr>
                    <m:sty m:val="p"/>
                  </m:rPr>
                  <w:rPr>
                    <w:rFonts w:ascii="Cambria Math" w:eastAsia="Times New Roman" w:hAnsi="Cambria Math" w:cs="Times New Roman"/>
                    <w:sz w:val="24"/>
                    <w:szCs w:val="24"/>
                  </w:rPr>
                  <m:t>L</m:t>
                </m:r>
              </m:den>
            </m:f>
          </m:e>
        </m:d>
        <m:r>
          <m:rPr>
            <m:sty m:val="p"/>
          </m:rPr>
          <w:rPr>
            <w:rFonts w:ascii="Cambria Math" w:eastAsia="Times New Roman" w:hAnsi="Times New Roman"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num>
          <m:den>
            <m:r>
              <w:rPr>
                <w:rFonts w:ascii="Cambria Math" w:eastAsia="Times New Roman" w:hAnsi="Cambria Math" w:cs="Times New Roman"/>
                <w:sz w:val="24"/>
                <w:szCs w:val="24"/>
              </w:rPr>
              <m:t>P</m:t>
            </m:r>
          </m:den>
        </m:f>
      </m:oMath>
      <w:r w:rsidRPr="00502829">
        <w:rPr>
          <w:rFonts w:ascii="Times New Roman" w:eastAsia="Times New Roman" w:hAnsi="Times New Roman" w:cs="Times New Roman"/>
          <w:sz w:val="24"/>
          <w:szCs w:val="24"/>
        </w:rPr>
        <w:t xml:space="preserve">                                       </w:t>
      </w:r>
    </w:p>
    <w:p w14:paraId="7CE0D504"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Where:</w:t>
      </w:r>
    </w:p>
    <w:p w14:paraId="585900A6"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DO</w:t>
      </w:r>
      <w:r w:rsidRPr="00502829">
        <w:rPr>
          <w:rFonts w:ascii="Times New Roman" w:eastAsia="Times New Roman" w:hAnsi="Times New Roman" w:cs="Times New Roman"/>
          <w:sz w:val="24"/>
          <w:szCs w:val="24"/>
          <w:vertAlign w:val="subscript"/>
        </w:rPr>
        <w:t>1</w:t>
      </w:r>
      <w:r w:rsidRPr="00502829">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ab/>
        <w:t xml:space="preserve">= </w:t>
      </w:r>
      <w:r w:rsidRPr="00502829">
        <w:rPr>
          <w:rFonts w:ascii="Times New Roman" w:eastAsia="Times New Roman" w:hAnsi="Times New Roman" w:cs="Times New Roman"/>
          <w:sz w:val="24"/>
          <w:szCs w:val="24"/>
        </w:rPr>
        <w:tab/>
        <w:t>initial DO (i.e. DO before incubation) mg</w:t>
      </w:r>
    </w:p>
    <w:p w14:paraId="697AC66E"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DO</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ab/>
        <w:t xml:space="preserve">= </w:t>
      </w:r>
      <w:r w:rsidRPr="00502829">
        <w:rPr>
          <w:rFonts w:ascii="Times New Roman" w:eastAsia="Times New Roman" w:hAnsi="Times New Roman" w:cs="Times New Roman"/>
          <w:sz w:val="24"/>
          <w:szCs w:val="24"/>
        </w:rPr>
        <w:tab/>
        <w:t>final DO (DO after incubation) mg</w:t>
      </w:r>
    </w:p>
    <w:p w14:paraId="261B59E8" w14:textId="204C9D51" w:rsidR="002264C5"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ab/>
      </w:r>
      <w:r w:rsidRPr="00502829">
        <w:rPr>
          <w:rFonts w:ascii="Times New Roman" w:eastAsia="Times New Roman" w:hAnsi="Times New Roman" w:cs="Times New Roman"/>
          <w:sz w:val="24"/>
          <w:szCs w:val="24"/>
          <w:vertAlign w:val="subscript"/>
        </w:rPr>
        <w:t>=</w:t>
      </w:r>
      <w:r w:rsidRPr="00502829">
        <w:rPr>
          <w:rFonts w:ascii="Times New Roman" w:eastAsia="Times New Roman" w:hAnsi="Times New Roman" w:cs="Times New Roman"/>
          <w:sz w:val="24"/>
          <w:szCs w:val="24"/>
          <w:vertAlign w:val="subscript"/>
        </w:rPr>
        <w:tab/>
      </w:r>
      <w:r w:rsidRPr="00502829">
        <w:rPr>
          <w:rFonts w:ascii="Times New Roman" w:eastAsia="Times New Roman" w:hAnsi="Times New Roman" w:cs="Times New Roman"/>
          <w:sz w:val="24"/>
          <w:szCs w:val="24"/>
        </w:rPr>
        <w:t xml:space="preserve">the volume of sample used </w:t>
      </w:r>
      <w:r w:rsidR="006A34BB" w:rsidRPr="00502829">
        <w:rPr>
          <w:rFonts w:ascii="Times New Roman" w:eastAsia="Times New Roman" w:hAnsi="Times New Roman" w:cs="Times New Roman"/>
          <w:sz w:val="24"/>
          <w:szCs w:val="24"/>
        </w:rPr>
        <w:t>to divide</w:t>
      </w:r>
      <w:r w:rsidRPr="00502829">
        <w:rPr>
          <w:rFonts w:ascii="Times New Roman" w:eastAsia="Times New Roman" w:hAnsi="Times New Roman" w:cs="Times New Roman"/>
          <w:sz w:val="24"/>
          <w:szCs w:val="24"/>
        </w:rPr>
        <w:t xml:space="preserve"> by the volume of cylinder</w:t>
      </w:r>
      <w:r w:rsidR="005F7ED7">
        <w:rPr>
          <w:rFonts w:ascii="Times New Roman" w:eastAsia="Times New Roman" w:hAnsi="Times New Roman" w:cs="Times New Roman"/>
          <w:sz w:val="24"/>
          <w:szCs w:val="24"/>
        </w:rPr>
        <w:t>.</w:t>
      </w:r>
    </w:p>
    <w:p w14:paraId="3581AAA1" w14:textId="77777777" w:rsidR="005F7ED7" w:rsidRDefault="005F7ED7" w:rsidP="002264C5">
      <w:pPr>
        <w:spacing w:after="0" w:line="360" w:lineRule="auto"/>
        <w:ind w:left="-170" w:right="-170"/>
        <w:jc w:val="both"/>
        <w:rPr>
          <w:rFonts w:ascii="Times New Roman" w:eastAsia="Times New Roman" w:hAnsi="Times New Roman" w:cs="Times New Roman"/>
          <w:sz w:val="24"/>
          <w:szCs w:val="24"/>
        </w:rPr>
      </w:pPr>
    </w:p>
    <w:p w14:paraId="06C6E1C5" w14:textId="77777777" w:rsidR="005F7ED7" w:rsidRPr="00184567" w:rsidRDefault="005F7ED7" w:rsidP="002264C5">
      <w:pPr>
        <w:spacing w:after="0" w:line="360" w:lineRule="auto"/>
        <w:ind w:left="-170" w:right="-170"/>
        <w:jc w:val="both"/>
        <w:rPr>
          <w:rFonts w:ascii="Times New Roman" w:eastAsia="Times New Roman" w:hAnsi="Times New Roman" w:cs="Times New Roman"/>
          <w:sz w:val="24"/>
          <w:szCs w:val="24"/>
        </w:rPr>
      </w:pPr>
    </w:p>
    <w:p w14:paraId="0254DAFF" w14:textId="77777777" w:rsidR="002264C5" w:rsidRPr="006B2AB8"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4</w:t>
      </w:r>
      <w:r w:rsidRPr="00F63B82">
        <w:rPr>
          <w:rFonts w:ascii="Times New Roman" w:eastAsia="Times New Roman" w:hAnsi="Times New Roman" w:cs="Times New Roman"/>
          <w:b/>
          <w:sz w:val="24"/>
          <w:szCs w:val="24"/>
        </w:rPr>
        <w:t xml:space="preserve"> </w:t>
      </w:r>
      <w:r w:rsidRPr="006B2AB8">
        <w:rPr>
          <w:rFonts w:ascii="Times New Roman" w:eastAsia="Times New Roman" w:hAnsi="Times New Roman" w:cs="Times New Roman"/>
          <w:b/>
          <w:sz w:val="24"/>
          <w:szCs w:val="24"/>
        </w:rPr>
        <w:t xml:space="preserve">Determination of pH </w:t>
      </w:r>
      <w:r w:rsidRPr="006B2AB8">
        <w:rPr>
          <w:rFonts w:ascii="Times New Roman" w:eastAsia="Times New Roman" w:hAnsi="Times New Roman" w:cs="Times New Roman"/>
          <w:sz w:val="24"/>
          <w:szCs w:val="24"/>
        </w:rPr>
        <w:t xml:space="preserve"> </w:t>
      </w:r>
    </w:p>
    <w:p w14:paraId="0C622794" w14:textId="4A32B4DE" w:rsidR="002264C5"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pH can be carried out using pH meter, the following are procedures for determination of pH:</w:t>
      </w:r>
      <w:r>
        <w:rPr>
          <w:rFonts w:ascii="Times New Roman" w:eastAsia="Times New Roman" w:hAnsi="Times New Roman" w:cs="Times New Roman"/>
          <w:sz w:val="24"/>
          <w:szCs w:val="24"/>
        </w:rPr>
        <w:t xml:space="preserve"> The </w:t>
      </w:r>
      <w:r w:rsidRPr="00502829">
        <w:rPr>
          <w:rFonts w:ascii="Times New Roman" w:eastAsia="Times New Roman" w:hAnsi="Times New Roman" w:cs="Times New Roman"/>
          <w:sz w:val="24"/>
          <w:szCs w:val="24"/>
        </w:rPr>
        <w:t xml:space="preserve">pH meter was calibrated using buffer 7.2 </w:t>
      </w:r>
      <w:r>
        <w:rPr>
          <w:rFonts w:ascii="Times New Roman" w:eastAsia="Times New Roman" w:hAnsi="Times New Roman" w:cs="Times New Roman"/>
          <w:sz w:val="24"/>
          <w:szCs w:val="24"/>
        </w:rPr>
        <w:t>T</w:t>
      </w:r>
      <w:r w:rsidRPr="00502829">
        <w:rPr>
          <w:rFonts w:ascii="Times New Roman" w:eastAsia="Times New Roman" w:hAnsi="Times New Roman" w:cs="Times New Roman"/>
          <w:sz w:val="24"/>
          <w:szCs w:val="24"/>
        </w:rPr>
        <w:t>he glass electrode</w:t>
      </w:r>
      <w:r>
        <w:rPr>
          <w:rFonts w:ascii="Times New Roman" w:eastAsia="Times New Roman" w:hAnsi="Times New Roman" w:cs="Times New Roman"/>
          <w:sz w:val="24"/>
          <w:szCs w:val="24"/>
        </w:rPr>
        <w:t xml:space="preserve"> untied from the electrode maintenance. T</w:t>
      </w:r>
      <w:r w:rsidRPr="00502829">
        <w:rPr>
          <w:rFonts w:ascii="Times New Roman" w:eastAsia="Times New Roman" w:hAnsi="Times New Roman" w:cs="Times New Roman"/>
          <w:sz w:val="24"/>
          <w:szCs w:val="24"/>
        </w:rPr>
        <w:t xml:space="preserve">he electrode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 xml:space="preserve">with distilled water and wiped with a clean </w:t>
      </w:r>
      <w:r w:rsidR="006A34BB" w:rsidRPr="00502829">
        <w:rPr>
          <w:rFonts w:ascii="Times New Roman" w:eastAsia="Times New Roman" w:hAnsi="Times New Roman" w:cs="Times New Roman"/>
          <w:sz w:val="24"/>
          <w:szCs w:val="24"/>
        </w:rPr>
        <w:t>towel</w:t>
      </w:r>
      <w:r w:rsidR="006A34BB">
        <w:rPr>
          <w:rFonts w:ascii="Times New Roman" w:eastAsia="Times New Roman" w:hAnsi="Times New Roman" w:cs="Times New Roman"/>
          <w:sz w:val="24"/>
          <w:szCs w:val="24"/>
        </w:rPr>
        <w:t>. The</w:t>
      </w:r>
      <w:r w:rsidRPr="00502829">
        <w:rPr>
          <w:rFonts w:ascii="Times New Roman" w:eastAsia="Times New Roman" w:hAnsi="Times New Roman" w:cs="Times New Roman"/>
          <w:sz w:val="24"/>
          <w:szCs w:val="24"/>
        </w:rPr>
        <w:t xml:space="preserve"> electrode </w:t>
      </w:r>
      <w:r>
        <w:rPr>
          <w:rFonts w:ascii="Times New Roman" w:eastAsia="Times New Roman" w:hAnsi="Times New Roman" w:cs="Times New Roman"/>
          <w:sz w:val="24"/>
          <w:szCs w:val="24"/>
        </w:rPr>
        <w:t xml:space="preserve">was inverted </w:t>
      </w:r>
      <w:r w:rsidRPr="00502829">
        <w:rPr>
          <w:rFonts w:ascii="Times New Roman" w:eastAsia="Times New Roman" w:hAnsi="Times New Roman" w:cs="Times New Roman"/>
          <w:sz w:val="24"/>
          <w:szCs w:val="24"/>
        </w:rPr>
        <w:t>into the sample then read</w:t>
      </w:r>
      <w:r w:rsidR="006A34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w:t>
      </w:r>
      <w:r w:rsidRPr="00502829">
        <w:rPr>
          <w:rFonts w:ascii="Times New Roman" w:eastAsia="Times New Roman" w:hAnsi="Times New Roman" w:cs="Times New Roman"/>
          <w:sz w:val="24"/>
          <w:szCs w:val="24"/>
        </w:rPr>
        <w:t xml:space="preserve">esults were recorded </w:t>
      </w:r>
    </w:p>
    <w:p w14:paraId="2C95226D" w14:textId="77777777" w:rsidR="002264C5" w:rsidRPr="00F63B82"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w:t>
      </w:r>
      <w:r w:rsidRPr="00F63B82">
        <w:rPr>
          <w:rFonts w:ascii="Times New Roman" w:eastAsia="Times New Roman" w:hAnsi="Times New Roman" w:cs="Times New Roman"/>
          <w:b/>
          <w:sz w:val="24"/>
          <w:szCs w:val="24"/>
        </w:rPr>
        <w:t>Determination of</w:t>
      </w:r>
      <w:r>
        <w:rPr>
          <w:rFonts w:ascii="Times New Roman" w:eastAsia="Times New Roman" w:hAnsi="Times New Roman" w:cs="Times New Roman"/>
          <w:b/>
          <w:sz w:val="24"/>
          <w:szCs w:val="24"/>
        </w:rPr>
        <w:t xml:space="preserve"> E</w:t>
      </w:r>
      <w:r w:rsidRPr="00F63B82">
        <w:rPr>
          <w:rFonts w:ascii="Times New Roman" w:eastAsia="Times New Roman" w:hAnsi="Times New Roman" w:cs="Times New Roman"/>
          <w:b/>
          <w:sz w:val="24"/>
          <w:szCs w:val="24"/>
        </w:rPr>
        <w:t xml:space="preserve">lectrical </w:t>
      </w:r>
      <w:r>
        <w:rPr>
          <w:rFonts w:ascii="Times New Roman" w:eastAsia="Times New Roman" w:hAnsi="Times New Roman" w:cs="Times New Roman"/>
          <w:b/>
          <w:sz w:val="24"/>
          <w:szCs w:val="24"/>
        </w:rPr>
        <w:t>C</w:t>
      </w:r>
      <w:r w:rsidRPr="00F63B82">
        <w:rPr>
          <w:rFonts w:ascii="Times New Roman" w:eastAsia="Times New Roman" w:hAnsi="Times New Roman" w:cs="Times New Roman"/>
          <w:b/>
          <w:sz w:val="24"/>
          <w:szCs w:val="24"/>
        </w:rPr>
        <w:t xml:space="preserve">onductivity </w:t>
      </w:r>
    </w:p>
    <w:p w14:paraId="705668E8" w14:textId="77777777" w:rsidR="002264C5"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502829">
        <w:rPr>
          <w:rFonts w:ascii="Times New Roman" w:eastAsia="Times New Roman" w:hAnsi="Times New Roman" w:cs="Times New Roman"/>
          <w:sz w:val="24"/>
          <w:szCs w:val="24"/>
        </w:rPr>
        <w:t xml:space="preserve"> probe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with distilled water</w:t>
      </w:r>
      <w:r>
        <w:rPr>
          <w:rFonts w:ascii="Times New Roman" w:eastAsia="Times New Roman" w:hAnsi="Times New Roman" w:cs="Times New Roman"/>
          <w:sz w:val="24"/>
          <w:szCs w:val="24"/>
        </w:rPr>
        <w:t xml:space="preserve"> and w</w:t>
      </w:r>
      <w:r w:rsidRPr="00502829">
        <w:rPr>
          <w:rFonts w:ascii="Times New Roman" w:eastAsia="Times New Roman" w:hAnsi="Times New Roman" w:cs="Times New Roman"/>
          <w:sz w:val="24"/>
          <w:szCs w:val="24"/>
        </w:rPr>
        <w:t>iped with a clean towel</w:t>
      </w:r>
      <w:r>
        <w:rPr>
          <w:rFonts w:ascii="Times New Roman" w:eastAsia="Times New Roman" w:hAnsi="Times New Roman" w:cs="Times New Roman"/>
          <w:sz w:val="24"/>
          <w:szCs w:val="24"/>
        </w:rPr>
        <w:t>. T</w:t>
      </w:r>
      <w:r w:rsidRPr="00502829">
        <w:rPr>
          <w:rFonts w:ascii="Times New Roman" w:eastAsia="Times New Roman" w:hAnsi="Times New Roman" w:cs="Times New Roman"/>
          <w:sz w:val="24"/>
          <w:szCs w:val="24"/>
        </w:rPr>
        <w:t>he probe</w:t>
      </w:r>
      <w:r>
        <w:rPr>
          <w:rFonts w:ascii="Times New Roman" w:eastAsia="Times New Roman" w:hAnsi="Times New Roman" w:cs="Times New Roman"/>
          <w:sz w:val="24"/>
          <w:szCs w:val="24"/>
        </w:rPr>
        <w:t xml:space="preserve"> was placed</w:t>
      </w:r>
      <w:r w:rsidRPr="00502829">
        <w:rPr>
          <w:rFonts w:ascii="Times New Roman" w:eastAsia="Times New Roman" w:hAnsi="Times New Roman" w:cs="Times New Roman"/>
          <w:sz w:val="24"/>
          <w:szCs w:val="24"/>
        </w:rPr>
        <w:t xml:space="preserve"> into the sample</w:t>
      </w:r>
      <w:r>
        <w:rPr>
          <w:rFonts w:ascii="Times New Roman" w:eastAsia="Times New Roman" w:hAnsi="Times New Roman" w:cs="Times New Roman"/>
          <w:sz w:val="24"/>
          <w:szCs w:val="24"/>
        </w:rPr>
        <w:t xml:space="preserve"> and </w:t>
      </w:r>
      <w:r w:rsidRPr="00502829">
        <w:rPr>
          <w:rFonts w:ascii="Times New Roman" w:eastAsia="Times New Roman" w:hAnsi="Times New Roman" w:cs="Times New Roman"/>
          <w:sz w:val="24"/>
          <w:szCs w:val="24"/>
        </w:rPr>
        <w:t xml:space="preserve">figures </w:t>
      </w:r>
      <w:r>
        <w:rPr>
          <w:rFonts w:ascii="Times New Roman" w:eastAsia="Times New Roman" w:hAnsi="Times New Roman" w:cs="Times New Roman"/>
          <w:sz w:val="24"/>
          <w:szCs w:val="24"/>
        </w:rPr>
        <w:t>were</w:t>
      </w:r>
      <w:r w:rsidRPr="00502829">
        <w:rPr>
          <w:rFonts w:ascii="Times New Roman" w:eastAsia="Times New Roman" w:hAnsi="Times New Roman" w:cs="Times New Roman"/>
          <w:sz w:val="24"/>
          <w:szCs w:val="24"/>
        </w:rPr>
        <w:t xml:space="preserve"> displayed on the screen</w:t>
      </w:r>
      <w:r>
        <w:rPr>
          <w:rFonts w:ascii="Times New Roman" w:eastAsia="Times New Roman" w:hAnsi="Times New Roman" w:cs="Times New Roman"/>
          <w:sz w:val="24"/>
          <w:szCs w:val="24"/>
        </w:rPr>
        <w:t>. R</w:t>
      </w:r>
      <w:r w:rsidRPr="00502829">
        <w:rPr>
          <w:rFonts w:ascii="Times New Roman" w:eastAsia="Times New Roman" w:hAnsi="Times New Roman" w:cs="Times New Roman"/>
          <w:sz w:val="24"/>
          <w:szCs w:val="24"/>
        </w:rPr>
        <w:t xml:space="preserve">eadings were taken </w:t>
      </w:r>
      <w:r>
        <w:rPr>
          <w:rFonts w:ascii="Times New Roman" w:eastAsia="Times New Roman" w:hAnsi="Times New Roman" w:cs="Times New Roman"/>
          <w:sz w:val="24"/>
          <w:szCs w:val="24"/>
        </w:rPr>
        <w:t xml:space="preserve">when the figures were stable </w:t>
      </w:r>
      <w:r w:rsidRPr="00502829">
        <w:rPr>
          <w:rFonts w:ascii="Times New Roman" w:eastAsia="Times New Roman" w:hAnsi="Times New Roman" w:cs="Times New Roman"/>
          <w:sz w:val="24"/>
          <w:szCs w:val="24"/>
        </w:rPr>
        <w:t>and results were recorded</w:t>
      </w:r>
      <w:r>
        <w:rPr>
          <w:rFonts w:ascii="Times New Roman" w:eastAsia="Times New Roman" w:hAnsi="Times New Roman" w:cs="Times New Roman"/>
          <w:sz w:val="24"/>
          <w:szCs w:val="24"/>
        </w:rPr>
        <w:t>.</w:t>
      </w:r>
    </w:p>
    <w:p w14:paraId="3E037B83" w14:textId="77777777" w:rsidR="002264C5" w:rsidRPr="00F63B82"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6</w:t>
      </w:r>
      <w:r w:rsidRPr="00F63B82">
        <w:rPr>
          <w:rFonts w:ascii="Times New Roman" w:eastAsia="Times New Roman" w:hAnsi="Times New Roman" w:cs="Times New Roman"/>
          <w:b/>
          <w:sz w:val="24"/>
          <w:szCs w:val="24"/>
        </w:rPr>
        <w:t xml:space="preserve"> Determination of </w:t>
      </w:r>
      <w:r>
        <w:rPr>
          <w:rFonts w:ascii="Times New Roman" w:eastAsia="Times New Roman" w:hAnsi="Times New Roman" w:cs="Times New Roman"/>
          <w:b/>
          <w:sz w:val="24"/>
          <w:szCs w:val="24"/>
        </w:rPr>
        <w:t>T</w:t>
      </w:r>
      <w:r w:rsidRPr="00F63B82">
        <w:rPr>
          <w:rFonts w:ascii="Times New Roman" w:eastAsia="Times New Roman" w:hAnsi="Times New Roman" w:cs="Times New Roman"/>
          <w:b/>
          <w:sz w:val="24"/>
          <w:szCs w:val="24"/>
        </w:rPr>
        <w:t xml:space="preserve">otal </w:t>
      </w:r>
      <w:r>
        <w:rPr>
          <w:rFonts w:ascii="Times New Roman" w:eastAsia="Times New Roman" w:hAnsi="Times New Roman" w:cs="Times New Roman"/>
          <w:b/>
          <w:sz w:val="24"/>
          <w:szCs w:val="24"/>
        </w:rPr>
        <w:t>D</w:t>
      </w:r>
      <w:r w:rsidRPr="00F63B82">
        <w:rPr>
          <w:rFonts w:ascii="Times New Roman" w:eastAsia="Times New Roman" w:hAnsi="Times New Roman" w:cs="Times New Roman"/>
          <w:b/>
          <w:sz w:val="24"/>
          <w:szCs w:val="24"/>
        </w:rPr>
        <w:t xml:space="preserve">issolved </w:t>
      </w:r>
      <w:r>
        <w:rPr>
          <w:rFonts w:ascii="Times New Roman" w:eastAsia="Times New Roman" w:hAnsi="Times New Roman" w:cs="Times New Roman"/>
          <w:b/>
          <w:sz w:val="24"/>
          <w:szCs w:val="24"/>
        </w:rPr>
        <w:t>S</w:t>
      </w:r>
      <w:r w:rsidRPr="00F63B82">
        <w:rPr>
          <w:rFonts w:ascii="Times New Roman" w:eastAsia="Times New Roman" w:hAnsi="Times New Roman" w:cs="Times New Roman"/>
          <w:b/>
          <w:sz w:val="24"/>
          <w:szCs w:val="24"/>
        </w:rPr>
        <w:t>olid</w:t>
      </w:r>
    </w:p>
    <w:p w14:paraId="22C89EEA" w14:textId="0499EE03" w:rsidR="006A34BB" w:rsidRPr="005F7ED7" w:rsidRDefault="002264C5" w:rsidP="005F7ED7">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Total dissolved solid was carried out using conductivity meter.</w:t>
      </w:r>
      <w:r>
        <w:rPr>
          <w:rFonts w:ascii="Times New Roman" w:eastAsia="Times New Roman" w:hAnsi="Times New Roman" w:cs="Times New Roman"/>
          <w:sz w:val="24"/>
          <w:szCs w:val="24"/>
        </w:rPr>
        <w:t xml:space="preserve"> The</w:t>
      </w:r>
      <w:r w:rsidRPr="00502829">
        <w:rPr>
          <w:rFonts w:ascii="Times New Roman" w:eastAsia="Times New Roman" w:hAnsi="Times New Roman" w:cs="Times New Roman"/>
          <w:sz w:val="24"/>
          <w:szCs w:val="24"/>
        </w:rPr>
        <w:t xml:space="preserve"> probe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with distilled water</w:t>
      </w:r>
      <w:r>
        <w:rPr>
          <w:rFonts w:ascii="Times New Roman" w:eastAsia="Times New Roman" w:hAnsi="Times New Roman" w:cs="Times New Roman"/>
          <w:sz w:val="24"/>
          <w:szCs w:val="24"/>
        </w:rPr>
        <w:t xml:space="preserve"> and w</w:t>
      </w:r>
      <w:r w:rsidRPr="00502829">
        <w:rPr>
          <w:rFonts w:ascii="Times New Roman" w:eastAsia="Times New Roman" w:hAnsi="Times New Roman" w:cs="Times New Roman"/>
          <w:sz w:val="24"/>
          <w:szCs w:val="24"/>
        </w:rPr>
        <w:t>iped with a clean towel</w:t>
      </w:r>
      <w:r>
        <w:rPr>
          <w:rFonts w:ascii="Times New Roman" w:eastAsia="Times New Roman" w:hAnsi="Times New Roman" w:cs="Times New Roman"/>
          <w:sz w:val="24"/>
          <w:szCs w:val="24"/>
        </w:rPr>
        <w:t>. T</w:t>
      </w:r>
      <w:r w:rsidRPr="00502829">
        <w:rPr>
          <w:rFonts w:ascii="Times New Roman" w:eastAsia="Times New Roman" w:hAnsi="Times New Roman" w:cs="Times New Roman"/>
          <w:sz w:val="24"/>
          <w:szCs w:val="24"/>
        </w:rPr>
        <w:t>he probe</w:t>
      </w:r>
      <w:r>
        <w:rPr>
          <w:rFonts w:ascii="Times New Roman" w:eastAsia="Times New Roman" w:hAnsi="Times New Roman" w:cs="Times New Roman"/>
          <w:sz w:val="24"/>
          <w:szCs w:val="24"/>
        </w:rPr>
        <w:t xml:space="preserve"> was placed</w:t>
      </w:r>
      <w:r w:rsidRPr="00502829">
        <w:rPr>
          <w:rFonts w:ascii="Times New Roman" w:eastAsia="Times New Roman" w:hAnsi="Times New Roman" w:cs="Times New Roman"/>
          <w:sz w:val="24"/>
          <w:szCs w:val="24"/>
        </w:rPr>
        <w:t xml:space="preserve"> into the sample</w:t>
      </w:r>
      <w:r>
        <w:rPr>
          <w:rFonts w:ascii="Times New Roman" w:eastAsia="Times New Roman" w:hAnsi="Times New Roman" w:cs="Times New Roman"/>
          <w:sz w:val="24"/>
          <w:szCs w:val="24"/>
        </w:rPr>
        <w:t xml:space="preserve"> and </w:t>
      </w:r>
      <w:r w:rsidRPr="00502829">
        <w:rPr>
          <w:rFonts w:ascii="Times New Roman" w:eastAsia="Times New Roman" w:hAnsi="Times New Roman" w:cs="Times New Roman"/>
          <w:sz w:val="24"/>
          <w:szCs w:val="24"/>
        </w:rPr>
        <w:t xml:space="preserve">figures </w:t>
      </w:r>
      <w:r>
        <w:rPr>
          <w:rFonts w:ascii="Times New Roman" w:eastAsia="Times New Roman" w:hAnsi="Times New Roman" w:cs="Times New Roman"/>
          <w:sz w:val="24"/>
          <w:szCs w:val="24"/>
        </w:rPr>
        <w:t>were</w:t>
      </w:r>
      <w:r w:rsidRPr="00502829">
        <w:rPr>
          <w:rFonts w:ascii="Times New Roman" w:eastAsia="Times New Roman" w:hAnsi="Times New Roman" w:cs="Times New Roman"/>
          <w:sz w:val="24"/>
          <w:szCs w:val="24"/>
        </w:rPr>
        <w:t xml:space="preserve"> displayed on the screen</w:t>
      </w:r>
      <w:r>
        <w:rPr>
          <w:rFonts w:ascii="Times New Roman" w:eastAsia="Times New Roman" w:hAnsi="Times New Roman" w:cs="Times New Roman"/>
          <w:sz w:val="24"/>
          <w:szCs w:val="24"/>
        </w:rPr>
        <w:t>. R</w:t>
      </w:r>
      <w:r w:rsidRPr="00502829">
        <w:rPr>
          <w:rFonts w:ascii="Times New Roman" w:eastAsia="Times New Roman" w:hAnsi="Times New Roman" w:cs="Times New Roman"/>
          <w:sz w:val="24"/>
          <w:szCs w:val="24"/>
        </w:rPr>
        <w:t xml:space="preserve">eadings were taken </w:t>
      </w:r>
      <w:r>
        <w:rPr>
          <w:rFonts w:ascii="Times New Roman" w:eastAsia="Times New Roman" w:hAnsi="Times New Roman" w:cs="Times New Roman"/>
          <w:sz w:val="24"/>
          <w:szCs w:val="24"/>
        </w:rPr>
        <w:t xml:space="preserve">when the figures were stable </w:t>
      </w:r>
      <w:r w:rsidRPr="00502829">
        <w:rPr>
          <w:rFonts w:ascii="Times New Roman" w:eastAsia="Times New Roman" w:hAnsi="Times New Roman" w:cs="Times New Roman"/>
          <w:sz w:val="24"/>
          <w:szCs w:val="24"/>
        </w:rPr>
        <w:t>and results were recorded</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Getenga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2014).</w:t>
      </w:r>
    </w:p>
    <w:p w14:paraId="509105CE" w14:textId="25395041" w:rsidR="002264C5" w:rsidRPr="00FE7380" w:rsidRDefault="002264C5" w:rsidP="002264C5">
      <w:pPr>
        <w:spacing w:after="0" w:line="360" w:lineRule="auto"/>
        <w:ind w:left="-170" w:right="-170"/>
        <w:jc w:val="both"/>
        <w:rPr>
          <w:rFonts w:ascii="Times New Roman" w:eastAsia="Times New Roman" w:hAnsi="Times New Roman" w:cs="Times New Roman"/>
          <w:b/>
          <w:bCs/>
          <w:sz w:val="24"/>
          <w:szCs w:val="24"/>
        </w:rPr>
      </w:pPr>
      <w:r w:rsidRPr="00F63B82">
        <w:rPr>
          <w:rFonts w:ascii="Times New Roman" w:eastAsia="Times New Roman" w:hAnsi="Times New Roman" w:cs="Times New Roman"/>
          <w:b/>
          <w:bCs/>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Analytical Procedure for Determination of Pesticide</w:t>
      </w:r>
    </w:p>
    <w:p w14:paraId="669882EE"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bookmarkStart w:id="2" w:name="_Hlk168846215"/>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4.1</w:t>
      </w:r>
      <w:r w:rsidRPr="00502829">
        <w:rPr>
          <w:rFonts w:ascii="Times New Roman" w:eastAsia="Times New Roman" w:hAnsi="Times New Roman" w:cs="Times New Roman"/>
          <w:b/>
          <w:sz w:val="24"/>
          <w:szCs w:val="24"/>
        </w:rPr>
        <w:t xml:space="preserve"> Extraction of </w:t>
      </w:r>
      <w:r>
        <w:rPr>
          <w:rFonts w:ascii="Times New Roman" w:eastAsia="Times New Roman" w:hAnsi="Times New Roman" w:cs="Times New Roman"/>
          <w:b/>
          <w:sz w:val="24"/>
          <w:szCs w:val="24"/>
        </w:rPr>
        <w:t>P</w:t>
      </w:r>
      <w:r w:rsidRPr="00502829">
        <w:rPr>
          <w:rFonts w:ascii="Times New Roman" w:eastAsia="Times New Roman" w:hAnsi="Times New Roman" w:cs="Times New Roman"/>
          <w:b/>
          <w:sz w:val="24"/>
          <w:szCs w:val="24"/>
        </w:rPr>
        <w:t xml:space="preserve">esticide </w:t>
      </w:r>
      <w:r>
        <w:rPr>
          <w:rFonts w:ascii="Times New Roman" w:eastAsia="Times New Roman" w:hAnsi="Times New Roman" w:cs="Times New Roman"/>
          <w:b/>
          <w:sz w:val="24"/>
          <w:szCs w:val="24"/>
        </w:rPr>
        <w:t>R</w:t>
      </w:r>
      <w:r w:rsidRPr="00502829">
        <w:rPr>
          <w:rFonts w:ascii="Times New Roman" w:eastAsia="Times New Roman" w:hAnsi="Times New Roman" w:cs="Times New Roman"/>
          <w:b/>
          <w:sz w:val="24"/>
          <w:szCs w:val="24"/>
        </w:rPr>
        <w:t xml:space="preserve">esidue in </w:t>
      </w:r>
      <w:r>
        <w:rPr>
          <w:rFonts w:ascii="Times New Roman" w:eastAsia="Times New Roman" w:hAnsi="Times New Roman" w:cs="Times New Roman"/>
          <w:b/>
          <w:sz w:val="24"/>
          <w:szCs w:val="24"/>
        </w:rPr>
        <w:t>W</w:t>
      </w:r>
      <w:r w:rsidRPr="00502829">
        <w:rPr>
          <w:rFonts w:ascii="Times New Roman" w:eastAsia="Times New Roman" w:hAnsi="Times New Roman" w:cs="Times New Roman"/>
          <w:b/>
          <w:sz w:val="24"/>
          <w:szCs w:val="24"/>
        </w:rPr>
        <w:t xml:space="preserve">ater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ample </w:t>
      </w:r>
    </w:p>
    <w:p w14:paraId="7A90BCF8" w14:textId="77777777" w:rsidR="00A11F88" w:rsidRDefault="00A11F88" w:rsidP="002264C5">
      <w:pPr>
        <w:spacing w:after="0" w:line="360" w:lineRule="auto"/>
        <w:ind w:left="-170" w:right="-170"/>
        <w:jc w:val="both"/>
        <w:rPr>
          <w:rFonts w:ascii="Times New Roman" w:eastAsia="Times New Roman" w:hAnsi="Times New Roman" w:cs="Times New Roman"/>
          <w:sz w:val="24"/>
          <w:szCs w:val="24"/>
        </w:rPr>
      </w:pPr>
      <w:bookmarkStart w:id="3" w:name="_Hlk168846238"/>
      <w:bookmarkEnd w:id="2"/>
      <w:r w:rsidRPr="00A11F88">
        <w:rPr>
          <w:rFonts w:ascii="Times New Roman" w:eastAsia="Times New Roman" w:hAnsi="Times New Roman" w:cs="Times New Roman"/>
          <w:sz w:val="24"/>
          <w:szCs w:val="24"/>
        </w:rPr>
        <w:lastRenderedPageBreak/>
        <w:t>Approximately 15 mL of n-hexane in diethyl ether was added to a 500 mL separating funnel containing 100 mL of the filtered water sample. The mixture was vigorously shaken for 2 minutes and allowed to settle. Once phase separation was complete, the organic layer was collected into a 250 mL conical flask, and the aqueous phase was re-extracted twice with 85 mL of n-hexane (Das et al., 2012). The combined organic extracts were dried by passing through a glass funnel packed with activated anhydrous sodium sulfate. The resulting organic fraction was then concentrated to near dryness using a vacuum rotary evaporator at 40 °C (Ortiz-Hernández et al., 2013).</w:t>
      </w:r>
    </w:p>
    <w:p w14:paraId="558F248C" w14:textId="7692D8B6"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 xml:space="preserve"> Procedure for Methylation </w:t>
      </w:r>
    </w:p>
    <w:bookmarkEnd w:id="3"/>
    <w:p w14:paraId="6131836A" w14:textId="3D3B7899" w:rsidR="006A34BB" w:rsidRPr="00FE5690" w:rsidRDefault="00A11F88" w:rsidP="00FE5690">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The acid–methanol methylation method was employed. Briefly, 4 mL of the extract was transferred into a 20 mL test tube containing 2 mL of 10% v/v H₂SO₄ in methanol. The test tube was capped with a screw cap and heated at 80 °C for 30 minutes. The organic layer was then evaporated to approximately 100 µL, and 2 µL of the resulting solution was injected into the gas chromatograph (GC) system for analysis (</w:t>
      </w:r>
      <w:proofErr w:type="spellStart"/>
      <w:r w:rsidRPr="00A11F88">
        <w:rPr>
          <w:rFonts w:ascii="Times New Roman" w:eastAsia="Times New Roman" w:hAnsi="Times New Roman" w:cs="Times New Roman"/>
          <w:sz w:val="24"/>
          <w:szCs w:val="24"/>
        </w:rPr>
        <w:t>Essumang</w:t>
      </w:r>
      <w:proofErr w:type="spellEnd"/>
      <w:r w:rsidRPr="00A11F88">
        <w:rPr>
          <w:rFonts w:ascii="Times New Roman" w:eastAsia="Times New Roman" w:hAnsi="Times New Roman" w:cs="Times New Roman"/>
          <w:sz w:val="24"/>
          <w:szCs w:val="24"/>
        </w:rPr>
        <w:t xml:space="preserve"> and </w:t>
      </w:r>
      <w:proofErr w:type="spellStart"/>
      <w:r w:rsidRPr="00A11F88">
        <w:rPr>
          <w:rFonts w:ascii="Times New Roman" w:eastAsia="Times New Roman" w:hAnsi="Times New Roman" w:cs="Times New Roman"/>
          <w:sz w:val="24"/>
          <w:szCs w:val="24"/>
        </w:rPr>
        <w:t>Chokky</w:t>
      </w:r>
      <w:proofErr w:type="spellEnd"/>
      <w:r w:rsidRPr="00A11F88">
        <w:rPr>
          <w:rFonts w:ascii="Times New Roman" w:eastAsia="Times New Roman" w:hAnsi="Times New Roman" w:cs="Times New Roman"/>
          <w:sz w:val="24"/>
          <w:szCs w:val="24"/>
        </w:rPr>
        <w:t>, 2019)</w:t>
      </w:r>
      <w:r w:rsidR="002264C5">
        <w:rPr>
          <w:rFonts w:ascii="Times New Roman" w:eastAsia="Times New Roman" w:hAnsi="Times New Roman" w:cs="Times New Roman"/>
          <w:sz w:val="24"/>
          <w:szCs w:val="24"/>
        </w:rPr>
        <w:t>.</w:t>
      </w:r>
      <w:bookmarkStart w:id="4" w:name="_Hlk168846260"/>
    </w:p>
    <w:p w14:paraId="31D598BA" w14:textId="05852D8F"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4.3 </w:t>
      </w:r>
      <w:r w:rsidRPr="00502829">
        <w:rPr>
          <w:rFonts w:ascii="Times New Roman" w:eastAsia="Times New Roman" w:hAnsi="Times New Roman" w:cs="Times New Roman"/>
          <w:b/>
          <w:sz w:val="24"/>
          <w:szCs w:val="24"/>
        </w:rPr>
        <w:t xml:space="preserve">GC–MS </w:t>
      </w:r>
      <w:r>
        <w:rPr>
          <w:rFonts w:ascii="Times New Roman" w:eastAsia="Times New Roman" w:hAnsi="Times New Roman" w:cs="Times New Roman"/>
          <w:b/>
          <w:sz w:val="24"/>
          <w:szCs w:val="24"/>
        </w:rPr>
        <w:t>A</w:t>
      </w:r>
      <w:r w:rsidRPr="00502829">
        <w:rPr>
          <w:rFonts w:ascii="Times New Roman" w:eastAsia="Times New Roman" w:hAnsi="Times New Roman" w:cs="Times New Roman"/>
          <w:b/>
          <w:sz w:val="24"/>
          <w:szCs w:val="24"/>
        </w:rPr>
        <w:t>nalysis</w:t>
      </w:r>
    </w:p>
    <w:bookmarkEnd w:id="4"/>
    <w:p w14:paraId="09C90EEE" w14:textId="77777777" w:rsidR="00A11F88" w:rsidRDefault="00A11F88" w:rsidP="00A11F88">
      <w:pPr>
        <w:spacing w:after="0" w:line="360" w:lineRule="auto"/>
        <w:ind w:left="-170" w:right="-170"/>
        <w:jc w:val="both"/>
        <w:rPr>
          <w:rFonts w:ascii="Times New Roman" w:eastAsia="Times New Roman" w:hAnsi="Times New Roman" w:cs="Times New Roman"/>
          <w:sz w:val="24"/>
          <w:szCs w:val="24"/>
        </w:rPr>
      </w:pPr>
      <w:r w:rsidRPr="00A11F88">
        <w:rPr>
          <w:rFonts w:ascii="Times New Roman" w:eastAsia="Times New Roman" w:hAnsi="Times New Roman" w:cs="Times New Roman"/>
          <w:sz w:val="24"/>
          <w:szCs w:val="24"/>
        </w:rPr>
        <w:t xml:space="preserve">The GC–MS analysis of bioactive compounds from the various leaf extracts was performed using an Agilent Technologies GC system (GC-7890A/MS-5975C; Agilent Technologies, Santa Clara, CA, USA) equipped with an HP-5MS column (30 m length × 250 µm internal diameter × 0.25 µm film thickness). Detection was achieved via an electron ionization system operating at 70 eV. High-purity helium gas (99.995%) was used as the carrier gas at a flow rate of 1 mL/min (Cox, 2012). The oven temperature was initially set between 50 and 150 °C, increasing at a rate of 3 °C/min with a hold time of 10 minutes, and then further increased to 300 °C at 10 °C/min. One </w:t>
      </w:r>
      <w:proofErr w:type="spellStart"/>
      <w:r w:rsidRPr="00A11F88">
        <w:rPr>
          <w:rFonts w:ascii="Times New Roman" w:eastAsia="Times New Roman" w:hAnsi="Times New Roman" w:cs="Times New Roman"/>
          <w:sz w:val="24"/>
          <w:szCs w:val="24"/>
        </w:rPr>
        <w:t>microlitre</w:t>
      </w:r>
      <w:proofErr w:type="spellEnd"/>
      <w:r w:rsidRPr="00A11F88">
        <w:rPr>
          <w:rFonts w:ascii="Times New Roman" w:eastAsia="Times New Roman" w:hAnsi="Times New Roman" w:cs="Times New Roman"/>
          <w:sz w:val="24"/>
          <w:szCs w:val="24"/>
        </w:rPr>
        <w:t xml:space="preserve"> of each 1% extract solution, prepared in the respective solvents, was injected in </w:t>
      </w:r>
      <w:proofErr w:type="spellStart"/>
      <w:r w:rsidRPr="00A11F88">
        <w:rPr>
          <w:rFonts w:ascii="Times New Roman" w:eastAsia="Times New Roman" w:hAnsi="Times New Roman" w:cs="Times New Roman"/>
          <w:sz w:val="24"/>
          <w:szCs w:val="24"/>
        </w:rPr>
        <w:t>splitless</w:t>
      </w:r>
      <w:proofErr w:type="spellEnd"/>
      <w:r w:rsidRPr="00A11F88">
        <w:rPr>
          <w:rFonts w:ascii="Times New Roman" w:eastAsia="Times New Roman" w:hAnsi="Times New Roman" w:cs="Times New Roman"/>
          <w:sz w:val="24"/>
          <w:szCs w:val="24"/>
        </w:rPr>
        <w:t xml:space="preserve"> mode (</w:t>
      </w:r>
      <w:proofErr w:type="spellStart"/>
      <w:r w:rsidRPr="00A11F88">
        <w:rPr>
          <w:rFonts w:ascii="Times New Roman" w:eastAsia="Times New Roman" w:hAnsi="Times New Roman" w:cs="Times New Roman"/>
          <w:sz w:val="24"/>
          <w:szCs w:val="24"/>
        </w:rPr>
        <w:t>Fianko</w:t>
      </w:r>
      <w:proofErr w:type="spellEnd"/>
      <w:r w:rsidRPr="00A11F88">
        <w:rPr>
          <w:rFonts w:ascii="Times New Roman" w:eastAsia="Times New Roman" w:hAnsi="Times New Roman" w:cs="Times New Roman"/>
          <w:sz w:val="24"/>
          <w:szCs w:val="24"/>
        </w:rPr>
        <w:t xml:space="preserve"> et al., 2011). The relative quantities of chemical compounds present in the extracts of B. </w:t>
      </w:r>
      <w:proofErr w:type="spellStart"/>
      <w:r w:rsidRPr="00A11F88">
        <w:rPr>
          <w:rFonts w:ascii="Times New Roman" w:eastAsia="Times New Roman" w:hAnsi="Times New Roman" w:cs="Times New Roman"/>
          <w:sz w:val="24"/>
          <w:szCs w:val="24"/>
        </w:rPr>
        <w:t>luzonica</w:t>
      </w:r>
      <w:proofErr w:type="spellEnd"/>
      <w:r w:rsidRPr="00A11F88">
        <w:rPr>
          <w:rFonts w:ascii="Times New Roman" w:eastAsia="Times New Roman" w:hAnsi="Times New Roman" w:cs="Times New Roman"/>
          <w:sz w:val="24"/>
          <w:szCs w:val="24"/>
        </w:rPr>
        <w:t xml:space="preserve"> were expressed as percentages based on peak areas in the chromatograms (Guo et al., 2018).</w:t>
      </w:r>
    </w:p>
    <w:p w14:paraId="6D337A68" w14:textId="1F2FD9F3" w:rsidR="002264C5" w:rsidRDefault="00A11F88" w:rsidP="00A11F88">
      <w:pPr>
        <w:spacing w:after="0" w:line="360" w:lineRule="auto"/>
        <w:ind w:left="-170" w:right="-170"/>
        <w:jc w:val="both"/>
        <w:rPr>
          <w:rFonts w:ascii="Times New Roman" w:eastAsia="Times New Roman" w:hAnsi="Times New Roman" w:cs="Times New Roman"/>
          <w:sz w:val="24"/>
          <w:szCs w:val="24"/>
        </w:rPr>
      </w:pPr>
      <w:bookmarkStart w:id="5" w:name="_GoBack"/>
      <w:bookmarkEnd w:id="5"/>
      <w:r w:rsidRPr="00A11F88">
        <w:rPr>
          <w:rFonts w:ascii="Times New Roman" w:eastAsia="Times New Roman" w:hAnsi="Times New Roman" w:cs="Times New Roman"/>
          <w:sz w:val="24"/>
          <w:szCs w:val="24"/>
        </w:rPr>
        <w:t xml:space="preserve">Bioactive compounds from the various samples were identified based on their GC retention times on the HP-5MS column and by matching the mass spectra with reference data from the GC–MS system libraries, including </w:t>
      </w:r>
      <w:proofErr w:type="spellStart"/>
      <w:r w:rsidRPr="00A11F88">
        <w:rPr>
          <w:rFonts w:ascii="Times New Roman" w:eastAsia="Times New Roman" w:hAnsi="Times New Roman" w:cs="Times New Roman"/>
          <w:sz w:val="24"/>
          <w:szCs w:val="24"/>
        </w:rPr>
        <w:t>Replib</w:t>
      </w:r>
      <w:proofErr w:type="spellEnd"/>
      <w:r w:rsidRPr="00A11F88">
        <w:rPr>
          <w:rFonts w:ascii="Times New Roman" w:eastAsia="Times New Roman" w:hAnsi="Times New Roman" w:cs="Times New Roman"/>
          <w:sz w:val="24"/>
          <w:szCs w:val="24"/>
        </w:rPr>
        <w:t xml:space="preserve"> and </w:t>
      </w:r>
      <w:proofErr w:type="spellStart"/>
      <w:r w:rsidRPr="00A11F88">
        <w:rPr>
          <w:rFonts w:ascii="Times New Roman" w:eastAsia="Times New Roman" w:hAnsi="Times New Roman" w:cs="Times New Roman"/>
          <w:sz w:val="24"/>
          <w:szCs w:val="24"/>
        </w:rPr>
        <w:t>Mainlib</w:t>
      </w:r>
      <w:proofErr w:type="spellEnd"/>
      <w:r w:rsidRPr="00A11F88">
        <w:rPr>
          <w:rFonts w:ascii="Times New Roman" w:eastAsia="Times New Roman" w:hAnsi="Times New Roman" w:cs="Times New Roman"/>
          <w:sz w:val="24"/>
          <w:szCs w:val="24"/>
        </w:rPr>
        <w:t>.</w:t>
      </w:r>
    </w:p>
    <w:p w14:paraId="3F8671C1" w14:textId="77777777" w:rsidR="00A11F88" w:rsidRDefault="00A11F88" w:rsidP="002264C5">
      <w:pPr>
        <w:spacing w:after="0" w:line="360" w:lineRule="auto"/>
        <w:jc w:val="both"/>
        <w:rPr>
          <w:rFonts w:ascii="Times New Roman" w:eastAsia="Times New Roman" w:hAnsi="Times New Roman" w:cs="Times New Roman"/>
          <w:b/>
          <w:bCs/>
          <w:sz w:val="24"/>
          <w:szCs w:val="24"/>
        </w:rPr>
      </w:pPr>
    </w:p>
    <w:p w14:paraId="6B9564CE" w14:textId="77777777" w:rsidR="00951A00" w:rsidRDefault="00951A00" w:rsidP="002264C5">
      <w:pPr>
        <w:spacing w:after="0" w:line="360" w:lineRule="auto"/>
        <w:jc w:val="both"/>
        <w:rPr>
          <w:rFonts w:ascii="Times New Roman" w:eastAsia="Times New Roman" w:hAnsi="Times New Roman" w:cs="Times New Roman"/>
          <w:b/>
          <w:bCs/>
          <w:sz w:val="24"/>
          <w:szCs w:val="24"/>
        </w:rPr>
      </w:pPr>
    </w:p>
    <w:p w14:paraId="0653663F" w14:textId="77777777" w:rsidR="00FE5690" w:rsidRDefault="00FE5690" w:rsidP="002264C5">
      <w:pPr>
        <w:spacing w:after="0" w:line="360" w:lineRule="auto"/>
        <w:jc w:val="both"/>
        <w:rPr>
          <w:rFonts w:ascii="Times New Roman" w:eastAsia="Times New Roman" w:hAnsi="Times New Roman" w:cs="Times New Roman"/>
          <w:b/>
          <w:bCs/>
          <w:sz w:val="24"/>
          <w:szCs w:val="24"/>
        </w:rPr>
      </w:pPr>
    </w:p>
    <w:p w14:paraId="44A8A3F3" w14:textId="77777777" w:rsidR="005F7ED7" w:rsidRDefault="005F7ED7" w:rsidP="002264C5">
      <w:pPr>
        <w:spacing w:after="0" w:line="360" w:lineRule="auto"/>
        <w:jc w:val="both"/>
        <w:rPr>
          <w:rFonts w:ascii="Times New Roman" w:eastAsia="Times New Roman" w:hAnsi="Times New Roman" w:cs="Times New Roman"/>
          <w:b/>
          <w:bCs/>
          <w:sz w:val="24"/>
          <w:szCs w:val="24"/>
        </w:rPr>
      </w:pPr>
    </w:p>
    <w:p w14:paraId="535D8D98" w14:textId="77777777" w:rsidR="005F7ED7" w:rsidRDefault="005F7ED7" w:rsidP="002264C5">
      <w:pPr>
        <w:spacing w:after="0" w:line="360" w:lineRule="auto"/>
        <w:jc w:val="both"/>
        <w:rPr>
          <w:rFonts w:ascii="Times New Roman" w:eastAsia="Times New Roman" w:hAnsi="Times New Roman" w:cs="Times New Roman"/>
          <w:b/>
          <w:bCs/>
          <w:sz w:val="24"/>
          <w:szCs w:val="24"/>
        </w:rPr>
      </w:pPr>
    </w:p>
    <w:p w14:paraId="5E78B380" w14:textId="77777777" w:rsidR="00FE5690" w:rsidRDefault="00FE5690" w:rsidP="002264C5">
      <w:pPr>
        <w:spacing w:after="0" w:line="360" w:lineRule="auto"/>
        <w:jc w:val="both"/>
        <w:rPr>
          <w:rFonts w:ascii="Times New Roman" w:eastAsia="Times New Roman" w:hAnsi="Times New Roman" w:cs="Times New Roman"/>
          <w:b/>
          <w:bCs/>
          <w:sz w:val="24"/>
          <w:szCs w:val="24"/>
        </w:rPr>
      </w:pPr>
    </w:p>
    <w:p w14:paraId="6AEBD89F" w14:textId="5CE58112" w:rsidR="002264C5" w:rsidRPr="0004661D" w:rsidRDefault="002264C5" w:rsidP="002264C5">
      <w:pPr>
        <w:spacing w:after="0" w:line="360" w:lineRule="auto"/>
        <w:jc w:val="both"/>
        <w:rPr>
          <w:rFonts w:ascii="Times New Roman" w:eastAsia="Times New Roman" w:hAnsi="Times New Roman" w:cs="Times New Roman"/>
          <w:b/>
          <w:bCs/>
          <w:sz w:val="24"/>
          <w:szCs w:val="24"/>
        </w:rPr>
      </w:pPr>
      <w:r w:rsidRPr="0004661D">
        <w:rPr>
          <w:rFonts w:ascii="Times New Roman" w:eastAsia="Times New Roman" w:hAnsi="Times New Roman" w:cs="Times New Roman"/>
          <w:b/>
          <w:bCs/>
          <w:sz w:val="24"/>
          <w:szCs w:val="24"/>
        </w:rPr>
        <w:t>3. Results and Discussion</w:t>
      </w:r>
    </w:p>
    <w:p w14:paraId="74E23AE1" w14:textId="77777777" w:rsidR="002264C5" w:rsidRPr="00502829" w:rsidRDefault="002264C5" w:rsidP="002264C5">
      <w:pPr>
        <w:spacing w:after="0" w:line="360" w:lineRule="auto"/>
        <w:jc w:val="both"/>
        <w:rPr>
          <w:rFonts w:ascii="Times New Roman" w:eastAsia="Times New Roman" w:hAnsi="Times New Roman" w:cs="Times New Roman"/>
          <w:b/>
          <w:sz w:val="24"/>
          <w:szCs w:val="24"/>
        </w:rPr>
      </w:pPr>
      <w:bookmarkStart w:id="6" w:name="_Hlk168846594"/>
      <w:r>
        <w:rPr>
          <w:rFonts w:ascii="Times New Roman" w:eastAsia="Times New Roman" w:hAnsi="Times New Roman" w:cs="Times New Roman"/>
          <w:b/>
          <w:sz w:val="24"/>
          <w:szCs w:val="24"/>
        </w:rPr>
        <w:t>3</w:t>
      </w:r>
      <w:r w:rsidRPr="00502829">
        <w:rPr>
          <w:rFonts w:ascii="Times New Roman" w:eastAsia="Times New Roman" w:hAnsi="Times New Roman" w:cs="Times New Roman"/>
          <w:b/>
          <w:sz w:val="24"/>
          <w:szCs w:val="24"/>
        </w:rPr>
        <w:t>.1 Physicochemical Parameter</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 </w:t>
      </w:r>
      <w:bookmarkEnd w:id="6"/>
      <w:r>
        <w:rPr>
          <w:rFonts w:ascii="Times New Roman" w:eastAsia="Times New Roman" w:hAnsi="Times New Roman" w:cs="Times New Roman"/>
          <w:b/>
          <w:sz w:val="24"/>
          <w:szCs w:val="24"/>
        </w:rPr>
        <w:t>and P</w:t>
      </w:r>
      <w:r w:rsidRPr="00502829">
        <w:rPr>
          <w:rFonts w:ascii="Times New Roman" w:eastAsia="Times New Roman" w:hAnsi="Times New Roman" w:cs="Times New Roman"/>
          <w:b/>
          <w:sz w:val="24"/>
          <w:szCs w:val="24"/>
        </w:rPr>
        <w:t xml:space="preserve">esticides </w:t>
      </w:r>
      <w:r>
        <w:rPr>
          <w:rFonts w:ascii="Times New Roman" w:eastAsia="Times New Roman" w:hAnsi="Times New Roman" w:cs="Times New Roman"/>
          <w:b/>
          <w:sz w:val="24"/>
          <w:szCs w:val="24"/>
        </w:rPr>
        <w:t>R</w:t>
      </w:r>
      <w:r w:rsidRPr="00502829">
        <w:rPr>
          <w:rFonts w:ascii="Times New Roman" w:eastAsia="Times New Roman" w:hAnsi="Times New Roman" w:cs="Times New Roman"/>
          <w:b/>
          <w:sz w:val="24"/>
          <w:szCs w:val="24"/>
        </w:rPr>
        <w:t xml:space="preserve">esidues in </w:t>
      </w:r>
      <w:r>
        <w:rPr>
          <w:rFonts w:ascii="Times New Roman" w:eastAsia="Times New Roman" w:hAnsi="Times New Roman" w:cs="Times New Roman"/>
          <w:b/>
          <w:sz w:val="24"/>
          <w:szCs w:val="24"/>
        </w:rPr>
        <w:t>D</w:t>
      </w:r>
      <w:r w:rsidRPr="00502829">
        <w:rPr>
          <w:rFonts w:ascii="Times New Roman" w:eastAsia="Times New Roman" w:hAnsi="Times New Roman" w:cs="Times New Roman"/>
          <w:b/>
          <w:sz w:val="24"/>
          <w:szCs w:val="24"/>
        </w:rPr>
        <w:t xml:space="preserve">ifferent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ampling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tations                                                       </w:t>
      </w:r>
    </w:p>
    <w:p w14:paraId="25F9B1F7" w14:textId="77777777" w:rsidR="002264C5" w:rsidRPr="00502829" w:rsidRDefault="002264C5" w:rsidP="002264C5">
      <w:pPr>
        <w:spacing w:after="0" w:line="360" w:lineRule="auto"/>
        <w:jc w:val="both"/>
        <w:rPr>
          <w:rFonts w:ascii="Times New Roman" w:eastAsia="Times New Roman" w:hAnsi="Times New Roman" w:cs="Times New Roman"/>
          <w:sz w:val="24"/>
          <w:szCs w:val="24"/>
        </w:rPr>
      </w:pPr>
      <w:r w:rsidRPr="00683FF5">
        <w:rPr>
          <w:rFonts w:ascii="Times New Roman" w:eastAsia="Times New Roman" w:hAnsi="Times New Roman" w:cs="Times New Roman"/>
          <w:b/>
          <w:bCs/>
          <w:sz w:val="24"/>
          <w:szCs w:val="24"/>
        </w:rPr>
        <w:t>Table 1</w:t>
      </w:r>
      <w:r w:rsidRPr="00CA335B">
        <w:rPr>
          <w:rFonts w:ascii="Times New Roman" w:eastAsia="Times New Roman" w:hAnsi="Times New Roman" w:cs="Times New Roman"/>
          <w:bCs/>
          <w:sz w:val="24"/>
          <w:szCs w:val="24"/>
        </w:rPr>
        <w:t>.</w:t>
      </w:r>
      <w:r w:rsidRPr="00502829">
        <w:rPr>
          <w:rFonts w:ascii="Times New Roman" w:eastAsia="Times New Roman" w:hAnsi="Times New Roman" w:cs="Times New Roman"/>
          <w:b/>
          <w:sz w:val="24"/>
          <w:szCs w:val="24"/>
        </w:rPr>
        <w:t xml:space="preserve"> </w:t>
      </w:r>
      <w:r w:rsidRPr="00502829">
        <w:rPr>
          <w:rFonts w:ascii="Times New Roman" w:eastAsia="Times New Roman" w:hAnsi="Times New Roman" w:cs="Times New Roman"/>
          <w:sz w:val="24"/>
          <w:szCs w:val="24"/>
        </w:rPr>
        <w:t xml:space="preserve">Comparison of values of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hysico</w:t>
      </w:r>
      <w:proofErr w:type="spellEnd"/>
      <w:r w:rsidRPr="00502829">
        <w:rPr>
          <w:rFonts w:ascii="Times New Roman" w:eastAsia="Times New Roman" w:hAnsi="Times New Roman" w:cs="Times New Roman"/>
          <w:sz w:val="24"/>
          <w:szCs w:val="24"/>
        </w:rPr>
        <w:t xml:space="preserve">-chemical </w:t>
      </w:r>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arameter</w:t>
      </w:r>
      <w:r>
        <w:rPr>
          <w:rFonts w:ascii="Times New Roman" w:eastAsia="Times New Roman" w:hAnsi="Times New Roman" w:cs="Times New Roman"/>
          <w:sz w:val="24"/>
          <w:szCs w:val="24"/>
        </w:rPr>
        <w:t>s of the</w:t>
      </w:r>
      <w:r w:rsidRPr="005028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502829">
        <w:rPr>
          <w:rFonts w:ascii="Times New Roman" w:eastAsia="Times New Roman" w:hAnsi="Times New Roman" w:cs="Times New Roman"/>
          <w:sz w:val="24"/>
          <w:szCs w:val="24"/>
        </w:rPr>
        <w:t xml:space="preserve">ater </w:t>
      </w:r>
      <w:r>
        <w:rPr>
          <w:rFonts w:ascii="Times New Roman" w:eastAsia="Times New Roman" w:hAnsi="Times New Roman" w:cs="Times New Roman"/>
          <w:sz w:val="24"/>
          <w:szCs w:val="24"/>
        </w:rPr>
        <w:t xml:space="preserve">Samples with WHO and SON </w:t>
      </w:r>
      <w:r w:rsidRPr="00502829">
        <w:rPr>
          <w:rFonts w:ascii="Times New Roman" w:eastAsia="Times New Roman" w:hAnsi="Times New Roman" w:cs="Times New Roman"/>
          <w:sz w:val="24"/>
          <w:szCs w:val="24"/>
        </w:rPr>
        <w:t>guide</w:t>
      </w:r>
      <w:r>
        <w:rPr>
          <w:rFonts w:ascii="Times New Roman" w:eastAsia="Times New Roman" w:hAnsi="Times New Roman" w:cs="Times New Roman"/>
          <w:sz w:val="24"/>
          <w:szCs w:val="24"/>
        </w:rPr>
        <w:t>line.</w:t>
      </w:r>
    </w:p>
    <w:tbl>
      <w:tblPr>
        <w:tblW w:w="10184" w:type="dxa"/>
        <w:tblInd w:w="-432" w:type="dxa"/>
        <w:tblCellMar>
          <w:left w:w="10" w:type="dxa"/>
          <w:right w:w="10" w:type="dxa"/>
        </w:tblCellMar>
        <w:tblLook w:val="04A0" w:firstRow="1" w:lastRow="0" w:firstColumn="1" w:lastColumn="0" w:noHBand="0" w:noVBand="1"/>
      </w:tblPr>
      <w:tblGrid>
        <w:gridCol w:w="588"/>
        <w:gridCol w:w="1304"/>
        <w:gridCol w:w="998"/>
        <w:gridCol w:w="999"/>
        <w:gridCol w:w="1000"/>
        <w:gridCol w:w="1000"/>
        <w:gridCol w:w="1000"/>
        <w:gridCol w:w="1000"/>
        <w:gridCol w:w="1194"/>
        <w:gridCol w:w="1101"/>
      </w:tblGrid>
      <w:tr w:rsidR="002264C5" w:rsidRPr="00502829" w14:paraId="1C7C5543" w14:textId="77777777" w:rsidTr="00DE3842">
        <w:trPr>
          <w:trHeight w:val="1"/>
        </w:trPr>
        <w:tc>
          <w:tcPr>
            <w:tcW w:w="588" w:type="dxa"/>
            <w:tcBorders>
              <w:top w:val="single" w:sz="36" w:space="0" w:color="auto"/>
              <w:bottom w:val="single" w:sz="18" w:space="0" w:color="auto"/>
            </w:tcBorders>
            <w:shd w:val="clear" w:color="000000" w:fill="FFFFFF"/>
            <w:tcMar>
              <w:left w:w="108" w:type="dxa"/>
              <w:right w:w="108" w:type="dxa"/>
            </w:tcMar>
          </w:tcPr>
          <w:p w14:paraId="772D1DAE"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S/N</w:t>
            </w:r>
          </w:p>
        </w:tc>
        <w:tc>
          <w:tcPr>
            <w:tcW w:w="1304" w:type="dxa"/>
            <w:tcBorders>
              <w:top w:val="single" w:sz="36" w:space="0" w:color="auto"/>
              <w:bottom w:val="single" w:sz="18" w:space="0" w:color="auto"/>
            </w:tcBorders>
            <w:shd w:val="clear" w:color="000000" w:fill="FFFFFF"/>
            <w:tcMar>
              <w:left w:w="108" w:type="dxa"/>
              <w:right w:w="108" w:type="dxa"/>
            </w:tcMar>
          </w:tcPr>
          <w:p w14:paraId="18D88AF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Parameters</w:t>
            </w:r>
          </w:p>
        </w:tc>
        <w:tc>
          <w:tcPr>
            <w:tcW w:w="998" w:type="dxa"/>
            <w:tcBorders>
              <w:top w:val="single" w:sz="36" w:space="0" w:color="auto"/>
              <w:bottom w:val="single" w:sz="18" w:space="0" w:color="auto"/>
            </w:tcBorders>
            <w:shd w:val="clear" w:color="000000" w:fill="FFFFFF"/>
            <w:tcMar>
              <w:left w:w="108" w:type="dxa"/>
              <w:right w:w="108" w:type="dxa"/>
            </w:tcMar>
          </w:tcPr>
          <w:p w14:paraId="46579E76"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A</w:t>
            </w:r>
          </w:p>
        </w:tc>
        <w:tc>
          <w:tcPr>
            <w:tcW w:w="999" w:type="dxa"/>
            <w:tcBorders>
              <w:top w:val="single" w:sz="36" w:space="0" w:color="auto"/>
              <w:bottom w:val="single" w:sz="18" w:space="0" w:color="auto"/>
            </w:tcBorders>
            <w:shd w:val="clear" w:color="000000" w:fill="FFFFFF"/>
            <w:tcMar>
              <w:left w:w="108" w:type="dxa"/>
              <w:right w:w="108" w:type="dxa"/>
            </w:tcMar>
          </w:tcPr>
          <w:p w14:paraId="2A66FD52"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B</w:t>
            </w:r>
          </w:p>
        </w:tc>
        <w:tc>
          <w:tcPr>
            <w:tcW w:w="1000" w:type="dxa"/>
            <w:tcBorders>
              <w:top w:val="single" w:sz="36" w:space="0" w:color="auto"/>
              <w:bottom w:val="single" w:sz="18" w:space="0" w:color="auto"/>
            </w:tcBorders>
            <w:shd w:val="clear" w:color="000000" w:fill="FFFFFF"/>
            <w:tcMar>
              <w:left w:w="108" w:type="dxa"/>
              <w:right w:w="108" w:type="dxa"/>
            </w:tcMar>
          </w:tcPr>
          <w:p w14:paraId="4C10EE3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C</w:t>
            </w:r>
          </w:p>
        </w:tc>
        <w:tc>
          <w:tcPr>
            <w:tcW w:w="1000" w:type="dxa"/>
            <w:tcBorders>
              <w:top w:val="single" w:sz="36" w:space="0" w:color="auto"/>
              <w:bottom w:val="single" w:sz="18" w:space="0" w:color="auto"/>
            </w:tcBorders>
            <w:shd w:val="clear" w:color="000000" w:fill="FFFFFF"/>
            <w:tcMar>
              <w:left w:w="108" w:type="dxa"/>
              <w:right w:w="108" w:type="dxa"/>
            </w:tcMar>
          </w:tcPr>
          <w:p w14:paraId="408F42AB"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D</w:t>
            </w:r>
          </w:p>
        </w:tc>
        <w:tc>
          <w:tcPr>
            <w:tcW w:w="1000" w:type="dxa"/>
            <w:tcBorders>
              <w:top w:val="single" w:sz="36" w:space="0" w:color="auto"/>
              <w:bottom w:val="single" w:sz="18" w:space="0" w:color="auto"/>
            </w:tcBorders>
            <w:shd w:val="clear" w:color="000000" w:fill="FFFFFF"/>
            <w:tcMar>
              <w:left w:w="108" w:type="dxa"/>
              <w:right w:w="108" w:type="dxa"/>
            </w:tcMar>
          </w:tcPr>
          <w:p w14:paraId="52FD64AD"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E</w:t>
            </w:r>
          </w:p>
        </w:tc>
        <w:tc>
          <w:tcPr>
            <w:tcW w:w="1000" w:type="dxa"/>
            <w:tcBorders>
              <w:top w:val="single" w:sz="36" w:space="0" w:color="auto"/>
              <w:bottom w:val="single" w:sz="18" w:space="0" w:color="auto"/>
            </w:tcBorders>
            <w:shd w:val="clear" w:color="000000" w:fill="FFFFFF"/>
            <w:tcMar>
              <w:left w:w="108" w:type="dxa"/>
              <w:right w:w="108" w:type="dxa"/>
            </w:tcMar>
          </w:tcPr>
          <w:p w14:paraId="5E0C106C"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F</w:t>
            </w:r>
          </w:p>
        </w:tc>
        <w:tc>
          <w:tcPr>
            <w:tcW w:w="1194" w:type="dxa"/>
            <w:tcBorders>
              <w:top w:val="single" w:sz="36" w:space="0" w:color="auto"/>
              <w:bottom w:val="single" w:sz="18" w:space="0" w:color="auto"/>
            </w:tcBorders>
            <w:shd w:val="clear" w:color="000000" w:fill="FFFFFF"/>
            <w:tcMar>
              <w:left w:w="108" w:type="dxa"/>
              <w:right w:w="108" w:type="dxa"/>
            </w:tcMar>
          </w:tcPr>
          <w:p w14:paraId="0FDED55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WH</w:t>
            </w:r>
            <w:r>
              <w:rPr>
                <w:rFonts w:ascii="Times New Roman" w:eastAsia="Times New Roman" w:hAnsi="Times New Roman" w:cs="Times New Roman"/>
                <w:b/>
                <w:bCs/>
              </w:rPr>
              <w:t>O</w:t>
            </w:r>
            <w:r w:rsidRPr="00CA335B">
              <w:rPr>
                <w:rFonts w:ascii="Times New Roman" w:eastAsia="Times New Roman" w:hAnsi="Times New Roman" w:cs="Times New Roman"/>
                <w:b/>
                <w:bCs/>
              </w:rPr>
              <w:t xml:space="preserve"> Maximum permitted </w:t>
            </w:r>
            <w:r>
              <w:rPr>
                <w:rFonts w:ascii="Times New Roman" w:eastAsia="Times New Roman" w:hAnsi="Times New Roman" w:cs="Times New Roman"/>
                <w:b/>
                <w:bCs/>
              </w:rPr>
              <w:t>L</w:t>
            </w:r>
            <w:r w:rsidRPr="00CA335B">
              <w:rPr>
                <w:rFonts w:ascii="Times New Roman" w:eastAsia="Times New Roman" w:hAnsi="Times New Roman" w:cs="Times New Roman"/>
                <w:b/>
                <w:bCs/>
              </w:rPr>
              <w:t>imit</w:t>
            </w:r>
          </w:p>
        </w:tc>
        <w:tc>
          <w:tcPr>
            <w:tcW w:w="1101" w:type="dxa"/>
            <w:tcBorders>
              <w:top w:val="single" w:sz="36" w:space="0" w:color="auto"/>
              <w:bottom w:val="single" w:sz="18" w:space="0" w:color="auto"/>
            </w:tcBorders>
          </w:tcPr>
          <w:p w14:paraId="72AAC60A" w14:textId="77777777" w:rsidR="002264C5" w:rsidRPr="00CA335B" w:rsidRDefault="002264C5" w:rsidP="00DE3842">
            <w:pPr>
              <w:spacing w:after="0" w:line="240" w:lineRule="auto"/>
              <w:jc w:val="center"/>
              <w:rPr>
                <w:rFonts w:ascii="Times New Roman" w:hAnsi="Times New Roman" w:cs="Times New Roman"/>
                <w:b/>
                <w:bCs/>
              </w:rPr>
            </w:pPr>
            <w:r w:rsidRPr="00CA335B">
              <w:rPr>
                <w:rFonts w:ascii="Times New Roman" w:hAnsi="Times New Roman" w:cs="Times New Roman"/>
                <w:b/>
                <w:bCs/>
              </w:rPr>
              <w:t>Water guideline values of SON</w:t>
            </w:r>
          </w:p>
        </w:tc>
      </w:tr>
      <w:tr w:rsidR="002264C5" w:rsidRPr="00502829" w14:paraId="60DD7539" w14:textId="77777777" w:rsidTr="00DE3842">
        <w:trPr>
          <w:trHeight w:val="1"/>
        </w:trPr>
        <w:tc>
          <w:tcPr>
            <w:tcW w:w="588" w:type="dxa"/>
            <w:tcBorders>
              <w:top w:val="single" w:sz="18" w:space="0" w:color="auto"/>
            </w:tcBorders>
            <w:shd w:val="clear" w:color="000000" w:fill="FFFFFF"/>
            <w:tcMar>
              <w:left w:w="108" w:type="dxa"/>
              <w:right w:w="108" w:type="dxa"/>
            </w:tcMar>
          </w:tcPr>
          <w:p w14:paraId="68DFA6E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w:t>
            </w:r>
          </w:p>
        </w:tc>
        <w:tc>
          <w:tcPr>
            <w:tcW w:w="1304" w:type="dxa"/>
            <w:tcBorders>
              <w:top w:val="single" w:sz="18" w:space="0" w:color="auto"/>
            </w:tcBorders>
            <w:shd w:val="clear" w:color="000000" w:fill="FFFFFF"/>
            <w:tcMar>
              <w:left w:w="108" w:type="dxa"/>
              <w:right w:w="108" w:type="dxa"/>
            </w:tcMar>
          </w:tcPr>
          <w:p w14:paraId="6712FBA1"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pH</w:t>
            </w:r>
          </w:p>
        </w:tc>
        <w:tc>
          <w:tcPr>
            <w:tcW w:w="998" w:type="dxa"/>
            <w:tcBorders>
              <w:top w:val="single" w:sz="18" w:space="0" w:color="auto"/>
            </w:tcBorders>
            <w:shd w:val="clear" w:color="000000" w:fill="FFFFFF"/>
            <w:tcMar>
              <w:left w:w="108" w:type="dxa"/>
              <w:right w:w="108" w:type="dxa"/>
            </w:tcMar>
          </w:tcPr>
          <w:p w14:paraId="5E4C382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8.8</w:t>
            </w:r>
            <w:r>
              <w:rPr>
                <w:rFonts w:ascii="Times New Roman" w:eastAsia="Times New Roman" w:hAnsi="Times New Roman" w:cs="Times New Roman"/>
              </w:rPr>
              <w:t>0</w:t>
            </w:r>
          </w:p>
        </w:tc>
        <w:tc>
          <w:tcPr>
            <w:tcW w:w="999" w:type="dxa"/>
            <w:tcBorders>
              <w:top w:val="single" w:sz="18" w:space="0" w:color="auto"/>
            </w:tcBorders>
            <w:shd w:val="clear" w:color="000000" w:fill="FFFFFF"/>
            <w:tcMar>
              <w:left w:w="108" w:type="dxa"/>
              <w:right w:w="108" w:type="dxa"/>
            </w:tcMar>
          </w:tcPr>
          <w:p w14:paraId="2D137395"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5E45EA2D"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3B35B264"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16096B57"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0267A740"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194" w:type="dxa"/>
            <w:tcBorders>
              <w:top w:val="single" w:sz="18" w:space="0" w:color="auto"/>
            </w:tcBorders>
            <w:shd w:val="clear" w:color="000000" w:fill="FFFFFF"/>
            <w:tcMar>
              <w:left w:w="108" w:type="dxa"/>
              <w:right w:w="108" w:type="dxa"/>
            </w:tcMar>
          </w:tcPr>
          <w:p w14:paraId="5D87F00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6.5</w:t>
            </w:r>
            <w:r>
              <w:rPr>
                <w:rFonts w:ascii="Times New Roman" w:eastAsia="Times New Roman" w:hAnsi="Times New Roman" w:cs="Times New Roman"/>
              </w:rPr>
              <w:t>0</w:t>
            </w:r>
            <w:r w:rsidRPr="00CA335B">
              <w:rPr>
                <w:rFonts w:ascii="Times New Roman" w:eastAsia="Times New Roman" w:hAnsi="Times New Roman" w:cs="Times New Roman"/>
              </w:rPr>
              <w:t>-8.5</w:t>
            </w:r>
            <w:r>
              <w:rPr>
                <w:rFonts w:ascii="Times New Roman" w:eastAsia="Times New Roman" w:hAnsi="Times New Roman" w:cs="Times New Roman"/>
              </w:rPr>
              <w:t>0</w:t>
            </w:r>
          </w:p>
        </w:tc>
        <w:tc>
          <w:tcPr>
            <w:tcW w:w="1101" w:type="dxa"/>
            <w:tcBorders>
              <w:top w:val="single" w:sz="18" w:space="0" w:color="auto"/>
            </w:tcBorders>
          </w:tcPr>
          <w:p w14:paraId="43103C13"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6.5</w:t>
            </w:r>
            <w:r>
              <w:rPr>
                <w:rFonts w:ascii="Times New Roman" w:eastAsia="Times New Roman" w:hAnsi="Times New Roman" w:cs="Times New Roman"/>
              </w:rPr>
              <w:t>0</w:t>
            </w:r>
            <w:r w:rsidRPr="00CA335B">
              <w:rPr>
                <w:rFonts w:ascii="Times New Roman" w:eastAsia="Times New Roman" w:hAnsi="Times New Roman" w:cs="Times New Roman"/>
              </w:rPr>
              <w:t>-8.5</w:t>
            </w:r>
            <w:r>
              <w:rPr>
                <w:rFonts w:ascii="Times New Roman" w:eastAsia="Times New Roman" w:hAnsi="Times New Roman" w:cs="Times New Roman"/>
              </w:rPr>
              <w:t>0</w:t>
            </w:r>
          </w:p>
        </w:tc>
      </w:tr>
      <w:tr w:rsidR="002264C5" w:rsidRPr="00502829" w14:paraId="4CE5EA7A" w14:textId="77777777" w:rsidTr="00DE3842">
        <w:trPr>
          <w:trHeight w:val="1"/>
        </w:trPr>
        <w:tc>
          <w:tcPr>
            <w:tcW w:w="588" w:type="dxa"/>
            <w:shd w:val="clear" w:color="000000" w:fill="FFFFFF"/>
            <w:tcMar>
              <w:left w:w="108" w:type="dxa"/>
              <w:right w:w="108" w:type="dxa"/>
            </w:tcMar>
          </w:tcPr>
          <w:p w14:paraId="2AE7011F"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w:t>
            </w:r>
          </w:p>
        </w:tc>
        <w:tc>
          <w:tcPr>
            <w:tcW w:w="1304" w:type="dxa"/>
            <w:shd w:val="clear" w:color="000000" w:fill="FFFFFF"/>
            <w:tcMar>
              <w:left w:w="108" w:type="dxa"/>
              <w:right w:w="108" w:type="dxa"/>
            </w:tcMar>
          </w:tcPr>
          <w:p w14:paraId="7B22CDF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TDS (mg/L)</w:t>
            </w:r>
          </w:p>
        </w:tc>
        <w:tc>
          <w:tcPr>
            <w:tcW w:w="998" w:type="dxa"/>
            <w:shd w:val="clear" w:color="000000" w:fill="FFFFFF"/>
            <w:tcMar>
              <w:left w:w="108" w:type="dxa"/>
              <w:right w:w="108" w:type="dxa"/>
            </w:tcMar>
          </w:tcPr>
          <w:p w14:paraId="01435B9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54</w:t>
            </w:r>
            <w:r>
              <w:rPr>
                <w:rFonts w:ascii="Times New Roman" w:eastAsia="Times New Roman" w:hAnsi="Times New Roman" w:cs="Times New Roman"/>
              </w:rPr>
              <w:t>.00</w:t>
            </w:r>
          </w:p>
        </w:tc>
        <w:tc>
          <w:tcPr>
            <w:tcW w:w="999" w:type="dxa"/>
            <w:shd w:val="clear" w:color="000000" w:fill="FFFFFF"/>
            <w:tcMar>
              <w:left w:w="108" w:type="dxa"/>
              <w:right w:w="108" w:type="dxa"/>
            </w:tcMar>
          </w:tcPr>
          <w:p w14:paraId="101C620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2BE981A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381FEA9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3B76F81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53</w:t>
            </w:r>
            <w:r>
              <w:rPr>
                <w:rFonts w:ascii="Times New Roman" w:eastAsia="Times New Roman" w:hAnsi="Times New Roman" w:cs="Times New Roman"/>
              </w:rPr>
              <w:t>.00</w:t>
            </w:r>
          </w:p>
        </w:tc>
        <w:tc>
          <w:tcPr>
            <w:tcW w:w="1000" w:type="dxa"/>
            <w:shd w:val="clear" w:color="000000" w:fill="FFFFFF"/>
            <w:tcMar>
              <w:left w:w="108" w:type="dxa"/>
              <w:right w:w="108" w:type="dxa"/>
            </w:tcMar>
          </w:tcPr>
          <w:p w14:paraId="5E191F2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53</w:t>
            </w:r>
            <w:r>
              <w:rPr>
                <w:rFonts w:ascii="Times New Roman" w:eastAsia="Times New Roman" w:hAnsi="Times New Roman" w:cs="Times New Roman"/>
              </w:rPr>
              <w:t>.00</w:t>
            </w:r>
          </w:p>
        </w:tc>
        <w:tc>
          <w:tcPr>
            <w:tcW w:w="1194" w:type="dxa"/>
            <w:shd w:val="clear" w:color="000000" w:fill="FFFFFF"/>
            <w:tcMar>
              <w:left w:w="108" w:type="dxa"/>
              <w:right w:w="108" w:type="dxa"/>
            </w:tcMar>
          </w:tcPr>
          <w:p w14:paraId="04CC812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500</w:t>
            </w:r>
            <w:r>
              <w:rPr>
                <w:rFonts w:ascii="Times New Roman" w:eastAsia="Times New Roman" w:hAnsi="Times New Roman" w:cs="Times New Roman"/>
              </w:rPr>
              <w:t>.00</w:t>
            </w:r>
          </w:p>
        </w:tc>
        <w:tc>
          <w:tcPr>
            <w:tcW w:w="1101" w:type="dxa"/>
          </w:tcPr>
          <w:p w14:paraId="34842756"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500</w:t>
            </w:r>
            <w:r>
              <w:rPr>
                <w:rFonts w:ascii="Times New Roman" w:hAnsi="Times New Roman" w:cs="Times New Roman"/>
              </w:rPr>
              <w:t>.00</w:t>
            </w:r>
          </w:p>
        </w:tc>
      </w:tr>
      <w:tr w:rsidR="002264C5" w:rsidRPr="00502829" w14:paraId="26B9C79D" w14:textId="77777777" w:rsidTr="00DE3842">
        <w:trPr>
          <w:trHeight w:val="1"/>
        </w:trPr>
        <w:tc>
          <w:tcPr>
            <w:tcW w:w="588" w:type="dxa"/>
            <w:shd w:val="clear" w:color="000000" w:fill="FFFFFF"/>
            <w:tcMar>
              <w:left w:w="108" w:type="dxa"/>
              <w:right w:w="108" w:type="dxa"/>
            </w:tcMar>
          </w:tcPr>
          <w:p w14:paraId="2B613B2A"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3</w:t>
            </w:r>
          </w:p>
        </w:tc>
        <w:tc>
          <w:tcPr>
            <w:tcW w:w="1304" w:type="dxa"/>
            <w:shd w:val="clear" w:color="000000" w:fill="FFFFFF"/>
            <w:tcMar>
              <w:left w:w="108" w:type="dxa"/>
              <w:right w:w="108" w:type="dxa"/>
            </w:tcMar>
          </w:tcPr>
          <w:p w14:paraId="4C2782D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E.C (</w:t>
            </w:r>
            <w:proofErr w:type="spellStart"/>
            <w:r w:rsidRPr="00CA335B">
              <w:rPr>
                <w:rFonts w:ascii="Times New Roman" w:eastAsia="Times New Roman" w:hAnsi="Times New Roman" w:cs="Times New Roman"/>
              </w:rPr>
              <w:t>μs</w:t>
            </w:r>
            <w:proofErr w:type="spellEnd"/>
            <w:r w:rsidRPr="00CA335B">
              <w:rPr>
                <w:rFonts w:ascii="Times New Roman" w:eastAsia="Times New Roman" w:hAnsi="Times New Roman" w:cs="Times New Roman"/>
              </w:rPr>
              <w:t>/cm)</w:t>
            </w:r>
          </w:p>
        </w:tc>
        <w:tc>
          <w:tcPr>
            <w:tcW w:w="998" w:type="dxa"/>
            <w:shd w:val="clear" w:color="000000" w:fill="FFFFFF"/>
            <w:tcMar>
              <w:left w:w="108" w:type="dxa"/>
              <w:right w:w="108" w:type="dxa"/>
            </w:tcMar>
          </w:tcPr>
          <w:p w14:paraId="22D4328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108</w:t>
            </w:r>
            <w:r>
              <w:rPr>
                <w:rFonts w:ascii="Times New Roman" w:eastAsia="Times New Roman" w:hAnsi="Times New Roman" w:cs="Times New Roman"/>
              </w:rPr>
              <w:t>.00</w:t>
            </w:r>
          </w:p>
        </w:tc>
        <w:tc>
          <w:tcPr>
            <w:tcW w:w="999" w:type="dxa"/>
            <w:shd w:val="clear" w:color="000000" w:fill="FFFFFF"/>
            <w:tcMar>
              <w:left w:w="108" w:type="dxa"/>
              <w:right w:w="108" w:type="dxa"/>
            </w:tcMar>
          </w:tcPr>
          <w:p w14:paraId="41A226A7"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112</w:t>
            </w:r>
            <w:r>
              <w:rPr>
                <w:rFonts w:ascii="Times New Roman" w:eastAsia="Times New Roman" w:hAnsi="Times New Roman" w:cs="Times New Roman"/>
              </w:rPr>
              <w:t>.00</w:t>
            </w:r>
          </w:p>
        </w:tc>
        <w:tc>
          <w:tcPr>
            <w:tcW w:w="1000" w:type="dxa"/>
            <w:shd w:val="clear" w:color="000000" w:fill="FFFFFF"/>
            <w:tcMar>
              <w:left w:w="108" w:type="dxa"/>
              <w:right w:w="108" w:type="dxa"/>
            </w:tcMar>
          </w:tcPr>
          <w:p w14:paraId="04B1997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112</w:t>
            </w:r>
            <w:r>
              <w:rPr>
                <w:rFonts w:ascii="Times New Roman" w:eastAsia="Times New Roman" w:hAnsi="Times New Roman" w:cs="Times New Roman"/>
              </w:rPr>
              <w:t>.00</w:t>
            </w:r>
          </w:p>
        </w:tc>
        <w:tc>
          <w:tcPr>
            <w:tcW w:w="1000" w:type="dxa"/>
            <w:shd w:val="clear" w:color="000000" w:fill="FFFFFF"/>
            <w:tcMar>
              <w:left w:w="108" w:type="dxa"/>
              <w:right w:w="108" w:type="dxa"/>
            </w:tcMar>
          </w:tcPr>
          <w:p w14:paraId="2C58C73E"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111</w:t>
            </w:r>
            <w:r>
              <w:rPr>
                <w:rFonts w:ascii="Times New Roman" w:eastAsia="Times New Roman" w:hAnsi="Times New Roman" w:cs="Times New Roman"/>
              </w:rPr>
              <w:t>.00</w:t>
            </w:r>
          </w:p>
        </w:tc>
        <w:tc>
          <w:tcPr>
            <w:tcW w:w="1000" w:type="dxa"/>
            <w:shd w:val="clear" w:color="000000" w:fill="FFFFFF"/>
            <w:tcMar>
              <w:left w:w="108" w:type="dxa"/>
              <w:right w:w="108" w:type="dxa"/>
            </w:tcMar>
          </w:tcPr>
          <w:p w14:paraId="64E04FAA" w14:textId="77777777" w:rsidR="002264C5" w:rsidRPr="00CA335B" w:rsidRDefault="002264C5" w:rsidP="00DE3842">
            <w:pPr>
              <w:spacing w:after="0" w:line="240" w:lineRule="auto"/>
              <w:jc w:val="center"/>
              <w:rPr>
                <w:rFonts w:ascii="Times New Roman" w:hAnsi="Times New Roman" w:cs="Times New Roman"/>
              </w:rPr>
            </w:pPr>
            <w:r w:rsidRPr="004D023A">
              <w:rPr>
                <w:rFonts w:ascii="Times New Roman" w:eastAsia="Times New Roman" w:hAnsi="Times New Roman" w:cs="Times New Roman"/>
              </w:rPr>
              <w:t>111.00</w:t>
            </w:r>
          </w:p>
        </w:tc>
        <w:tc>
          <w:tcPr>
            <w:tcW w:w="1000" w:type="dxa"/>
            <w:shd w:val="clear" w:color="000000" w:fill="FFFFFF"/>
            <w:tcMar>
              <w:left w:w="108" w:type="dxa"/>
              <w:right w:w="108" w:type="dxa"/>
            </w:tcMar>
          </w:tcPr>
          <w:p w14:paraId="0C5D2B2A" w14:textId="77777777" w:rsidR="002264C5" w:rsidRPr="00CA335B" w:rsidRDefault="002264C5" w:rsidP="00DE3842">
            <w:pPr>
              <w:spacing w:after="0" w:line="240" w:lineRule="auto"/>
              <w:jc w:val="center"/>
              <w:rPr>
                <w:rFonts w:ascii="Times New Roman" w:hAnsi="Times New Roman" w:cs="Times New Roman"/>
              </w:rPr>
            </w:pPr>
            <w:r w:rsidRPr="004D023A">
              <w:rPr>
                <w:rFonts w:ascii="Times New Roman" w:eastAsia="Times New Roman" w:hAnsi="Times New Roman" w:cs="Times New Roman"/>
              </w:rPr>
              <w:t>111.00</w:t>
            </w:r>
          </w:p>
        </w:tc>
        <w:tc>
          <w:tcPr>
            <w:tcW w:w="1194" w:type="dxa"/>
            <w:shd w:val="clear" w:color="000000" w:fill="FFFFFF"/>
            <w:tcMar>
              <w:left w:w="108" w:type="dxa"/>
              <w:right w:w="108" w:type="dxa"/>
            </w:tcMar>
          </w:tcPr>
          <w:p w14:paraId="6D4DAE2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1000</w:t>
            </w:r>
            <w:r>
              <w:rPr>
                <w:rFonts w:ascii="Times New Roman" w:eastAsia="Times New Roman" w:hAnsi="Times New Roman" w:cs="Times New Roman"/>
              </w:rPr>
              <w:t>.00</w:t>
            </w:r>
          </w:p>
        </w:tc>
        <w:tc>
          <w:tcPr>
            <w:tcW w:w="1101" w:type="dxa"/>
          </w:tcPr>
          <w:p w14:paraId="581E8AA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1000</w:t>
            </w:r>
            <w:r>
              <w:rPr>
                <w:rFonts w:ascii="Times New Roman" w:hAnsi="Times New Roman" w:cs="Times New Roman"/>
              </w:rPr>
              <w:t>.00</w:t>
            </w:r>
          </w:p>
        </w:tc>
      </w:tr>
      <w:tr w:rsidR="002264C5" w:rsidRPr="00502829" w14:paraId="6244D796" w14:textId="77777777" w:rsidTr="00DE3842">
        <w:trPr>
          <w:trHeight w:val="1"/>
        </w:trPr>
        <w:tc>
          <w:tcPr>
            <w:tcW w:w="588" w:type="dxa"/>
            <w:shd w:val="clear" w:color="000000" w:fill="FFFFFF"/>
            <w:tcMar>
              <w:left w:w="108" w:type="dxa"/>
              <w:right w:w="108" w:type="dxa"/>
            </w:tcMar>
          </w:tcPr>
          <w:p w14:paraId="402BAC8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w:t>
            </w:r>
          </w:p>
        </w:tc>
        <w:tc>
          <w:tcPr>
            <w:tcW w:w="1304" w:type="dxa"/>
            <w:shd w:val="clear" w:color="000000" w:fill="FFFFFF"/>
            <w:tcMar>
              <w:left w:w="108" w:type="dxa"/>
              <w:right w:w="108" w:type="dxa"/>
            </w:tcMar>
          </w:tcPr>
          <w:p w14:paraId="668760E2"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BOD (mg/L)</w:t>
            </w:r>
          </w:p>
        </w:tc>
        <w:tc>
          <w:tcPr>
            <w:tcW w:w="998" w:type="dxa"/>
            <w:shd w:val="clear" w:color="000000" w:fill="FFFFFF"/>
            <w:tcMar>
              <w:left w:w="108" w:type="dxa"/>
              <w:right w:w="108" w:type="dxa"/>
            </w:tcMar>
          </w:tcPr>
          <w:p w14:paraId="729C98C3"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1.8</w:t>
            </w:r>
            <w:r>
              <w:rPr>
                <w:rFonts w:ascii="Times New Roman" w:eastAsia="Times New Roman" w:hAnsi="Times New Roman" w:cs="Times New Roman"/>
              </w:rPr>
              <w:t>0</w:t>
            </w:r>
          </w:p>
        </w:tc>
        <w:tc>
          <w:tcPr>
            <w:tcW w:w="999" w:type="dxa"/>
            <w:shd w:val="clear" w:color="000000" w:fill="FFFFFF"/>
            <w:tcMar>
              <w:left w:w="108" w:type="dxa"/>
              <w:right w:w="108" w:type="dxa"/>
            </w:tcMar>
          </w:tcPr>
          <w:p w14:paraId="7C9D68C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2.58</w:t>
            </w:r>
          </w:p>
        </w:tc>
        <w:tc>
          <w:tcPr>
            <w:tcW w:w="1000" w:type="dxa"/>
            <w:shd w:val="clear" w:color="000000" w:fill="FFFFFF"/>
            <w:tcMar>
              <w:left w:w="108" w:type="dxa"/>
              <w:right w:w="108" w:type="dxa"/>
            </w:tcMar>
          </w:tcPr>
          <w:p w14:paraId="3DCA52F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1.03</w:t>
            </w:r>
          </w:p>
        </w:tc>
        <w:tc>
          <w:tcPr>
            <w:tcW w:w="1000" w:type="dxa"/>
            <w:shd w:val="clear" w:color="000000" w:fill="FFFFFF"/>
            <w:tcMar>
              <w:left w:w="108" w:type="dxa"/>
              <w:right w:w="108" w:type="dxa"/>
            </w:tcMar>
          </w:tcPr>
          <w:p w14:paraId="15DDCD7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1.55</w:t>
            </w:r>
          </w:p>
        </w:tc>
        <w:tc>
          <w:tcPr>
            <w:tcW w:w="1000" w:type="dxa"/>
            <w:shd w:val="clear" w:color="000000" w:fill="FFFFFF"/>
            <w:tcMar>
              <w:left w:w="108" w:type="dxa"/>
              <w:right w:w="108" w:type="dxa"/>
            </w:tcMar>
          </w:tcPr>
          <w:p w14:paraId="7920DC4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4.33</w:t>
            </w:r>
          </w:p>
        </w:tc>
        <w:tc>
          <w:tcPr>
            <w:tcW w:w="1000" w:type="dxa"/>
            <w:shd w:val="clear" w:color="000000" w:fill="FFFFFF"/>
            <w:tcMar>
              <w:left w:w="108" w:type="dxa"/>
              <w:right w:w="108" w:type="dxa"/>
            </w:tcMar>
          </w:tcPr>
          <w:p w14:paraId="7CAF352E"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2.8</w:t>
            </w:r>
            <w:r>
              <w:rPr>
                <w:rFonts w:ascii="Times New Roman" w:eastAsia="Times New Roman" w:hAnsi="Times New Roman" w:cs="Times New Roman"/>
              </w:rPr>
              <w:t>0</w:t>
            </w:r>
          </w:p>
        </w:tc>
        <w:tc>
          <w:tcPr>
            <w:tcW w:w="1194" w:type="dxa"/>
            <w:shd w:val="clear" w:color="000000" w:fill="FFFFFF"/>
            <w:tcMar>
              <w:left w:w="108" w:type="dxa"/>
              <w:right w:w="108" w:type="dxa"/>
            </w:tcMar>
          </w:tcPr>
          <w:p w14:paraId="6898182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r>
              <w:rPr>
                <w:rFonts w:ascii="Times New Roman" w:eastAsia="Times New Roman" w:hAnsi="Times New Roman" w:cs="Times New Roman"/>
              </w:rPr>
              <w:t>.00</w:t>
            </w:r>
          </w:p>
        </w:tc>
        <w:tc>
          <w:tcPr>
            <w:tcW w:w="1101" w:type="dxa"/>
          </w:tcPr>
          <w:p w14:paraId="2DE26B8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3</w:t>
            </w:r>
            <w:r>
              <w:rPr>
                <w:rFonts w:ascii="Times New Roman" w:hAnsi="Times New Roman" w:cs="Times New Roman"/>
              </w:rPr>
              <w:t>.00</w:t>
            </w:r>
          </w:p>
        </w:tc>
      </w:tr>
      <w:tr w:rsidR="002264C5" w:rsidRPr="00502829" w14:paraId="50F30F19" w14:textId="77777777" w:rsidTr="00DE3842">
        <w:trPr>
          <w:trHeight w:val="1"/>
        </w:trPr>
        <w:tc>
          <w:tcPr>
            <w:tcW w:w="588" w:type="dxa"/>
            <w:tcBorders>
              <w:bottom w:val="single" w:sz="36" w:space="0" w:color="auto"/>
            </w:tcBorders>
            <w:shd w:val="clear" w:color="000000" w:fill="FFFFFF"/>
            <w:tcMar>
              <w:left w:w="108" w:type="dxa"/>
              <w:right w:w="108" w:type="dxa"/>
            </w:tcMar>
          </w:tcPr>
          <w:p w14:paraId="060F8DC2"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p>
        </w:tc>
        <w:tc>
          <w:tcPr>
            <w:tcW w:w="1304" w:type="dxa"/>
            <w:tcBorders>
              <w:bottom w:val="single" w:sz="36" w:space="0" w:color="auto"/>
            </w:tcBorders>
            <w:shd w:val="clear" w:color="000000" w:fill="FFFFFF"/>
            <w:tcMar>
              <w:left w:w="108" w:type="dxa"/>
              <w:right w:w="108" w:type="dxa"/>
            </w:tcMar>
          </w:tcPr>
          <w:p w14:paraId="1DBDED0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DO (mg/L)</w:t>
            </w:r>
          </w:p>
        </w:tc>
        <w:tc>
          <w:tcPr>
            <w:tcW w:w="998" w:type="dxa"/>
            <w:tcBorders>
              <w:bottom w:val="single" w:sz="36" w:space="0" w:color="auto"/>
            </w:tcBorders>
            <w:shd w:val="clear" w:color="000000" w:fill="FFFFFF"/>
            <w:tcMar>
              <w:left w:w="108" w:type="dxa"/>
              <w:right w:w="108" w:type="dxa"/>
            </w:tcMar>
          </w:tcPr>
          <w:p w14:paraId="1A3BA73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2.13</w:t>
            </w:r>
          </w:p>
        </w:tc>
        <w:tc>
          <w:tcPr>
            <w:tcW w:w="999" w:type="dxa"/>
            <w:tcBorders>
              <w:bottom w:val="single" w:sz="36" w:space="0" w:color="auto"/>
            </w:tcBorders>
            <w:shd w:val="clear" w:color="000000" w:fill="FFFFFF"/>
            <w:tcMar>
              <w:left w:w="108" w:type="dxa"/>
              <w:right w:w="108" w:type="dxa"/>
            </w:tcMar>
          </w:tcPr>
          <w:p w14:paraId="7D8B029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2.13</w:t>
            </w:r>
          </w:p>
        </w:tc>
        <w:tc>
          <w:tcPr>
            <w:tcW w:w="1000" w:type="dxa"/>
            <w:tcBorders>
              <w:bottom w:val="single" w:sz="36" w:space="0" w:color="auto"/>
            </w:tcBorders>
            <w:shd w:val="clear" w:color="000000" w:fill="FFFFFF"/>
            <w:tcMar>
              <w:left w:w="108" w:type="dxa"/>
              <w:right w:w="108" w:type="dxa"/>
            </w:tcMar>
          </w:tcPr>
          <w:p w14:paraId="58EEF5E7"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1.52</w:t>
            </w:r>
          </w:p>
        </w:tc>
        <w:tc>
          <w:tcPr>
            <w:tcW w:w="1000" w:type="dxa"/>
            <w:tcBorders>
              <w:bottom w:val="single" w:sz="36" w:space="0" w:color="auto"/>
            </w:tcBorders>
            <w:shd w:val="clear" w:color="000000" w:fill="FFFFFF"/>
            <w:tcMar>
              <w:left w:w="108" w:type="dxa"/>
              <w:right w:w="108" w:type="dxa"/>
            </w:tcMar>
          </w:tcPr>
          <w:p w14:paraId="625C8EC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2.84</w:t>
            </w:r>
          </w:p>
        </w:tc>
        <w:tc>
          <w:tcPr>
            <w:tcW w:w="1000" w:type="dxa"/>
            <w:tcBorders>
              <w:bottom w:val="single" w:sz="36" w:space="0" w:color="auto"/>
            </w:tcBorders>
            <w:shd w:val="clear" w:color="000000" w:fill="FFFFFF"/>
            <w:tcMar>
              <w:left w:w="108" w:type="dxa"/>
              <w:right w:w="108" w:type="dxa"/>
            </w:tcMar>
          </w:tcPr>
          <w:p w14:paraId="13DE9621"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4.6</w:t>
            </w:r>
            <w:r>
              <w:rPr>
                <w:rFonts w:ascii="Times New Roman" w:eastAsia="Times New Roman" w:hAnsi="Times New Roman" w:cs="Times New Roman"/>
              </w:rPr>
              <w:t>0</w:t>
            </w:r>
          </w:p>
        </w:tc>
        <w:tc>
          <w:tcPr>
            <w:tcW w:w="1000" w:type="dxa"/>
            <w:tcBorders>
              <w:bottom w:val="single" w:sz="36" w:space="0" w:color="auto"/>
            </w:tcBorders>
            <w:shd w:val="clear" w:color="000000" w:fill="FFFFFF"/>
            <w:tcMar>
              <w:left w:w="108" w:type="dxa"/>
              <w:right w:w="108" w:type="dxa"/>
            </w:tcMar>
          </w:tcPr>
          <w:p w14:paraId="5D32330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4.1</w:t>
            </w:r>
            <w:r>
              <w:rPr>
                <w:rFonts w:ascii="Times New Roman" w:eastAsia="Times New Roman" w:hAnsi="Times New Roman" w:cs="Times New Roman"/>
              </w:rPr>
              <w:t>0</w:t>
            </w:r>
          </w:p>
        </w:tc>
        <w:tc>
          <w:tcPr>
            <w:tcW w:w="1194" w:type="dxa"/>
            <w:tcBorders>
              <w:bottom w:val="single" w:sz="36" w:space="0" w:color="auto"/>
            </w:tcBorders>
            <w:shd w:val="clear" w:color="000000" w:fill="FFFFFF"/>
            <w:tcMar>
              <w:left w:w="108" w:type="dxa"/>
              <w:right w:w="108" w:type="dxa"/>
            </w:tcMar>
          </w:tcPr>
          <w:p w14:paraId="69DD430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r>
              <w:rPr>
                <w:rFonts w:ascii="Times New Roman" w:eastAsia="Times New Roman" w:hAnsi="Times New Roman" w:cs="Times New Roman"/>
              </w:rPr>
              <w:t>.00</w:t>
            </w:r>
          </w:p>
        </w:tc>
        <w:tc>
          <w:tcPr>
            <w:tcW w:w="1101" w:type="dxa"/>
            <w:tcBorders>
              <w:bottom w:val="single" w:sz="36" w:space="0" w:color="auto"/>
            </w:tcBorders>
          </w:tcPr>
          <w:p w14:paraId="6860499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5</w:t>
            </w:r>
            <w:r>
              <w:rPr>
                <w:rFonts w:ascii="Times New Roman" w:hAnsi="Times New Roman" w:cs="Times New Roman"/>
              </w:rPr>
              <w:t>.00</w:t>
            </w:r>
          </w:p>
        </w:tc>
      </w:tr>
    </w:tbl>
    <w:p w14:paraId="1797209B"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1BCA8AB7" w14:textId="77777777" w:rsidR="002264C5" w:rsidRDefault="002264C5" w:rsidP="002264C5">
      <w:pPr>
        <w:spacing w:after="0" w:line="360" w:lineRule="auto"/>
        <w:jc w:val="center"/>
        <w:rPr>
          <w:rFonts w:ascii="Times New Roman" w:eastAsia="Times New Roman" w:hAnsi="Times New Roman" w:cs="Times New Roman"/>
          <w:bCs/>
          <w:sz w:val="24"/>
          <w:szCs w:val="24"/>
        </w:rPr>
      </w:pPr>
      <w:r>
        <w:rPr>
          <w:noProof/>
          <w14:ligatures w14:val="standardContextual"/>
        </w:rPr>
        <w:drawing>
          <wp:inline distT="0" distB="0" distL="0" distR="0" wp14:anchorId="1157E3B3" wp14:editId="73C70FDC">
            <wp:extent cx="6038850" cy="3048000"/>
            <wp:effectExtent l="0" t="0" r="0" b="0"/>
            <wp:docPr id="1590066266" name="Chart 1">
              <a:extLst xmlns:a="http://schemas.openxmlformats.org/drawingml/2006/main">
                <a:ext uri="{FF2B5EF4-FFF2-40B4-BE49-F238E27FC236}">
                  <a16:creationId xmlns:a16="http://schemas.microsoft.com/office/drawing/2014/main" id="{8B517C15-B1A7-1A35-8021-25FF8B3D1C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384EFE" w14:textId="77777777" w:rsidR="002264C5" w:rsidRDefault="002264C5" w:rsidP="002264C5">
      <w:pPr>
        <w:spacing w:after="0" w:line="360" w:lineRule="auto"/>
        <w:jc w:val="both"/>
        <w:rPr>
          <w:rFonts w:ascii="Times New Roman" w:eastAsia="Times New Roman" w:hAnsi="Times New Roman" w:cs="Times New Roman"/>
          <w:bCs/>
          <w:sz w:val="24"/>
          <w:szCs w:val="24"/>
        </w:rPr>
      </w:pPr>
      <w:r w:rsidRPr="00845145">
        <w:rPr>
          <w:rFonts w:ascii="Times New Roman" w:eastAsia="Times New Roman" w:hAnsi="Times New Roman" w:cs="Times New Roman"/>
          <w:b/>
          <w:sz w:val="24"/>
          <w:szCs w:val="24"/>
        </w:rPr>
        <w:t>Figure 1</w:t>
      </w:r>
      <w:r>
        <w:rPr>
          <w:rFonts w:ascii="Times New Roman" w:eastAsia="Times New Roman" w:hAnsi="Times New Roman" w:cs="Times New Roman"/>
          <w:bCs/>
          <w:sz w:val="24"/>
          <w:szCs w:val="24"/>
        </w:rPr>
        <w:t xml:space="preserve">. Bar Chart Showing the </w:t>
      </w:r>
      <w:r w:rsidRPr="00845145">
        <w:rPr>
          <w:rFonts w:ascii="Times New Roman" w:eastAsia="Times New Roman" w:hAnsi="Times New Roman" w:cs="Times New Roman"/>
          <w:bCs/>
          <w:sz w:val="24"/>
          <w:szCs w:val="24"/>
        </w:rPr>
        <w:t>Physicochemical Parameters of the Water Sample in Different Sampling Stations</w:t>
      </w:r>
      <w:r w:rsidRPr="00502829">
        <w:rPr>
          <w:rFonts w:ascii="Times New Roman" w:eastAsia="Times New Roman" w:hAnsi="Times New Roman" w:cs="Times New Roman"/>
          <w:b/>
          <w:sz w:val="24"/>
          <w:szCs w:val="24"/>
        </w:rPr>
        <w:t xml:space="preserve">                                                       </w:t>
      </w:r>
    </w:p>
    <w:p w14:paraId="3F3B4F2C"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61593036"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359B70AB"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273E1CED"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66BABC9A" w14:textId="77777777" w:rsidR="00D50D94" w:rsidRDefault="00D50D94" w:rsidP="002264C5">
      <w:pPr>
        <w:spacing w:after="0" w:line="360" w:lineRule="auto"/>
        <w:jc w:val="both"/>
        <w:rPr>
          <w:rFonts w:ascii="Times New Roman" w:eastAsia="Times New Roman" w:hAnsi="Times New Roman" w:cs="Times New Roman"/>
          <w:bCs/>
          <w:sz w:val="24"/>
          <w:szCs w:val="24"/>
        </w:rPr>
      </w:pPr>
    </w:p>
    <w:p w14:paraId="14E86A8B" w14:textId="438B69C0" w:rsidR="002264C5" w:rsidRDefault="002264C5" w:rsidP="002264C5">
      <w:pPr>
        <w:spacing w:after="0" w:line="360" w:lineRule="auto"/>
        <w:jc w:val="both"/>
        <w:rPr>
          <w:rFonts w:ascii="Times New Roman" w:eastAsia="Times New Roman" w:hAnsi="Times New Roman" w:cs="Times New Roman"/>
          <w:sz w:val="24"/>
          <w:szCs w:val="24"/>
        </w:rPr>
      </w:pPr>
      <w:r w:rsidRPr="00683FF5">
        <w:rPr>
          <w:rFonts w:ascii="Times New Roman" w:eastAsia="Times New Roman" w:hAnsi="Times New Roman" w:cs="Times New Roman"/>
          <w:b/>
          <w:bCs/>
          <w:sz w:val="24"/>
          <w:szCs w:val="24"/>
        </w:rPr>
        <w:t>Table 2</w:t>
      </w:r>
      <w:r w:rsidRPr="00C87482">
        <w:rPr>
          <w:rFonts w:ascii="Times New Roman" w:eastAsia="Times New Roman" w:hAnsi="Times New Roman" w:cs="Times New Roman"/>
          <w:bCs/>
          <w:sz w:val="24"/>
          <w:szCs w:val="24"/>
        </w:rPr>
        <w:t xml:space="preserve">. </w:t>
      </w:r>
      <w:r w:rsidRPr="00502829">
        <w:rPr>
          <w:rFonts w:ascii="Times New Roman" w:eastAsia="Times New Roman" w:hAnsi="Times New Roman" w:cs="Times New Roman"/>
          <w:sz w:val="24"/>
          <w:szCs w:val="24"/>
        </w:rPr>
        <w:t xml:space="preserve">Comparison of </w:t>
      </w:r>
      <w:r>
        <w:rPr>
          <w:rFonts w:ascii="Times New Roman" w:eastAsia="Times New Roman" w:hAnsi="Times New Roman" w:cs="Times New Roman"/>
          <w:sz w:val="24"/>
          <w:szCs w:val="24"/>
        </w:rPr>
        <w:t>the C</w:t>
      </w:r>
      <w:r w:rsidRPr="00502829">
        <w:rPr>
          <w:rFonts w:ascii="Times New Roman" w:eastAsia="Times New Roman" w:hAnsi="Times New Roman" w:cs="Times New Roman"/>
          <w:sz w:val="24"/>
          <w:szCs w:val="24"/>
        </w:rPr>
        <w:t xml:space="preserve">oncentration of </w:t>
      </w:r>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 xml:space="preserve">esticides </w:t>
      </w:r>
      <w:r>
        <w:rPr>
          <w:rFonts w:ascii="Times New Roman" w:eastAsia="Times New Roman" w:hAnsi="Times New Roman" w:cs="Times New Roman"/>
          <w:sz w:val="24"/>
          <w:szCs w:val="24"/>
        </w:rPr>
        <w:t>R</w:t>
      </w:r>
      <w:r w:rsidRPr="00502829">
        <w:rPr>
          <w:rFonts w:ascii="Times New Roman" w:eastAsia="Times New Roman" w:hAnsi="Times New Roman" w:cs="Times New Roman"/>
          <w:sz w:val="24"/>
          <w:szCs w:val="24"/>
        </w:rPr>
        <w:t xml:space="preserve">esidues in </w:t>
      </w:r>
      <w:r>
        <w:rPr>
          <w:rFonts w:ascii="Times New Roman" w:eastAsia="Times New Roman" w:hAnsi="Times New Roman" w:cs="Times New Roman"/>
          <w:sz w:val="24"/>
          <w:szCs w:val="24"/>
        </w:rPr>
        <w:t>D</w:t>
      </w:r>
      <w:r w:rsidRPr="00502829">
        <w:rPr>
          <w:rFonts w:ascii="Times New Roman" w:eastAsia="Times New Roman" w:hAnsi="Times New Roman" w:cs="Times New Roman"/>
          <w:sz w:val="24"/>
          <w:szCs w:val="24"/>
        </w:rPr>
        <w:t xml:space="preserve">ifferent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ampling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tations. </w:t>
      </w:r>
    </w:p>
    <w:tbl>
      <w:tblPr>
        <w:tblW w:w="0" w:type="auto"/>
        <w:tblInd w:w="108" w:type="dxa"/>
        <w:tblCellMar>
          <w:left w:w="10" w:type="dxa"/>
          <w:right w:w="10" w:type="dxa"/>
        </w:tblCellMar>
        <w:tblLook w:val="04A0" w:firstRow="1" w:lastRow="0" w:firstColumn="1" w:lastColumn="0" w:noHBand="0" w:noVBand="1"/>
      </w:tblPr>
      <w:tblGrid>
        <w:gridCol w:w="1342"/>
        <w:gridCol w:w="1053"/>
        <w:gridCol w:w="1033"/>
        <w:gridCol w:w="1034"/>
        <w:gridCol w:w="1066"/>
        <w:gridCol w:w="1087"/>
        <w:gridCol w:w="1087"/>
        <w:gridCol w:w="1216"/>
      </w:tblGrid>
      <w:tr w:rsidR="002264C5" w:rsidRPr="00502829" w14:paraId="60EC8750" w14:textId="77777777" w:rsidTr="00DE3842">
        <w:trPr>
          <w:trHeight w:val="1279"/>
        </w:trPr>
        <w:tc>
          <w:tcPr>
            <w:tcW w:w="1342" w:type="dxa"/>
            <w:tcBorders>
              <w:top w:val="single" w:sz="36" w:space="0" w:color="000000"/>
              <w:bottom w:val="single" w:sz="12" w:space="0" w:color="000000"/>
            </w:tcBorders>
            <w:shd w:val="clear" w:color="000000" w:fill="FFFFFF"/>
            <w:tcMar>
              <w:left w:w="108" w:type="dxa"/>
              <w:right w:w="108" w:type="dxa"/>
            </w:tcMar>
          </w:tcPr>
          <w:p w14:paraId="334C240C" w14:textId="77777777" w:rsidR="002264C5" w:rsidRPr="008B3D17" w:rsidRDefault="002264C5" w:rsidP="00DE3842">
            <w:pPr>
              <w:spacing w:after="0" w:line="240" w:lineRule="auto"/>
              <w:jc w:val="both"/>
              <w:rPr>
                <w:rFonts w:ascii="Times New Roman" w:hAnsi="Times New Roman" w:cs="Times New Roman"/>
                <w:b/>
                <w:bCs/>
              </w:rPr>
            </w:pPr>
            <w:r w:rsidRPr="008B3D17">
              <w:rPr>
                <w:rFonts w:ascii="Times New Roman" w:hAnsi="Times New Roman" w:cs="Times New Roman"/>
                <w:b/>
                <w:bCs/>
              </w:rPr>
              <w:t>Parameter</w:t>
            </w:r>
            <w:r>
              <w:rPr>
                <w:rFonts w:ascii="Times New Roman" w:hAnsi="Times New Roman" w:cs="Times New Roman"/>
                <w:b/>
                <w:bCs/>
              </w:rPr>
              <w:t>s</w:t>
            </w:r>
          </w:p>
        </w:tc>
        <w:tc>
          <w:tcPr>
            <w:tcW w:w="6360" w:type="dxa"/>
            <w:gridSpan w:val="6"/>
            <w:tcBorders>
              <w:top w:val="single" w:sz="36" w:space="0" w:color="000000"/>
              <w:bottom w:val="single" w:sz="12" w:space="0" w:color="000000"/>
            </w:tcBorders>
            <w:shd w:val="clear" w:color="000000" w:fill="FFFFFF"/>
            <w:tcMar>
              <w:left w:w="108" w:type="dxa"/>
              <w:right w:w="108" w:type="dxa"/>
            </w:tcMar>
          </w:tcPr>
          <w:p w14:paraId="0B0FBA21" w14:textId="77777777" w:rsidR="002264C5" w:rsidRPr="008B3D17" w:rsidRDefault="002264C5" w:rsidP="00DE3842">
            <w:pPr>
              <w:spacing w:after="0" w:line="240" w:lineRule="auto"/>
              <w:jc w:val="both"/>
              <w:rPr>
                <w:rFonts w:ascii="Times New Roman" w:eastAsia="Times New Roman" w:hAnsi="Times New Roman" w:cs="Times New Roman"/>
                <w:b/>
                <w:bCs/>
              </w:rPr>
            </w:pPr>
            <w:r w:rsidRPr="008B3D17">
              <w:rPr>
                <w:rFonts w:ascii="Times New Roman" w:eastAsia="Times New Roman" w:hAnsi="Times New Roman" w:cs="Times New Roman"/>
              </w:rPr>
              <w:t xml:space="preserve">                    </w:t>
            </w:r>
            <w:r w:rsidRPr="008B3D17">
              <w:rPr>
                <w:rFonts w:ascii="Times New Roman" w:eastAsia="Times New Roman" w:hAnsi="Times New Roman" w:cs="Times New Roman"/>
                <w:b/>
                <w:bCs/>
              </w:rPr>
              <w:t>Sampling Stations</w:t>
            </w:r>
          </w:p>
          <w:p w14:paraId="75642853" w14:textId="77777777" w:rsidR="002264C5" w:rsidRPr="008B3D17" w:rsidRDefault="002264C5" w:rsidP="00DE3842">
            <w:pPr>
              <w:spacing w:after="0" w:line="240" w:lineRule="auto"/>
              <w:jc w:val="both"/>
              <w:rPr>
                <w:rFonts w:ascii="Times New Roman" w:eastAsia="Times New Roman" w:hAnsi="Times New Roman" w:cs="Times New Roman"/>
              </w:rPr>
            </w:pPr>
          </w:p>
          <w:p w14:paraId="1E6BFC07" w14:textId="77777777" w:rsidR="002264C5" w:rsidRPr="008B3D17" w:rsidRDefault="002264C5" w:rsidP="00DE3842">
            <w:pPr>
              <w:spacing w:after="0" w:line="240" w:lineRule="auto"/>
              <w:jc w:val="both"/>
            </w:pPr>
            <w:r w:rsidRPr="008B3D17">
              <w:rPr>
                <w:rFonts w:ascii="Times New Roman" w:eastAsia="Times New Roman" w:hAnsi="Times New Roman" w:cs="Times New Roman"/>
              </w:rPr>
              <w:t>A                 B              C                D                 E             F</w:t>
            </w:r>
          </w:p>
        </w:tc>
        <w:tc>
          <w:tcPr>
            <w:tcW w:w="1216" w:type="dxa"/>
            <w:tcBorders>
              <w:top w:val="single" w:sz="36" w:space="0" w:color="000000"/>
              <w:bottom w:val="single" w:sz="12" w:space="0" w:color="000000"/>
            </w:tcBorders>
            <w:shd w:val="clear" w:color="000000" w:fill="FFFFFF"/>
            <w:tcMar>
              <w:left w:w="108" w:type="dxa"/>
              <w:right w:w="108" w:type="dxa"/>
            </w:tcMar>
          </w:tcPr>
          <w:p w14:paraId="2FB06665" w14:textId="77777777" w:rsidR="002264C5" w:rsidRPr="008B3D17" w:rsidRDefault="002264C5" w:rsidP="00DE3842">
            <w:pPr>
              <w:spacing w:after="0" w:line="240" w:lineRule="auto"/>
              <w:jc w:val="both"/>
              <w:rPr>
                <w:rFonts w:ascii="Times New Roman" w:eastAsia="Times New Roman" w:hAnsi="Times New Roman" w:cs="Times New Roman"/>
                <w:b/>
                <w:bCs/>
              </w:rPr>
            </w:pPr>
            <w:r w:rsidRPr="008B3D17">
              <w:rPr>
                <w:rFonts w:ascii="Times New Roman" w:eastAsia="Times New Roman" w:hAnsi="Times New Roman" w:cs="Times New Roman"/>
                <w:b/>
                <w:bCs/>
              </w:rPr>
              <w:t>Maximum Residue</w:t>
            </w:r>
          </w:p>
          <w:p w14:paraId="1D54FFF8" w14:textId="77777777" w:rsidR="002264C5" w:rsidRPr="008B3D17" w:rsidRDefault="002264C5" w:rsidP="00DE3842">
            <w:pPr>
              <w:spacing w:after="0" w:line="240" w:lineRule="auto"/>
              <w:jc w:val="both"/>
              <w:rPr>
                <w:b/>
                <w:bCs/>
              </w:rPr>
            </w:pPr>
            <w:r w:rsidRPr="008B3D17">
              <w:rPr>
                <w:rFonts w:ascii="Times New Roman" w:eastAsia="Times New Roman" w:hAnsi="Times New Roman" w:cs="Times New Roman"/>
                <w:b/>
                <w:bCs/>
              </w:rPr>
              <w:t>Limits (MRLs)</w:t>
            </w:r>
          </w:p>
        </w:tc>
      </w:tr>
      <w:tr w:rsidR="002264C5" w:rsidRPr="000D4B9B" w14:paraId="07521DA6" w14:textId="77777777" w:rsidTr="00DE3842">
        <w:trPr>
          <w:trHeight w:val="1"/>
        </w:trPr>
        <w:tc>
          <w:tcPr>
            <w:tcW w:w="1342" w:type="dxa"/>
            <w:tcBorders>
              <w:top w:val="single" w:sz="12" w:space="0" w:color="000000"/>
            </w:tcBorders>
            <w:shd w:val="clear" w:color="000000" w:fill="FFFFFF"/>
            <w:tcMar>
              <w:left w:w="108" w:type="dxa"/>
              <w:right w:w="108" w:type="dxa"/>
            </w:tcMar>
          </w:tcPr>
          <w:p w14:paraId="6D0FE712" w14:textId="01471F2C"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DDT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tcBorders>
              <w:top w:val="single" w:sz="12" w:space="0" w:color="000000"/>
            </w:tcBorders>
            <w:shd w:val="clear" w:color="000000" w:fill="FFFFFF"/>
            <w:tcMar>
              <w:left w:w="108" w:type="dxa"/>
              <w:right w:w="108" w:type="dxa"/>
            </w:tcMar>
          </w:tcPr>
          <w:p w14:paraId="162083A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tcBorders>
              <w:top w:val="single" w:sz="12" w:space="0" w:color="000000"/>
            </w:tcBorders>
            <w:shd w:val="clear" w:color="000000" w:fill="FFFFFF"/>
            <w:tcMar>
              <w:left w:w="108" w:type="dxa"/>
              <w:right w:w="108" w:type="dxa"/>
            </w:tcMar>
          </w:tcPr>
          <w:p w14:paraId="786800C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tcBorders>
              <w:top w:val="single" w:sz="12" w:space="0" w:color="000000"/>
            </w:tcBorders>
            <w:shd w:val="clear" w:color="000000" w:fill="FFFFFF"/>
            <w:tcMar>
              <w:left w:w="108" w:type="dxa"/>
              <w:right w:w="108" w:type="dxa"/>
            </w:tcMar>
          </w:tcPr>
          <w:p w14:paraId="48F29AF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tcBorders>
              <w:top w:val="single" w:sz="12" w:space="0" w:color="000000"/>
            </w:tcBorders>
            <w:shd w:val="clear" w:color="000000" w:fill="FFFFFF"/>
            <w:tcMar>
              <w:left w:w="108" w:type="dxa"/>
              <w:right w:w="108" w:type="dxa"/>
            </w:tcMar>
          </w:tcPr>
          <w:p w14:paraId="1E3023C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top w:val="single" w:sz="12" w:space="0" w:color="000000"/>
            </w:tcBorders>
            <w:shd w:val="clear" w:color="000000" w:fill="FFFFFF"/>
            <w:tcMar>
              <w:left w:w="108" w:type="dxa"/>
              <w:right w:w="108" w:type="dxa"/>
            </w:tcMar>
          </w:tcPr>
          <w:p w14:paraId="37D9D45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top w:val="single" w:sz="12" w:space="0" w:color="000000"/>
            </w:tcBorders>
            <w:shd w:val="clear" w:color="000000" w:fill="FFFFFF"/>
            <w:tcMar>
              <w:left w:w="108" w:type="dxa"/>
              <w:right w:w="108" w:type="dxa"/>
            </w:tcMar>
          </w:tcPr>
          <w:p w14:paraId="3AB43D9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tcBorders>
              <w:top w:val="single" w:sz="12" w:space="0" w:color="000000"/>
            </w:tcBorders>
            <w:shd w:val="clear" w:color="000000" w:fill="FFFFFF"/>
            <w:tcMar>
              <w:left w:w="108" w:type="dxa"/>
              <w:right w:w="108" w:type="dxa"/>
            </w:tcMar>
          </w:tcPr>
          <w:p w14:paraId="2FAC7D5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NS</w:t>
            </w:r>
          </w:p>
        </w:tc>
      </w:tr>
      <w:tr w:rsidR="002264C5" w:rsidRPr="000D4B9B" w14:paraId="16DD27D8" w14:textId="77777777" w:rsidTr="00DE3842">
        <w:trPr>
          <w:trHeight w:val="1"/>
        </w:trPr>
        <w:tc>
          <w:tcPr>
            <w:tcW w:w="1342" w:type="dxa"/>
            <w:shd w:val="clear" w:color="000000" w:fill="FFFFFF"/>
            <w:tcMar>
              <w:left w:w="108" w:type="dxa"/>
              <w:right w:w="108" w:type="dxa"/>
            </w:tcMar>
          </w:tcPr>
          <w:p w14:paraId="74481A01" w14:textId="78CEFBD8"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Aldrin </w:t>
            </w:r>
            <w:r w:rsidR="00C93ADA" w:rsidRPr="000D4B9B">
              <w:rPr>
                <w:rFonts w:ascii="Times New Roman" w:eastAsia="Times New Roman" w:hAnsi="Times New Roman" w:cs="Times New Roman"/>
              </w:rPr>
              <w:t>(</w:t>
            </w:r>
            <w:proofErr w:type="spellStart"/>
            <w:r w:rsidR="00C93ADA" w:rsidRPr="000D4B9B">
              <w:rPr>
                <w:rFonts w:ascii="Times New Roman" w:eastAsia="Times New Roman" w:hAnsi="Times New Roman" w:cs="Times New Roman"/>
              </w:rPr>
              <w:t>μg</w:t>
            </w:r>
            <w:proofErr w:type="spellEnd"/>
            <w:r w:rsidR="00C93ADA"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0D1A9B1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1050</w:t>
            </w:r>
          </w:p>
        </w:tc>
        <w:tc>
          <w:tcPr>
            <w:tcW w:w="1033" w:type="dxa"/>
            <w:shd w:val="clear" w:color="000000" w:fill="FFFFFF"/>
            <w:tcMar>
              <w:left w:w="108" w:type="dxa"/>
              <w:right w:w="108" w:type="dxa"/>
            </w:tcMar>
          </w:tcPr>
          <w:p w14:paraId="50BD800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160</w:t>
            </w:r>
          </w:p>
        </w:tc>
        <w:tc>
          <w:tcPr>
            <w:tcW w:w="1034" w:type="dxa"/>
            <w:shd w:val="clear" w:color="000000" w:fill="FFFFFF"/>
            <w:tcMar>
              <w:left w:w="108" w:type="dxa"/>
              <w:right w:w="108" w:type="dxa"/>
            </w:tcMar>
          </w:tcPr>
          <w:p w14:paraId="10E553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829</w:t>
            </w:r>
          </w:p>
        </w:tc>
        <w:tc>
          <w:tcPr>
            <w:tcW w:w="1066" w:type="dxa"/>
            <w:shd w:val="clear" w:color="000000" w:fill="FFFFFF"/>
            <w:tcMar>
              <w:left w:w="108" w:type="dxa"/>
              <w:right w:w="108" w:type="dxa"/>
            </w:tcMar>
          </w:tcPr>
          <w:p w14:paraId="48CF8F3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38.17</w:t>
            </w:r>
          </w:p>
        </w:tc>
        <w:tc>
          <w:tcPr>
            <w:tcW w:w="1087" w:type="dxa"/>
            <w:shd w:val="clear" w:color="000000" w:fill="FFFFFF"/>
            <w:tcMar>
              <w:left w:w="108" w:type="dxa"/>
              <w:right w:w="108" w:type="dxa"/>
            </w:tcMar>
          </w:tcPr>
          <w:p w14:paraId="5DB61ED3"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363.36</w:t>
            </w:r>
          </w:p>
        </w:tc>
        <w:tc>
          <w:tcPr>
            <w:tcW w:w="1087" w:type="dxa"/>
            <w:shd w:val="clear" w:color="000000" w:fill="FFFFFF"/>
            <w:tcMar>
              <w:left w:w="108" w:type="dxa"/>
              <w:right w:w="108" w:type="dxa"/>
            </w:tcMar>
          </w:tcPr>
          <w:p w14:paraId="2EC9696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363.36</w:t>
            </w:r>
          </w:p>
        </w:tc>
        <w:tc>
          <w:tcPr>
            <w:tcW w:w="1216" w:type="dxa"/>
            <w:shd w:val="clear" w:color="000000" w:fill="FFFFFF"/>
            <w:tcMar>
              <w:left w:w="108" w:type="dxa"/>
              <w:right w:w="108" w:type="dxa"/>
            </w:tcMar>
          </w:tcPr>
          <w:p w14:paraId="7FDE868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0.001</w:t>
            </w:r>
          </w:p>
        </w:tc>
      </w:tr>
      <w:tr w:rsidR="002264C5" w:rsidRPr="000D4B9B" w14:paraId="6410B5E6" w14:textId="77777777" w:rsidTr="00DE3842">
        <w:trPr>
          <w:trHeight w:val="1"/>
        </w:trPr>
        <w:tc>
          <w:tcPr>
            <w:tcW w:w="1342" w:type="dxa"/>
            <w:shd w:val="clear" w:color="000000" w:fill="FFFFFF"/>
            <w:tcMar>
              <w:left w:w="108" w:type="dxa"/>
              <w:right w:w="108" w:type="dxa"/>
            </w:tcMar>
          </w:tcPr>
          <w:p w14:paraId="3D4E41BE" w14:textId="221D9733"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Endrin </w:t>
            </w:r>
            <w:r w:rsidR="00C93ADA" w:rsidRPr="000D4B9B">
              <w:rPr>
                <w:rFonts w:ascii="Times New Roman" w:eastAsia="Times New Roman" w:hAnsi="Times New Roman" w:cs="Times New Roman"/>
              </w:rPr>
              <w:t>(</w:t>
            </w:r>
            <w:proofErr w:type="spellStart"/>
            <w:r w:rsidR="00C93ADA" w:rsidRPr="000D4B9B">
              <w:rPr>
                <w:rFonts w:ascii="Times New Roman" w:eastAsia="Times New Roman" w:hAnsi="Times New Roman" w:cs="Times New Roman"/>
              </w:rPr>
              <w:t>μg</w:t>
            </w:r>
            <w:proofErr w:type="spellEnd"/>
            <w:r w:rsidR="00C93ADA"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7E3CD94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7F6989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0EDB896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173225D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79E21CD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72785FD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0F023DF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51A4BDC8" w14:textId="77777777" w:rsidTr="00DE3842">
        <w:trPr>
          <w:trHeight w:val="1"/>
        </w:trPr>
        <w:tc>
          <w:tcPr>
            <w:tcW w:w="1342" w:type="dxa"/>
            <w:shd w:val="clear" w:color="000000" w:fill="FFFFFF"/>
            <w:tcMar>
              <w:left w:w="108" w:type="dxa"/>
              <w:right w:w="108" w:type="dxa"/>
            </w:tcMar>
          </w:tcPr>
          <w:p w14:paraId="701F3216" w14:textId="643E52B2"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Heptachlor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77D167A8"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3782870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2581E54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03461D0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3D3700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517D8D0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5897C67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0.05</w:t>
            </w:r>
          </w:p>
        </w:tc>
      </w:tr>
      <w:tr w:rsidR="002264C5" w:rsidRPr="000D4B9B" w14:paraId="05EC7DBF" w14:textId="77777777" w:rsidTr="00DE3842">
        <w:trPr>
          <w:trHeight w:val="1"/>
        </w:trPr>
        <w:tc>
          <w:tcPr>
            <w:tcW w:w="1342" w:type="dxa"/>
            <w:shd w:val="clear" w:color="000000" w:fill="FFFFFF"/>
            <w:tcMar>
              <w:left w:w="108" w:type="dxa"/>
              <w:right w:w="108" w:type="dxa"/>
            </w:tcMar>
          </w:tcPr>
          <w:p w14:paraId="38118E9A" w14:textId="45F76855"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DDD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149887D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3A9FC0B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DB0C0C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20E0C17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696B32B8"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5085AF0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3398BF3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188523C2" w14:textId="77777777" w:rsidTr="00DE3842">
        <w:trPr>
          <w:trHeight w:val="1"/>
        </w:trPr>
        <w:tc>
          <w:tcPr>
            <w:tcW w:w="1342" w:type="dxa"/>
            <w:shd w:val="clear" w:color="000000" w:fill="FFFFFF"/>
            <w:tcMar>
              <w:left w:w="108" w:type="dxa"/>
              <w:right w:w="108" w:type="dxa"/>
            </w:tcMar>
          </w:tcPr>
          <w:p w14:paraId="5CA0B6EA" w14:textId="3F6A4D69"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1C96277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4775E99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18FE18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57CC12C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AF8ECC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AA066A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068E349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38263574" w14:textId="77777777" w:rsidTr="00DE3842">
        <w:trPr>
          <w:trHeight w:val="1"/>
        </w:trPr>
        <w:tc>
          <w:tcPr>
            <w:tcW w:w="1342" w:type="dxa"/>
            <w:shd w:val="clear" w:color="000000" w:fill="FFFFFF"/>
            <w:tcMar>
              <w:left w:w="108" w:type="dxa"/>
              <w:right w:w="108" w:type="dxa"/>
            </w:tcMar>
          </w:tcPr>
          <w:p w14:paraId="46B99035" w14:textId="77777777" w:rsidR="002264C5" w:rsidRPr="000D4B9B" w:rsidRDefault="002264C5" w:rsidP="00DE3842">
            <w:pPr>
              <w:spacing w:after="0" w:line="240" w:lineRule="auto"/>
              <w:jc w:val="both"/>
              <w:rPr>
                <w:rFonts w:ascii="Times New Roman" w:eastAsia="Times New Roman" w:hAnsi="Times New Roman" w:cs="Times New Roman"/>
              </w:rPr>
            </w:pPr>
            <w:r w:rsidRPr="000D4B9B">
              <w:rPr>
                <w:rFonts w:ascii="Times New Roman" w:eastAsia="Times New Roman" w:hAnsi="Times New Roman" w:cs="Times New Roman"/>
              </w:rPr>
              <w:t>Heptachlor</w:t>
            </w:r>
          </w:p>
          <w:p w14:paraId="57DE2D13" w14:textId="6C288863"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Epoxide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01741A5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5E23D07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F01B3B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1F59095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5C72FF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5889BE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54D2DAF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416856D4" w14:textId="77777777" w:rsidTr="00DE3842">
        <w:trPr>
          <w:trHeight w:val="1"/>
        </w:trPr>
        <w:tc>
          <w:tcPr>
            <w:tcW w:w="1342" w:type="dxa"/>
            <w:shd w:val="clear" w:color="000000" w:fill="FFFFFF"/>
            <w:tcMar>
              <w:left w:w="108" w:type="dxa"/>
              <w:right w:w="108" w:type="dxa"/>
            </w:tcMar>
          </w:tcPr>
          <w:p w14:paraId="2CDD7E2E" w14:textId="6A053699"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Dieldrin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shd w:val="clear" w:color="000000" w:fill="FFFFFF"/>
            <w:tcMar>
              <w:left w:w="108" w:type="dxa"/>
              <w:right w:w="108" w:type="dxa"/>
            </w:tcMar>
          </w:tcPr>
          <w:p w14:paraId="483E78C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1FAC9B33"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3BCAC7B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6D5DCA8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22F2B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90</w:t>
            </w:r>
          </w:p>
        </w:tc>
        <w:tc>
          <w:tcPr>
            <w:tcW w:w="1087" w:type="dxa"/>
            <w:shd w:val="clear" w:color="000000" w:fill="FFFFFF"/>
            <w:tcMar>
              <w:left w:w="108" w:type="dxa"/>
              <w:right w:w="108" w:type="dxa"/>
            </w:tcMar>
          </w:tcPr>
          <w:p w14:paraId="26B32F6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432D718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0.07</w:t>
            </w:r>
          </w:p>
        </w:tc>
      </w:tr>
      <w:tr w:rsidR="002264C5" w:rsidRPr="000D4B9B" w14:paraId="22017FAB" w14:textId="77777777" w:rsidTr="00DE3842">
        <w:trPr>
          <w:trHeight w:val="1"/>
        </w:trPr>
        <w:tc>
          <w:tcPr>
            <w:tcW w:w="1342" w:type="dxa"/>
            <w:tcBorders>
              <w:bottom w:val="single" w:sz="36" w:space="0" w:color="000000"/>
            </w:tcBorders>
            <w:shd w:val="clear" w:color="000000" w:fill="FFFFFF"/>
            <w:tcMar>
              <w:left w:w="108" w:type="dxa"/>
              <w:right w:w="108" w:type="dxa"/>
            </w:tcMar>
          </w:tcPr>
          <w:p w14:paraId="5AD7CB3F" w14:textId="650C7681"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 Endrin aldehyde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/L)</w:t>
            </w:r>
          </w:p>
        </w:tc>
        <w:tc>
          <w:tcPr>
            <w:tcW w:w="1053" w:type="dxa"/>
            <w:tcBorders>
              <w:bottom w:val="single" w:sz="36" w:space="0" w:color="000000"/>
            </w:tcBorders>
            <w:shd w:val="clear" w:color="000000" w:fill="FFFFFF"/>
            <w:tcMar>
              <w:left w:w="108" w:type="dxa"/>
              <w:right w:w="108" w:type="dxa"/>
            </w:tcMar>
          </w:tcPr>
          <w:p w14:paraId="239D0DA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tcBorders>
              <w:bottom w:val="single" w:sz="36" w:space="0" w:color="000000"/>
            </w:tcBorders>
            <w:shd w:val="clear" w:color="000000" w:fill="FFFFFF"/>
            <w:tcMar>
              <w:left w:w="108" w:type="dxa"/>
              <w:right w:w="108" w:type="dxa"/>
            </w:tcMar>
          </w:tcPr>
          <w:p w14:paraId="5B206F8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tcBorders>
              <w:bottom w:val="single" w:sz="36" w:space="0" w:color="000000"/>
            </w:tcBorders>
            <w:shd w:val="clear" w:color="000000" w:fill="FFFFFF"/>
            <w:tcMar>
              <w:left w:w="108" w:type="dxa"/>
              <w:right w:w="108" w:type="dxa"/>
            </w:tcMar>
          </w:tcPr>
          <w:p w14:paraId="0663043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tcBorders>
              <w:bottom w:val="single" w:sz="36" w:space="0" w:color="000000"/>
            </w:tcBorders>
            <w:shd w:val="clear" w:color="000000" w:fill="FFFFFF"/>
            <w:tcMar>
              <w:left w:w="108" w:type="dxa"/>
              <w:right w:w="108" w:type="dxa"/>
            </w:tcMar>
          </w:tcPr>
          <w:p w14:paraId="1FA606C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bottom w:val="single" w:sz="36" w:space="0" w:color="000000"/>
            </w:tcBorders>
            <w:shd w:val="clear" w:color="000000" w:fill="FFFFFF"/>
            <w:tcMar>
              <w:left w:w="108" w:type="dxa"/>
              <w:right w:w="108" w:type="dxa"/>
            </w:tcMar>
          </w:tcPr>
          <w:p w14:paraId="3F5ED4B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ND </w:t>
            </w:r>
          </w:p>
        </w:tc>
        <w:tc>
          <w:tcPr>
            <w:tcW w:w="1087" w:type="dxa"/>
            <w:tcBorders>
              <w:bottom w:val="single" w:sz="36" w:space="0" w:color="000000"/>
            </w:tcBorders>
            <w:shd w:val="clear" w:color="000000" w:fill="FFFFFF"/>
            <w:tcMar>
              <w:left w:w="108" w:type="dxa"/>
              <w:right w:w="108" w:type="dxa"/>
            </w:tcMar>
          </w:tcPr>
          <w:p w14:paraId="3414255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tcBorders>
              <w:bottom w:val="single" w:sz="36" w:space="0" w:color="000000"/>
            </w:tcBorders>
            <w:shd w:val="clear" w:color="000000" w:fill="FFFFFF"/>
            <w:tcMar>
              <w:left w:w="108" w:type="dxa"/>
              <w:right w:w="108" w:type="dxa"/>
            </w:tcMar>
          </w:tcPr>
          <w:p w14:paraId="03E9237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NS</w:t>
            </w:r>
          </w:p>
        </w:tc>
      </w:tr>
    </w:tbl>
    <w:p w14:paraId="2E8B7FE4" w14:textId="77777777" w:rsidR="002264C5" w:rsidRPr="00502829" w:rsidRDefault="002264C5" w:rsidP="002264C5">
      <w:pPr>
        <w:spacing w:after="0" w:line="360" w:lineRule="auto"/>
        <w:jc w:val="both"/>
        <w:rPr>
          <w:rFonts w:ascii="Times New Roman" w:eastAsia="Times New Roman" w:hAnsi="Times New Roman" w:cs="Times New Roman"/>
          <w:sz w:val="24"/>
          <w:szCs w:val="24"/>
        </w:rPr>
      </w:pPr>
    </w:p>
    <w:p w14:paraId="38B60D38" w14:textId="77777777" w:rsidR="002264C5" w:rsidRPr="009250C8" w:rsidRDefault="002264C5" w:rsidP="002264C5">
      <w:pPr>
        <w:spacing w:after="0" w:line="360" w:lineRule="auto"/>
        <w:rPr>
          <w:rFonts w:ascii="Times New Roman" w:hAnsi="Times New Roman" w:cs="Times New Roman"/>
          <w:sz w:val="24"/>
          <w:szCs w:val="24"/>
        </w:rPr>
        <w:sectPr w:rsidR="002264C5" w:rsidRPr="009250C8" w:rsidSect="002264C5">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t>NS = Not Specified, ND = Not Detected</w:t>
      </w:r>
    </w:p>
    <w:p w14:paraId="3B25EA72" w14:textId="77777777" w:rsidR="002264C5" w:rsidRDefault="002264C5" w:rsidP="002264C5">
      <w:pPr>
        <w:spacing w:after="0" w:line="360" w:lineRule="auto"/>
        <w:ind w:right="-170"/>
        <w:rPr>
          <w:rFonts w:ascii="Times New Roman" w:hAnsi="Times New Roman" w:cs="Times New Roman"/>
          <w:b/>
          <w:bCs/>
          <w:sz w:val="24"/>
          <w:szCs w:val="24"/>
        </w:rPr>
      </w:pPr>
      <w:r w:rsidRPr="00574425">
        <w:rPr>
          <w:rFonts w:ascii="Times New Roman" w:hAnsi="Times New Roman" w:cs="Times New Roman"/>
          <w:b/>
          <w:bCs/>
          <w:sz w:val="24"/>
          <w:szCs w:val="24"/>
        </w:rPr>
        <w:t>3.2 Discussion</w:t>
      </w:r>
    </w:p>
    <w:p w14:paraId="389FEDBB" w14:textId="4DA66C6A" w:rsidR="002264C5" w:rsidRDefault="005F7ED7" w:rsidP="005F7ED7">
      <w:pPr>
        <w:spacing w:after="0" w:line="360" w:lineRule="auto"/>
        <w:ind w:left="-170" w:right="-170"/>
        <w:jc w:val="both"/>
        <w:rPr>
          <w:rFonts w:ascii="Times New Roman" w:eastAsia="Times New Roman" w:hAnsi="Times New Roman" w:cs="Times New Roman"/>
          <w:sz w:val="24"/>
          <w:szCs w:val="24"/>
        </w:rPr>
      </w:pPr>
      <w:r w:rsidRPr="005F7ED7">
        <w:rPr>
          <w:rFonts w:ascii="Times New Roman" w:eastAsia="Times New Roman" w:hAnsi="Times New Roman" w:cs="Times New Roman"/>
          <w:sz w:val="24"/>
          <w:szCs w:val="24"/>
          <w:highlight w:val="yellow"/>
        </w:rPr>
        <w:t xml:space="preserve">Table 1 above presents a comparative analysis of the physicochemical parameters of water across five different sampling stations. The pH valve remains consistent at 8.8 across all stations, indicating a uniformly alkaline nature of the water. Total Dissolved Solids (TDS) exhibit minor variations, ranging from 53 ppm to 56 ppm, indicating a relatively low mineral content. Electrical Conductivity (E.C.) shows a slight fluctuation, with values mostly around 112 </w:t>
      </w:r>
      <w:proofErr w:type="spellStart"/>
      <w:r w:rsidRPr="005F7ED7">
        <w:rPr>
          <w:rFonts w:ascii="Times New Roman" w:eastAsia="Times New Roman" w:hAnsi="Times New Roman" w:cs="Times New Roman"/>
          <w:sz w:val="24"/>
          <w:szCs w:val="24"/>
          <w:highlight w:val="yellow"/>
        </w:rPr>
        <w:t>μS</w:t>
      </w:r>
      <w:proofErr w:type="spellEnd"/>
      <w:r w:rsidRPr="005F7ED7">
        <w:rPr>
          <w:rFonts w:ascii="Times New Roman" w:eastAsia="Times New Roman" w:hAnsi="Times New Roman" w:cs="Times New Roman"/>
          <w:sz w:val="24"/>
          <w:szCs w:val="24"/>
          <w:highlight w:val="yellow"/>
        </w:rPr>
        <w:t xml:space="preserve">/cm, except for station A, which has a value of </w:t>
      </w:r>
      <w:r w:rsidRPr="005F7ED7">
        <w:rPr>
          <w:rFonts w:ascii="Times New Roman" w:eastAsia="Times New Roman" w:hAnsi="Times New Roman" w:cs="Times New Roman"/>
          <w:sz w:val="24"/>
          <w:szCs w:val="24"/>
          <w:highlight w:val="yellow"/>
        </w:rPr>
        <w:t xml:space="preserve">108 </w:t>
      </w:r>
      <w:proofErr w:type="spellStart"/>
      <w:r w:rsidRPr="005F7ED7">
        <w:rPr>
          <w:rFonts w:ascii="Times New Roman" w:eastAsia="Times New Roman" w:hAnsi="Times New Roman" w:cs="Times New Roman"/>
          <w:sz w:val="24"/>
          <w:szCs w:val="24"/>
          <w:highlight w:val="yellow"/>
        </w:rPr>
        <w:t>μS</w:t>
      </w:r>
      <w:proofErr w:type="spellEnd"/>
      <w:r w:rsidRPr="005F7ED7">
        <w:rPr>
          <w:rFonts w:ascii="Times New Roman" w:eastAsia="Times New Roman" w:hAnsi="Times New Roman" w:cs="Times New Roman"/>
          <w:sz w:val="24"/>
          <w:szCs w:val="24"/>
          <w:highlight w:val="yellow"/>
        </w:rPr>
        <w:t xml:space="preserve">/cm, indicating minor differences in ionic concentration (Sharma </w:t>
      </w:r>
      <w:r w:rsidRPr="005F7ED7">
        <w:rPr>
          <w:rFonts w:ascii="Times New Roman" w:eastAsia="Times New Roman" w:hAnsi="Times New Roman" w:cs="Times New Roman"/>
          <w:i/>
          <w:iCs/>
          <w:sz w:val="24"/>
          <w:szCs w:val="24"/>
          <w:highlight w:val="yellow"/>
        </w:rPr>
        <w:t xml:space="preserve">et al., </w:t>
      </w:r>
      <w:r w:rsidRPr="005F7ED7">
        <w:rPr>
          <w:rFonts w:ascii="Times New Roman" w:eastAsia="Times New Roman" w:hAnsi="Times New Roman" w:cs="Times New Roman"/>
          <w:sz w:val="24"/>
          <w:szCs w:val="24"/>
          <w:highlight w:val="yellow"/>
        </w:rPr>
        <w:t xml:space="preserve">2019). The Biochemical Oxygen Demand (BOD) varies significantly, ranging from 1.03 mg/L at station C to 4.33 mg/L at station E, reflecting diverse levels of organic pollution. Dissolved Oxygen (DO) ranges from 1.52 mg/L at station C to 4.6 mg/L at station E, highlighting variations in water aeration and potential biological activity across the stations. These findings reveal significant spatial differences in water quality parameters, which could be attributed to local </w:t>
      </w:r>
      <w:r w:rsidRPr="005F7ED7">
        <w:rPr>
          <w:rFonts w:ascii="Times New Roman" w:eastAsia="Times New Roman" w:hAnsi="Times New Roman" w:cs="Times New Roman"/>
          <w:sz w:val="24"/>
          <w:szCs w:val="24"/>
          <w:highlight w:val="yellow"/>
        </w:rPr>
        <w:lastRenderedPageBreak/>
        <w:t>environmental factors and anthropogenic activities (</w:t>
      </w:r>
      <w:proofErr w:type="spellStart"/>
      <w:r w:rsidRPr="005F7ED7">
        <w:rPr>
          <w:rFonts w:ascii="Times New Roman" w:eastAsia="Times New Roman" w:hAnsi="Times New Roman" w:cs="Times New Roman"/>
          <w:sz w:val="24"/>
          <w:szCs w:val="24"/>
          <w:highlight w:val="yellow"/>
        </w:rPr>
        <w:t>Kouzayha</w:t>
      </w:r>
      <w:proofErr w:type="spellEnd"/>
      <w:r w:rsidRPr="005F7ED7">
        <w:rPr>
          <w:rFonts w:ascii="Times New Roman" w:eastAsia="Times New Roman" w:hAnsi="Times New Roman" w:cs="Times New Roman"/>
          <w:sz w:val="24"/>
          <w:szCs w:val="24"/>
          <w:highlight w:val="yellow"/>
        </w:rPr>
        <w:t xml:space="preserve"> </w:t>
      </w:r>
      <w:r w:rsidRPr="005F7ED7">
        <w:rPr>
          <w:rFonts w:ascii="Times New Roman" w:eastAsia="Times New Roman" w:hAnsi="Times New Roman" w:cs="Times New Roman"/>
          <w:i/>
          <w:iCs/>
          <w:sz w:val="24"/>
          <w:szCs w:val="24"/>
          <w:highlight w:val="yellow"/>
        </w:rPr>
        <w:t xml:space="preserve">et al., </w:t>
      </w:r>
      <w:r w:rsidRPr="005F7ED7">
        <w:rPr>
          <w:rFonts w:ascii="Times New Roman" w:eastAsia="Times New Roman" w:hAnsi="Times New Roman" w:cs="Times New Roman"/>
          <w:sz w:val="24"/>
          <w:szCs w:val="24"/>
          <w:highlight w:val="yellow"/>
        </w:rPr>
        <w:t>2012). The water quality at all stations shows</w:t>
      </w:r>
      <w:r>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rPr>
        <w:t>some deviations from ideal standards particularly in pH and DO levels, which are slightly outside the recommended limits. However, TDS, E.C, and BOD valves remain within permissible limits, indicating generally good water quality. Continuous monitoring and management are essential to ensure water remains within safe limits for all uses. It was observed from the result of experiment obtained, that pH exceeds the maximum permitted limit because of introduction of pesticides into the water, causing contamination to water bodies and aquatic organisms in the water</w:t>
      </w:r>
      <w:r w:rsidR="002264C5">
        <w:rPr>
          <w:rFonts w:ascii="Times New Roman" w:eastAsia="Times New Roman" w:hAnsi="Times New Roman" w:cs="Times New Roman"/>
          <w:sz w:val="24"/>
          <w:szCs w:val="24"/>
        </w:rPr>
        <w:t xml:space="preserve"> (</w:t>
      </w:r>
      <w:r w:rsidR="002264C5" w:rsidRPr="00502829">
        <w:rPr>
          <w:rFonts w:ascii="Times New Roman" w:eastAsia="Times New Roman" w:hAnsi="Times New Roman" w:cs="Times New Roman"/>
          <w:sz w:val="24"/>
          <w:szCs w:val="24"/>
          <w:shd w:val="clear" w:color="auto" w:fill="FFFFFF"/>
        </w:rPr>
        <w:t>Mahmood</w:t>
      </w:r>
      <w:r w:rsidR="002264C5">
        <w:rPr>
          <w:rFonts w:ascii="Times New Roman" w:eastAsia="Times New Roman" w:hAnsi="Times New Roman" w:cs="Times New Roman"/>
          <w:sz w:val="24"/>
          <w:szCs w:val="24"/>
          <w:shd w:val="clear" w:color="auto" w:fill="FFFFFF"/>
        </w:rPr>
        <w:t xml:space="preserve"> </w:t>
      </w:r>
      <w:r w:rsidR="002264C5">
        <w:rPr>
          <w:rFonts w:ascii="Times New Roman" w:eastAsia="Times New Roman" w:hAnsi="Times New Roman" w:cs="Times New Roman"/>
          <w:i/>
          <w:iCs/>
          <w:sz w:val="24"/>
          <w:szCs w:val="24"/>
          <w:shd w:val="clear" w:color="auto" w:fill="FFFFFF"/>
        </w:rPr>
        <w:t xml:space="preserve">et al., </w:t>
      </w:r>
      <w:r w:rsidR="002264C5">
        <w:rPr>
          <w:rFonts w:ascii="Times New Roman" w:eastAsia="Times New Roman" w:hAnsi="Times New Roman" w:cs="Times New Roman"/>
          <w:sz w:val="24"/>
          <w:szCs w:val="24"/>
          <w:shd w:val="clear" w:color="auto" w:fill="FFFFFF"/>
        </w:rPr>
        <w:t>2016).</w:t>
      </w:r>
      <w:r w:rsidR="002264C5" w:rsidRPr="00502829">
        <w:rPr>
          <w:rFonts w:ascii="Times New Roman" w:eastAsia="Times New Roman" w:hAnsi="Times New Roman" w:cs="Times New Roman"/>
          <w:sz w:val="24"/>
          <w:szCs w:val="24"/>
        </w:rPr>
        <w:t xml:space="preserve"> Most of the parameters shows variation in many sampling stations. According to WHO, DO exceeds maximum permitted limit causing contamination to aquatic organisms in the water which human beings are affected when consumed, </w:t>
      </w:r>
      <w:proofErr w:type="spellStart"/>
      <w:r w:rsidR="002264C5">
        <w:rPr>
          <w:rFonts w:ascii="Times New Roman" w:eastAsia="Times New Roman" w:hAnsi="Times New Roman" w:cs="Times New Roman"/>
          <w:sz w:val="24"/>
          <w:szCs w:val="24"/>
        </w:rPr>
        <w:t>e</w:t>
      </w:r>
      <w:r w:rsidR="002264C5" w:rsidRPr="00502829">
        <w:rPr>
          <w:rFonts w:ascii="Times New Roman" w:eastAsia="Times New Roman" w:hAnsi="Times New Roman" w:cs="Times New Roman"/>
          <w:sz w:val="24"/>
          <w:szCs w:val="24"/>
        </w:rPr>
        <w:t>.g</w:t>
      </w:r>
      <w:proofErr w:type="spellEnd"/>
      <w:r w:rsidR="002264C5" w:rsidRPr="00502829">
        <w:rPr>
          <w:rFonts w:ascii="Times New Roman" w:eastAsia="Times New Roman" w:hAnsi="Times New Roman" w:cs="Times New Roman"/>
          <w:sz w:val="24"/>
          <w:szCs w:val="24"/>
        </w:rPr>
        <w:t>: Cough, Diarrhea, Typhoid etc.</w:t>
      </w:r>
    </w:p>
    <w:p w14:paraId="683B8B24" w14:textId="77777777" w:rsidR="004067C2" w:rsidRPr="00D50D94" w:rsidRDefault="002264C5" w:rsidP="004067C2">
      <w:pPr>
        <w:spacing w:after="0" w:line="360" w:lineRule="auto"/>
        <w:ind w:left="-170" w:right="-170"/>
        <w:jc w:val="both"/>
        <w:rPr>
          <w:rFonts w:ascii="Times New Roman" w:eastAsia="Times New Roman" w:hAnsi="Times New Roman" w:cs="Times New Roman"/>
          <w:sz w:val="24"/>
          <w:szCs w:val="24"/>
          <w:highlight w:val="yellow"/>
        </w:rPr>
      </w:pPr>
      <w:r w:rsidRPr="00502829">
        <w:rPr>
          <w:rFonts w:ascii="Times New Roman" w:eastAsia="Times New Roman" w:hAnsi="Times New Roman" w:cs="Times New Roman"/>
          <w:sz w:val="24"/>
          <w:szCs w:val="24"/>
        </w:rPr>
        <w:t>The concentration of pesticide residues and most toxic degradation product show that aldrin and dieldrin exceed the maximum residues limit which causes alteration or contamination to the water because of their higher concentration in the water.</w:t>
      </w:r>
      <w:r w:rsidR="004067C2">
        <w:rPr>
          <w:rFonts w:ascii="Times New Roman" w:eastAsia="Times New Roman" w:hAnsi="Times New Roman" w:cs="Times New Roman"/>
          <w:sz w:val="24"/>
          <w:szCs w:val="24"/>
        </w:rPr>
        <w:t xml:space="preserve"> </w:t>
      </w:r>
      <w:r w:rsidR="004067C2" w:rsidRPr="00D50D94">
        <w:rPr>
          <w:rFonts w:ascii="Times New Roman" w:eastAsia="Times New Roman" w:hAnsi="Times New Roman" w:cs="Times New Roman"/>
          <w:sz w:val="24"/>
          <w:szCs w:val="24"/>
          <w:highlight w:val="yellow"/>
        </w:rPr>
        <w:t xml:space="preserve">The results presented in Table 2 show the concentrations of selected pesticide residues in water samples collected from different sampling stations (A–F) along River Taraba at </w:t>
      </w:r>
      <w:proofErr w:type="spellStart"/>
      <w:r w:rsidR="004067C2" w:rsidRPr="00D50D94">
        <w:rPr>
          <w:rFonts w:ascii="Times New Roman" w:eastAsia="Times New Roman" w:hAnsi="Times New Roman" w:cs="Times New Roman"/>
          <w:sz w:val="24"/>
          <w:szCs w:val="24"/>
          <w:highlight w:val="yellow"/>
        </w:rPr>
        <w:t>Tella</w:t>
      </w:r>
      <w:proofErr w:type="spellEnd"/>
      <w:r w:rsidR="004067C2" w:rsidRPr="00D50D94">
        <w:rPr>
          <w:rFonts w:ascii="Times New Roman" w:eastAsia="Times New Roman" w:hAnsi="Times New Roman" w:cs="Times New Roman"/>
          <w:sz w:val="24"/>
          <w:szCs w:val="24"/>
          <w:highlight w:val="yellow"/>
        </w:rPr>
        <w:t xml:space="preserve"> in </w:t>
      </w:r>
      <w:proofErr w:type="spellStart"/>
      <w:r w:rsidR="004067C2" w:rsidRPr="00D50D94">
        <w:rPr>
          <w:rFonts w:ascii="Times New Roman" w:eastAsia="Times New Roman" w:hAnsi="Times New Roman" w:cs="Times New Roman"/>
          <w:sz w:val="24"/>
          <w:szCs w:val="24"/>
          <w:highlight w:val="yellow"/>
        </w:rPr>
        <w:t>Gassol</w:t>
      </w:r>
      <w:proofErr w:type="spellEnd"/>
      <w:r w:rsidR="004067C2" w:rsidRPr="00D50D94">
        <w:rPr>
          <w:rFonts w:ascii="Times New Roman" w:eastAsia="Times New Roman" w:hAnsi="Times New Roman" w:cs="Times New Roman"/>
          <w:sz w:val="24"/>
          <w:szCs w:val="24"/>
          <w:highlight w:val="yellow"/>
        </w:rPr>
        <w:t xml:space="preserve"> Local Government Area. The pesticides analyzed belong mainly to the group of organochlorine pesticides, including DDT, Aldrin, Endrin, Heptachlor, DDD, DDE, Heptachlor epoxide, Dieldrin, and Endrin aldehyde. These pesticides are known for their persistence, toxicity, and bioaccumulation potential in aquatic ecosystems. Their presence in surface waters is often associated with agricultural runoff, improper pesticide handling, and historical applications.</w:t>
      </w:r>
    </w:p>
    <w:p w14:paraId="4F55D811" w14:textId="77777777"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 xml:space="preserve">The results revealed that several pesticide residues such as DDT, Endrin, Heptachlor, DDD, DDE, Heptachlor epoxide, and Endrin aldehyde were not detected (ND) across all the sampling stations. The absence of these compounds may suggest that their usage within the agricultural areas surrounding the river has declined significantly or that their concentrations in the river water are below the detection limits of the analytical methods employed. Similar findings were reported by Olusegun A. Sosan in 2018, who investigated organochlorine pesticide residues in surface waters in southwestern Nigeria and observed that compounds such as DDT and its metabolites were either absent or present in trace quantities due to regulatory restrictions and environmental degradation processes. This decline has been partly attributed to the implementation of international environmental agreements such as the </w:t>
      </w:r>
      <w:r w:rsidRPr="00D50D94">
        <w:rPr>
          <w:rFonts w:ascii="Times New Roman" w:eastAsia="Times New Roman" w:hAnsi="Times New Roman" w:cs="Times New Roman"/>
          <w:sz w:val="24"/>
          <w:szCs w:val="24"/>
          <w:highlight w:val="yellow"/>
        </w:rPr>
        <w:lastRenderedPageBreak/>
        <w:t>Stockholm Convention on Persistent Organic Pollutants, which restricts the use of many persistent pesticides including DDT and related compounds.</w:t>
      </w:r>
    </w:p>
    <w:p w14:paraId="2B4EE4E9" w14:textId="77777777"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 xml:space="preserve">Despite the absence of many pesticides, Aldrin was detected in all sampling stations, with concentrations ranging from 38.17 </w:t>
      </w:r>
      <w:proofErr w:type="spellStart"/>
      <w:r w:rsidRPr="00D50D94">
        <w:rPr>
          <w:rFonts w:ascii="Times New Roman" w:eastAsia="Times New Roman" w:hAnsi="Times New Roman" w:cs="Times New Roman"/>
          <w:sz w:val="24"/>
          <w:szCs w:val="24"/>
          <w:highlight w:val="yellow"/>
        </w:rPr>
        <w:t>μg</w:t>
      </w:r>
      <w:proofErr w:type="spellEnd"/>
      <w:r w:rsidRPr="00D50D94">
        <w:rPr>
          <w:rFonts w:ascii="Times New Roman" w:eastAsia="Times New Roman" w:hAnsi="Times New Roman" w:cs="Times New Roman"/>
          <w:sz w:val="24"/>
          <w:szCs w:val="24"/>
          <w:highlight w:val="yellow"/>
        </w:rPr>
        <w:t xml:space="preserve">/L at station D to 1050 </w:t>
      </w:r>
      <w:proofErr w:type="spellStart"/>
      <w:r w:rsidRPr="00D50D94">
        <w:rPr>
          <w:rFonts w:ascii="Times New Roman" w:eastAsia="Times New Roman" w:hAnsi="Times New Roman" w:cs="Times New Roman"/>
          <w:sz w:val="24"/>
          <w:szCs w:val="24"/>
          <w:highlight w:val="yellow"/>
        </w:rPr>
        <w:t>μg</w:t>
      </w:r>
      <w:proofErr w:type="spellEnd"/>
      <w:r w:rsidRPr="00D50D94">
        <w:rPr>
          <w:rFonts w:ascii="Times New Roman" w:eastAsia="Times New Roman" w:hAnsi="Times New Roman" w:cs="Times New Roman"/>
          <w:sz w:val="24"/>
          <w:szCs w:val="24"/>
          <w:highlight w:val="yellow"/>
        </w:rPr>
        <w:t xml:space="preserve">/L at station A. These concentrations are extremely higher than the Maximum Residue Limit (MRL) of 0.001 </w:t>
      </w:r>
      <w:proofErr w:type="spellStart"/>
      <w:r w:rsidRPr="00D50D94">
        <w:rPr>
          <w:rFonts w:ascii="Times New Roman" w:eastAsia="Times New Roman" w:hAnsi="Times New Roman" w:cs="Times New Roman"/>
          <w:sz w:val="24"/>
          <w:szCs w:val="24"/>
          <w:highlight w:val="yellow"/>
        </w:rPr>
        <w:t>μg</w:t>
      </w:r>
      <w:proofErr w:type="spellEnd"/>
      <w:r w:rsidRPr="00D50D94">
        <w:rPr>
          <w:rFonts w:ascii="Times New Roman" w:eastAsia="Times New Roman" w:hAnsi="Times New Roman" w:cs="Times New Roman"/>
          <w:sz w:val="24"/>
          <w:szCs w:val="24"/>
          <w:highlight w:val="yellow"/>
        </w:rPr>
        <w:t xml:space="preserve">/L, indicating severe contamination of the river system. The highest concentration recorded at station A may be attributed to proximity to farmlands or areas where pesticide application is more intensive. Agricultural activities around </w:t>
      </w:r>
      <w:proofErr w:type="spellStart"/>
      <w:r w:rsidRPr="00D50D94">
        <w:rPr>
          <w:rFonts w:ascii="Times New Roman" w:eastAsia="Times New Roman" w:hAnsi="Times New Roman" w:cs="Times New Roman"/>
          <w:sz w:val="24"/>
          <w:szCs w:val="24"/>
          <w:highlight w:val="yellow"/>
        </w:rPr>
        <w:t>Tella</w:t>
      </w:r>
      <w:proofErr w:type="spellEnd"/>
      <w:r w:rsidRPr="00D50D94">
        <w:rPr>
          <w:rFonts w:ascii="Times New Roman" w:eastAsia="Times New Roman" w:hAnsi="Times New Roman" w:cs="Times New Roman"/>
          <w:sz w:val="24"/>
          <w:szCs w:val="24"/>
          <w:highlight w:val="yellow"/>
        </w:rPr>
        <w:t xml:space="preserve"> in </w:t>
      </w:r>
      <w:proofErr w:type="spellStart"/>
      <w:r w:rsidRPr="00D50D94">
        <w:rPr>
          <w:rFonts w:ascii="Times New Roman" w:eastAsia="Times New Roman" w:hAnsi="Times New Roman" w:cs="Times New Roman"/>
          <w:sz w:val="24"/>
          <w:szCs w:val="24"/>
          <w:highlight w:val="yellow"/>
        </w:rPr>
        <w:t>Gassol</w:t>
      </w:r>
      <w:proofErr w:type="spellEnd"/>
      <w:r w:rsidRPr="00D50D94">
        <w:rPr>
          <w:rFonts w:ascii="Times New Roman" w:eastAsia="Times New Roman" w:hAnsi="Times New Roman" w:cs="Times New Roman"/>
          <w:sz w:val="24"/>
          <w:szCs w:val="24"/>
          <w:highlight w:val="yellow"/>
        </w:rPr>
        <w:t xml:space="preserve"> LGA, particularly crop farming such as rice, maize, and vegetable cultivation, often involve the use of pesticides that may eventually enter nearby water bodies through surface runoff and leaching.</w:t>
      </w:r>
    </w:p>
    <w:p w14:paraId="0CB0853B" w14:textId="55E0A955"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 xml:space="preserve">Comparable results were reported by </w:t>
      </w:r>
      <w:r>
        <w:rPr>
          <w:rFonts w:ascii="Times New Roman" w:eastAsia="Times New Roman" w:hAnsi="Times New Roman" w:cs="Times New Roman"/>
          <w:sz w:val="24"/>
          <w:szCs w:val="24"/>
          <w:highlight w:val="yellow"/>
        </w:rPr>
        <w:t>(</w:t>
      </w:r>
      <w:r w:rsidR="000E4609">
        <w:rPr>
          <w:rFonts w:ascii="Times New Roman" w:eastAsia="Times New Roman" w:hAnsi="Times New Roman" w:cs="Times New Roman"/>
          <w:sz w:val="24"/>
          <w:szCs w:val="24"/>
          <w:highlight w:val="yellow"/>
        </w:rPr>
        <w:t xml:space="preserve">Das </w:t>
      </w:r>
      <w:r w:rsidR="000E4609">
        <w:rPr>
          <w:rFonts w:ascii="Times New Roman" w:eastAsia="Times New Roman" w:hAnsi="Times New Roman" w:cs="Times New Roman"/>
          <w:i/>
          <w:iCs/>
          <w:sz w:val="24"/>
          <w:szCs w:val="24"/>
          <w:highlight w:val="yellow"/>
        </w:rPr>
        <w:t xml:space="preserve">et al., </w:t>
      </w:r>
      <w:r w:rsidR="000E4609">
        <w:rPr>
          <w:rFonts w:ascii="Times New Roman" w:eastAsia="Times New Roman" w:hAnsi="Times New Roman" w:cs="Times New Roman"/>
          <w:sz w:val="24"/>
          <w:szCs w:val="24"/>
          <w:highlight w:val="yellow"/>
        </w:rPr>
        <w:t>2012</w:t>
      </w:r>
      <w:r>
        <w:rPr>
          <w:rFonts w:ascii="Times New Roman" w:eastAsia="Times New Roman" w:hAnsi="Times New Roman" w:cs="Times New Roman"/>
          <w:sz w:val="24"/>
          <w:szCs w:val="24"/>
          <w:highlight w:val="yellow"/>
        </w:rPr>
        <w:t>)</w:t>
      </w:r>
      <w:r w:rsidRPr="00D50D94">
        <w:rPr>
          <w:rFonts w:ascii="Times New Roman" w:eastAsia="Times New Roman" w:hAnsi="Times New Roman" w:cs="Times New Roman"/>
          <w:sz w:val="24"/>
          <w:szCs w:val="24"/>
          <w:highlight w:val="yellow"/>
        </w:rPr>
        <w:t xml:space="preserve">, who detected significant levels of organochlorine pesticides including Aldrin in Nigerian river systems receiving agricultural runoff. Their study indicated that the presence of Aldrin in surface water is usually associated with improper pesticide management and continuous use of banned or restricted chemicals in farming communities. Likewise, </w:t>
      </w:r>
      <w:r>
        <w:rPr>
          <w:rFonts w:ascii="Times New Roman" w:eastAsia="Times New Roman" w:hAnsi="Times New Roman" w:cs="Times New Roman"/>
          <w:sz w:val="24"/>
          <w:szCs w:val="24"/>
          <w:highlight w:val="yellow"/>
        </w:rPr>
        <w:t>(</w:t>
      </w:r>
      <w:r w:rsidR="000E4609">
        <w:rPr>
          <w:rFonts w:ascii="Times New Roman" w:eastAsia="Times New Roman" w:hAnsi="Times New Roman" w:cs="Times New Roman"/>
          <w:sz w:val="24"/>
          <w:szCs w:val="24"/>
          <w:highlight w:val="yellow"/>
        </w:rPr>
        <w:t xml:space="preserve">Sharma </w:t>
      </w:r>
      <w:r w:rsidR="000E4609">
        <w:rPr>
          <w:rFonts w:ascii="Times New Roman" w:eastAsia="Times New Roman" w:hAnsi="Times New Roman" w:cs="Times New Roman"/>
          <w:i/>
          <w:iCs/>
          <w:sz w:val="24"/>
          <w:szCs w:val="24"/>
          <w:highlight w:val="yellow"/>
        </w:rPr>
        <w:t>et al.</w:t>
      </w:r>
      <w:r>
        <w:rPr>
          <w:rFonts w:ascii="Times New Roman" w:eastAsia="Times New Roman" w:hAnsi="Times New Roman" w:cs="Times New Roman"/>
          <w:sz w:val="24"/>
          <w:szCs w:val="24"/>
          <w:highlight w:val="yellow"/>
        </w:rPr>
        <w:t>, 2</w:t>
      </w:r>
      <w:r w:rsidRPr="00D50D94">
        <w:rPr>
          <w:rFonts w:ascii="Times New Roman" w:eastAsia="Times New Roman" w:hAnsi="Times New Roman" w:cs="Times New Roman"/>
          <w:sz w:val="24"/>
          <w:szCs w:val="24"/>
          <w:highlight w:val="yellow"/>
        </w:rPr>
        <w:t>019</w:t>
      </w:r>
      <w:r>
        <w:rPr>
          <w:rFonts w:ascii="Times New Roman" w:eastAsia="Times New Roman" w:hAnsi="Times New Roman" w:cs="Times New Roman"/>
          <w:sz w:val="24"/>
          <w:szCs w:val="24"/>
          <w:highlight w:val="yellow"/>
        </w:rPr>
        <w:t>)</w:t>
      </w:r>
      <w:r w:rsidRPr="00D50D94">
        <w:rPr>
          <w:rFonts w:ascii="Times New Roman" w:eastAsia="Times New Roman" w:hAnsi="Times New Roman" w:cs="Times New Roman"/>
          <w:sz w:val="24"/>
          <w:szCs w:val="24"/>
          <w:highlight w:val="yellow"/>
        </w:rPr>
        <w:t xml:space="preserve"> reported elevated concentrations of Aldrin in freshwater systems in southern Nigeria and </w:t>
      </w:r>
      <w:r w:rsidRPr="00D50D94">
        <w:rPr>
          <w:rFonts w:ascii="Times New Roman" w:eastAsia="Times New Roman" w:hAnsi="Times New Roman" w:cs="Times New Roman"/>
          <w:sz w:val="24"/>
          <w:szCs w:val="24"/>
          <w:highlight w:val="yellow"/>
        </w:rPr>
        <w:t>attributed the contamination to agricultural runoff and poor environmental regulation of pesticide usage.</w:t>
      </w:r>
    </w:p>
    <w:p w14:paraId="6AF3DFF4" w14:textId="77777777"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 xml:space="preserve">Another important observation from the study is the presence of Dieldrin at sampling station E (90 </w:t>
      </w:r>
      <w:proofErr w:type="spellStart"/>
      <w:r w:rsidRPr="00D50D94">
        <w:rPr>
          <w:rFonts w:ascii="Times New Roman" w:eastAsia="Times New Roman" w:hAnsi="Times New Roman" w:cs="Times New Roman"/>
          <w:sz w:val="24"/>
          <w:szCs w:val="24"/>
          <w:highlight w:val="yellow"/>
        </w:rPr>
        <w:t>μg</w:t>
      </w:r>
      <w:proofErr w:type="spellEnd"/>
      <w:r w:rsidRPr="00D50D94">
        <w:rPr>
          <w:rFonts w:ascii="Times New Roman" w:eastAsia="Times New Roman" w:hAnsi="Times New Roman" w:cs="Times New Roman"/>
          <w:sz w:val="24"/>
          <w:szCs w:val="24"/>
          <w:highlight w:val="yellow"/>
        </w:rPr>
        <w:t xml:space="preserve">/L), while it was not detected in the other sampling stations. This value greatly exceeds the MRL of 0.07 </w:t>
      </w:r>
      <w:proofErr w:type="spellStart"/>
      <w:r w:rsidRPr="00D50D94">
        <w:rPr>
          <w:rFonts w:ascii="Times New Roman" w:eastAsia="Times New Roman" w:hAnsi="Times New Roman" w:cs="Times New Roman"/>
          <w:sz w:val="24"/>
          <w:szCs w:val="24"/>
          <w:highlight w:val="yellow"/>
        </w:rPr>
        <w:t>μg</w:t>
      </w:r>
      <w:proofErr w:type="spellEnd"/>
      <w:r w:rsidRPr="00D50D94">
        <w:rPr>
          <w:rFonts w:ascii="Times New Roman" w:eastAsia="Times New Roman" w:hAnsi="Times New Roman" w:cs="Times New Roman"/>
          <w:sz w:val="24"/>
          <w:szCs w:val="24"/>
          <w:highlight w:val="yellow"/>
        </w:rPr>
        <w:t>/L, indicating localized contamination. Dieldrin is a known degradation product of Aldrin and is often formed through biological and chemical transformation processes in soil and aquatic environments. The detection of Dieldrin therefore suggests that Aldrin introduced into the environment may be undergoing transformation within the river system.</w:t>
      </w:r>
    </w:p>
    <w:p w14:paraId="28E38456" w14:textId="041AAE19"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 xml:space="preserve">A similar pattern was observed by </w:t>
      </w:r>
      <w:r>
        <w:rPr>
          <w:rFonts w:ascii="Times New Roman" w:eastAsia="Times New Roman" w:hAnsi="Times New Roman" w:cs="Times New Roman"/>
          <w:sz w:val="24"/>
          <w:szCs w:val="24"/>
          <w:highlight w:val="yellow"/>
        </w:rPr>
        <w:t>(</w:t>
      </w:r>
      <w:proofErr w:type="spellStart"/>
      <w:r w:rsidR="000E4609" w:rsidRPr="000E4609">
        <w:rPr>
          <w:rFonts w:ascii="Times New Roman" w:eastAsia="Times New Roman" w:hAnsi="Times New Roman" w:cs="Times New Roman"/>
          <w:sz w:val="24"/>
          <w:szCs w:val="24"/>
          <w:highlight w:val="yellow"/>
        </w:rPr>
        <w:t>Ccanccapa</w:t>
      </w:r>
      <w:proofErr w:type="spellEnd"/>
      <w:r w:rsidR="000E4609">
        <w:rPr>
          <w:rFonts w:ascii="Times New Roman" w:eastAsia="Times New Roman" w:hAnsi="Times New Roman" w:cs="Times New Roman"/>
          <w:sz w:val="24"/>
          <w:szCs w:val="24"/>
          <w:highlight w:val="yellow"/>
        </w:rPr>
        <w:t xml:space="preserve"> </w:t>
      </w:r>
      <w:r w:rsidR="000E4609">
        <w:rPr>
          <w:rFonts w:ascii="Times New Roman" w:eastAsia="Times New Roman" w:hAnsi="Times New Roman" w:cs="Times New Roman"/>
          <w:i/>
          <w:iCs/>
          <w:sz w:val="24"/>
          <w:szCs w:val="24"/>
          <w:highlight w:val="yellow"/>
        </w:rPr>
        <w:t xml:space="preserve">et al., </w:t>
      </w:r>
      <w:r w:rsidR="000E4609">
        <w:rPr>
          <w:rFonts w:ascii="Times New Roman" w:eastAsia="Times New Roman" w:hAnsi="Times New Roman" w:cs="Times New Roman"/>
          <w:sz w:val="24"/>
          <w:szCs w:val="24"/>
          <w:highlight w:val="yellow"/>
        </w:rPr>
        <w:t>2016</w:t>
      </w:r>
      <w:r>
        <w:rPr>
          <w:rFonts w:ascii="Times New Roman" w:eastAsia="Times New Roman" w:hAnsi="Times New Roman" w:cs="Times New Roman"/>
          <w:sz w:val="24"/>
          <w:szCs w:val="24"/>
          <w:highlight w:val="yellow"/>
        </w:rPr>
        <w:t>)</w:t>
      </w:r>
      <w:r w:rsidRPr="00D50D94">
        <w:rPr>
          <w:rFonts w:ascii="Times New Roman" w:eastAsia="Times New Roman" w:hAnsi="Times New Roman" w:cs="Times New Roman"/>
          <w:sz w:val="24"/>
          <w:szCs w:val="24"/>
          <w:highlight w:val="yellow"/>
        </w:rPr>
        <w:t xml:space="preserve">, who reported the presence of both Aldrin and Dieldrin in surface waters in agricultural regions of Nigeria. Their findings indicated that Aldrin applied in farmlands can gradually convert to Dieldrin under environmental conditions, leading to the accumulation of both compounds in nearby aquatic ecosystems. Additionally, </w:t>
      </w:r>
      <w:r w:rsidR="000E4609">
        <w:rPr>
          <w:rFonts w:ascii="Times New Roman" w:eastAsia="Times New Roman" w:hAnsi="Times New Roman" w:cs="Times New Roman"/>
          <w:sz w:val="24"/>
          <w:szCs w:val="24"/>
          <w:highlight w:val="yellow"/>
        </w:rPr>
        <w:t>(</w:t>
      </w:r>
      <w:r w:rsidR="000E4609" w:rsidRPr="000E4609">
        <w:rPr>
          <w:rFonts w:ascii="Times New Roman" w:eastAsia="Times New Roman" w:hAnsi="Times New Roman" w:cs="Times New Roman"/>
          <w:sz w:val="24"/>
          <w:szCs w:val="24"/>
          <w:highlight w:val="yellow"/>
        </w:rPr>
        <w:t xml:space="preserve">Azhani </w:t>
      </w:r>
      <w:r w:rsidR="000E4609">
        <w:rPr>
          <w:rFonts w:ascii="Times New Roman" w:eastAsia="Times New Roman" w:hAnsi="Times New Roman" w:cs="Times New Roman"/>
          <w:i/>
          <w:iCs/>
          <w:sz w:val="24"/>
          <w:szCs w:val="24"/>
          <w:highlight w:val="yellow"/>
        </w:rPr>
        <w:t>et al.,</w:t>
      </w:r>
      <w:r w:rsidR="000E4609" w:rsidRPr="00D50D94">
        <w:rPr>
          <w:rFonts w:ascii="Times New Roman" w:eastAsia="Times New Roman" w:hAnsi="Times New Roman" w:cs="Times New Roman"/>
          <w:sz w:val="24"/>
          <w:szCs w:val="24"/>
          <w:highlight w:val="yellow"/>
        </w:rPr>
        <w:t xml:space="preserve"> 201</w:t>
      </w:r>
      <w:r w:rsidR="000E4609">
        <w:rPr>
          <w:rFonts w:ascii="Times New Roman" w:eastAsia="Times New Roman" w:hAnsi="Times New Roman" w:cs="Times New Roman"/>
          <w:sz w:val="24"/>
          <w:szCs w:val="24"/>
          <w:highlight w:val="yellow"/>
        </w:rPr>
        <w:t>2)</w:t>
      </w:r>
      <w:r w:rsidRPr="00D50D94">
        <w:rPr>
          <w:rFonts w:ascii="Times New Roman" w:eastAsia="Times New Roman" w:hAnsi="Times New Roman" w:cs="Times New Roman"/>
          <w:sz w:val="24"/>
          <w:szCs w:val="24"/>
          <w:highlight w:val="yellow"/>
        </w:rPr>
        <w:t xml:space="preserve"> reported that organochlorine pesticides such as Aldrin and Dieldrin remain persistent in tropical aquatic environments due to their resistance to biodegradation and strong affinity for organic matter.</w:t>
      </w:r>
    </w:p>
    <w:p w14:paraId="3B5891E9" w14:textId="5A5225B5"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lastRenderedPageBreak/>
        <w:t xml:space="preserve">The absence of DDT metabolites (DDD and DDE) in the present study contrasts with the findings of </w:t>
      </w:r>
      <w:r>
        <w:rPr>
          <w:rFonts w:ascii="Times New Roman" w:eastAsia="Times New Roman" w:hAnsi="Times New Roman" w:cs="Times New Roman"/>
          <w:sz w:val="24"/>
          <w:szCs w:val="24"/>
          <w:highlight w:val="yellow"/>
        </w:rPr>
        <w:t>(</w:t>
      </w:r>
      <w:r w:rsidR="000E4609" w:rsidRPr="000E4609">
        <w:rPr>
          <w:rFonts w:ascii="Times New Roman" w:eastAsia="Times New Roman" w:hAnsi="Times New Roman" w:cs="Times New Roman"/>
          <w:sz w:val="24"/>
          <w:szCs w:val="24"/>
          <w:highlight w:val="yellow"/>
        </w:rPr>
        <w:t>Azhani</w:t>
      </w:r>
      <w:r w:rsidRPr="000E4609">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iCs/>
          <w:sz w:val="24"/>
          <w:szCs w:val="24"/>
          <w:highlight w:val="yellow"/>
        </w:rPr>
        <w:t>et al.,</w:t>
      </w:r>
      <w:r w:rsidRPr="00D50D94">
        <w:rPr>
          <w:rFonts w:ascii="Times New Roman" w:eastAsia="Times New Roman" w:hAnsi="Times New Roman" w:cs="Times New Roman"/>
          <w:sz w:val="24"/>
          <w:szCs w:val="24"/>
          <w:highlight w:val="yellow"/>
        </w:rPr>
        <w:t xml:space="preserve"> 201</w:t>
      </w:r>
      <w:r w:rsidR="000E4609">
        <w:rPr>
          <w:rFonts w:ascii="Times New Roman" w:eastAsia="Times New Roman" w:hAnsi="Times New Roman" w:cs="Times New Roman"/>
          <w:sz w:val="24"/>
          <w:szCs w:val="24"/>
          <w:highlight w:val="yellow"/>
        </w:rPr>
        <w:t>2</w:t>
      </w:r>
      <w:r>
        <w:rPr>
          <w:rFonts w:ascii="Times New Roman" w:eastAsia="Times New Roman" w:hAnsi="Times New Roman" w:cs="Times New Roman"/>
          <w:sz w:val="24"/>
          <w:szCs w:val="24"/>
          <w:highlight w:val="yellow"/>
        </w:rPr>
        <w:t>)</w:t>
      </w:r>
      <w:r w:rsidRPr="00D50D94">
        <w:rPr>
          <w:rFonts w:ascii="Times New Roman" w:eastAsia="Times New Roman" w:hAnsi="Times New Roman" w:cs="Times New Roman"/>
          <w:sz w:val="24"/>
          <w:szCs w:val="24"/>
          <w:highlight w:val="yellow"/>
        </w:rPr>
        <w:t>, who detected low levels of DDT and its breakdown products in some Nigerian freshwater bodies. The differences between these findings may be attributed to variations in pesticide usage patterns, environmental conditions, agricultural intensity, and sampling periods across different regions.</w:t>
      </w:r>
    </w:p>
    <w:p w14:paraId="4FE27A1A" w14:textId="77777777" w:rsidR="004067C2" w:rsidRPr="00D50D94" w:rsidRDefault="004067C2" w:rsidP="004067C2">
      <w:pPr>
        <w:spacing w:after="0" w:line="360" w:lineRule="auto"/>
        <w:ind w:left="-170" w:right="-170"/>
        <w:jc w:val="both"/>
        <w:rPr>
          <w:rFonts w:ascii="Times New Roman" w:eastAsia="Times New Roman" w:hAnsi="Times New Roman" w:cs="Times New Roman"/>
          <w:sz w:val="24"/>
          <w:szCs w:val="24"/>
          <w:highlight w:val="yellow"/>
        </w:rPr>
      </w:pPr>
      <w:r w:rsidRPr="00D50D94">
        <w:rPr>
          <w:rFonts w:ascii="Times New Roman" w:eastAsia="Times New Roman" w:hAnsi="Times New Roman" w:cs="Times New Roman"/>
          <w:sz w:val="24"/>
          <w:szCs w:val="24"/>
          <w:highlight w:val="yellow"/>
        </w:rPr>
        <w:t>The presence of Aldrin and Dieldrin at concentrations far above the permissible limits raises serious environmental concerns. These pesticides are known to be highly toxic to aquatic organisms, including fish, amphibians, and</w:t>
      </w:r>
      <w:r w:rsidRPr="00D50D94">
        <w:rPr>
          <w:rFonts w:ascii="Times New Roman" w:eastAsia="Times New Roman" w:hAnsi="Times New Roman" w:cs="Times New Roman"/>
          <w:sz w:val="24"/>
          <w:szCs w:val="24"/>
        </w:rPr>
        <w:t xml:space="preserve"> </w:t>
      </w:r>
      <w:r w:rsidRPr="00D50D94">
        <w:rPr>
          <w:rFonts w:ascii="Times New Roman" w:eastAsia="Times New Roman" w:hAnsi="Times New Roman" w:cs="Times New Roman"/>
          <w:sz w:val="24"/>
          <w:szCs w:val="24"/>
          <w:highlight w:val="yellow"/>
        </w:rPr>
        <w:t>aquatic invertebrates. Long-term exposure can lead to physiological and reproductive impairments in aquatic organisms and may also result in bioaccumulation within the aquatic food chain. Communities living around River Taraba depend on the river for fishing, irrigation, and domestic water use; therefore, contamination of the river by persistent pesticides could pose significant risks to human health through the consumption of contaminated fish and water.</w:t>
      </w:r>
    </w:p>
    <w:p w14:paraId="3E7304D9" w14:textId="77777777" w:rsidR="004067C2" w:rsidRPr="00D50D94" w:rsidRDefault="004067C2" w:rsidP="004067C2">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Gen</w:t>
      </w:r>
      <w:r w:rsidRPr="00D50D94">
        <w:rPr>
          <w:rFonts w:ascii="Times New Roman" w:eastAsia="Times New Roman" w:hAnsi="Times New Roman" w:cs="Times New Roman"/>
          <w:sz w:val="24"/>
          <w:szCs w:val="24"/>
          <w:highlight w:val="yellow"/>
        </w:rPr>
        <w:t>erall</w:t>
      </w:r>
      <w:r>
        <w:rPr>
          <w:rFonts w:ascii="Times New Roman" w:eastAsia="Times New Roman" w:hAnsi="Times New Roman" w:cs="Times New Roman"/>
          <w:sz w:val="24"/>
          <w:szCs w:val="24"/>
          <w:highlight w:val="yellow"/>
        </w:rPr>
        <w:t>y</w:t>
      </w:r>
      <w:r w:rsidRPr="00D50D94">
        <w:rPr>
          <w:rFonts w:ascii="Times New Roman" w:eastAsia="Times New Roman" w:hAnsi="Times New Roman" w:cs="Times New Roman"/>
          <w:sz w:val="24"/>
          <w:szCs w:val="24"/>
          <w:highlight w:val="yellow"/>
        </w:rPr>
        <w:t>, the findings of this study indicate that although several organochlorine pesticides were not detected, the very high concentrations of Aldrin and the detection of Dieldrin above the recommended safety limits indicate significant pesticide contamination in the river system.</w:t>
      </w:r>
      <w:r w:rsidRPr="00D50D94">
        <w:rPr>
          <w:rFonts w:ascii="Times New Roman" w:eastAsia="Times New Roman" w:hAnsi="Times New Roman" w:cs="Times New Roman"/>
          <w:sz w:val="24"/>
          <w:szCs w:val="24"/>
        </w:rPr>
        <w:t xml:space="preserve"> </w:t>
      </w:r>
    </w:p>
    <w:p w14:paraId="57FB5EEB" w14:textId="5D8DC4A8" w:rsidR="004067C2" w:rsidRDefault="002264C5" w:rsidP="006A34BB">
      <w:pPr>
        <w:tabs>
          <w:tab w:val="left" w:pos="7560"/>
        </w:tabs>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C8927F" w14:textId="77777777" w:rsidR="006A34BB" w:rsidRDefault="006A34BB" w:rsidP="006A34BB">
      <w:pPr>
        <w:tabs>
          <w:tab w:val="left" w:pos="7560"/>
        </w:tabs>
        <w:spacing w:after="0" w:line="360" w:lineRule="auto"/>
        <w:ind w:left="-170" w:right="-170"/>
        <w:jc w:val="both"/>
        <w:rPr>
          <w:rFonts w:ascii="Times New Roman" w:eastAsia="Times New Roman" w:hAnsi="Times New Roman" w:cs="Times New Roman"/>
          <w:sz w:val="24"/>
          <w:szCs w:val="24"/>
        </w:rPr>
      </w:pPr>
    </w:p>
    <w:p w14:paraId="04E32F32" w14:textId="77777777" w:rsidR="004067C2" w:rsidRDefault="004067C2" w:rsidP="006A34BB">
      <w:pPr>
        <w:tabs>
          <w:tab w:val="left" w:pos="7560"/>
        </w:tabs>
        <w:spacing w:after="0" w:line="360" w:lineRule="auto"/>
        <w:ind w:left="-170" w:right="-170"/>
        <w:jc w:val="both"/>
        <w:rPr>
          <w:rFonts w:ascii="Times New Roman" w:eastAsia="Times New Roman" w:hAnsi="Times New Roman" w:cs="Times New Roman"/>
          <w:sz w:val="24"/>
          <w:szCs w:val="24"/>
        </w:rPr>
      </w:pPr>
    </w:p>
    <w:p w14:paraId="1352680D" w14:textId="77777777" w:rsidR="004067C2" w:rsidRPr="00502829" w:rsidRDefault="004067C2" w:rsidP="006A34BB">
      <w:pPr>
        <w:tabs>
          <w:tab w:val="left" w:pos="7560"/>
        </w:tabs>
        <w:spacing w:after="0" w:line="360" w:lineRule="auto"/>
        <w:ind w:left="-170" w:right="-170"/>
        <w:jc w:val="both"/>
        <w:rPr>
          <w:rFonts w:ascii="Times New Roman" w:eastAsia="Times New Roman" w:hAnsi="Times New Roman" w:cs="Times New Roman"/>
          <w:sz w:val="24"/>
          <w:szCs w:val="24"/>
        </w:rPr>
      </w:pPr>
    </w:p>
    <w:p w14:paraId="6617850C"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sidRPr="00502829">
        <w:rPr>
          <w:rFonts w:ascii="Times New Roman" w:eastAsia="Times New Roman" w:hAnsi="Times New Roman" w:cs="Times New Roman"/>
          <w:b/>
          <w:sz w:val="24"/>
          <w:szCs w:val="24"/>
        </w:rPr>
        <w:t xml:space="preserve">Conclusion </w:t>
      </w:r>
    </w:p>
    <w:p w14:paraId="32FFC9D9" w14:textId="1133501C" w:rsidR="001C794E" w:rsidRDefault="002264C5" w:rsidP="004067C2">
      <w:pPr>
        <w:tabs>
          <w:tab w:val="left" w:pos="75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The comparison of physicochemical parameters of water across different sampling stations provides valuable insight into the overall water quality and adherence to maximum permitted, despite the slide deviations from ideal standards in </w:t>
      </w:r>
      <w:r w:rsidR="00D50D94">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 xml:space="preserve">H and dissolved oxygen level, the consistent </w:t>
      </w:r>
      <w:r w:rsidR="00D50D94">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 xml:space="preserve">H values across all stations indicates slightly alkaline water while some stations shows slightly lower DO levels than ideal, they are still within permissible limits, suggesting overall suitability for aquatic life and water quality and TDS and EC values remains well below the maximum permitted limits, signifying low levels of dissolve solid and ions. Biochemical oxygen demand levels, although varying across stations are all within acceptable ranges, indicating minimal organic pollution. </w:t>
      </w:r>
      <w:r w:rsidR="004067C2" w:rsidRPr="00502829">
        <w:rPr>
          <w:rFonts w:ascii="Times New Roman" w:eastAsia="Times New Roman" w:hAnsi="Times New Roman" w:cs="Times New Roman"/>
          <w:sz w:val="24"/>
          <w:szCs w:val="24"/>
        </w:rPr>
        <w:t>Result of pesticides concentration shows that aldrin and dieldrin are in higher concentration while other pesticides were not detected.</w:t>
      </w:r>
      <w:r w:rsidR="004067C2">
        <w:rPr>
          <w:rFonts w:ascii="Times New Roman" w:eastAsia="Times New Roman" w:hAnsi="Times New Roman" w:cs="Times New Roman"/>
          <w:sz w:val="24"/>
          <w:szCs w:val="24"/>
        </w:rPr>
        <w:t xml:space="preserve"> Hence, the water is very much contaminated and unsafe for consumption.</w:t>
      </w:r>
      <w:r w:rsidR="004067C2" w:rsidRPr="00502829">
        <w:rPr>
          <w:rFonts w:ascii="Times New Roman" w:eastAsia="Times New Roman" w:hAnsi="Times New Roman" w:cs="Times New Roman"/>
          <w:sz w:val="24"/>
          <w:szCs w:val="24"/>
        </w:rPr>
        <w:t xml:space="preserve"> </w:t>
      </w:r>
    </w:p>
    <w:p w14:paraId="041404D4" w14:textId="77777777" w:rsidR="004067C2" w:rsidRDefault="004067C2" w:rsidP="004067C2">
      <w:pPr>
        <w:tabs>
          <w:tab w:val="left" w:pos="7560"/>
        </w:tabs>
        <w:spacing w:after="0" w:line="360" w:lineRule="auto"/>
        <w:ind w:left="-170" w:right="-170"/>
        <w:jc w:val="both"/>
        <w:rPr>
          <w:rFonts w:ascii="Times New Roman" w:eastAsia="Times New Roman" w:hAnsi="Times New Roman" w:cs="Times New Roman"/>
          <w:sz w:val="24"/>
          <w:szCs w:val="24"/>
        </w:rPr>
      </w:pPr>
    </w:p>
    <w:p w14:paraId="00994B7C" w14:textId="77777777" w:rsidR="001C794E" w:rsidRPr="00005ED1" w:rsidRDefault="001C794E" w:rsidP="001C794E">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13F192EA" w14:textId="77777777" w:rsidR="001C794E" w:rsidRPr="00005ED1" w:rsidRDefault="001C794E" w:rsidP="001C794E">
      <w:pPr>
        <w:pStyle w:val="NoSpacing"/>
        <w:rPr>
          <w:rFonts w:ascii="Arial" w:hAnsi="Arial" w:cs="Arial"/>
          <w:highlight w:val="yellow"/>
        </w:rPr>
      </w:pPr>
    </w:p>
    <w:p w14:paraId="359DDDB2" w14:textId="77777777" w:rsidR="001C794E" w:rsidRPr="00005ED1" w:rsidRDefault="001C794E" w:rsidP="001C794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w:t>
      </w:r>
      <w:r w:rsidRPr="00005ED1">
        <w:rPr>
          <w:rFonts w:ascii="Arial" w:hAnsi="Arial" w:cs="Arial"/>
          <w:highlight w:val="yellow"/>
        </w:rPr>
        <w:lastRenderedPageBreak/>
        <w:t xml:space="preserve">been used during the writing or editing of this manuscript. </w:t>
      </w:r>
    </w:p>
    <w:bookmarkEnd w:id="7"/>
    <w:p w14:paraId="044ECDF9" w14:textId="77777777" w:rsidR="001C794E" w:rsidRDefault="001C794E" w:rsidP="001C794E">
      <w:pPr>
        <w:pStyle w:val="NoSpacing"/>
        <w:rPr>
          <w:rFonts w:ascii="Arial" w:hAnsi="Arial" w:cs="Arial"/>
        </w:rPr>
      </w:pPr>
    </w:p>
    <w:p w14:paraId="5E406C39" w14:textId="77777777" w:rsidR="001C794E" w:rsidRDefault="001C794E" w:rsidP="001C794E">
      <w:pPr>
        <w:pStyle w:val="NoSpacing"/>
        <w:rPr>
          <w:rFonts w:ascii="Arial" w:hAnsi="Arial" w:cs="Arial"/>
        </w:rPr>
      </w:pPr>
    </w:p>
    <w:p w14:paraId="6884AB55" w14:textId="77777777" w:rsidR="001C794E" w:rsidRPr="00005ED1" w:rsidRDefault="001C794E" w:rsidP="001C794E">
      <w:pPr>
        <w:pStyle w:val="NoSpacing"/>
        <w:rPr>
          <w:rFonts w:ascii="Arial" w:hAnsi="Arial" w:cs="Arial"/>
        </w:rPr>
      </w:pPr>
    </w:p>
    <w:p w14:paraId="2F580057" w14:textId="274C3E53"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       </w:t>
      </w:r>
    </w:p>
    <w:p w14:paraId="5E11E16B" w14:textId="77777777" w:rsidR="002264C5" w:rsidRDefault="002264C5" w:rsidP="002264C5">
      <w:pPr>
        <w:spacing w:after="0" w:line="360" w:lineRule="auto"/>
        <w:ind w:left="-170" w:right="-170"/>
        <w:rPr>
          <w:rFonts w:ascii="Times New Roman" w:hAnsi="Times New Roman" w:cs="Times New Roman"/>
          <w:b/>
          <w:bCs/>
          <w:sz w:val="24"/>
          <w:szCs w:val="24"/>
        </w:rPr>
      </w:pPr>
      <w:r w:rsidRPr="008B3D17">
        <w:rPr>
          <w:rFonts w:ascii="Times New Roman" w:hAnsi="Times New Roman" w:cs="Times New Roman"/>
          <w:b/>
          <w:bCs/>
          <w:sz w:val="24"/>
          <w:szCs w:val="24"/>
        </w:rPr>
        <w:t>References</w:t>
      </w:r>
    </w:p>
    <w:p w14:paraId="6F01C193"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02829">
        <w:rPr>
          <w:rFonts w:ascii="Times New Roman" w:eastAsia="Times New Roman" w:hAnsi="Times New Roman" w:cs="Times New Roman"/>
          <w:sz w:val="24"/>
          <w:szCs w:val="24"/>
        </w:rPr>
        <w:t xml:space="preserve">Abera, S. (2011). Bacteriological analyses of drinking water sources, Department of Medical Laboratory Science and Pathology, Jima University Ethiopia. </w:t>
      </w:r>
      <w:r w:rsidRPr="00502829">
        <w:rPr>
          <w:rFonts w:ascii="Times New Roman" w:eastAsia="Times New Roman" w:hAnsi="Times New Roman" w:cs="Times New Roman"/>
          <w:i/>
          <w:sz w:val="24"/>
          <w:szCs w:val="24"/>
        </w:rPr>
        <w:t>African Journal of microbiology research</w:t>
      </w:r>
      <w:r w:rsidRPr="00502829">
        <w:rPr>
          <w:rFonts w:ascii="Times New Roman" w:eastAsia="Times New Roman" w:hAnsi="Times New Roman" w:cs="Times New Roman"/>
          <w:sz w:val="24"/>
          <w:szCs w:val="24"/>
        </w:rPr>
        <w:t xml:space="preserve">. </w:t>
      </w:r>
    </w:p>
    <w:p w14:paraId="316C2056"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02829">
        <w:rPr>
          <w:rFonts w:ascii="Times New Roman" w:eastAsia="Times New Roman" w:hAnsi="Times New Roman" w:cs="Times New Roman"/>
          <w:sz w:val="24"/>
          <w:szCs w:val="24"/>
        </w:rPr>
        <w:t xml:space="preserve">Akoto O, Andoh H, Darko G, Eshun K, Osei-Fosu P (2013). Health risk assessment of pesticides residue in maize and cowpea from </w:t>
      </w:r>
      <w:proofErr w:type="spellStart"/>
      <w:r w:rsidRPr="00502829">
        <w:rPr>
          <w:rFonts w:ascii="Times New Roman" w:eastAsia="Times New Roman" w:hAnsi="Times New Roman" w:cs="Times New Roman"/>
          <w:sz w:val="24"/>
          <w:szCs w:val="24"/>
        </w:rPr>
        <w:t>Ejura</w:t>
      </w:r>
      <w:proofErr w:type="spellEnd"/>
      <w:r w:rsidRPr="00502829">
        <w:rPr>
          <w:rFonts w:ascii="Times New Roman" w:eastAsia="Times New Roman" w:hAnsi="Times New Roman" w:cs="Times New Roman"/>
          <w:sz w:val="24"/>
          <w:szCs w:val="24"/>
        </w:rPr>
        <w:t xml:space="preserve">, Ghana. Chemosphere 92:67–73. </w:t>
      </w:r>
    </w:p>
    <w:p w14:paraId="1C214781" w14:textId="02EA779E"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3. </w:t>
      </w:r>
      <w:r w:rsidRPr="00502829">
        <w:rPr>
          <w:rFonts w:ascii="Times New Roman" w:eastAsia="Times New Roman" w:hAnsi="Times New Roman" w:cs="Times New Roman"/>
          <w:sz w:val="24"/>
          <w:szCs w:val="24"/>
          <w:shd w:val="clear" w:color="auto" w:fill="FFFFFF"/>
        </w:rPr>
        <w:t>Al-Bahry S. (2011)</w:t>
      </w:r>
      <w:r w:rsidR="0035580C">
        <w:rPr>
          <w:rFonts w:ascii="Times New Roman" w:eastAsia="Times New Roman" w:hAnsi="Times New Roman" w:cs="Times New Roman"/>
          <w:sz w:val="24"/>
          <w:szCs w:val="24"/>
          <w:shd w:val="clear" w:color="auto" w:fill="FFFFFF"/>
        </w:rPr>
        <w:t xml:space="preserve">. </w:t>
      </w:r>
      <w:r w:rsidRPr="00502829">
        <w:rPr>
          <w:rFonts w:ascii="Times New Roman" w:eastAsia="Times New Roman" w:hAnsi="Times New Roman" w:cs="Times New Roman"/>
          <w:i/>
          <w:sz w:val="24"/>
          <w:szCs w:val="24"/>
          <w:shd w:val="clear" w:color="auto" w:fill="FFFFFF"/>
        </w:rPr>
        <w:t>Impact of Egg Contamination on Environmental Health.</w:t>
      </w:r>
      <w:r w:rsidRPr="00502829">
        <w:rPr>
          <w:rFonts w:ascii="Times New Roman" w:eastAsia="Times New Roman" w:hAnsi="Times New Roman" w:cs="Times New Roman"/>
          <w:sz w:val="24"/>
          <w:szCs w:val="24"/>
          <w:shd w:val="clear" w:color="auto" w:fill="FFFFFF"/>
        </w:rPr>
        <w:t xml:space="preserve"> New York City, NY, USA: Nova Science Publisher, Inc. Egg contamination as an indicator of environmental health.  </w:t>
      </w:r>
    </w:p>
    <w:p w14:paraId="43C0E58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Pr="00502829">
        <w:rPr>
          <w:rFonts w:ascii="Times New Roman" w:eastAsia="Times New Roman" w:hAnsi="Times New Roman" w:cs="Times New Roman"/>
          <w:sz w:val="24"/>
          <w:szCs w:val="24"/>
        </w:rPr>
        <w:t>Ayeloja</w:t>
      </w:r>
      <w:proofErr w:type="spellEnd"/>
      <w:r w:rsidRPr="00502829">
        <w:rPr>
          <w:rFonts w:ascii="Times New Roman" w:eastAsia="Times New Roman" w:hAnsi="Times New Roman" w:cs="Times New Roman"/>
          <w:sz w:val="24"/>
          <w:szCs w:val="24"/>
        </w:rPr>
        <w:t xml:space="preserve">, A. A., George, F. O. A., </w:t>
      </w:r>
      <w:proofErr w:type="spellStart"/>
      <w:r w:rsidRPr="00502829">
        <w:rPr>
          <w:rFonts w:ascii="Times New Roman" w:eastAsia="Times New Roman" w:hAnsi="Times New Roman" w:cs="Times New Roman"/>
          <w:sz w:val="24"/>
          <w:szCs w:val="24"/>
        </w:rPr>
        <w:t>Shorinmade</w:t>
      </w:r>
      <w:proofErr w:type="spellEnd"/>
      <w:r w:rsidRPr="00502829">
        <w:rPr>
          <w:rFonts w:ascii="Times New Roman" w:eastAsia="Times New Roman" w:hAnsi="Times New Roman" w:cs="Times New Roman"/>
          <w:sz w:val="24"/>
          <w:szCs w:val="24"/>
        </w:rPr>
        <w:t xml:space="preserve">, A. Y., Jimoh, W. A., Afolabi, Q. O. and </w:t>
      </w:r>
      <w:proofErr w:type="spellStart"/>
      <w:r w:rsidRPr="00502829">
        <w:rPr>
          <w:rFonts w:ascii="Times New Roman" w:eastAsia="Times New Roman" w:hAnsi="Times New Roman" w:cs="Times New Roman"/>
          <w:sz w:val="24"/>
          <w:szCs w:val="24"/>
        </w:rPr>
        <w:t>Olawepo</w:t>
      </w:r>
      <w:proofErr w:type="spellEnd"/>
      <w:r w:rsidRPr="00502829">
        <w:rPr>
          <w:rFonts w:ascii="Times New Roman" w:eastAsia="Times New Roman" w:hAnsi="Times New Roman" w:cs="Times New Roman"/>
          <w:sz w:val="24"/>
          <w:szCs w:val="24"/>
        </w:rPr>
        <w:t xml:space="preserve">, K. D. (2014). Heavy Metal Concentration in Selected fish Species from </w:t>
      </w:r>
      <w:proofErr w:type="spellStart"/>
      <w:r w:rsidRPr="00502829">
        <w:rPr>
          <w:rFonts w:ascii="Times New Roman" w:eastAsia="Times New Roman" w:hAnsi="Times New Roman" w:cs="Times New Roman"/>
          <w:sz w:val="24"/>
          <w:szCs w:val="24"/>
        </w:rPr>
        <w:t>Eleyele</w:t>
      </w:r>
      <w:proofErr w:type="spellEnd"/>
      <w:r w:rsidRPr="00502829">
        <w:rPr>
          <w:rFonts w:ascii="Times New Roman" w:eastAsia="Times New Roman" w:hAnsi="Times New Roman" w:cs="Times New Roman"/>
          <w:sz w:val="24"/>
          <w:szCs w:val="24"/>
        </w:rPr>
        <w:t xml:space="preserve"> Reservoir Ibadan, Oyo State, South-West Nigeria. </w:t>
      </w:r>
      <w:r w:rsidRPr="00502829">
        <w:rPr>
          <w:rFonts w:ascii="Times New Roman" w:eastAsia="Times New Roman" w:hAnsi="Times New Roman" w:cs="Times New Roman"/>
          <w:i/>
          <w:sz w:val="24"/>
          <w:szCs w:val="24"/>
        </w:rPr>
        <w:t>Africa Journal of Environmental Science and tech.</w:t>
      </w:r>
      <w:r w:rsidRPr="00502829">
        <w:rPr>
          <w:rFonts w:ascii="Times New Roman" w:eastAsia="Times New Roman" w:hAnsi="Times New Roman" w:cs="Times New Roman"/>
          <w:sz w:val="24"/>
          <w:szCs w:val="24"/>
        </w:rPr>
        <w:t xml:space="preserve">, 8(7): 422 – 427. </w:t>
      </w:r>
    </w:p>
    <w:p w14:paraId="5A3302DA" w14:textId="59840C83"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02829">
        <w:rPr>
          <w:rFonts w:ascii="Times New Roman" w:eastAsia="Times New Roman" w:hAnsi="Times New Roman" w:cs="Times New Roman"/>
          <w:sz w:val="24"/>
          <w:szCs w:val="24"/>
        </w:rPr>
        <w:t>Azhani N</w:t>
      </w:r>
      <w:r w:rsidR="000E4609">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 Rahman A, Omar M.A, Detection of Organochlorine Compound in </w:t>
      </w:r>
      <w:proofErr w:type="spellStart"/>
      <w:r w:rsidRPr="00502829">
        <w:rPr>
          <w:rFonts w:ascii="Times New Roman" w:eastAsia="Times New Roman" w:hAnsi="Times New Roman" w:cs="Times New Roman"/>
          <w:sz w:val="24"/>
          <w:szCs w:val="24"/>
        </w:rPr>
        <w:t>Puyu</w:t>
      </w:r>
      <w:proofErr w:type="spellEnd"/>
      <w:r w:rsidRPr="00502829">
        <w:rPr>
          <w:rFonts w:ascii="Times New Roman" w:eastAsia="Times New Roman" w:hAnsi="Times New Roman" w:cs="Times New Roman"/>
          <w:sz w:val="24"/>
          <w:szCs w:val="24"/>
        </w:rPr>
        <w:t xml:space="preserve">, Sepat And </w:t>
      </w:r>
      <w:proofErr w:type="spellStart"/>
      <w:r w:rsidRPr="00502829">
        <w:rPr>
          <w:rFonts w:ascii="Times New Roman" w:eastAsia="Times New Roman" w:hAnsi="Times New Roman" w:cs="Times New Roman"/>
          <w:sz w:val="24"/>
          <w:szCs w:val="24"/>
        </w:rPr>
        <w:t>Haruan</w:t>
      </w:r>
      <w:proofErr w:type="spellEnd"/>
      <w:r w:rsidRPr="00502829">
        <w:rPr>
          <w:rFonts w:ascii="Times New Roman" w:eastAsia="Times New Roman" w:hAnsi="Times New Roman" w:cs="Times New Roman"/>
          <w:sz w:val="24"/>
          <w:szCs w:val="24"/>
        </w:rPr>
        <w:t xml:space="preserve"> (2012) Fish Caught </w:t>
      </w:r>
      <w:proofErr w:type="gramStart"/>
      <w:r w:rsidRPr="00502829">
        <w:rPr>
          <w:rFonts w:ascii="Times New Roman" w:eastAsia="Times New Roman" w:hAnsi="Times New Roman" w:cs="Times New Roman"/>
          <w:sz w:val="24"/>
          <w:szCs w:val="24"/>
        </w:rPr>
        <w:t>From</w:t>
      </w:r>
      <w:proofErr w:type="gramEnd"/>
      <w:r w:rsidRPr="00502829">
        <w:rPr>
          <w:rFonts w:ascii="Times New Roman" w:eastAsia="Times New Roman" w:hAnsi="Times New Roman" w:cs="Times New Roman"/>
          <w:sz w:val="24"/>
          <w:szCs w:val="24"/>
        </w:rPr>
        <w:t xml:space="preserve"> Irrigation Canals In Paddy Fields In Selangor And Perak, </w:t>
      </w:r>
      <w:r w:rsidRPr="00502829">
        <w:rPr>
          <w:rFonts w:ascii="Times New Roman" w:eastAsia="Times New Roman" w:hAnsi="Times New Roman" w:cs="Times New Roman"/>
          <w:sz w:val="24"/>
          <w:szCs w:val="24"/>
        </w:rPr>
        <w:t xml:space="preserve">Malaysia. 7th Proceedings of the Seminar in Veterinary Sciences, 29–33. </w:t>
      </w:r>
    </w:p>
    <w:p w14:paraId="72013A9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02829">
        <w:rPr>
          <w:rFonts w:ascii="Times New Roman" w:eastAsia="Times New Roman" w:hAnsi="Times New Roman" w:cs="Times New Roman"/>
          <w:sz w:val="24"/>
          <w:szCs w:val="24"/>
        </w:rPr>
        <w:t>Ballesteros E, Parrado M.J, (2014)</w:t>
      </w:r>
      <w:r>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 Continuous solid-phase extraction and gas chromatographic determination of organophosphorus pesticides in natural and drinking waters, </w:t>
      </w:r>
      <w:r w:rsidRPr="00502829">
        <w:rPr>
          <w:rFonts w:ascii="Times New Roman" w:eastAsia="Times New Roman" w:hAnsi="Times New Roman" w:cs="Times New Roman"/>
          <w:i/>
          <w:sz w:val="24"/>
          <w:szCs w:val="24"/>
        </w:rPr>
        <w:t>Journal of Chromatography A</w:t>
      </w:r>
      <w:r w:rsidRPr="00502829">
        <w:rPr>
          <w:rFonts w:ascii="Times New Roman" w:eastAsia="Times New Roman" w:hAnsi="Times New Roman" w:cs="Times New Roman"/>
          <w:sz w:val="24"/>
          <w:szCs w:val="24"/>
        </w:rPr>
        <w:t xml:space="preserve">, 1029, 267–273. </w:t>
      </w:r>
    </w:p>
    <w:p w14:paraId="34327593" w14:textId="00989A8D"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sidRPr="00502829">
        <w:rPr>
          <w:rFonts w:ascii="Times New Roman" w:eastAsia="Times New Roman" w:hAnsi="Times New Roman" w:cs="Times New Roman"/>
          <w:sz w:val="24"/>
          <w:szCs w:val="24"/>
        </w:rPr>
        <w:t>Ccanccapa</w:t>
      </w:r>
      <w:proofErr w:type="spellEnd"/>
      <w:r w:rsidRPr="00502829">
        <w:rPr>
          <w:rFonts w:ascii="Times New Roman" w:eastAsia="Times New Roman" w:hAnsi="Times New Roman" w:cs="Times New Roman"/>
          <w:sz w:val="24"/>
          <w:szCs w:val="24"/>
        </w:rPr>
        <w:t xml:space="preserve"> A</w:t>
      </w:r>
      <w:r w:rsidR="000E4609">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Masiá</w:t>
      </w:r>
      <w:proofErr w:type="spellEnd"/>
      <w:r w:rsidRPr="00502829">
        <w:rPr>
          <w:rFonts w:ascii="Times New Roman" w:eastAsia="Times New Roman" w:hAnsi="Times New Roman" w:cs="Times New Roman"/>
          <w:sz w:val="24"/>
          <w:szCs w:val="24"/>
        </w:rPr>
        <w:t xml:space="preserve"> A, Navarro-Ortega A, Picó Y, Barceló D (2016), Pesticides in the Ebro River basin: occurrence and risk assessment. Environ</w:t>
      </w:r>
      <w:r>
        <w:rPr>
          <w:rFonts w:ascii="Times New Roman" w:eastAsia="Times New Roman" w:hAnsi="Times New Roman" w:cs="Times New Roman"/>
          <w:sz w:val="24"/>
          <w:szCs w:val="24"/>
        </w:rPr>
        <w:t>mental</w:t>
      </w:r>
      <w:r w:rsidRPr="00502829">
        <w:rPr>
          <w:rFonts w:ascii="Times New Roman" w:eastAsia="Times New Roman" w:hAnsi="Times New Roman" w:cs="Times New Roman"/>
          <w:sz w:val="24"/>
          <w:szCs w:val="24"/>
        </w:rPr>
        <w:t xml:space="preserve"> Pollution, 211:414–424. </w:t>
      </w:r>
    </w:p>
    <w:p w14:paraId="0ED54878" w14:textId="05148E02"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502829">
        <w:rPr>
          <w:rFonts w:ascii="Times New Roman" w:eastAsia="Times New Roman" w:hAnsi="Times New Roman" w:cs="Times New Roman"/>
          <w:sz w:val="24"/>
          <w:szCs w:val="24"/>
        </w:rPr>
        <w:t>Chau K</w:t>
      </w:r>
      <w:r w:rsidR="000E4609">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W</w:t>
      </w:r>
      <w:r w:rsidR="000E4609">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 (2015), Characterization of transboundary POP contamination in aquatic ecosystems of Pearl River delta. Mar Pollution Bull 51:960–965. </w:t>
      </w:r>
    </w:p>
    <w:p w14:paraId="2749E2A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502829">
        <w:rPr>
          <w:rFonts w:ascii="Times New Roman" w:eastAsia="Times New Roman" w:hAnsi="Times New Roman" w:cs="Times New Roman"/>
          <w:sz w:val="24"/>
          <w:szCs w:val="24"/>
        </w:rPr>
        <w:t xml:space="preserve">Cox J.R (2012), Pesticide residue analysis facilities: experiences from the Natural Resource Institute’s Support Program. In: </w:t>
      </w:r>
      <w:proofErr w:type="spellStart"/>
      <w:r w:rsidRPr="00502829">
        <w:rPr>
          <w:rFonts w:ascii="Times New Roman" w:eastAsia="Times New Roman" w:hAnsi="Times New Roman" w:cs="Times New Roman"/>
          <w:sz w:val="24"/>
          <w:szCs w:val="24"/>
        </w:rPr>
        <w:t>Hanak</w:t>
      </w:r>
      <w:proofErr w:type="spellEnd"/>
      <w:r w:rsidRPr="00502829">
        <w:rPr>
          <w:rFonts w:ascii="Times New Roman" w:eastAsia="Times New Roman" w:hAnsi="Times New Roman" w:cs="Times New Roman"/>
          <w:sz w:val="24"/>
          <w:szCs w:val="24"/>
        </w:rPr>
        <w:t xml:space="preserve"> E, </w:t>
      </w:r>
      <w:proofErr w:type="spellStart"/>
      <w:r w:rsidRPr="00502829">
        <w:rPr>
          <w:rFonts w:ascii="Times New Roman" w:eastAsia="Times New Roman" w:hAnsi="Times New Roman" w:cs="Times New Roman"/>
          <w:sz w:val="24"/>
          <w:szCs w:val="24"/>
        </w:rPr>
        <w:t>Boutrif</w:t>
      </w:r>
      <w:proofErr w:type="spellEnd"/>
      <w:r w:rsidRPr="00502829">
        <w:rPr>
          <w:rFonts w:ascii="Times New Roman" w:eastAsia="Times New Roman" w:hAnsi="Times New Roman" w:cs="Times New Roman"/>
          <w:sz w:val="24"/>
          <w:szCs w:val="24"/>
        </w:rPr>
        <w:t xml:space="preserve"> E, Fabre P, Pineiro M (Scientific Editors) Food safety management in developing countries, Proceedings International Workshop, CIRAD-FAO, December 11–13, 2000. Montpellier, France. </w:t>
      </w:r>
    </w:p>
    <w:p w14:paraId="588A2B2A"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502829">
        <w:rPr>
          <w:rFonts w:ascii="Times New Roman" w:eastAsia="Times New Roman" w:hAnsi="Times New Roman" w:cs="Times New Roman"/>
          <w:sz w:val="24"/>
          <w:szCs w:val="24"/>
        </w:rPr>
        <w:t xml:space="preserve">Das B, Khan YSA, Das P, Shaheen S.M (2012), Organochlorine pesticide residues in catfish, </w:t>
      </w:r>
      <w:proofErr w:type="spellStart"/>
      <w:r w:rsidRPr="00502829">
        <w:rPr>
          <w:rFonts w:ascii="Times New Roman" w:eastAsia="Times New Roman" w:hAnsi="Times New Roman" w:cs="Times New Roman"/>
          <w:sz w:val="24"/>
          <w:szCs w:val="24"/>
        </w:rPr>
        <w:t>Tachysurus</w:t>
      </w:r>
      <w:proofErr w:type="spellEnd"/>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thalassinus</w:t>
      </w:r>
      <w:proofErr w:type="spellEnd"/>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Ruppell</w:t>
      </w:r>
      <w:proofErr w:type="spellEnd"/>
      <w:r w:rsidRPr="00502829">
        <w:rPr>
          <w:rFonts w:ascii="Times New Roman" w:eastAsia="Times New Roman" w:hAnsi="Times New Roman" w:cs="Times New Roman"/>
          <w:sz w:val="24"/>
          <w:szCs w:val="24"/>
        </w:rPr>
        <w:t xml:space="preserve">, 1835) from the South Patches of the Bay of Bengal. Environmental Pollution 120:255–259. </w:t>
      </w:r>
    </w:p>
    <w:p w14:paraId="47A6D10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11. </w:t>
      </w:r>
      <w:r w:rsidRPr="00502829">
        <w:rPr>
          <w:rFonts w:ascii="Times New Roman" w:eastAsia="Times New Roman" w:hAnsi="Times New Roman" w:cs="Times New Roman"/>
          <w:sz w:val="24"/>
          <w:szCs w:val="24"/>
          <w:shd w:val="clear" w:color="auto" w:fill="FFFFFF"/>
        </w:rPr>
        <w:t>De A., Bose R., Kumar A., Mozumdar S. (2014) </w:t>
      </w:r>
      <w:r w:rsidRPr="00502829">
        <w:rPr>
          <w:rFonts w:ascii="Times New Roman" w:eastAsia="Times New Roman" w:hAnsi="Times New Roman" w:cs="Times New Roman"/>
          <w:i/>
          <w:sz w:val="24"/>
          <w:szCs w:val="24"/>
          <w:shd w:val="clear" w:color="auto" w:fill="FFFFFF"/>
        </w:rPr>
        <w:t xml:space="preserve">Targeted Delivery of Pesticides Using </w:t>
      </w:r>
      <w:r w:rsidRPr="00502829">
        <w:rPr>
          <w:rFonts w:ascii="Times New Roman" w:eastAsia="Times New Roman" w:hAnsi="Times New Roman" w:cs="Times New Roman"/>
          <w:i/>
          <w:sz w:val="24"/>
          <w:szCs w:val="24"/>
          <w:shd w:val="clear" w:color="auto" w:fill="FFFFFF"/>
        </w:rPr>
        <w:lastRenderedPageBreak/>
        <w:t>Biodegradable</w:t>
      </w:r>
      <w:r>
        <w:rPr>
          <w:rFonts w:ascii="Times New Roman" w:eastAsia="Times New Roman" w:hAnsi="Times New Roman" w:cs="Times New Roman"/>
          <w:i/>
          <w:sz w:val="24"/>
          <w:szCs w:val="24"/>
          <w:shd w:val="clear" w:color="auto" w:fill="FFFFFF"/>
        </w:rPr>
        <w:t xml:space="preserve"> </w:t>
      </w:r>
      <w:r w:rsidRPr="00502829">
        <w:rPr>
          <w:rFonts w:ascii="Times New Roman" w:eastAsia="Times New Roman" w:hAnsi="Times New Roman" w:cs="Times New Roman"/>
          <w:i/>
          <w:sz w:val="24"/>
          <w:szCs w:val="24"/>
          <w:shd w:val="clear" w:color="auto" w:fill="FFFFFF"/>
        </w:rPr>
        <w:t>Polymeric</w:t>
      </w:r>
      <w:r>
        <w:rPr>
          <w:rFonts w:ascii="Times New Roman" w:eastAsia="Times New Roman" w:hAnsi="Times New Roman" w:cs="Times New Roman"/>
          <w:i/>
          <w:sz w:val="24"/>
          <w:szCs w:val="24"/>
          <w:shd w:val="clear" w:color="auto" w:fill="FFFFFF"/>
        </w:rPr>
        <w:t xml:space="preserve"> </w:t>
      </w:r>
      <w:r w:rsidRPr="00502829">
        <w:rPr>
          <w:rFonts w:ascii="Times New Roman" w:eastAsia="Times New Roman" w:hAnsi="Times New Roman" w:cs="Times New Roman"/>
          <w:i/>
          <w:sz w:val="24"/>
          <w:szCs w:val="24"/>
          <w:shd w:val="clear" w:color="auto" w:fill="FFFFFF"/>
        </w:rPr>
        <w:t>Nanoparticles.</w:t>
      </w:r>
      <w:r w:rsidRPr="00502829">
        <w:rPr>
          <w:rFonts w:ascii="Times New Roman" w:eastAsia="Times New Roman" w:hAnsi="Times New Roman" w:cs="Times New Roman"/>
          <w:sz w:val="24"/>
          <w:szCs w:val="24"/>
          <w:shd w:val="clear" w:color="auto" w:fill="FFFFFF"/>
        </w:rPr>
        <w:t> Springer; New Delhi, India. </w:t>
      </w:r>
    </w:p>
    <w:p w14:paraId="65AF0E61"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Pr="00502829">
        <w:rPr>
          <w:rFonts w:ascii="Times New Roman" w:eastAsia="Times New Roman" w:hAnsi="Times New Roman" w:cs="Times New Roman"/>
          <w:sz w:val="24"/>
          <w:szCs w:val="24"/>
        </w:rPr>
        <w:t>Essumang</w:t>
      </w:r>
      <w:proofErr w:type="spellEnd"/>
      <w:r w:rsidRPr="00502829">
        <w:rPr>
          <w:rFonts w:ascii="Times New Roman" w:eastAsia="Times New Roman" w:hAnsi="Times New Roman" w:cs="Times New Roman"/>
          <w:sz w:val="24"/>
          <w:szCs w:val="24"/>
        </w:rPr>
        <w:t xml:space="preserve"> DK, </w:t>
      </w:r>
      <w:proofErr w:type="spellStart"/>
      <w:r w:rsidRPr="00502829">
        <w:rPr>
          <w:rFonts w:ascii="Times New Roman" w:eastAsia="Times New Roman" w:hAnsi="Times New Roman" w:cs="Times New Roman"/>
          <w:sz w:val="24"/>
          <w:szCs w:val="24"/>
        </w:rPr>
        <w:t>Chokky</w:t>
      </w:r>
      <w:proofErr w:type="spellEnd"/>
      <w:r w:rsidRPr="00502829">
        <w:rPr>
          <w:rFonts w:ascii="Times New Roman" w:eastAsia="Times New Roman" w:hAnsi="Times New Roman" w:cs="Times New Roman"/>
          <w:sz w:val="24"/>
          <w:szCs w:val="24"/>
        </w:rPr>
        <w:t xml:space="preserve"> L. (2019), Pesticide residues in the water and fish (Lagoon tilapia) samples from Lagoons in Lagoons in Ghana. Bull Chemical Soc</w:t>
      </w:r>
      <w:r>
        <w:rPr>
          <w:rFonts w:ascii="Times New Roman" w:eastAsia="Times New Roman" w:hAnsi="Times New Roman" w:cs="Times New Roman"/>
          <w:sz w:val="24"/>
          <w:szCs w:val="24"/>
        </w:rPr>
        <w:t>iety</w:t>
      </w:r>
      <w:r w:rsidRPr="00502829">
        <w:rPr>
          <w:rFonts w:ascii="Times New Roman" w:eastAsia="Times New Roman" w:hAnsi="Times New Roman" w:cs="Times New Roman"/>
          <w:sz w:val="24"/>
          <w:szCs w:val="24"/>
        </w:rPr>
        <w:t xml:space="preserve"> Ethiopia 23(1):19–27 </w:t>
      </w:r>
    </w:p>
    <w:p w14:paraId="07C78897"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502829">
        <w:rPr>
          <w:rFonts w:ascii="Times New Roman" w:eastAsia="Times New Roman" w:hAnsi="Times New Roman" w:cs="Times New Roman"/>
          <w:sz w:val="24"/>
          <w:szCs w:val="24"/>
        </w:rPr>
        <w:t xml:space="preserve">Fianko R. J, Augustine D, Samuel TL, Paul OY, Eric TG, Theodosia A, Augustine F (2011), Health Risk Associated with pesticide Contamination of fish from the </w:t>
      </w:r>
      <w:proofErr w:type="spellStart"/>
      <w:r w:rsidRPr="00502829">
        <w:rPr>
          <w:rFonts w:ascii="Times New Roman" w:eastAsia="Times New Roman" w:hAnsi="Times New Roman" w:cs="Times New Roman"/>
          <w:sz w:val="24"/>
          <w:szCs w:val="24"/>
        </w:rPr>
        <w:t>Densu</w:t>
      </w:r>
      <w:proofErr w:type="spellEnd"/>
      <w:r w:rsidRPr="00502829">
        <w:rPr>
          <w:rFonts w:ascii="Times New Roman" w:eastAsia="Times New Roman" w:hAnsi="Times New Roman" w:cs="Times New Roman"/>
          <w:sz w:val="24"/>
          <w:szCs w:val="24"/>
        </w:rPr>
        <w:t xml:space="preserve"> River Basin in Ghana, j. Environment Protection 2:115-123.</w:t>
      </w:r>
    </w:p>
    <w:p w14:paraId="0CCFCB2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sidRPr="00502829">
        <w:rPr>
          <w:rFonts w:ascii="Times New Roman" w:eastAsia="Times New Roman" w:hAnsi="Times New Roman" w:cs="Times New Roman"/>
          <w:sz w:val="24"/>
          <w:szCs w:val="24"/>
        </w:rPr>
        <w:t>Getenga</w:t>
      </w:r>
      <w:proofErr w:type="spellEnd"/>
      <w:r w:rsidRPr="00502829">
        <w:rPr>
          <w:rFonts w:ascii="Times New Roman" w:eastAsia="Times New Roman" w:hAnsi="Times New Roman" w:cs="Times New Roman"/>
          <w:sz w:val="24"/>
          <w:szCs w:val="24"/>
        </w:rPr>
        <w:t xml:space="preserve"> ZM, </w:t>
      </w:r>
      <w:proofErr w:type="spellStart"/>
      <w:r w:rsidRPr="00502829">
        <w:rPr>
          <w:rFonts w:ascii="Times New Roman" w:eastAsia="Times New Roman" w:hAnsi="Times New Roman" w:cs="Times New Roman"/>
          <w:sz w:val="24"/>
          <w:szCs w:val="24"/>
        </w:rPr>
        <w:t>Kengara</w:t>
      </w:r>
      <w:proofErr w:type="spellEnd"/>
      <w:r w:rsidRPr="00502829">
        <w:rPr>
          <w:rFonts w:ascii="Times New Roman" w:eastAsia="Times New Roman" w:hAnsi="Times New Roman" w:cs="Times New Roman"/>
          <w:sz w:val="24"/>
          <w:szCs w:val="24"/>
        </w:rPr>
        <w:t xml:space="preserve"> FO, </w:t>
      </w:r>
      <w:proofErr w:type="spellStart"/>
      <w:r w:rsidRPr="00502829">
        <w:rPr>
          <w:rFonts w:ascii="Times New Roman" w:eastAsia="Times New Roman" w:hAnsi="Times New Roman" w:cs="Times New Roman"/>
          <w:sz w:val="24"/>
          <w:szCs w:val="24"/>
        </w:rPr>
        <w:t>Wandiga</w:t>
      </w:r>
      <w:proofErr w:type="spellEnd"/>
      <w:r w:rsidRPr="00502829">
        <w:rPr>
          <w:rFonts w:ascii="Times New Roman" w:eastAsia="Times New Roman" w:hAnsi="Times New Roman" w:cs="Times New Roman"/>
          <w:sz w:val="24"/>
          <w:szCs w:val="24"/>
        </w:rPr>
        <w:t xml:space="preserve"> S.O (2014) Determination of organochlorine pesticides in soil and water from river </w:t>
      </w:r>
      <w:proofErr w:type="spellStart"/>
      <w:r w:rsidRPr="00502829">
        <w:rPr>
          <w:rFonts w:ascii="Times New Roman" w:eastAsia="Times New Roman" w:hAnsi="Times New Roman" w:cs="Times New Roman"/>
          <w:sz w:val="24"/>
          <w:szCs w:val="24"/>
        </w:rPr>
        <w:t>Nyando</w:t>
      </w:r>
      <w:proofErr w:type="spellEnd"/>
      <w:r w:rsidRPr="00502829">
        <w:rPr>
          <w:rFonts w:ascii="Times New Roman" w:eastAsia="Times New Roman" w:hAnsi="Times New Roman" w:cs="Times New Roman"/>
          <w:sz w:val="24"/>
          <w:szCs w:val="24"/>
        </w:rPr>
        <w:t xml:space="preserve"> drainage system within Lake Victoria Basin, Kenya. Bull Environmental Contamination 72: 335-343. </w:t>
      </w:r>
    </w:p>
    <w:p w14:paraId="1AB200F2"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502829">
        <w:rPr>
          <w:rFonts w:ascii="Times New Roman" w:eastAsia="Times New Roman" w:hAnsi="Times New Roman" w:cs="Times New Roman"/>
          <w:sz w:val="24"/>
          <w:szCs w:val="24"/>
        </w:rPr>
        <w:t xml:space="preserve">Guo Y, Meng X, Tang H, Zeng EY (2018), Tissue distribution of organochlorine pesticides in fish collected from the Pearl River Delta, China: implications for fishery input source and bioaccumulation. Environmental Pollution 155:150– 156. </w:t>
      </w:r>
    </w:p>
    <w:p w14:paraId="39DB12F7"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502829">
        <w:rPr>
          <w:rFonts w:ascii="Times New Roman" w:eastAsia="Times New Roman" w:hAnsi="Times New Roman" w:cs="Times New Roman"/>
          <w:sz w:val="24"/>
          <w:szCs w:val="24"/>
        </w:rPr>
        <w:t xml:space="preserve">Jeyakumar T, Kalaiarasi I, Rajavel AL, Anbu M, Kumar R (2014), Levels of organochlorine pesticide residues in water and sediment from </w:t>
      </w:r>
      <w:r w:rsidRPr="00502829">
        <w:rPr>
          <w:rFonts w:ascii="Times New Roman" w:eastAsia="Times New Roman" w:hAnsi="Times New Roman" w:cs="Times New Roman"/>
          <w:sz w:val="24"/>
          <w:szCs w:val="24"/>
        </w:rPr>
        <w:t xml:space="preserve">selected agricultural sectors of Kanyakumari District, Tamil Nadu, </w:t>
      </w:r>
      <w:r w:rsidRPr="00502829">
        <w:rPr>
          <w:rFonts w:ascii="Times New Roman" w:eastAsia="Times New Roman" w:hAnsi="Times New Roman" w:cs="Times New Roman"/>
          <w:i/>
          <w:sz w:val="24"/>
          <w:szCs w:val="24"/>
        </w:rPr>
        <w:t>India. International Journal Environmental Research</w:t>
      </w:r>
      <w:r w:rsidRPr="00502829">
        <w:rPr>
          <w:rFonts w:ascii="Times New Roman" w:eastAsia="Times New Roman" w:hAnsi="Times New Roman" w:cs="Times New Roman"/>
          <w:sz w:val="24"/>
          <w:szCs w:val="24"/>
        </w:rPr>
        <w:t xml:space="preserve"> 8(2):493–500.</w:t>
      </w:r>
    </w:p>
    <w:p w14:paraId="24735969"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sidRPr="00502829">
        <w:rPr>
          <w:rFonts w:ascii="Times New Roman" w:eastAsia="Times New Roman" w:hAnsi="Times New Roman" w:cs="Times New Roman"/>
          <w:sz w:val="24"/>
          <w:szCs w:val="24"/>
        </w:rPr>
        <w:t>Kouzayha</w:t>
      </w:r>
      <w:proofErr w:type="spellEnd"/>
      <w:r w:rsidRPr="00502829">
        <w:rPr>
          <w:rFonts w:ascii="Times New Roman" w:eastAsia="Times New Roman" w:hAnsi="Times New Roman" w:cs="Times New Roman"/>
          <w:sz w:val="24"/>
          <w:szCs w:val="24"/>
        </w:rPr>
        <w:t xml:space="preserve"> A, </w:t>
      </w:r>
      <w:proofErr w:type="spellStart"/>
      <w:r w:rsidRPr="00502829">
        <w:rPr>
          <w:rFonts w:ascii="Times New Roman" w:eastAsia="Times New Roman" w:hAnsi="Times New Roman" w:cs="Times New Roman"/>
          <w:sz w:val="24"/>
          <w:szCs w:val="24"/>
        </w:rPr>
        <w:t>Rabaa</w:t>
      </w:r>
      <w:proofErr w:type="spellEnd"/>
      <w:r w:rsidRPr="00502829">
        <w:rPr>
          <w:rFonts w:ascii="Times New Roman" w:eastAsia="Times New Roman" w:hAnsi="Times New Roman" w:cs="Times New Roman"/>
          <w:sz w:val="24"/>
          <w:szCs w:val="24"/>
        </w:rPr>
        <w:t xml:space="preserve"> A. R, Iskandarani M. Al, Beh D, Jaber F, (2012) Multiresidue Method for Determination of 67 Pesticides in Water Samples Using Solid-Phase Extraction with Centrifugation and Gas Chromatography-Mass Spectrometry, </w:t>
      </w:r>
      <w:r w:rsidRPr="00502829">
        <w:rPr>
          <w:rFonts w:ascii="Times New Roman" w:eastAsia="Times New Roman" w:hAnsi="Times New Roman" w:cs="Times New Roman"/>
          <w:i/>
          <w:sz w:val="24"/>
          <w:szCs w:val="24"/>
        </w:rPr>
        <w:t>American Journal of Chemistry</w:t>
      </w:r>
      <w:r w:rsidRPr="00502829">
        <w:rPr>
          <w:rFonts w:ascii="Times New Roman" w:eastAsia="Times New Roman" w:hAnsi="Times New Roman" w:cs="Times New Roman"/>
          <w:sz w:val="24"/>
          <w:szCs w:val="24"/>
        </w:rPr>
        <w:t xml:space="preserve">, 3, 257–265. </w:t>
      </w:r>
    </w:p>
    <w:p w14:paraId="7839D626" w14:textId="77777777" w:rsidR="002264C5" w:rsidRPr="008B3D17"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18. </w:t>
      </w:r>
      <w:r w:rsidRPr="00502829">
        <w:rPr>
          <w:rFonts w:ascii="Times New Roman" w:eastAsia="Times New Roman" w:hAnsi="Times New Roman" w:cs="Times New Roman"/>
          <w:sz w:val="24"/>
          <w:szCs w:val="24"/>
          <w:shd w:val="clear" w:color="auto" w:fill="FFFFFF"/>
        </w:rPr>
        <w:t xml:space="preserve">Mahmood I., </w:t>
      </w:r>
      <w:proofErr w:type="spellStart"/>
      <w:r w:rsidRPr="00502829">
        <w:rPr>
          <w:rFonts w:ascii="Times New Roman" w:eastAsia="Times New Roman" w:hAnsi="Times New Roman" w:cs="Times New Roman"/>
          <w:sz w:val="24"/>
          <w:szCs w:val="24"/>
          <w:shd w:val="clear" w:color="auto" w:fill="FFFFFF"/>
        </w:rPr>
        <w:t>Imadi</w:t>
      </w:r>
      <w:proofErr w:type="spellEnd"/>
      <w:r w:rsidRPr="00502829">
        <w:rPr>
          <w:rFonts w:ascii="Times New Roman" w:eastAsia="Times New Roman" w:hAnsi="Times New Roman" w:cs="Times New Roman"/>
          <w:sz w:val="24"/>
          <w:szCs w:val="24"/>
          <w:shd w:val="clear" w:color="auto" w:fill="FFFFFF"/>
        </w:rPr>
        <w:t xml:space="preserve"> S.R., </w:t>
      </w:r>
      <w:proofErr w:type="spellStart"/>
      <w:r w:rsidRPr="00502829">
        <w:rPr>
          <w:rFonts w:ascii="Times New Roman" w:eastAsia="Times New Roman" w:hAnsi="Times New Roman" w:cs="Times New Roman"/>
          <w:sz w:val="24"/>
          <w:szCs w:val="24"/>
          <w:shd w:val="clear" w:color="auto" w:fill="FFFFFF"/>
        </w:rPr>
        <w:t>Shazadi</w:t>
      </w:r>
      <w:proofErr w:type="spellEnd"/>
      <w:r w:rsidRPr="00502829">
        <w:rPr>
          <w:rFonts w:ascii="Times New Roman" w:eastAsia="Times New Roman" w:hAnsi="Times New Roman" w:cs="Times New Roman"/>
          <w:sz w:val="24"/>
          <w:szCs w:val="24"/>
          <w:shd w:val="clear" w:color="auto" w:fill="FFFFFF"/>
        </w:rPr>
        <w:t xml:space="preserve"> K., Gul A., Hakeem K.R. (2016)</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Effects of Pesticides on Environment. In: Hakeem K., Akhtar M., Abdullah S., editors. </w:t>
      </w:r>
      <w:r w:rsidRPr="00502829">
        <w:rPr>
          <w:rFonts w:ascii="Times New Roman" w:eastAsia="Times New Roman" w:hAnsi="Times New Roman" w:cs="Times New Roman"/>
          <w:i/>
          <w:sz w:val="24"/>
          <w:szCs w:val="24"/>
          <w:shd w:val="clear" w:color="auto" w:fill="FFFFFF"/>
        </w:rPr>
        <w:t>Plant, Soil and Microbes.</w:t>
      </w:r>
      <w:r w:rsidRPr="00502829">
        <w:rPr>
          <w:rFonts w:ascii="Times New Roman" w:eastAsia="Times New Roman" w:hAnsi="Times New Roman" w:cs="Times New Roman"/>
          <w:sz w:val="24"/>
          <w:szCs w:val="24"/>
          <w:shd w:val="clear" w:color="auto" w:fill="FFFFFF"/>
        </w:rPr>
        <w:t> Springer; Cham, Switzerland. </w:t>
      </w:r>
    </w:p>
    <w:p w14:paraId="5DD97B2B"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19. </w:t>
      </w:r>
      <w:r w:rsidRPr="00502829">
        <w:rPr>
          <w:rFonts w:ascii="Times New Roman" w:eastAsia="Times New Roman" w:hAnsi="Times New Roman" w:cs="Times New Roman"/>
          <w:sz w:val="24"/>
          <w:szCs w:val="24"/>
          <w:shd w:val="clear" w:color="auto" w:fill="FFFFFF"/>
        </w:rPr>
        <w:t xml:space="preserve">Ortiz-Hernández M.L., Sánchez-Salinas E., </w:t>
      </w:r>
      <w:proofErr w:type="spellStart"/>
      <w:r w:rsidRPr="00502829">
        <w:rPr>
          <w:rFonts w:ascii="Times New Roman" w:eastAsia="Times New Roman" w:hAnsi="Times New Roman" w:cs="Times New Roman"/>
          <w:sz w:val="24"/>
          <w:szCs w:val="24"/>
          <w:shd w:val="clear" w:color="auto" w:fill="FFFFFF"/>
        </w:rPr>
        <w:t>Dantán</w:t>
      </w:r>
      <w:proofErr w:type="spellEnd"/>
      <w:r w:rsidRPr="00502829">
        <w:rPr>
          <w:rFonts w:ascii="Times New Roman" w:eastAsia="Times New Roman" w:hAnsi="Times New Roman" w:cs="Times New Roman"/>
          <w:sz w:val="24"/>
          <w:szCs w:val="24"/>
          <w:shd w:val="clear" w:color="auto" w:fill="FFFFFF"/>
        </w:rPr>
        <w:t xml:space="preserve">-González E., </w:t>
      </w:r>
      <w:proofErr w:type="spellStart"/>
      <w:r w:rsidRPr="00502829">
        <w:rPr>
          <w:rFonts w:ascii="Times New Roman" w:eastAsia="Times New Roman" w:hAnsi="Times New Roman" w:cs="Times New Roman"/>
          <w:sz w:val="24"/>
          <w:szCs w:val="24"/>
          <w:shd w:val="clear" w:color="auto" w:fill="FFFFFF"/>
        </w:rPr>
        <w:t>Castrejón-Godínez</w:t>
      </w:r>
      <w:proofErr w:type="spellEnd"/>
      <w:r w:rsidRPr="00502829">
        <w:rPr>
          <w:rFonts w:ascii="Times New Roman" w:eastAsia="Times New Roman" w:hAnsi="Times New Roman" w:cs="Times New Roman"/>
          <w:sz w:val="24"/>
          <w:szCs w:val="24"/>
          <w:shd w:val="clear" w:color="auto" w:fill="FFFFFF"/>
        </w:rPr>
        <w:t xml:space="preserve"> M.L. (2013)</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Pesticide biodegradation: Mechanisms, genetics and strategies to enhance the process. </w:t>
      </w:r>
      <w:r w:rsidRPr="00502829">
        <w:rPr>
          <w:rFonts w:ascii="Times New Roman" w:eastAsia="Times New Roman" w:hAnsi="Times New Roman" w:cs="Times New Roman"/>
          <w:i/>
          <w:sz w:val="24"/>
          <w:szCs w:val="24"/>
          <w:shd w:val="clear" w:color="auto" w:fill="FFFFFF"/>
        </w:rPr>
        <w:t>Biodegrad</w:t>
      </w:r>
      <w:r>
        <w:rPr>
          <w:rFonts w:ascii="Times New Roman" w:eastAsia="Times New Roman" w:hAnsi="Times New Roman" w:cs="Times New Roman"/>
          <w:i/>
          <w:sz w:val="24"/>
          <w:szCs w:val="24"/>
          <w:shd w:val="clear" w:color="auto" w:fill="FFFFFF"/>
        </w:rPr>
        <w:t>able</w:t>
      </w:r>
      <w:r w:rsidRPr="00502829">
        <w:rPr>
          <w:rFonts w:ascii="Times New Roman" w:eastAsia="Times New Roman" w:hAnsi="Times New Roman" w:cs="Times New Roman"/>
          <w:i/>
          <w:sz w:val="24"/>
          <w:szCs w:val="24"/>
          <w:shd w:val="clear" w:color="auto" w:fill="FFFFFF"/>
        </w:rPr>
        <w:t>. Life Science. </w:t>
      </w:r>
      <w:r w:rsidRPr="00502829">
        <w:rPr>
          <w:rFonts w:ascii="Times New Roman" w:eastAsia="Times New Roman" w:hAnsi="Times New Roman" w:cs="Times New Roman"/>
          <w:sz w:val="24"/>
          <w:szCs w:val="24"/>
          <w:shd w:val="clear" w:color="auto" w:fill="FFFFFF"/>
        </w:rPr>
        <w:t>:251–287. </w:t>
      </w:r>
    </w:p>
    <w:p w14:paraId="7B571B20" w14:textId="77777777" w:rsidR="002264C5" w:rsidRPr="00745410" w:rsidRDefault="002264C5" w:rsidP="002264C5">
      <w:pPr>
        <w:spacing w:after="0" w:line="360" w:lineRule="auto"/>
        <w:ind w:left="-170" w:right="-170"/>
        <w:jc w:val="both"/>
        <w:rPr>
          <w:rFonts w:ascii="Times New Roman" w:eastAsia="Times New Roman" w:hAnsi="Times New Roman" w:cs="Times New Roman"/>
          <w:sz w:val="24"/>
          <w:szCs w:val="24"/>
        </w:rPr>
        <w:sectPr w:rsidR="002264C5" w:rsidRPr="00745410" w:rsidSect="002264C5">
          <w:type w:val="continuous"/>
          <w:pgSz w:w="12240" w:h="15840"/>
          <w:pgMar w:top="1440" w:right="1440" w:bottom="1440" w:left="1440" w:header="708" w:footer="708" w:gutter="0"/>
          <w:cols w:num="2" w:space="708"/>
          <w:docGrid w:linePitch="360"/>
        </w:sectPr>
      </w:pPr>
      <w:r>
        <w:rPr>
          <w:rFonts w:ascii="Times New Roman" w:eastAsia="Times New Roman" w:hAnsi="Times New Roman" w:cs="Times New Roman"/>
          <w:sz w:val="24"/>
          <w:szCs w:val="24"/>
          <w:shd w:val="clear" w:color="auto" w:fill="FFFFFF"/>
        </w:rPr>
        <w:t xml:space="preserve">20. </w:t>
      </w:r>
      <w:r w:rsidRPr="00502829">
        <w:rPr>
          <w:rFonts w:ascii="Times New Roman" w:eastAsia="Times New Roman" w:hAnsi="Times New Roman" w:cs="Times New Roman"/>
          <w:sz w:val="24"/>
          <w:szCs w:val="24"/>
          <w:shd w:val="clear" w:color="auto" w:fill="FFFFFF"/>
        </w:rPr>
        <w:t>Sharma A., Kumar V., Shahzad B., Tanveer M., Sidhu G.P.S., Handa N., Kohli S.K., Yadav P., Bali A.S., Parihar R.D. (2019)</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Worldwide pesticide usage and its impacts on ecosystem. </w:t>
      </w:r>
      <w:r w:rsidRPr="00502829">
        <w:rPr>
          <w:rFonts w:ascii="Times New Roman" w:eastAsia="Times New Roman" w:hAnsi="Times New Roman" w:cs="Times New Roman"/>
          <w:i/>
          <w:sz w:val="24"/>
          <w:szCs w:val="24"/>
          <w:shd w:val="clear" w:color="auto" w:fill="FFFFFF"/>
        </w:rPr>
        <w:t>SN App</w:t>
      </w:r>
      <w:r>
        <w:rPr>
          <w:rFonts w:ascii="Times New Roman" w:eastAsia="Times New Roman" w:hAnsi="Times New Roman" w:cs="Times New Roman"/>
          <w:i/>
          <w:sz w:val="24"/>
          <w:szCs w:val="24"/>
          <w:shd w:val="clear" w:color="auto" w:fill="FFFFFF"/>
        </w:rPr>
        <w:t>lied</w:t>
      </w:r>
      <w:r w:rsidRPr="00502829">
        <w:rPr>
          <w:rFonts w:ascii="Times New Roman" w:eastAsia="Times New Roman" w:hAnsi="Times New Roman" w:cs="Times New Roman"/>
          <w:i/>
          <w:sz w:val="24"/>
          <w:szCs w:val="24"/>
          <w:shd w:val="clear" w:color="auto" w:fill="FFFFFF"/>
        </w:rPr>
        <w:t>. Sci</w:t>
      </w:r>
      <w:r>
        <w:rPr>
          <w:rFonts w:ascii="Times New Roman" w:eastAsia="Times New Roman" w:hAnsi="Times New Roman" w:cs="Times New Roman"/>
          <w:i/>
          <w:sz w:val="24"/>
          <w:szCs w:val="24"/>
          <w:shd w:val="clear" w:color="auto" w:fill="FFFFFF"/>
        </w:rPr>
        <w:t>ence</w:t>
      </w:r>
      <w:r w:rsidRPr="00502829">
        <w:rPr>
          <w:rFonts w:ascii="Times New Roman" w:eastAsia="Times New Roman" w:hAnsi="Times New Roman" w:cs="Times New Roman"/>
          <w:i/>
          <w:sz w:val="24"/>
          <w:szCs w:val="24"/>
          <w:shd w:val="clear" w:color="auto" w:fill="FFFFFF"/>
        </w:rPr>
        <w:t>. </w:t>
      </w:r>
      <w:r w:rsidRPr="00502829">
        <w:rPr>
          <w:rFonts w:ascii="Times New Roman" w:eastAsia="Times New Roman" w:hAnsi="Times New Roman" w:cs="Times New Roman"/>
          <w:b/>
          <w:sz w:val="24"/>
          <w:szCs w:val="24"/>
          <w:shd w:val="clear" w:color="auto" w:fill="FFFFFF"/>
        </w:rPr>
        <w:t>1</w:t>
      </w:r>
      <w:r w:rsidRPr="00502829">
        <w:rPr>
          <w:rFonts w:ascii="Times New Roman" w:eastAsia="Times New Roman" w:hAnsi="Times New Roman" w:cs="Times New Roman"/>
          <w:sz w:val="24"/>
          <w:szCs w:val="24"/>
          <w:shd w:val="clear" w:color="auto" w:fill="FFFFFF"/>
        </w:rPr>
        <w:t>:1446</w:t>
      </w:r>
      <w:r>
        <w:rPr>
          <w:rFonts w:ascii="Times New Roman" w:eastAsia="Times New Roman" w:hAnsi="Times New Roman" w:cs="Times New Roman"/>
          <w:sz w:val="24"/>
          <w:szCs w:val="24"/>
          <w:shd w:val="clear" w:color="auto" w:fill="FFFFFF"/>
        </w:rPr>
        <w:t>.</w:t>
      </w:r>
    </w:p>
    <w:p w14:paraId="57B89A27" w14:textId="77777777" w:rsidR="002264C5" w:rsidRPr="008B3D17" w:rsidRDefault="002264C5" w:rsidP="002264C5">
      <w:pPr>
        <w:spacing w:after="0" w:line="360" w:lineRule="auto"/>
        <w:rPr>
          <w:rFonts w:ascii="Times New Roman" w:hAnsi="Times New Roman" w:cs="Times New Roman"/>
          <w:sz w:val="24"/>
          <w:szCs w:val="24"/>
        </w:rPr>
      </w:pPr>
    </w:p>
    <w:sectPr w:rsidR="002264C5" w:rsidRPr="008B3D17" w:rsidSect="002264C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A0E3" w14:textId="77777777" w:rsidR="00012DD3" w:rsidRDefault="00012DD3">
      <w:pPr>
        <w:spacing w:after="0" w:line="240" w:lineRule="auto"/>
      </w:pPr>
      <w:r>
        <w:separator/>
      </w:r>
    </w:p>
  </w:endnote>
  <w:endnote w:type="continuationSeparator" w:id="0">
    <w:p w14:paraId="6DC04DC1" w14:textId="77777777" w:rsidR="00012DD3" w:rsidRDefault="0001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D359" w14:textId="77777777" w:rsidR="002D24F1" w:rsidRDefault="002D2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48847"/>
      <w:docPartObj>
        <w:docPartGallery w:val="Page Numbers (Bottom of Page)"/>
        <w:docPartUnique/>
      </w:docPartObj>
    </w:sdtPr>
    <w:sdtEndPr>
      <w:rPr>
        <w:noProof/>
      </w:rPr>
    </w:sdtEndPr>
    <w:sdtContent>
      <w:p w14:paraId="36B84FDA" w14:textId="77777777" w:rsidR="002264C5" w:rsidRDefault="002264C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7DC2B72" w14:textId="77777777" w:rsidR="002264C5" w:rsidRDefault="00226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5F92" w14:textId="77777777" w:rsidR="002D24F1" w:rsidRDefault="002D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96EB7" w14:textId="77777777" w:rsidR="00012DD3" w:rsidRDefault="00012DD3">
      <w:pPr>
        <w:spacing w:after="0" w:line="240" w:lineRule="auto"/>
      </w:pPr>
      <w:r>
        <w:separator/>
      </w:r>
    </w:p>
  </w:footnote>
  <w:footnote w:type="continuationSeparator" w:id="0">
    <w:p w14:paraId="5C160CC3" w14:textId="77777777" w:rsidR="00012DD3" w:rsidRDefault="0001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0F21" w14:textId="1948E2CF" w:rsidR="002D24F1" w:rsidRDefault="0093292F">
    <w:pPr>
      <w:pStyle w:val="Header"/>
    </w:pPr>
    <w:r>
      <w:rPr>
        <w:noProof/>
      </w:rPr>
      <w:pict w14:anchorId="69025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7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C9CF" w14:textId="116B2F61" w:rsidR="002D24F1" w:rsidRDefault="0093292F">
    <w:pPr>
      <w:pStyle w:val="Header"/>
    </w:pPr>
    <w:r>
      <w:rPr>
        <w:noProof/>
      </w:rPr>
      <w:pict w14:anchorId="2A621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7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F79C" w14:textId="6CAAF147" w:rsidR="002D24F1" w:rsidRDefault="0093292F">
    <w:pPr>
      <w:pStyle w:val="Header"/>
    </w:pPr>
    <w:r>
      <w:rPr>
        <w:noProof/>
      </w:rPr>
      <w:pict w14:anchorId="288E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6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C5"/>
    <w:rsid w:val="00012DD3"/>
    <w:rsid w:val="000E4609"/>
    <w:rsid w:val="000F24A4"/>
    <w:rsid w:val="001C794E"/>
    <w:rsid w:val="001F713F"/>
    <w:rsid w:val="002264C5"/>
    <w:rsid w:val="002D24F1"/>
    <w:rsid w:val="0035580C"/>
    <w:rsid w:val="00362480"/>
    <w:rsid w:val="004014FC"/>
    <w:rsid w:val="004067C2"/>
    <w:rsid w:val="004B17C5"/>
    <w:rsid w:val="004C1CDF"/>
    <w:rsid w:val="004E2574"/>
    <w:rsid w:val="005F7ED7"/>
    <w:rsid w:val="0064272E"/>
    <w:rsid w:val="00683FF5"/>
    <w:rsid w:val="006A34BB"/>
    <w:rsid w:val="006F2690"/>
    <w:rsid w:val="0075081D"/>
    <w:rsid w:val="007900F3"/>
    <w:rsid w:val="007E164F"/>
    <w:rsid w:val="008F3FC8"/>
    <w:rsid w:val="00951A00"/>
    <w:rsid w:val="00983F8B"/>
    <w:rsid w:val="009C6559"/>
    <w:rsid w:val="00A11F88"/>
    <w:rsid w:val="00A51B37"/>
    <w:rsid w:val="00A51C3E"/>
    <w:rsid w:val="00AB4432"/>
    <w:rsid w:val="00AF0BF1"/>
    <w:rsid w:val="00B8579F"/>
    <w:rsid w:val="00BA35FA"/>
    <w:rsid w:val="00BB51EA"/>
    <w:rsid w:val="00BD5052"/>
    <w:rsid w:val="00BF3ED9"/>
    <w:rsid w:val="00C93ADA"/>
    <w:rsid w:val="00CC7026"/>
    <w:rsid w:val="00D50D94"/>
    <w:rsid w:val="00E03696"/>
    <w:rsid w:val="00E10EDE"/>
    <w:rsid w:val="00E647EA"/>
    <w:rsid w:val="00ED4F72"/>
    <w:rsid w:val="00EF69FF"/>
    <w:rsid w:val="00F06C53"/>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BC537"/>
  <w15:chartTrackingRefBased/>
  <w15:docId w15:val="{5A76B711-703E-422B-9C6D-C7FBA78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4C5"/>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264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64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64C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64C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64C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64C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64C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64C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64C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C5"/>
    <w:rPr>
      <w:rFonts w:eastAsiaTheme="majorEastAsia" w:cstheme="majorBidi"/>
      <w:color w:val="272727" w:themeColor="text1" w:themeTint="D8"/>
    </w:rPr>
  </w:style>
  <w:style w:type="paragraph" w:styleId="Title">
    <w:name w:val="Title"/>
    <w:basedOn w:val="Normal"/>
    <w:next w:val="Normal"/>
    <w:link w:val="TitleChar"/>
    <w:uiPriority w:val="10"/>
    <w:qFormat/>
    <w:rsid w:val="002264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6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C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6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C5"/>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64C5"/>
    <w:rPr>
      <w:i/>
      <w:iCs/>
      <w:color w:val="404040" w:themeColor="text1" w:themeTint="BF"/>
    </w:rPr>
  </w:style>
  <w:style w:type="paragraph" w:styleId="ListParagraph">
    <w:name w:val="List Paragraph"/>
    <w:basedOn w:val="Normal"/>
    <w:uiPriority w:val="34"/>
    <w:qFormat/>
    <w:rsid w:val="002264C5"/>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2264C5"/>
    <w:rPr>
      <w:i/>
      <w:iCs/>
      <w:color w:val="2F5496" w:themeColor="accent1" w:themeShade="BF"/>
    </w:rPr>
  </w:style>
  <w:style w:type="paragraph" w:styleId="IntenseQuote">
    <w:name w:val="Intense Quote"/>
    <w:basedOn w:val="Normal"/>
    <w:next w:val="Normal"/>
    <w:link w:val="IntenseQuoteChar"/>
    <w:uiPriority w:val="30"/>
    <w:qFormat/>
    <w:rsid w:val="002264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64C5"/>
    <w:rPr>
      <w:i/>
      <w:iCs/>
      <w:color w:val="2F5496" w:themeColor="accent1" w:themeShade="BF"/>
    </w:rPr>
  </w:style>
  <w:style w:type="character" w:styleId="IntenseReference">
    <w:name w:val="Intense Reference"/>
    <w:basedOn w:val="DefaultParagraphFont"/>
    <w:uiPriority w:val="32"/>
    <w:qFormat/>
    <w:rsid w:val="002264C5"/>
    <w:rPr>
      <w:b/>
      <w:bCs/>
      <w:smallCaps/>
      <w:color w:val="2F5496" w:themeColor="accent1" w:themeShade="BF"/>
      <w:spacing w:val="5"/>
    </w:rPr>
  </w:style>
  <w:style w:type="paragraph" w:styleId="Footer">
    <w:name w:val="footer"/>
    <w:basedOn w:val="Normal"/>
    <w:link w:val="FooterChar"/>
    <w:uiPriority w:val="99"/>
    <w:unhideWhenUsed/>
    <w:rsid w:val="00226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4C5"/>
    <w:rPr>
      <w:rFonts w:eastAsiaTheme="minorEastAsia"/>
      <w:kern w:val="0"/>
      <w:sz w:val="22"/>
      <w:szCs w:val="22"/>
      <w14:ligatures w14:val="none"/>
    </w:rPr>
  </w:style>
  <w:style w:type="character" w:styleId="Hyperlink">
    <w:name w:val="Hyperlink"/>
    <w:basedOn w:val="DefaultParagraphFont"/>
    <w:uiPriority w:val="99"/>
    <w:unhideWhenUsed/>
    <w:rsid w:val="00A51B37"/>
    <w:rPr>
      <w:color w:val="0563C1" w:themeColor="hyperlink"/>
      <w:u w:val="single"/>
    </w:rPr>
  </w:style>
  <w:style w:type="character" w:styleId="UnresolvedMention">
    <w:name w:val="Unresolved Mention"/>
    <w:basedOn w:val="DefaultParagraphFont"/>
    <w:uiPriority w:val="99"/>
    <w:semiHidden/>
    <w:unhideWhenUsed/>
    <w:rsid w:val="00A51B37"/>
    <w:rPr>
      <w:color w:val="605E5C"/>
      <w:shd w:val="clear" w:color="auto" w:fill="E1DFDD"/>
    </w:rPr>
  </w:style>
  <w:style w:type="paragraph" w:styleId="Header">
    <w:name w:val="header"/>
    <w:basedOn w:val="Normal"/>
    <w:link w:val="HeaderChar"/>
    <w:uiPriority w:val="99"/>
    <w:unhideWhenUsed/>
    <w:rsid w:val="002D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1"/>
    <w:rPr>
      <w:rFonts w:eastAsiaTheme="minorEastAsia"/>
      <w:kern w:val="0"/>
      <w:sz w:val="22"/>
      <w:szCs w:val="22"/>
      <w14:ligatures w14:val="none"/>
    </w:rPr>
  </w:style>
  <w:style w:type="paragraph" w:styleId="NoSpacing">
    <w:name w:val="No Spacing"/>
    <w:uiPriority w:val="1"/>
    <w:qFormat/>
    <w:rsid w:val="001C794E"/>
    <w:pPr>
      <w:spacing w:after="0" w:line="240" w:lineRule="auto"/>
    </w:pPr>
    <w:rPr>
      <w:sz w:val="22"/>
      <w:szCs w:val="22"/>
    </w:rPr>
  </w:style>
  <w:style w:type="paragraph" w:styleId="NormalWeb">
    <w:name w:val="Normal (Web)"/>
    <w:basedOn w:val="Normal"/>
    <w:uiPriority w:val="99"/>
    <w:semiHidden/>
    <w:unhideWhenUsed/>
    <w:rsid w:val="00D50D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5269">
      <w:bodyDiv w:val="1"/>
      <w:marLeft w:val="0"/>
      <w:marRight w:val="0"/>
      <w:marTop w:val="0"/>
      <w:marBottom w:val="0"/>
      <w:divBdr>
        <w:top w:val="none" w:sz="0" w:space="0" w:color="auto"/>
        <w:left w:val="none" w:sz="0" w:space="0" w:color="auto"/>
        <w:bottom w:val="none" w:sz="0" w:space="0" w:color="auto"/>
        <w:right w:val="none" w:sz="0" w:space="0" w:color="auto"/>
      </w:divBdr>
    </w:div>
    <w:div w:id="224730479">
      <w:bodyDiv w:val="1"/>
      <w:marLeft w:val="0"/>
      <w:marRight w:val="0"/>
      <w:marTop w:val="0"/>
      <w:marBottom w:val="0"/>
      <w:divBdr>
        <w:top w:val="none" w:sz="0" w:space="0" w:color="auto"/>
        <w:left w:val="none" w:sz="0" w:space="0" w:color="auto"/>
        <w:bottom w:val="none" w:sz="0" w:space="0" w:color="auto"/>
        <w:right w:val="none" w:sz="0" w:space="0" w:color="auto"/>
      </w:divBdr>
    </w:div>
    <w:div w:id="804860226">
      <w:bodyDiv w:val="1"/>
      <w:marLeft w:val="0"/>
      <w:marRight w:val="0"/>
      <w:marTop w:val="0"/>
      <w:marBottom w:val="0"/>
      <w:divBdr>
        <w:top w:val="none" w:sz="0" w:space="0" w:color="auto"/>
        <w:left w:val="none" w:sz="0" w:space="0" w:color="auto"/>
        <w:bottom w:val="none" w:sz="0" w:space="0" w:color="auto"/>
        <w:right w:val="none" w:sz="0" w:space="0" w:color="auto"/>
      </w:divBdr>
    </w:div>
    <w:div w:id="1286043993">
      <w:bodyDiv w:val="1"/>
      <w:marLeft w:val="0"/>
      <w:marRight w:val="0"/>
      <w:marTop w:val="0"/>
      <w:marBottom w:val="0"/>
      <w:divBdr>
        <w:top w:val="none" w:sz="0" w:space="0" w:color="auto"/>
        <w:left w:val="none" w:sz="0" w:space="0" w:color="auto"/>
        <w:bottom w:val="none" w:sz="0" w:space="0" w:color="auto"/>
        <w:right w:val="none" w:sz="0" w:space="0" w:color="auto"/>
      </w:divBdr>
    </w:div>
    <w:div w:id="1308170775">
      <w:bodyDiv w:val="1"/>
      <w:marLeft w:val="0"/>
      <w:marRight w:val="0"/>
      <w:marTop w:val="0"/>
      <w:marBottom w:val="0"/>
      <w:divBdr>
        <w:top w:val="none" w:sz="0" w:space="0" w:color="auto"/>
        <w:left w:val="none" w:sz="0" w:space="0" w:color="auto"/>
        <w:bottom w:val="none" w:sz="0" w:space="0" w:color="auto"/>
        <w:right w:val="none" w:sz="0" w:space="0" w:color="auto"/>
      </w:divBdr>
    </w:div>
    <w:div w:id="1350793889">
      <w:bodyDiv w:val="1"/>
      <w:marLeft w:val="0"/>
      <w:marRight w:val="0"/>
      <w:marTop w:val="0"/>
      <w:marBottom w:val="0"/>
      <w:divBdr>
        <w:top w:val="none" w:sz="0" w:space="0" w:color="auto"/>
        <w:left w:val="none" w:sz="0" w:space="0" w:color="auto"/>
        <w:bottom w:val="none" w:sz="0" w:space="0" w:color="auto"/>
        <w:right w:val="none" w:sz="0" w:space="0" w:color="auto"/>
      </w:divBdr>
    </w:div>
    <w:div w:id="1449467410">
      <w:bodyDiv w:val="1"/>
      <w:marLeft w:val="0"/>
      <w:marRight w:val="0"/>
      <w:marTop w:val="0"/>
      <w:marBottom w:val="0"/>
      <w:divBdr>
        <w:top w:val="none" w:sz="0" w:space="0" w:color="auto"/>
        <w:left w:val="none" w:sz="0" w:space="0" w:color="auto"/>
        <w:bottom w:val="none" w:sz="0" w:space="0" w:color="auto"/>
        <w:right w:val="none" w:sz="0" w:space="0" w:color="auto"/>
      </w:divBdr>
    </w:div>
    <w:div w:id="1794521367">
      <w:bodyDiv w:val="1"/>
      <w:marLeft w:val="0"/>
      <w:marRight w:val="0"/>
      <w:marTop w:val="0"/>
      <w:marBottom w:val="0"/>
      <w:divBdr>
        <w:top w:val="none" w:sz="0" w:space="0" w:color="auto"/>
        <w:left w:val="none" w:sz="0" w:space="0" w:color="auto"/>
        <w:bottom w:val="none" w:sz="0" w:space="0" w:color="auto"/>
        <w:right w:val="none" w:sz="0" w:space="0" w:color="auto"/>
      </w:divBdr>
    </w:div>
    <w:div w:id="1950505107">
      <w:bodyDiv w:val="1"/>
      <w:marLeft w:val="0"/>
      <w:marRight w:val="0"/>
      <w:marTop w:val="0"/>
      <w:marBottom w:val="0"/>
      <w:divBdr>
        <w:top w:val="none" w:sz="0" w:space="0" w:color="auto"/>
        <w:left w:val="none" w:sz="0" w:space="0" w:color="auto"/>
        <w:bottom w:val="none" w:sz="0" w:space="0" w:color="auto"/>
        <w:right w:val="none" w:sz="0" w:space="0" w:color="auto"/>
      </w:divBdr>
    </w:div>
    <w:div w:id="207018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pH</c:v>
                </c:pt>
              </c:strCache>
            </c:strRef>
          </c:tx>
          <c:spPr>
            <a:solidFill>
              <a:schemeClr val="accent1"/>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Sheet1!$B$2:$G$2</c:f>
              <c:numCache>
                <c:formatCode>General</c:formatCode>
                <c:ptCount val="6"/>
                <c:pt idx="0">
                  <c:v>8.8000000000000007</c:v>
                </c:pt>
                <c:pt idx="1">
                  <c:v>8.8000000000000007</c:v>
                </c:pt>
                <c:pt idx="2">
                  <c:v>8.8000000000000007</c:v>
                </c:pt>
                <c:pt idx="3">
                  <c:v>8.8000000000000007</c:v>
                </c:pt>
                <c:pt idx="4">
                  <c:v>8.8000000000000007</c:v>
                </c:pt>
                <c:pt idx="5">
                  <c:v>8.8000000000000007</c:v>
                </c:pt>
              </c:numCache>
            </c:numRef>
          </c:val>
          <c:extLst>
            <c:ext xmlns:c16="http://schemas.microsoft.com/office/drawing/2014/chart" uri="{C3380CC4-5D6E-409C-BE32-E72D297353CC}">
              <c16:uniqueId val="{00000000-80EA-4C99-90F5-3A906718245A}"/>
            </c:ext>
          </c:extLst>
        </c:ser>
        <c:ser>
          <c:idx val="1"/>
          <c:order val="1"/>
          <c:tx>
            <c:strRef>
              <c:f>Sheet1!$A$3</c:f>
              <c:strCache>
                <c:ptCount val="1"/>
                <c:pt idx="0">
                  <c:v>TDS (mg/L)</c:v>
                </c:pt>
              </c:strCache>
            </c:strRef>
          </c:tx>
          <c:spPr>
            <a:solidFill>
              <a:schemeClr val="accent2"/>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Sheet1!$B$3:$G$3</c:f>
              <c:numCache>
                <c:formatCode>General</c:formatCode>
                <c:ptCount val="6"/>
                <c:pt idx="0">
                  <c:v>54</c:v>
                </c:pt>
                <c:pt idx="1">
                  <c:v>56</c:v>
                </c:pt>
                <c:pt idx="2">
                  <c:v>56</c:v>
                </c:pt>
                <c:pt idx="3">
                  <c:v>56</c:v>
                </c:pt>
                <c:pt idx="4">
                  <c:v>53</c:v>
                </c:pt>
                <c:pt idx="5">
                  <c:v>53</c:v>
                </c:pt>
              </c:numCache>
            </c:numRef>
          </c:val>
          <c:extLst>
            <c:ext xmlns:c16="http://schemas.microsoft.com/office/drawing/2014/chart" uri="{C3380CC4-5D6E-409C-BE32-E72D297353CC}">
              <c16:uniqueId val="{00000001-80EA-4C99-90F5-3A906718245A}"/>
            </c:ext>
          </c:extLst>
        </c:ser>
        <c:ser>
          <c:idx val="2"/>
          <c:order val="2"/>
          <c:tx>
            <c:strRef>
              <c:f>Sheet1!$A$4</c:f>
              <c:strCache>
                <c:ptCount val="1"/>
                <c:pt idx="0">
                  <c:v>E.C (μs/cm)</c:v>
                </c:pt>
              </c:strCache>
            </c:strRef>
          </c:tx>
          <c:spPr>
            <a:solidFill>
              <a:schemeClr val="accent3"/>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Sheet1!$B$4:$G$4</c:f>
              <c:numCache>
                <c:formatCode>General</c:formatCode>
                <c:ptCount val="6"/>
                <c:pt idx="0">
                  <c:v>108</c:v>
                </c:pt>
                <c:pt idx="1">
                  <c:v>112</c:v>
                </c:pt>
                <c:pt idx="2">
                  <c:v>112</c:v>
                </c:pt>
                <c:pt idx="3">
                  <c:v>111</c:v>
                </c:pt>
                <c:pt idx="4">
                  <c:v>111</c:v>
                </c:pt>
                <c:pt idx="5">
                  <c:v>111</c:v>
                </c:pt>
              </c:numCache>
            </c:numRef>
          </c:val>
          <c:extLst>
            <c:ext xmlns:c16="http://schemas.microsoft.com/office/drawing/2014/chart" uri="{C3380CC4-5D6E-409C-BE32-E72D297353CC}">
              <c16:uniqueId val="{00000002-80EA-4C99-90F5-3A906718245A}"/>
            </c:ext>
          </c:extLst>
        </c:ser>
        <c:ser>
          <c:idx val="3"/>
          <c:order val="3"/>
          <c:tx>
            <c:strRef>
              <c:f>Sheet1!$A$5</c:f>
              <c:strCache>
                <c:ptCount val="1"/>
                <c:pt idx="0">
                  <c:v>BOD (mg/L)</c:v>
                </c:pt>
              </c:strCache>
            </c:strRef>
          </c:tx>
          <c:spPr>
            <a:solidFill>
              <a:schemeClr val="accent4"/>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Sheet1!$B$5:$G$5</c:f>
              <c:numCache>
                <c:formatCode>General</c:formatCode>
                <c:ptCount val="6"/>
                <c:pt idx="0">
                  <c:v>1.8</c:v>
                </c:pt>
                <c:pt idx="1">
                  <c:v>2.58</c:v>
                </c:pt>
                <c:pt idx="2">
                  <c:v>1.03</c:v>
                </c:pt>
                <c:pt idx="3">
                  <c:v>1.55</c:v>
                </c:pt>
                <c:pt idx="4">
                  <c:v>4.33</c:v>
                </c:pt>
                <c:pt idx="5">
                  <c:v>2.8</c:v>
                </c:pt>
              </c:numCache>
            </c:numRef>
          </c:val>
          <c:extLst>
            <c:ext xmlns:c16="http://schemas.microsoft.com/office/drawing/2014/chart" uri="{C3380CC4-5D6E-409C-BE32-E72D297353CC}">
              <c16:uniqueId val="{00000003-80EA-4C99-90F5-3A906718245A}"/>
            </c:ext>
          </c:extLst>
        </c:ser>
        <c:ser>
          <c:idx val="4"/>
          <c:order val="4"/>
          <c:tx>
            <c:strRef>
              <c:f>Sheet1!$A$6</c:f>
              <c:strCache>
                <c:ptCount val="1"/>
                <c:pt idx="0">
                  <c:v>DO (mg/L)</c:v>
                </c:pt>
              </c:strCache>
            </c:strRef>
          </c:tx>
          <c:spPr>
            <a:solidFill>
              <a:schemeClr val="accent5"/>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Sheet1!$B$6:$G$6</c:f>
              <c:numCache>
                <c:formatCode>General</c:formatCode>
                <c:ptCount val="6"/>
                <c:pt idx="0">
                  <c:v>2.13</c:v>
                </c:pt>
                <c:pt idx="1">
                  <c:v>2.13</c:v>
                </c:pt>
                <c:pt idx="2">
                  <c:v>1.52</c:v>
                </c:pt>
                <c:pt idx="3">
                  <c:v>2.84</c:v>
                </c:pt>
                <c:pt idx="4">
                  <c:v>4.5999999999999996</c:v>
                </c:pt>
                <c:pt idx="5">
                  <c:v>4.0999999999999996</c:v>
                </c:pt>
              </c:numCache>
            </c:numRef>
          </c:val>
          <c:extLst>
            <c:ext xmlns:c16="http://schemas.microsoft.com/office/drawing/2014/chart" uri="{C3380CC4-5D6E-409C-BE32-E72D297353CC}">
              <c16:uniqueId val="{00000004-80EA-4C99-90F5-3A906718245A}"/>
            </c:ext>
          </c:extLst>
        </c:ser>
        <c:dLbls>
          <c:showLegendKey val="0"/>
          <c:showVal val="0"/>
          <c:showCatName val="0"/>
          <c:showSerName val="0"/>
          <c:showPercent val="0"/>
          <c:showBubbleSize val="0"/>
        </c:dLbls>
        <c:gapWidth val="150"/>
        <c:shape val="box"/>
        <c:axId val="1858277103"/>
        <c:axId val="1858272303"/>
        <c:axId val="0"/>
      </c:bar3DChart>
      <c:catAx>
        <c:axId val="1858277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272303"/>
        <c:crosses val="autoZero"/>
        <c:auto val="1"/>
        <c:lblAlgn val="ctr"/>
        <c:lblOffset val="100"/>
        <c:noMultiLvlLbl val="0"/>
      </c:catAx>
      <c:valAx>
        <c:axId val="18582723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827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Editor-1183</cp:lastModifiedBy>
  <cp:revision>27</cp:revision>
  <dcterms:created xsi:type="dcterms:W3CDTF">2026-02-26T21:15:00Z</dcterms:created>
  <dcterms:modified xsi:type="dcterms:W3CDTF">2026-03-13T11:16:00Z</dcterms:modified>
</cp:coreProperties>
</file>