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B6F426" w14:textId="77777777" w:rsidR="00610871" w:rsidRDefault="00610871" w:rsidP="00387471">
      <w:pPr>
        <w:pStyle w:val="Heading1"/>
        <w:ind w:left="-851"/>
        <w:jc w:val="center"/>
        <w:rPr>
          <w:rFonts w:ascii="Times New Roman" w:hAnsi="Times New Roman" w:cs="Times New Roman"/>
          <w:color w:val="auto"/>
          <w:sz w:val="36"/>
          <w:szCs w:val="36"/>
        </w:rPr>
      </w:pPr>
      <w:r w:rsidRPr="000827BC">
        <w:rPr>
          <w:rFonts w:ascii="Times New Roman" w:hAnsi="Times New Roman" w:cs="Times New Roman"/>
          <w:color w:val="auto"/>
          <w:sz w:val="36"/>
          <w:szCs w:val="36"/>
        </w:rPr>
        <w:t xml:space="preserve">Soxhlet Extraction and Quantification of </w:t>
      </w:r>
      <w:r w:rsidR="00DE7931" w:rsidRPr="000827BC">
        <w:rPr>
          <w:rFonts w:ascii="Times New Roman" w:hAnsi="Times New Roman" w:cs="Times New Roman"/>
          <w:color w:val="auto"/>
          <w:sz w:val="36"/>
          <w:szCs w:val="36"/>
        </w:rPr>
        <w:t xml:space="preserve">Gallic Acid and Quercetin </w:t>
      </w:r>
      <w:r w:rsidRPr="000827BC">
        <w:rPr>
          <w:rFonts w:ascii="Times New Roman" w:hAnsi="Times New Roman" w:cs="Times New Roman"/>
          <w:color w:val="auto"/>
          <w:sz w:val="36"/>
          <w:szCs w:val="36"/>
        </w:rPr>
        <w:t xml:space="preserve">from </w:t>
      </w:r>
      <w:r w:rsidRPr="000827BC">
        <w:rPr>
          <w:rFonts w:ascii="Times New Roman" w:hAnsi="Times New Roman" w:cs="Times New Roman"/>
          <w:i/>
          <w:color w:val="auto"/>
          <w:sz w:val="36"/>
          <w:szCs w:val="36"/>
        </w:rPr>
        <w:t>Moringa oleifera</w:t>
      </w:r>
      <w:r w:rsidRPr="000827BC">
        <w:rPr>
          <w:rFonts w:ascii="Times New Roman" w:hAnsi="Times New Roman" w:cs="Times New Roman"/>
          <w:color w:val="auto"/>
          <w:sz w:val="36"/>
          <w:szCs w:val="36"/>
        </w:rPr>
        <w:t xml:space="preserve"> Leaves by HPLC</w:t>
      </w:r>
    </w:p>
    <w:p w14:paraId="41B45678" w14:textId="77777777" w:rsidR="00387471" w:rsidRDefault="00387471" w:rsidP="00387471">
      <w:pPr>
        <w:ind w:left="-851"/>
      </w:pPr>
    </w:p>
    <w:p w14:paraId="4BC15C73" w14:textId="77777777" w:rsidR="00411962" w:rsidRPr="000827BC" w:rsidRDefault="006D5384" w:rsidP="00387471">
      <w:pPr>
        <w:pStyle w:val="Heading1"/>
        <w:spacing w:line="360" w:lineRule="auto"/>
        <w:ind w:left="-993" w:right="-291"/>
        <w:jc w:val="both"/>
        <w:rPr>
          <w:rFonts w:ascii="Times New Roman" w:hAnsi="Times New Roman" w:cs="Times New Roman"/>
          <w:color w:val="000000" w:themeColor="text1"/>
          <w:sz w:val="24"/>
          <w:szCs w:val="24"/>
        </w:rPr>
      </w:pPr>
      <w:r w:rsidRPr="000827BC">
        <w:rPr>
          <w:rFonts w:ascii="Times New Roman" w:hAnsi="Times New Roman" w:cs="Times New Roman"/>
          <w:color w:val="000000" w:themeColor="text1"/>
          <w:sz w:val="24"/>
          <w:szCs w:val="24"/>
        </w:rPr>
        <w:t>Abstract</w:t>
      </w:r>
    </w:p>
    <w:p w14:paraId="29E595D0" w14:textId="77777777" w:rsidR="00D36CC3" w:rsidRDefault="00D36CC3" w:rsidP="00387471">
      <w:pPr>
        <w:pStyle w:val="NormalWeb"/>
        <w:spacing w:line="360" w:lineRule="auto"/>
        <w:ind w:left="-993" w:right="-291"/>
        <w:jc w:val="both"/>
      </w:pPr>
      <w:r>
        <w:rPr>
          <w:rStyle w:val="Emphasis"/>
        </w:rPr>
        <w:t>Moringa oleifera</w:t>
      </w:r>
      <w:r>
        <w:t xml:space="preserve"> is a nutritionally and medicinally important plant widely recognized for its rich phytochemical composition, particularly phenolic acids and flavonoids. The present study aimed to evaluate extraction efficiency and quantify major antioxidant markers, gallic acid and quercetin, in methanolic and aqueous leaf extracts. Soxhlet extraction was carried out using methanol and distilled water, and both solvents yielded measurable extractable fractions. The total phenolic content (TPC), determined using the </w:t>
      </w:r>
      <w:proofErr w:type="spellStart"/>
      <w:r>
        <w:t>Folin</w:t>
      </w:r>
      <w:proofErr w:type="spellEnd"/>
      <w:r>
        <w:t>–</w:t>
      </w:r>
      <w:proofErr w:type="spellStart"/>
      <w:r>
        <w:t>Ciocalteu</w:t>
      </w:r>
      <w:proofErr w:type="spellEnd"/>
      <w:r>
        <w:t xml:space="preserve"> method, was higher in the methanolic extract compared to the aqueous extract. Similarly, the total flavonoid content (TFC), measured by the aluminum chloride assay, was also greater in the methanolic extract than in the aqueous extract. High-Performance Liquid Chromatography (HPLC) analysis confirmed the presence of gallic acid and quercetin in both extracts. The methanolic extract exhibited higher concentrations of these compounds compared to the aqueous extract. Retention times showed close agreement with standard references, confirming chromatographic accuracy and specificity. Overall, the findings demonstrate that methanolic extraction is more efficient than aqueous extraction for isolating phenolic and flavonoid compounds from </w:t>
      </w:r>
      <w:r>
        <w:rPr>
          <w:rStyle w:val="Emphasis"/>
        </w:rPr>
        <w:t>Moringa oleifera</w:t>
      </w:r>
      <w:r>
        <w:t xml:space="preserve"> leaves. These results highlight the strong antioxidant potential of </w:t>
      </w:r>
      <w:r>
        <w:rPr>
          <w:rStyle w:val="Emphasis"/>
        </w:rPr>
        <w:t>Moringa oleifera</w:t>
      </w:r>
      <w:r>
        <w:t>, supporting its application in nutraceutical, herbal, and pharmaceutical formulations.</w:t>
      </w:r>
    </w:p>
    <w:p w14:paraId="61B4D4F7" w14:textId="7A7D0995" w:rsidR="003C5D29" w:rsidRPr="000827BC" w:rsidRDefault="003C5D29" w:rsidP="00387471">
      <w:pPr>
        <w:pStyle w:val="NormalWeb"/>
        <w:spacing w:line="360" w:lineRule="auto"/>
        <w:ind w:left="-993" w:right="-291"/>
        <w:jc w:val="both"/>
      </w:pPr>
      <w:r w:rsidRPr="000827BC">
        <w:rPr>
          <w:rStyle w:val="Strong"/>
          <w:bCs w:val="0"/>
          <w:color w:val="000000" w:themeColor="text1"/>
        </w:rPr>
        <w:t>Keywords:</w:t>
      </w:r>
      <w:r w:rsidRPr="000827BC">
        <w:rPr>
          <w:rStyle w:val="Strong"/>
          <w:b w:val="0"/>
          <w:bCs w:val="0"/>
          <w:color w:val="000000" w:themeColor="text1"/>
        </w:rPr>
        <w:t xml:space="preserve"> </w:t>
      </w:r>
      <w:r w:rsidRPr="000827BC">
        <w:rPr>
          <w:rStyle w:val="Emphasis"/>
        </w:rPr>
        <w:t>Moringa oleifera</w:t>
      </w:r>
      <w:r w:rsidRPr="000827BC">
        <w:t>; Soxhlet extraction; Total phenolic content; Total flavonoid content; Gallic acid; Quercetin; HPLC analysis; Antioxidants; Phytochemicals; Methanolic extracts.</w:t>
      </w:r>
    </w:p>
    <w:p w14:paraId="715AFE44" w14:textId="77777777" w:rsidR="00411962" w:rsidRPr="000827BC" w:rsidRDefault="006D5384" w:rsidP="00387471">
      <w:pPr>
        <w:pStyle w:val="Heading1"/>
        <w:ind w:left="-993" w:right="-291"/>
        <w:rPr>
          <w:rFonts w:ascii="Times New Roman" w:hAnsi="Times New Roman" w:cs="Times New Roman"/>
          <w:color w:val="000000" w:themeColor="text1"/>
          <w:szCs w:val="24"/>
        </w:rPr>
      </w:pPr>
      <w:r w:rsidRPr="000827BC">
        <w:rPr>
          <w:rFonts w:ascii="Times New Roman" w:hAnsi="Times New Roman" w:cs="Times New Roman"/>
          <w:color w:val="000000" w:themeColor="text1"/>
          <w:szCs w:val="24"/>
        </w:rPr>
        <w:t>1. Introduction</w:t>
      </w:r>
    </w:p>
    <w:p w14:paraId="2A4D3365" w14:textId="6CDFF7F5" w:rsidR="00DD70F2" w:rsidRDefault="00DD70F2" w:rsidP="00DD70F2">
      <w:pPr>
        <w:pStyle w:val="NormalWeb"/>
        <w:spacing w:line="360" w:lineRule="auto"/>
        <w:ind w:left="-990"/>
        <w:jc w:val="both"/>
      </w:pPr>
      <w:r>
        <w:rPr>
          <w:rStyle w:val="Emphasis"/>
        </w:rPr>
        <w:t>Moringa oleifera</w:t>
      </w:r>
      <w:r>
        <w:t xml:space="preserve"> Lam., commonly known as the drumstick tree, is a nutritionally and medicinally important plant belonging to the family </w:t>
      </w:r>
      <w:proofErr w:type="spellStart"/>
      <w:r>
        <w:t>Moringaceae</w:t>
      </w:r>
      <w:proofErr w:type="spellEnd"/>
      <w:r>
        <w:t xml:space="preserve">. It is widely distributed in tropical and subtropical regions, particularly across South Asia, Africa, and parts of South America. In India, especially in the </w:t>
      </w:r>
      <w:proofErr w:type="spellStart"/>
      <w:r>
        <w:t>Hathwa</w:t>
      </w:r>
      <w:proofErr w:type="spellEnd"/>
      <w:r>
        <w:t xml:space="preserve"> region of Bihar, located in South Asia on the Asian continent, </w:t>
      </w:r>
      <w:r>
        <w:rPr>
          <w:rStyle w:val="Emphasis"/>
        </w:rPr>
        <w:t xml:space="preserve">Moringa </w:t>
      </w:r>
      <w:r>
        <w:rPr>
          <w:rStyle w:val="Emphasis"/>
        </w:rPr>
        <w:lastRenderedPageBreak/>
        <w:t>oleifera</w:t>
      </w:r>
      <w:r>
        <w:t xml:space="preserve"> is commonly cultivated and traditionally used for nutritional and therapeutic purposes due to its rich phytochemical composition and accessibility in rural healthcare systems (</w:t>
      </w:r>
      <w:r w:rsidR="00940DA9" w:rsidRPr="00940DA9">
        <w:rPr>
          <w:color w:val="222222"/>
          <w:shd w:val="clear" w:color="auto" w:fill="FFFFFF"/>
        </w:rPr>
        <w:t>Alia</w:t>
      </w:r>
      <w:r w:rsidR="00940DA9" w:rsidRPr="00940DA9">
        <w:t xml:space="preserve"> </w:t>
      </w:r>
      <w:r w:rsidRPr="00940DA9">
        <w:rPr>
          <w:i/>
        </w:rPr>
        <w:t>et al.,</w:t>
      </w:r>
      <w:r w:rsidRPr="00940DA9">
        <w:t xml:space="preserve"> 2022</w:t>
      </w:r>
      <w:r>
        <w:t xml:space="preserve">). Medicinal plants used in the </w:t>
      </w:r>
      <w:proofErr w:type="spellStart"/>
      <w:r>
        <w:t>Hathwa</w:t>
      </w:r>
      <w:proofErr w:type="spellEnd"/>
      <w:r>
        <w:t xml:space="preserve"> region of Bihar, India, possess significant ethnopharmacological value, as local populations depend heavily on plant-based remedies for treating infections, inflammation, and metabolic disorders. This reinforces the importance of </w:t>
      </w:r>
      <w:r>
        <w:rPr>
          <w:rStyle w:val="Emphasis"/>
        </w:rPr>
        <w:t>Moringa oleifera</w:t>
      </w:r>
      <w:r>
        <w:t xml:space="preserve"> leaves as a natural and sustainable source of th</w:t>
      </w:r>
      <w:r w:rsidR="00940DA9">
        <w:t>erapeutic phytochemicals (</w:t>
      </w:r>
      <w:r>
        <w:t>Ahmad</w:t>
      </w:r>
      <w:r w:rsidR="00940DA9">
        <w:t xml:space="preserve"> </w:t>
      </w:r>
      <w:r w:rsidR="00940DA9" w:rsidRPr="00940DA9">
        <w:rPr>
          <w:i/>
        </w:rPr>
        <w:t>et al.</w:t>
      </w:r>
      <w:r w:rsidRPr="00940DA9">
        <w:rPr>
          <w:i/>
        </w:rPr>
        <w:t>,</w:t>
      </w:r>
      <w:r>
        <w:t xml:space="preserve"> 2020; </w:t>
      </w:r>
      <w:r w:rsidR="00AE63B3" w:rsidRPr="00AE63B3">
        <w:rPr>
          <w:color w:val="222222"/>
          <w:shd w:val="clear" w:color="auto" w:fill="FFFFFF"/>
        </w:rPr>
        <w:t>Shea,</w:t>
      </w:r>
      <w:r w:rsidRPr="00AE63B3">
        <w:t xml:space="preserve"> 2023).</w:t>
      </w:r>
      <w:r>
        <w:t xml:space="preserve"> Among various plant parts, the leaves of </w:t>
      </w:r>
      <w:r>
        <w:rPr>
          <w:rStyle w:val="Emphasis"/>
        </w:rPr>
        <w:t>Moringa oleifera</w:t>
      </w:r>
      <w:r>
        <w:t xml:space="preserve"> contain the highest concentration of bioactive compounds, including phenolic acids, flavonoids, vitamins, carotenoids, essential amino acids, and minerals. These phytochemicals contribute significantly to its antioxidant capacity and therapeutic potential (Saini </w:t>
      </w:r>
      <w:r w:rsidRPr="00940DA9">
        <w:rPr>
          <w:i/>
        </w:rPr>
        <w:t>et al.,</w:t>
      </w:r>
      <w:r w:rsidR="00E4262B">
        <w:t xml:space="preserve"> 2021</w:t>
      </w:r>
      <w:r>
        <w:t xml:space="preserve">; </w:t>
      </w:r>
      <w:proofErr w:type="spellStart"/>
      <w:r w:rsidR="00AE63B3" w:rsidRPr="00AE63B3">
        <w:rPr>
          <w:color w:val="222222"/>
          <w:shd w:val="clear" w:color="auto" w:fill="FFFFFF"/>
        </w:rPr>
        <w:t>Moyano</w:t>
      </w:r>
      <w:proofErr w:type="spellEnd"/>
      <w:r w:rsidRPr="00AE63B3">
        <w:t xml:space="preserve"> </w:t>
      </w:r>
      <w:r w:rsidRPr="00AE63B3">
        <w:rPr>
          <w:i/>
        </w:rPr>
        <w:t>et al.,</w:t>
      </w:r>
      <w:r w:rsidRPr="00AE63B3">
        <w:t xml:space="preserve"> 2021</w:t>
      </w:r>
      <w:r>
        <w:t xml:space="preserve">). Recent studies have demonstrated that </w:t>
      </w:r>
      <w:r>
        <w:rPr>
          <w:rStyle w:val="Emphasis"/>
        </w:rPr>
        <w:t>Moringa oleifera</w:t>
      </w:r>
      <w:r>
        <w:t xml:space="preserve"> leaf extracts exhibit diverse pharmacological activities such as antioxidant, anti-inflammatory, antimicrobial, antidiabetic, and antihyperlipidemic effects, supporting their application in both traditional and modern medicine (</w:t>
      </w:r>
      <w:r w:rsidR="00940DA9" w:rsidRPr="00940DA9">
        <w:rPr>
          <w:color w:val="222222"/>
          <w:shd w:val="clear" w:color="auto" w:fill="FFFFFF"/>
        </w:rPr>
        <w:t>Alia</w:t>
      </w:r>
      <w:r w:rsidR="00940DA9" w:rsidRPr="00940DA9">
        <w:t xml:space="preserve"> </w:t>
      </w:r>
      <w:r w:rsidR="00940DA9" w:rsidRPr="00940DA9">
        <w:rPr>
          <w:i/>
        </w:rPr>
        <w:t>et al.,</w:t>
      </w:r>
      <w:r w:rsidR="00940DA9" w:rsidRPr="00940DA9">
        <w:t xml:space="preserve"> 2022</w:t>
      </w:r>
      <w:r>
        <w:t xml:space="preserve">). Ethnomedicinal surveys conducted in Bihar, India (Asia), have reported that several leafy medicinal plants, including </w:t>
      </w:r>
      <w:r>
        <w:rPr>
          <w:rStyle w:val="Emphasis"/>
        </w:rPr>
        <w:t>Moringa oleifera</w:t>
      </w:r>
      <w:r>
        <w:t>, are traditionally used for wound healing and treatment of skin infections. These therapeutic effects are largely attributed to their phenolic and flavonoid content, which play an important role in reducing oxidative stress and inhibiting microbial growth (</w:t>
      </w:r>
      <w:r w:rsidR="00940DA9">
        <w:t xml:space="preserve">Ahmad </w:t>
      </w:r>
      <w:r w:rsidR="00940DA9" w:rsidRPr="00940DA9">
        <w:rPr>
          <w:i/>
        </w:rPr>
        <w:t>et al.,</w:t>
      </w:r>
      <w:r w:rsidR="00940DA9">
        <w:t xml:space="preserve"> 2020</w:t>
      </w:r>
      <w:r>
        <w:t>).</w:t>
      </w:r>
    </w:p>
    <w:p w14:paraId="4F77A187" w14:textId="77777777" w:rsidR="00DD70F2" w:rsidRPr="000827BC" w:rsidRDefault="00DD70F2" w:rsidP="00DD70F2">
      <w:pPr>
        <w:pStyle w:val="NormalWeb"/>
        <w:spacing w:line="360" w:lineRule="auto"/>
        <w:ind w:left="-993" w:right="-291"/>
        <w:jc w:val="center"/>
      </w:pPr>
      <w:r w:rsidRPr="000827BC">
        <w:rPr>
          <w:noProof/>
        </w:rPr>
        <w:drawing>
          <wp:inline distT="0" distB="0" distL="0" distR="0" wp14:anchorId="37EF1A81" wp14:editId="6AD88E58">
            <wp:extent cx="5218430" cy="175577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8430" cy="1755775"/>
                    </a:xfrm>
                    <a:prstGeom prst="rect">
                      <a:avLst/>
                    </a:prstGeom>
                    <a:noFill/>
                  </pic:spPr>
                </pic:pic>
              </a:graphicData>
            </a:graphic>
          </wp:inline>
        </w:drawing>
      </w:r>
    </w:p>
    <w:p w14:paraId="46D5EB5A" w14:textId="77777777" w:rsidR="00DD70F2" w:rsidRDefault="00DD70F2" w:rsidP="00DD70F2">
      <w:pPr>
        <w:pStyle w:val="NormalWeb"/>
        <w:spacing w:line="360" w:lineRule="auto"/>
        <w:ind w:left="-993" w:right="-291"/>
        <w:jc w:val="center"/>
      </w:pPr>
      <w:r w:rsidRPr="000827BC">
        <w:rPr>
          <w:b/>
        </w:rPr>
        <w:t>Fig. 1.</w:t>
      </w:r>
      <w:r w:rsidRPr="000827BC">
        <w:t xml:space="preserve"> </w:t>
      </w:r>
      <w:r w:rsidRPr="00E25053">
        <w:rPr>
          <w:i/>
        </w:rPr>
        <w:t>Moringa oleifera</w:t>
      </w:r>
      <w:r w:rsidRPr="000827BC">
        <w:t xml:space="preserve"> leaves</w:t>
      </w:r>
    </w:p>
    <w:p w14:paraId="6EB98434" w14:textId="6FE62183" w:rsidR="00DD70F2" w:rsidRDefault="00DD70F2" w:rsidP="00DD70F2">
      <w:pPr>
        <w:pStyle w:val="NormalWeb"/>
        <w:spacing w:line="360" w:lineRule="auto"/>
        <w:ind w:left="-993" w:right="-291"/>
        <w:jc w:val="both"/>
      </w:pPr>
      <w:r>
        <w:t xml:space="preserve">Phenolic and flavonoid compounds such as gallic acid and quercetin are recognized as important antioxidant markers due to their strong free radical scavenging activity and protective effects against oxidative stress-related disorders. These compounds contribute significantly to the antioxidant and pharmacological properties of medicinal plants, including </w:t>
      </w:r>
      <w:r>
        <w:rPr>
          <w:rStyle w:val="Emphasis"/>
        </w:rPr>
        <w:t>Moringa oleifera</w:t>
      </w:r>
      <w:r w:rsidR="00AE63B3">
        <w:t xml:space="preserve"> (Sharma </w:t>
      </w:r>
      <w:r w:rsidR="00AE63B3" w:rsidRPr="00062F09">
        <w:rPr>
          <w:i/>
        </w:rPr>
        <w:t>et al.,</w:t>
      </w:r>
      <w:r w:rsidR="00AE63B3">
        <w:t xml:space="preserve"> 2023; </w:t>
      </w:r>
      <w:r w:rsidR="00AE63B3">
        <w:lastRenderedPageBreak/>
        <w:t xml:space="preserve">Mukherjee </w:t>
      </w:r>
      <w:r w:rsidRPr="00AE63B3">
        <w:rPr>
          <w:i/>
        </w:rPr>
        <w:t>et al.,</w:t>
      </w:r>
      <w:r w:rsidR="00AE63B3">
        <w:t xml:space="preserve"> 2024</w:t>
      </w:r>
      <w:r>
        <w:t xml:space="preserve">). The accumulation of phenolic compounds in plants is influenced by several factors, including solvent polarity, extraction method, and environmental conditions such as soil composition, moisture content, and climatic factors. These environmental and methodological variations may significantly affect the phytochemical profile and therapeutic potential of plant extracts (Sharma </w:t>
      </w:r>
      <w:r w:rsidRPr="00062F09">
        <w:rPr>
          <w:i/>
        </w:rPr>
        <w:t>et al.,</w:t>
      </w:r>
      <w:r>
        <w:t xml:space="preserve"> 2023).</w:t>
      </w:r>
    </w:p>
    <w:p w14:paraId="5E11A8EA" w14:textId="3C73A166" w:rsidR="00DD70F2" w:rsidRDefault="00DD70F2" w:rsidP="00DD70F2">
      <w:pPr>
        <w:pStyle w:val="NormalWeb"/>
        <w:spacing w:line="360" w:lineRule="auto"/>
        <w:ind w:left="-990"/>
        <w:jc w:val="both"/>
      </w:pPr>
      <w:r>
        <w:t xml:space="preserve">Efficient extraction techniques are essential for isolating bioactive phytochemicals from plant materials. Soxhlet extraction remains one of the most effective conventional extraction methods due to its ability to ensure continuous solvent circulation and efficient recovery of phenolic compounds. Methanol, due to its intermediate polarity, has been reported to be particularly effective in extracting phenolic and flavonoid compounds compared to aqueous solvents (Saini </w:t>
      </w:r>
      <w:r w:rsidRPr="00940DA9">
        <w:rPr>
          <w:i/>
        </w:rPr>
        <w:t>et al.,</w:t>
      </w:r>
      <w:r w:rsidR="00E4262B">
        <w:t xml:space="preserve"> 2021</w:t>
      </w:r>
      <w:r>
        <w:t xml:space="preserve">). For accurate identification and quantification of phenolic markers such as gallic acid and quercetin, High-Performance Liquid Chromatography (HPLC) is considered a gold-standard analytical technique due to its high sensitivity, specificity, and reproducibility. HPLC enables precise identification of compounds based on their characteristic retention times and peak profiles, ensuring reliable phytochemical characterization of medicinal plants (Srivastava </w:t>
      </w:r>
      <w:r w:rsidRPr="00062F09">
        <w:rPr>
          <w:i/>
        </w:rPr>
        <w:t>et al.,</w:t>
      </w:r>
      <w:r>
        <w:t xml:space="preserve"> 2024; Sharma </w:t>
      </w:r>
      <w:r w:rsidRPr="00062F09">
        <w:rPr>
          <w:i/>
        </w:rPr>
        <w:t>et al.,</w:t>
      </w:r>
      <w:r>
        <w:t xml:space="preserve"> 2023).</w:t>
      </w:r>
    </w:p>
    <w:p w14:paraId="6689F3BE" w14:textId="77777777" w:rsidR="00DD70F2" w:rsidRDefault="00DD70F2" w:rsidP="00DD70F2">
      <w:pPr>
        <w:pStyle w:val="NormalWeb"/>
        <w:spacing w:line="360" w:lineRule="auto"/>
        <w:ind w:left="-990"/>
        <w:jc w:val="both"/>
      </w:pPr>
      <w:r>
        <w:t xml:space="preserve">Although several studies have reported the medicinal importance of </w:t>
      </w:r>
      <w:r>
        <w:rPr>
          <w:rStyle w:val="Emphasis"/>
        </w:rPr>
        <w:t>Moringa oleifera</w:t>
      </w:r>
      <w:r>
        <w:t xml:space="preserve">, limited research has focused on comparative evaluation of phenolic and flavonoid content and chromatographic profiling of </w:t>
      </w:r>
      <w:r>
        <w:rPr>
          <w:rStyle w:val="Emphasis"/>
        </w:rPr>
        <w:t>Moringa oleifera</w:t>
      </w:r>
      <w:r>
        <w:t xml:space="preserve"> leaves collected from the </w:t>
      </w:r>
      <w:proofErr w:type="spellStart"/>
      <w:r>
        <w:t>Hathwa</w:t>
      </w:r>
      <w:proofErr w:type="spellEnd"/>
      <w:r>
        <w:t xml:space="preserve"> region of Bihar, India (Asia), where environmental and ecological factors may influence phytochemical composition.</w:t>
      </w:r>
    </w:p>
    <w:p w14:paraId="5558BEF3" w14:textId="77777777" w:rsidR="00DD70F2" w:rsidRPr="00DD70F2" w:rsidRDefault="00DD70F2" w:rsidP="00DD70F2">
      <w:pPr>
        <w:pStyle w:val="NormalWeb"/>
        <w:spacing w:line="360" w:lineRule="auto"/>
        <w:ind w:left="-990"/>
        <w:jc w:val="both"/>
        <w:rPr>
          <w:b/>
        </w:rPr>
      </w:pPr>
      <w:r w:rsidRPr="00DD70F2">
        <w:rPr>
          <w:rStyle w:val="Strong"/>
          <w:b w:val="0"/>
        </w:rPr>
        <w:t xml:space="preserve">Therefore, the objective of the present study was to evaluate and compare the total phenolic content (TPC), total flavonoid content (TFC), and HPLC-based quantification of key antioxidant markers, gallic acid and quercetin, in methanolic and aqueous extracts of </w:t>
      </w:r>
      <w:r w:rsidRPr="00DD70F2">
        <w:rPr>
          <w:rStyle w:val="Emphasis"/>
          <w:bCs/>
        </w:rPr>
        <w:t>Moringa oleifera</w:t>
      </w:r>
      <w:r w:rsidRPr="00DD70F2">
        <w:rPr>
          <w:rStyle w:val="Strong"/>
          <w:b w:val="0"/>
        </w:rPr>
        <w:t xml:space="preserve"> leaves collected from </w:t>
      </w:r>
      <w:proofErr w:type="spellStart"/>
      <w:r w:rsidRPr="00DD70F2">
        <w:rPr>
          <w:rStyle w:val="Strong"/>
          <w:b w:val="0"/>
        </w:rPr>
        <w:t>Hathwa</w:t>
      </w:r>
      <w:proofErr w:type="spellEnd"/>
      <w:r w:rsidRPr="00DD70F2">
        <w:rPr>
          <w:rStyle w:val="Strong"/>
          <w:b w:val="0"/>
        </w:rPr>
        <w:t xml:space="preserve">, Bihar, India (Asia). The study also aimed to assess the influence of solvent polarity on extraction efficiency and phytochemical recovery. The findings of this study will contribute to scientific validation of the traditional medicinal use of </w:t>
      </w:r>
      <w:r w:rsidRPr="00DD70F2">
        <w:rPr>
          <w:rStyle w:val="Emphasis"/>
          <w:bCs/>
        </w:rPr>
        <w:t>Moringa oleifera</w:t>
      </w:r>
      <w:r w:rsidRPr="00DD70F2">
        <w:rPr>
          <w:rStyle w:val="Strong"/>
          <w:b w:val="0"/>
        </w:rPr>
        <w:t xml:space="preserve"> and support its potential application in pharmaceutical and nutraceutical development.</w:t>
      </w:r>
    </w:p>
    <w:p w14:paraId="6E585DF7" w14:textId="77777777" w:rsidR="00411962" w:rsidRPr="000827BC" w:rsidRDefault="006D5384" w:rsidP="00387471">
      <w:pPr>
        <w:pStyle w:val="Heading1"/>
        <w:ind w:left="-993" w:right="-291"/>
        <w:rPr>
          <w:rFonts w:ascii="Times New Roman" w:hAnsi="Times New Roman" w:cs="Times New Roman"/>
          <w:color w:val="000000" w:themeColor="text1"/>
          <w:sz w:val="24"/>
          <w:szCs w:val="24"/>
        </w:rPr>
      </w:pPr>
      <w:r w:rsidRPr="000827BC">
        <w:rPr>
          <w:rFonts w:ascii="Times New Roman" w:hAnsi="Times New Roman" w:cs="Times New Roman"/>
          <w:color w:val="000000" w:themeColor="text1"/>
          <w:sz w:val="24"/>
          <w:szCs w:val="24"/>
        </w:rPr>
        <w:t>2. Materials and Methods</w:t>
      </w:r>
    </w:p>
    <w:p w14:paraId="4F19C00B" w14:textId="77777777" w:rsidR="009121AE" w:rsidRPr="000827BC" w:rsidRDefault="009121AE" w:rsidP="00387471">
      <w:pPr>
        <w:pStyle w:val="NormalWeb"/>
        <w:spacing w:line="360" w:lineRule="auto"/>
        <w:ind w:left="-993" w:right="-291"/>
        <w:jc w:val="both"/>
      </w:pPr>
      <w:r w:rsidRPr="000827BC">
        <w:rPr>
          <w:rStyle w:val="Strong"/>
        </w:rPr>
        <w:t>2.1 Plant Material Collection and Preparation</w:t>
      </w:r>
    </w:p>
    <w:p w14:paraId="29E954D1" w14:textId="77777777" w:rsidR="00871940" w:rsidRPr="000827BC" w:rsidRDefault="009121AE" w:rsidP="00387471">
      <w:pPr>
        <w:pStyle w:val="NormalWeb"/>
        <w:spacing w:line="360" w:lineRule="auto"/>
        <w:ind w:left="-993" w:right="-291"/>
        <w:jc w:val="both"/>
        <w:rPr>
          <w:rFonts w:ascii="Arial" w:hAnsi="Arial" w:cs="Arial"/>
          <w:color w:val="222222"/>
          <w:sz w:val="20"/>
          <w:szCs w:val="20"/>
          <w:shd w:val="clear" w:color="auto" w:fill="FFFFFF"/>
        </w:rPr>
      </w:pPr>
      <w:r w:rsidRPr="000827BC">
        <w:lastRenderedPageBreak/>
        <w:t xml:space="preserve">Fresh leaves of </w:t>
      </w:r>
      <w:r w:rsidRPr="000827BC">
        <w:rPr>
          <w:rStyle w:val="Emphasis"/>
        </w:rPr>
        <w:t>Moringa oleifera</w:t>
      </w:r>
      <w:r w:rsidRPr="000827BC">
        <w:t xml:space="preserve"> were collected from local cultivation sites and thoroughly washed to remove surface impurities</w:t>
      </w:r>
      <w:r w:rsidR="00D2214E" w:rsidRPr="000827BC">
        <w:t xml:space="preserve"> (Ahmad, 2016)</w:t>
      </w:r>
      <w:r w:rsidRPr="000827BC">
        <w:t>. The leaves were shade-dried at room temperature to preserve heat-sensitive phytochemicals and then ground into a fine powder using a sterile mechanical grinder. The powdered material was stored in airtight containers until extraction</w:t>
      </w:r>
      <w:r w:rsidR="00871940" w:rsidRPr="000827BC">
        <w:t xml:space="preserve"> (</w:t>
      </w:r>
      <w:r w:rsidR="00871940" w:rsidRPr="000827BC">
        <w:rPr>
          <w:color w:val="222222"/>
          <w:shd w:val="clear" w:color="auto" w:fill="FFFFFF"/>
        </w:rPr>
        <w:t xml:space="preserve">Rodríguez </w:t>
      </w:r>
      <w:r w:rsidR="00871940" w:rsidRPr="000827BC">
        <w:rPr>
          <w:i/>
          <w:color w:val="222222"/>
          <w:shd w:val="clear" w:color="auto" w:fill="FFFFFF"/>
        </w:rPr>
        <w:t>et al.,</w:t>
      </w:r>
      <w:r w:rsidR="00871940" w:rsidRPr="000827BC">
        <w:rPr>
          <w:color w:val="222222"/>
          <w:shd w:val="clear" w:color="auto" w:fill="FFFFFF"/>
        </w:rPr>
        <w:t xml:space="preserve"> 2015)</w:t>
      </w:r>
    </w:p>
    <w:p w14:paraId="0EE5E6BB" w14:textId="4FEA0A9F" w:rsidR="00E25053" w:rsidRPr="00DD70F2" w:rsidRDefault="009121AE" w:rsidP="00DD70F2">
      <w:pPr>
        <w:ind w:left="-990"/>
        <w:rPr>
          <w:rFonts w:ascii="Times New Roman" w:eastAsia="Times New Roman" w:hAnsi="Times New Roman" w:cs="Times New Roman"/>
          <w:b/>
          <w:bCs/>
          <w:sz w:val="24"/>
          <w:szCs w:val="24"/>
        </w:rPr>
      </w:pPr>
      <w:r w:rsidRPr="000827BC">
        <w:rPr>
          <w:rStyle w:val="Strong"/>
        </w:rPr>
        <w:t>2.2 Soxhlet Extraction</w:t>
      </w:r>
    </w:p>
    <w:p w14:paraId="5DC67B48" w14:textId="01E869D1" w:rsidR="00B622B3" w:rsidRPr="000827BC" w:rsidRDefault="00C015AC" w:rsidP="00387471">
      <w:pPr>
        <w:pStyle w:val="NormalWeb"/>
        <w:spacing w:line="360" w:lineRule="auto"/>
        <w:ind w:left="-993" w:right="-291"/>
        <w:jc w:val="both"/>
      </w:pPr>
      <w:r>
        <w:rPr>
          <w:b/>
          <w:bCs/>
          <w:noProof/>
          <w:sz w:val="28"/>
        </w:rPr>
        <mc:AlternateContent>
          <mc:Choice Requires="wps">
            <w:drawing>
              <wp:anchor distT="0" distB="0" distL="114300" distR="114300" simplePos="0" relativeHeight="251659264" behindDoc="0" locked="0" layoutInCell="1" allowOverlap="1" wp14:anchorId="162E90EA" wp14:editId="7321301B">
                <wp:simplePos x="0" y="0"/>
                <wp:positionH relativeFrom="column">
                  <wp:posOffset>-390525</wp:posOffset>
                </wp:positionH>
                <wp:positionV relativeFrom="paragraph">
                  <wp:posOffset>1750061</wp:posOffset>
                </wp:positionV>
                <wp:extent cx="5934075" cy="3048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5934075" cy="304800"/>
                        </a:xfrm>
                        <a:prstGeom prst="rect">
                          <a:avLst/>
                        </a:prstGeom>
                        <a:solidFill>
                          <a:schemeClr val="lt1"/>
                        </a:solidFill>
                        <a:ln w="6350">
                          <a:solidFill>
                            <a:prstClr val="black"/>
                          </a:solidFill>
                        </a:ln>
                      </wps:spPr>
                      <wps:txbx>
                        <w:txbxContent>
                          <w:p w14:paraId="1187F5EA" w14:textId="721B53E3" w:rsidR="00C015AC" w:rsidRPr="00C015AC" w:rsidRDefault="00C015AC" w:rsidP="00C015AC">
                            <w:pPr>
                              <w:jc w:val="center"/>
                              <w:rPr>
                                <w:rFonts w:ascii="Times New Roman" w:hAnsi="Times New Roman" w:cs="Times New Roman"/>
                                <w:sz w:val="20"/>
                              </w:rPr>
                            </w:pPr>
                            <w:r w:rsidRPr="00C015AC">
                              <w:rPr>
                                <w:rStyle w:val="Strong"/>
                                <w:rFonts w:ascii="Times New Roman" w:hAnsi="Times New Roman" w:cs="Times New Roman"/>
                                <w:sz w:val="24"/>
                              </w:rPr>
                              <w:t>% yield = (weight of extract after dry / dry weight of the sample) ×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2E90EA" id="_x0000_t202" coordsize="21600,21600" o:spt="202" path="m,l,21600r21600,l21600,xe">
                <v:stroke joinstyle="miter"/>
                <v:path gradientshapeok="t" o:connecttype="rect"/>
              </v:shapetype>
              <v:shape id="Text Box 8" o:spid="_x0000_s1026" type="#_x0000_t202" style="position:absolute;left:0;text-align:left;margin-left:-30.75pt;margin-top:137.8pt;width:467.25pt;height:2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" fillcolor="white [3201]" strokeweight=".5pt">
                <v:textbox>
                  <w:txbxContent>
                    <w:p w14:paraId="1187F5EA" w14:textId="721B53E3" w:rsidR="00C015AC" w:rsidRPr="00C015AC" w:rsidRDefault="00C015AC" w:rsidP="00C015AC">
                      <w:pPr>
                        <w:jc w:val="center"/>
                        <w:rPr>
                          <w:rFonts w:ascii="Times New Roman" w:hAnsi="Times New Roman" w:cs="Times New Roman"/>
                          <w:sz w:val="20"/>
                        </w:rPr>
                      </w:pPr>
                      <w:r w:rsidRPr="00C015AC">
                        <w:rPr>
                          <w:rStyle w:val="Strong"/>
                          <w:rFonts w:ascii="Times New Roman" w:hAnsi="Times New Roman" w:cs="Times New Roman"/>
                          <w:sz w:val="24"/>
                        </w:rPr>
                        <w:t>% yield = (weight of extract after dry / dry weight of the sample) × 100</w:t>
                      </w:r>
                    </w:p>
                  </w:txbxContent>
                </v:textbox>
              </v:shape>
            </w:pict>
          </mc:Fallback>
        </mc:AlternateContent>
      </w:r>
      <w:r w:rsidR="00D36CC3" w:rsidRPr="00D36CC3">
        <w:t xml:space="preserve"> </w:t>
      </w:r>
      <w:r w:rsidR="00D36CC3">
        <w:t xml:space="preserve">The shade-dried leaf powder (5 g) of </w:t>
      </w:r>
      <w:r w:rsidR="00D36CC3">
        <w:rPr>
          <w:rStyle w:val="Emphasis"/>
        </w:rPr>
        <w:t>Moringa oleifera</w:t>
      </w:r>
      <w:r w:rsidR="00D36CC3">
        <w:t xml:space="preserve"> was subjected to Soxhlet extraction using two different solvents, methanol and distilled water, to ensure efficient solubilization of phytoconstituents (Zhao &amp; Zhang, 2013). </w:t>
      </w:r>
      <w:r w:rsidR="00B622B3" w:rsidRPr="000827BC">
        <w:t>Each extraction was performed for 6 hours, followed by concentration of the solvent fractions using a rotary evaporator under reduced pressure, after which the extracts were dried to a constant weight</w:t>
      </w:r>
      <w:r w:rsidR="00A80AA4" w:rsidRPr="000827BC">
        <w:t xml:space="preserve"> (</w:t>
      </w:r>
      <w:proofErr w:type="spellStart"/>
      <w:r w:rsidR="00A80AA4" w:rsidRPr="000827BC">
        <w:t>Baitha</w:t>
      </w:r>
      <w:proofErr w:type="spellEnd"/>
      <w:r w:rsidR="00A80AA4" w:rsidRPr="000827BC">
        <w:t xml:space="preserve"> &amp; Ahmad, 2019)</w:t>
      </w:r>
      <w:r w:rsidR="00B622B3" w:rsidRPr="000827BC">
        <w:t xml:space="preserve">. The percentage extraction yield for both solvent systems was determined gravimetrically using the formula: </w:t>
      </w:r>
    </w:p>
    <w:p w14:paraId="227463A2" w14:textId="4BD35A3E" w:rsidR="00B622B3" w:rsidRPr="000827BC" w:rsidRDefault="00B622B3" w:rsidP="00387471">
      <w:pPr>
        <w:pStyle w:val="NormalWeb"/>
        <w:spacing w:line="360" w:lineRule="auto"/>
        <w:ind w:left="-993" w:right="-291"/>
        <w:jc w:val="center"/>
        <w:rPr>
          <w:sz w:val="28"/>
        </w:rPr>
      </w:pPr>
      <w:r w:rsidRPr="000827BC">
        <w:rPr>
          <w:sz w:val="28"/>
        </w:rPr>
        <w:t>.</w:t>
      </w:r>
    </w:p>
    <w:p w14:paraId="661EF599" w14:textId="77777777" w:rsidR="00B622B3" w:rsidRPr="000827BC" w:rsidRDefault="00B622B3" w:rsidP="00387471">
      <w:pPr>
        <w:pStyle w:val="NormalWeb"/>
        <w:spacing w:line="360" w:lineRule="auto"/>
        <w:ind w:left="-993" w:right="-291"/>
        <w:jc w:val="both"/>
      </w:pPr>
      <w:r w:rsidRPr="000827BC">
        <w:t>Methanol primarily extracts moderately polar bioactive compounds such as phenolics and flavonoids, whereas water dissolves a broader spectrum of hydrophilic constituents including polysaccharides, tannins, proteins, and water-soluble phenolics</w:t>
      </w:r>
      <w:r w:rsidR="00D23441" w:rsidRPr="000827BC">
        <w:t xml:space="preserve"> </w:t>
      </w:r>
      <w:r w:rsidR="00D23441" w:rsidRPr="000827BC">
        <w:rPr>
          <w:sz w:val="23"/>
          <w:szCs w:val="23"/>
        </w:rPr>
        <w:t>(</w:t>
      </w:r>
      <w:r w:rsidR="00D23441" w:rsidRPr="000827BC">
        <w:rPr>
          <w:bCs/>
          <w:sz w:val="23"/>
          <w:szCs w:val="23"/>
        </w:rPr>
        <w:t xml:space="preserve">Zou </w:t>
      </w:r>
      <w:r w:rsidR="00D23441" w:rsidRPr="000827BC">
        <w:rPr>
          <w:bCs/>
          <w:i/>
          <w:iCs/>
          <w:sz w:val="23"/>
          <w:szCs w:val="23"/>
        </w:rPr>
        <w:t xml:space="preserve">et al., </w:t>
      </w:r>
      <w:r w:rsidR="00D23441" w:rsidRPr="000827BC">
        <w:rPr>
          <w:bCs/>
          <w:sz w:val="23"/>
          <w:szCs w:val="23"/>
        </w:rPr>
        <w:t>2024</w:t>
      </w:r>
      <w:r w:rsidR="00D23441" w:rsidRPr="000827BC">
        <w:rPr>
          <w:sz w:val="23"/>
          <w:szCs w:val="23"/>
        </w:rPr>
        <w:t>).</w:t>
      </w:r>
      <w:r w:rsidRPr="000827BC">
        <w:t xml:space="preserve"> Due to this difference in solvent polarity, aqueous extracts generally show higher extraction yields, while methanolic extracts often contain a more concentrated profile of pharmacologically active metabolites. The yields obtained from both methanolic and aqueous extracts were recorded and utilized for subsequent determination of Total Phenolic Content (TPC), Total Flavonoid Content (TFC), and HPLC-based quantification of gallic acid and quercetin.</w:t>
      </w:r>
      <w:r w:rsidR="000827BC" w:rsidRPr="000827BC">
        <w:t xml:space="preserve"> Sequential solvent extraction enhances the recovery of moderately polar phytochemicals, especially phenolics and flavonoids. This observation supports the superior extraction efficiency of methanol found in the present Moringa study (Kumari &amp; Singh, 2020).</w:t>
      </w:r>
    </w:p>
    <w:p w14:paraId="4CC0CDD1" w14:textId="77777777" w:rsidR="009121AE" w:rsidRPr="000827BC" w:rsidRDefault="009121AE" w:rsidP="00387471">
      <w:pPr>
        <w:pStyle w:val="NormalWeb"/>
        <w:spacing w:line="360" w:lineRule="auto"/>
        <w:ind w:left="-993" w:right="-291"/>
        <w:jc w:val="both"/>
      </w:pPr>
      <w:r w:rsidRPr="000827BC">
        <w:rPr>
          <w:rStyle w:val="Strong"/>
        </w:rPr>
        <w:t>2.3 Determination of Total Phenolic Content (TPC)</w:t>
      </w:r>
    </w:p>
    <w:p w14:paraId="1BA49F99" w14:textId="77777777" w:rsidR="003C5D29" w:rsidRPr="000827BC" w:rsidRDefault="00B622B3" w:rsidP="00387471">
      <w:pPr>
        <w:pStyle w:val="NormalWeb"/>
        <w:spacing w:line="360" w:lineRule="auto"/>
        <w:ind w:left="-993" w:right="-291"/>
        <w:jc w:val="both"/>
      </w:pPr>
      <w:r w:rsidRPr="000827BC">
        <w:t xml:space="preserve">The Total Phenolic Content (TPC) of </w:t>
      </w:r>
      <w:r w:rsidRPr="000827BC">
        <w:rPr>
          <w:rStyle w:val="Emphasis"/>
        </w:rPr>
        <w:t>Moringa oleifera</w:t>
      </w:r>
      <w:r w:rsidRPr="000827BC">
        <w:t xml:space="preserve"> leaf extracts was determined using the widely accepted </w:t>
      </w:r>
      <w:proofErr w:type="spellStart"/>
      <w:r w:rsidRPr="000827BC">
        <w:t>Folin</w:t>
      </w:r>
      <w:proofErr w:type="spellEnd"/>
      <w:r w:rsidRPr="000827BC">
        <w:t>–</w:t>
      </w:r>
      <w:proofErr w:type="spellStart"/>
      <w:r w:rsidRPr="000827BC">
        <w:t>Ciocalteu</w:t>
      </w:r>
      <w:proofErr w:type="spellEnd"/>
      <w:r w:rsidRPr="000827BC">
        <w:t xml:space="preserve"> colorimetric method, following the protocol described by Hossain </w:t>
      </w:r>
      <w:r w:rsidRPr="000827BC">
        <w:rPr>
          <w:i/>
        </w:rPr>
        <w:t>et al.</w:t>
      </w:r>
      <w:r w:rsidR="00E11B12" w:rsidRPr="000827BC">
        <w:rPr>
          <w:i/>
        </w:rPr>
        <w:t>,</w:t>
      </w:r>
      <w:r w:rsidRPr="000827BC">
        <w:t xml:space="preserve"> (2017). For the analysis, 0.1 mL of the extract (1 mg/mL) was mixed with </w:t>
      </w:r>
      <w:proofErr w:type="spellStart"/>
      <w:r w:rsidRPr="000827BC">
        <w:t>Folin</w:t>
      </w:r>
      <w:proofErr w:type="spellEnd"/>
      <w:r w:rsidRPr="000827BC">
        <w:t>–</w:t>
      </w:r>
      <w:proofErr w:type="spellStart"/>
      <w:r w:rsidRPr="000827BC">
        <w:t>Ciocalteu</w:t>
      </w:r>
      <w:proofErr w:type="spellEnd"/>
      <w:r w:rsidRPr="000827BC">
        <w:t xml:space="preserve"> reagent, followed by the addition of sodium carbonate solution to initiate the color development reaction. The </w:t>
      </w:r>
      <w:r w:rsidRPr="000827BC">
        <w:lastRenderedPageBreak/>
        <w:t xml:space="preserve">mixture was incubated for </w:t>
      </w:r>
      <w:r w:rsidRPr="000827BC">
        <w:rPr>
          <w:rStyle w:val="Strong"/>
          <w:b w:val="0"/>
        </w:rPr>
        <w:t>1.5 hours in the dark</w:t>
      </w:r>
      <w:r w:rsidRPr="000827BC">
        <w:t xml:space="preserve"> to allow complete formation of the chromophore complex. The absorbance was measured at </w:t>
      </w:r>
      <w:r w:rsidRPr="000827BC">
        <w:rPr>
          <w:rStyle w:val="Strong"/>
          <w:b w:val="0"/>
        </w:rPr>
        <w:t>765 nm</w:t>
      </w:r>
      <w:r w:rsidRPr="000827BC">
        <w:t xml:space="preserve"> using a UV–Visible spectrophotometer. A standard calibration curve was prepared using gallic acid at different concentrations, and the phenolic content of each extract was quantified based on this curve. Final results were expressed as</w:t>
      </w:r>
      <w:r w:rsidRPr="000827BC">
        <w:rPr>
          <w:b/>
        </w:rPr>
        <w:t xml:space="preserve"> </w:t>
      </w:r>
      <w:r w:rsidRPr="000827BC">
        <w:rPr>
          <w:rStyle w:val="Strong"/>
          <w:b w:val="0"/>
        </w:rPr>
        <w:t>milligrams of Gallic Acid Equivalent per gram of extract (mg GAE/g)</w:t>
      </w:r>
      <w:r w:rsidRPr="000827BC">
        <w:t>, indicating the total concentration of phenolic compounds present in the sample.</w:t>
      </w:r>
    </w:p>
    <w:p w14:paraId="158B6DCD" w14:textId="77777777" w:rsidR="009121AE" w:rsidRPr="000827BC" w:rsidRDefault="009121AE" w:rsidP="00387471">
      <w:pPr>
        <w:pStyle w:val="NormalWeb"/>
        <w:spacing w:line="360" w:lineRule="auto"/>
        <w:ind w:left="-993" w:right="-291"/>
        <w:jc w:val="both"/>
      </w:pPr>
      <w:r w:rsidRPr="000827BC">
        <w:rPr>
          <w:rStyle w:val="Strong"/>
        </w:rPr>
        <w:t>2.4 Determination of Total Flavonoid Content (TFC)</w:t>
      </w:r>
    </w:p>
    <w:p w14:paraId="21001450" w14:textId="77777777" w:rsidR="00D23441" w:rsidRPr="000827BC" w:rsidRDefault="00D23441" w:rsidP="00387471">
      <w:pPr>
        <w:pStyle w:val="NormalWeb"/>
        <w:spacing w:line="360" w:lineRule="auto"/>
        <w:ind w:left="-993" w:right="-291"/>
        <w:jc w:val="both"/>
      </w:pPr>
      <w:r w:rsidRPr="000827BC">
        <w:t xml:space="preserve">The Total Flavonoid Content (TFC) of </w:t>
      </w:r>
      <w:r w:rsidRPr="000827BC">
        <w:rPr>
          <w:rStyle w:val="Emphasis"/>
        </w:rPr>
        <w:t>Moringa oleifera</w:t>
      </w:r>
      <w:r w:rsidRPr="000827BC">
        <w:t xml:space="preserve"> leaf extracts was determined using the </w:t>
      </w:r>
      <w:proofErr w:type="spellStart"/>
      <w:r w:rsidRPr="000827BC">
        <w:rPr>
          <w:rStyle w:val="Strong"/>
          <w:b w:val="0"/>
        </w:rPr>
        <w:t>AlCl</w:t>
      </w:r>
      <w:proofErr w:type="spellEnd"/>
      <w:r w:rsidRPr="000827BC">
        <w:rPr>
          <w:rStyle w:val="Strong"/>
          <w:b w:val="0"/>
        </w:rPr>
        <w:t>₃ colorimetric method</w:t>
      </w:r>
      <w:r w:rsidRPr="000827BC">
        <w:t xml:space="preserve">, a widely used procedure for flavonoid quantification in plant extracts (Chang </w:t>
      </w:r>
      <w:r w:rsidRPr="000827BC">
        <w:rPr>
          <w:i/>
        </w:rPr>
        <w:t>et al.,</w:t>
      </w:r>
      <w:r w:rsidRPr="000827BC">
        <w:t xml:space="preserve"> 2002). For the assay, 1 mg/mL of the extract was mixed with methanol, followed by the addition of </w:t>
      </w:r>
      <w:r w:rsidRPr="000827BC">
        <w:rPr>
          <w:rStyle w:val="Strong"/>
          <w:b w:val="0"/>
        </w:rPr>
        <w:t>10% aluminum chloride (</w:t>
      </w:r>
      <w:proofErr w:type="spellStart"/>
      <w:r w:rsidRPr="000827BC">
        <w:rPr>
          <w:rStyle w:val="Strong"/>
          <w:b w:val="0"/>
        </w:rPr>
        <w:t>AlCl</w:t>
      </w:r>
      <w:proofErr w:type="spellEnd"/>
      <w:r w:rsidRPr="000827BC">
        <w:rPr>
          <w:rStyle w:val="Strong"/>
          <w:b w:val="0"/>
        </w:rPr>
        <w:t>₃)</w:t>
      </w:r>
      <w:r w:rsidRPr="000827BC">
        <w:t xml:space="preserve">, </w:t>
      </w:r>
      <w:r w:rsidRPr="000827BC">
        <w:rPr>
          <w:rStyle w:val="Strong"/>
          <w:b w:val="0"/>
        </w:rPr>
        <w:t>1 M potassium acetate</w:t>
      </w:r>
      <w:r w:rsidRPr="000827BC">
        <w:t xml:space="preserve">, and distilled water. The reaction mixture was allowed to incubate at room temperature for </w:t>
      </w:r>
      <w:r w:rsidRPr="000827BC">
        <w:rPr>
          <w:rStyle w:val="Strong"/>
          <w:b w:val="0"/>
        </w:rPr>
        <w:t>30 minutes</w:t>
      </w:r>
      <w:r w:rsidRPr="000827BC">
        <w:t>, enabling the formation of a stable flavonoid–</w:t>
      </w:r>
      <w:proofErr w:type="spellStart"/>
      <w:r w:rsidRPr="000827BC">
        <w:t>AlCl</w:t>
      </w:r>
      <w:proofErr w:type="spellEnd"/>
      <w:r w:rsidRPr="000827BC">
        <w:t xml:space="preserve">₃ complex. After incubation, absorbance was measured at </w:t>
      </w:r>
      <w:r w:rsidRPr="000827BC">
        <w:rPr>
          <w:rStyle w:val="Strong"/>
          <w:b w:val="0"/>
        </w:rPr>
        <w:t>415 nm</w:t>
      </w:r>
      <w:r w:rsidRPr="000827BC">
        <w:t xml:space="preserve"> using a UV–Visible spectrophotometer. A calibration curve was prepared using quercetin as the standard flavonoid, and the flavonoid content of each extract was calculated accordingly. Final results were expressed as </w:t>
      </w:r>
      <w:r w:rsidRPr="000827BC">
        <w:rPr>
          <w:rStyle w:val="Strong"/>
          <w:b w:val="0"/>
        </w:rPr>
        <w:t>milligrams of Quercetin Equivalent per gram of extract (mg QE/g)</w:t>
      </w:r>
      <w:r w:rsidRPr="000827BC">
        <w:t>, reflecting the total flavonoid concentration in the sample.</w:t>
      </w:r>
    </w:p>
    <w:p w14:paraId="1B17F571" w14:textId="77777777" w:rsidR="00D23441" w:rsidRPr="000827BC" w:rsidRDefault="00D23441" w:rsidP="00387471">
      <w:pPr>
        <w:pStyle w:val="Heading1"/>
        <w:spacing w:line="360" w:lineRule="auto"/>
        <w:ind w:left="-993" w:right="-291"/>
        <w:jc w:val="both"/>
        <w:rPr>
          <w:rFonts w:ascii="Times New Roman" w:hAnsi="Times New Roman" w:cs="Times New Roman"/>
          <w:color w:val="auto"/>
          <w:sz w:val="24"/>
          <w:szCs w:val="24"/>
        </w:rPr>
      </w:pPr>
      <w:r w:rsidRPr="000827BC">
        <w:rPr>
          <w:rStyle w:val="Strong"/>
          <w:rFonts w:ascii="Times New Roman" w:hAnsi="Times New Roman" w:cs="Times New Roman"/>
          <w:b/>
          <w:bCs/>
          <w:color w:val="auto"/>
          <w:sz w:val="24"/>
          <w:szCs w:val="24"/>
        </w:rPr>
        <w:t>2.</w:t>
      </w:r>
      <w:r w:rsidR="006D5384" w:rsidRPr="000827BC">
        <w:rPr>
          <w:rStyle w:val="Strong"/>
          <w:rFonts w:ascii="Times New Roman" w:hAnsi="Times New Roman" w:cs="Times New Roman"/>
          <w:b/>
          <w:bCs/>
          <w:color w:val="auto"/>
          <w:sz w:val="24"/>
          <w:szCs w:val="24"/>
        </w:rPr>
        <w:t>5</w:t>
      </w:r>
      <w:r w:rsidRPr="000827BC">
        <w:rPr>
          <w:rStyle w:val="Strong"/>
          <w:rFonts w:ascii="Times New Roman" w:hAnsi="Times New Roman" w:cs="Times New Roman"/>
          <w:b/>
          <w:bCs/>
          <w:color w:val="auto"/>
          <w:sz w:val="24"/>
          <w:szCs w:val="24"/>
        </w:rPr>
        <w:t xml:space="preserve"> Determinatio</w:t>
      </w:r>
      <w:r w:rsidR="00726109" w:rsidRPr="000827BC">
        <w:rPr>
          <w:rStyle w:val="Strong"/>
          <w:rFonts w:ascii="Times New Roman" w:hAnsi="Times New Roman" w:cs="Times New Roman"/>
          <w:b/>
          <w:bCs/>
          <w:color w:val="auto"/>
          <w:sz w:val="24"/>
          <w:szCs w:val="24"/>
        </w:rPr>
        <w:t>n of Gallic Acid in the Moringa oleifera Extracts</w:t>
      </w:r>
    </w:p>
    <w:p w14:paraId="012FA242" w14:textId="77777777" w:rsidR="00D23441" w:rsidRPr="000827BC" w:rsidRDefault="006D5384" w:rsidP="00387471">
      <w:pPr>
        <w:pStyle w:val="Heading3"/>
        <w:spacing w:line="360" w:lineRule="auto"/>
        <w:ind w:left="-993" w:right="-291"/>
        <w:jc w:val="both"/>
        <w:rPr>
          <w:rFonts w:ascii="Times New Roman" w:hAnsi="Times New Roman" w:cs="Times New Roman"/>
          <w:color w:val="auto"/>
          <w:sz w:val="24"/>
          <w:szCs w:val="24"/>
        </w:rPr>
      </w:pPr>
      <w:r w:rsidRPr="000827BC">
        <w:rPr>
          <w:rStyle w:val="Strong"/>
          <w:rFonts w:ascii="Times New Roman" w:hAnsi="Times New Roman" w:cs="Times New Roman"/>
          <w:b/>
          <w:bCs/>
          <w:color w:val="auto"/>
          <w:sz w:val="24"/>
          <w:szCs w:val="24"/>
        </w:rPr>
        <w:t>2.5</w:t>
      </w:r>
      <w:r w:rsidR="00D23441" w:rsidRPr="000827BC">
        <w:rPr>
          <w:rStyle w:val="Strong"/>
          <w:rFonts w:ascii="Times New Roman" w:hAnsi="Times New Roman" w:cs="Times New Roman"/>
          <w:b/>
          <w:bCs/>
          <w:color w:val="auto"/>
          <w:sz w:val="24"/>
          <w:szCs w:val="24"/>
        </w:rPr>
        <w:t>.1 Preparation of Mobile Phase</w:t>
      </w:r>
    </w:p>
    <w:p w14:paraId="1B7065EA" w14:textId="77777777" w:rsidR="00D23441" w:rsidRPr="000827BC" w:rsidRDefault="00D23441" w:rsidP="00387471">
      <w:pPr>
        <w:pStyle w:val="NormalWeb"/>
        <w:spacing w:line="360" w:lineRule="auto"/>
        <w:ind w:left="-993" w:right="-291"/>
        <w:jc w:val="both"/>
      </w:pPr>
      <w:r w:rsidRPr="000827BC">
        <w:t xml:space="preserve">For the quantification of gallic acid in </w:t>
      </w:r>
      <w:r w:rsidRPr="000827BC">
        <w:rPr>
          <w:rStyle w:val="Emphasis"/>
          <w:rFonts w:eastAsiaTheme="majorEastAsia"/>
        </w:rPr>
        <w:t>Moringa oleifera</w:t>
      </w:r>
      <w:r w:rsidRPr="000827BC">
        <w:t xml:space="preserve"> extracts, a mobile phase consisting of </w:t>
      </w:r>
      <w:r w:rsidRPr="000827BC">
        <w:rPr>
          <w:rStyle w:val="Strong"/>
          <w:b w:val="0"/>
        </w:rPr>
        <w:t>Water: Acetonitrile (80:20, v/v)</w:t>
      </w:r>
      <w:r w:rsidRPr="000827BC">
        <w:t xml:space="preserve"> was used. The pH was adjusted to </w:t>
      </w:r>
      <w:r w:rsidRPr="000827BC">
        <w:rPr>
          <w:rStyle w:val="Strong"/>
          <w:b w:val="0"/>
        </w:rPr>
        <w:t>3.00</w:t>
      </w:r>
      <w:r w:rsidRPr="000827BC">
        <w:t xml:space="preserve"> using O-phosphoric acid. The prepared mobile phase was degassed in an </w:t>
      </w:r>
      <w:r w:rsidRPr="000827BC">
        <w:rPr>
          <w:rStyle w:val="Strong"/>
          <w:b w:val="0"/>
        </w:rPr>
        <w:t>ultrasonicator for 15 minutes</w:t>
      </w:r>
      <w:r w:rsidRPr="000827BC">
        <w:t xml:space="preserve"> prior to use to remove dissolved gases and ensure stable chromatographic performance.</w:t>
      </w:r>
    </w:p>
    <w:p w14:paraId="420294BB" w14:textId="77777777" w:rsidR="00D23441" w:rsidRPr="000827BC" w:rsidRDefault="006D5384" w:rsidP="00387471">
      <w:pPr>
        <w:pStyle w:val="Heading3"/>
        <w:spacing w:line="360" w:lineRule="auto"/>
        <w:ind w:left="-993" w:right="-291"/>
        <w:jc w:val="both"/>
        <w:rPr>
          <w:rFonts w:ascii="Times New Roman" w:hAnsi="Times New Roman" w:cs="Times New Roman"/>
          <w:color w:val="auto"/>
          <w:sz w:val="24"/>
          <w:szCs w:val="24"/>
        </w:rPr>
      </w:pPr>
      <w:r w:rsidRPr="000827BC">
        <w:rPr>
          <w:rStyle w:val="Strong"/>
          <w:rFonts w:ascii="Times New Roman" w:hAnsi="Times New Roman" w:cs="Times New Roman"/>
          <w:b/>
          <w:bCs/>
          <w:color w:val="auto"/>
          <w:sz w:val="24"/>
          <w:szCs w:val="24"/>
        </w:rPr>
        <w:t>2.5</w:t>
      </w:r>
      <w:r w:rsidR="00D23441" w:rsidRPr="000827BC">
        <w:rPr>
          <w:rStyle w:val="Strong"/>
          <w:rFonts w:ascii="Times New Roman" w:hAnsi="Times New Roman" w:cs="Times New Roman"/>
          <w:b/>
          <w:bCs/>
          <w:color w:val="auto"/>
          <w:sz w:val="24"/>
          <w:szCs w:val="24"/>
        </w:rPr>
        <w:t>.2 Preparation of Standard Stock Solution</w:t>
      </w:r>
    </w:p>
    <w:p w14:paraId="78109D4A" w14:textId="77777777" w:rsidR="00D23441" w:rsidRPr="000827BC" w:rsidRDefault="00D23441" w:rsidP="00387471">
      <w:pPr>
        <w:pStyle w:val="NormalWeb"/>
        <w:spacing w:line="360" w:lineRule="auto"/>
        <w:ind w:left="-993" w:right="-291"/>
        <w:jc w:val="both"/>
      </w:pPr>
      <w:r w:rsidRPr="000827BC">
        <w:t xml:space="preserve">A standard stock solution of gallic acid was prepared by dissolving </w:t>
      </w:r>
      <w:r w:rsidRPr="000827BC">
        <w:rPr>
          <w:rStyle w:val="Strong"/>
          <w:b w:val="0"/>
        </w:rPr>
        <w:t>1 mg</w:t>
      </w:r>
      <w:r w:rsidRPr="000827BC">
        <w:t xml:space="preserve"> of the reference standard in </w:t>
      </w:r>
      <w:r w:rsidRPr="000827BC">
        <w:rPr>
          <w:rStyle w:val="Strong"/>
          <w:b w:val="0"/>
        </w:rPr>
        <w:t>1 mL of methanol</w:t>
      </w:r>
      <w:r w:rsidRPr="000827BC">
        <w:t xml:space="preserve">. Working standard solutions were prepared through appropriate serial dilutions to obtain </w:t>
      </w:r>
      <w:r w:rsidRPr="000827BC">
        <w:lastRenderedPageBreak/>
        <w:t xml:space="preserve">concentrations of </w:t>
      </w:r>
      <w:r w:rsidRPr="000827BC">
        <w:rPr>
          <w:rStyle w:val="Strong"/>
          <w:b w:val="0"/>
        </w:rPr>
        <w:t>40 μg/mL, 20 μg/mL, and 10 μg/mL</w:t>
      </w:r>
      <w:r w:rsidRPr="000827BC">
        <w:t>. These standards were used to generate a calibration curve for quantification</w:t>
      </w:r>
      <w:r w:rsidR="00A93E6E" w:rsidRPr="000827BC">
        <w:t xml:space="preserve"> (</w:t>
      </w:r>
      <w:r w:rsidR="00A93E6E" w:rsidRPr="000827BC">
        <w:rPr>
          <w:color w:val="222222"/>
          <w:szCs w:val="20"/>
          <w:shd w:val="clear" w:color="auto" w:fill="FFFFFF"/>
        </w:rPr>
        <w:t>Sawant</w:t>
      </w:r>
      <w:r w:rsidR="006D151E" w:rsidRPr="000827BC">
        <w:rPr>
          <w:color w:val="222222"/>
          <w:szCs w:val="20"/>
          <w:shd w:val="clear" w:color="auto" w:fill="FFFFFF"/>
        </w:rPr>
        <w:t xml:space="preserve"> </w:t>
      </w:r>
      <w:r w:rsidR="006D151E" w:rsidRPr="000827BC">
        <w:rPr>
          <w:i/>
          <w:color w:val="222222"/>
          <w:szCs w:val="20"/>
          <w:shd w:val="clear" w:color="auto" w:fill="FFFFFF"/>
        </w:rPr>
        <w:t>et al.,</w:t>
      </w:r>
      <w:r w:rsidR="00A93E6E" w:rsidRPr="000827BC">
        <w:rPr>
          <w:color w:val="222222"/>
          <w:szCs w:val="20"/>
          <w:shd w:val="clear" w:color="auto" w:fill="FFFFFF"/>
        </w:rPr>
        <w:t xml:space="preserve"> 2010).</w:t>
      </w:r>
    </w:p>
    <w:p w14:paraId="306F0FD4" w14:textId="77777777" w:rsidR="00D23441" w:rsidRPr="000827BC" w:rsidRDefault="006D5384" w:rsidP="00387471">
      <w:pPr>
        <w:pStyle w:val="Heading3"/>
        <w:spacing w:line="360" w:lineRule="auto"/>
        <w:ind w:left="-993" w:right="-291"/>
        <w:jc w:val="both"/>
        <w:rPr>
          <w:rFonts w:ascii="Times New Roman" w:hAnsi="Times New Roman" w:cs="Times New Roman"/>
          <w:color w:val="auto"/>
          <w:sz w:val="24"/>
          <w:szCs w:val="24"/>
        </w:rPr>
      </w:pPr>
      <w:r w:rsidRPr="000827BC">
        <w:rPr>
          <w:rStyle w:val="Strong"/>
          <w:rFonts w:ascii="Times New Roman" w:hAnsi="Times New Roman" w:cs="Times New Roman"/>
          <w:b/>
          <w:bCs/>
          <w:color w:val="auto"/>
          <w:sz w:val="24"/>
          <w:szCs w:val="24"/>
        </w:rPr>
        <w:t>2.5</w:t>
      </w:r>
      <w:r w:rsidR="00D23441" w:rsidRPr="000827BC">
        <w:rPr>
          <w:rStyle w:val="Strong"/>
          <w:rFonts w:ascii="Times New Roman" w:hAnsi="Times New Roman" w:cs="Times New Roman"/>
          <w:b/>
          <w:bCs/>
          <w:color w:val="auto"/>
          <w:sz w:val="24"/>
          <w:szCs w:val="24"/>
        </w:rPr>
        <w:t>.3 Preparation of Sample Extract</w:t>
      </w:r>
    </w:p>
    <w:p w14:paraId="2FBEF9E1" w14:textId="77777777" w:rsidR="00D23441" w:rsidRPr="000827BC" w:rsidRDefault="00D23441" w:rsidP="00387471">
      <w:pPr>
        <w:pStyle w:val="NormalWeb"/>
        <w:spacing w:line="360" w:lineRule="auto"/>
        <w:ind w:left="-993" w:right="-291"/>
        <w:jc w:val="both"/>
      </w:pPr>
      <w:r w:rsidRPr="000827BC">
        <w:t xml:space="preserve">The dried methanolic and aqueous extracts of </w:t>
      </w:r>
      <w:r w:rsidRPr="000827BC">
        <w:rPr>
          <w:rStyle w:val="Emphasis"/>
          <w:rFonts w:eastAsiaTheme="majorEastAsia"/>
        </w:rPr>
        <w:t>Moringa oleifera</w:t>
      </w:r>
      <w:r w:rsidRPr="000827BC">
        <w:t xml:space="preserve"> were dissolved in methanol to obtain a </w:t>
      </w:r>
      <w:r w:rsidRPr="000827BC">
        <w:rPr>
          <w:rStyle w:val="Strong"/>
          <w:b w:val="0"/>
        </w:rPr>
        <w:t>1 mg/mL</w:t>
      </w:r>
      <w:r w:rsidRPr="000827BC">
        <w:t xml:space="preserve"> stock solution. From this, a </w:t>
      </w:r>
      <w:r w:rsidRPr="000827BC">
        <w:rPr>
          <w:rStyle w:val="Strong"/>
          <w:b w:val="0"/>
        </w:rPr>
        <w:t>100 μg/mL working concentration</w:t>
      </w:r>
      <w:r w:rsidRPr="000827BC">
        <w:t xml:space="preserve"> was prepared using methanol. The solutions were </w:t>
      </w:r>
      <w:r w:rsidRPr="000827BC">
        <w:rPr>
          <w:rStyle w:val="Strong"/>
          <w:b w:val="0"/>
        </w:rPr>
        <w:t>sonicated for 10 minutes</w:t>
      </w:r>
      <w:r w:rsidRPr="000827BC">
        <w:t xml:space="preserve"> to ensure complete solubilization and subsequently filtered through a </w:t>
      </w:r>
      <w:r w:rsidRPr="000827BC">
        <w:rPr>
          <w:rStyle w:val="Strong"/>
          <w:b w:val="0"/>
        </w:rPr>
        <w:t xml:space="preserve">0.2 </w:t>
      </w:r>
      <w:proofErr w:type="spellStart"/>
      <w:r w:rsidRPr="000827BC">
        <w:rPr>
          <w:rStyle w:val="Strong"/>
          <w:b w:val="0"/>
        </w:rPr>
        <w:t>μm</w:t>
      </w:r>
      <w:proofErr w:type="spellEnd"/>
      <w:r w:rsidRPr="000827BC">
        <w:rPr>
          <w:rStyle w:val="Strong"/>
          <w:b w:val="0"/>
        </w:rPr>
        <w:t>, 13 mm nylon membrane filter</w:t>
      </w:r>
      <w:r w:rsidRPr="000827BC">
        <w:t xml:space="preserve"> before injection into the HPLC system.</w:t>
      </w:r>
    </w:p>
    <w:p w14:paraId="4C84F99D" w14:textId="77777777" w:rsidR="00D23441" w:rsidRPr="000827BC" w:rsidRDefault="006D5384" w:rsidP="00387471">
      <w:pPr>
        <w:pStyle w:val="Heading3"/>
        <w:spacing w:line="360" w:lineRule="auto"/>
        <w:ind w:left="-993" w:right="-291"/>
        <w:jc w:val="both"/>
        <w:rPr>
          <w:rFonts w:ascii="Times New Roman" w:hAnsi="Times New Roman" w:cs="Times New Roman"/>
          <w:color w:val="auto"/>
          <w:sz w:val="24"/>
          <w:szCs w:val="24"/>
        </w:rPr>
      </w:pPr>
      <w:r w:rsidRPr="000827BC">
        <w:rPr>
          <w:rStyle w:val="Strong"/>
          <w:rFonts w:ascii="Times New Roman" w:hAnsi="Times New Roman" w:cs="Times New Roman"/>
          <w:b/>
          <w:bCs/>
          <w:color w:val="auto"/>
          <w:sz w:val="24"/>
          <w:szCs w:val="24"/>
        </w:rPr>
        <w:t>2.5</w:t>
      </w:r>
      <w:r w:rsidR="00D23441" w:rsidRPr="000827BC">
        <w:rPr>
          <w:rStyle w:val="Strong"/>
          <w:rFonts w:ascii="Times New Roman" w:hAnsi="Times New Roman" w:cs="Times New Roman"/>
          <w:b/>
          <w:bCs/>
          <w:color w:val="auto"/>
          <w:sz w:val="24"/>
          <w:szCs w:val="24"/>
        </w:rPr>
        <w:t>.4 Chromatographic Conditions</w:t>
      </w:r>
    </w:p>
    <w:p w14:paraId="2468E3D0" w14:textId="77777777" w:rsidR="00D23441" w:rsidRDefault="00D23441" w:rsidP="00387471">
      <w:pPr>
        <w:pStyle w:val="NormalWeb"/>
        <w:spacing w:line="360" w:lineRule="auto"/>
        <w:ind w:left="-993" w:right="-291"/>
        <w:jc w:val="both"/>
        <w:rPr>
          <w:rStyle w:val="Strong"/>
          <w:b w:val="0"/>
          <w:sz w:val="22"/>
        </w:rPr>
      </w:pPr>
      <w:r w:rsidRPr="000827BC">
        <w:rPr>
          <w:rStyle w:val="Strong"/>
          <w:sz w:val="22"/>
        </w:rPr>
        <w:t xml:space="preserve">Table 1. </w:t>
      </w:r>
      <w:r w:rsidRPr="000827BC">
        <w:rPr>
          <w:rStyle w:val="Strong"/>
          <w:b w:val="0"/>
          <w:sz w:val="22"/>
        </w:rPr>
        <w:t>Chromatographic Conditions for the Quantification of Gallic Acid Using Agilent TC-C18(</w:t>
      </w:r>
      <w:proofErr w:type="gramStart"/>
      <w:r w:rsidRPr="000827BC">
        <w:rPr>
          <w:rStyle w:val="Strong"/>
          <w:b w:val="0"/>
          <w:sz w:val="22"/>
        </w:rPr>
        <w:t>2)®</w:t>
      </w:r>
      <w:proofErr w:type="gramEnd"/>
      <w:r w:rsidRPr="000827BC">
        <w:rPr>
          <w:rStyle w:val="Strong"/>
          <w:b w:val="0"/>
          <w:sz w:val="22"/>
        </w:rPr>
        <w:t xml:space="preserve"> HPLC Column</w:t>
      </w:r>
      <w:r w:rsidR="00DC2343" w:rsidRPr="000827BC">
        <w:rPr>
          <w:rStyle w:val="Strong"/>
          <w:b w:val="0"/>
          <w:sz w:val="22"/>
        </w:rPr>
        <w:t>.</w:t>
      </w:r>
    </w:p>
    <w:tbl>
      <w:tblPr>
        <w:tblW w:w="8820" w:type="dxa"/>
        <w:tblInd w:w="113" w:type="dxa"/>
        <w:tblLook w:val="04A0" w:firstRow="1" w:lastRow="0" w:firstColumn="1" w:lastColumn="0" w:noHBand="0" w:noVBand="1"/>
      </w:tblPr>
      <w:tblGrid>
        <w:gridCol w:w="1020"/>
        <w:gridCol w:w="3740"/>
        <w:gridCol w:w="4060"/>
      </w:tblGrid>
      <w:tr w:rsidR="00387471" w:rsidRPr="00387471" w14:paraId="7C051D68" w14:textId="77777777" w:rsidTr="00387471">
        <w:trPr>
          <w:trHeight w:val="300"/>
        </w:trPr>
        <w:tc>
          <w:tcPr>
            <w:tcW w:w="1020" w:type="dxa"/>
            <w:tcBorders>
              <w:top w:val="single" w:sz="4" w:space="0" w:color="auto"/>
              <w:left w:val="single" w:sz="4" w:space="0" w:color="auto"/>
              <w:bottom w:val="single" w:sz="4" w:space="0" w:color="auto"/>
              <w:right w:val="single" w:sz="4" w:space="0" w:color="auto"/>
            </w:tcBorders>
            <w:vAlign w:val="center"/>
            <w:hideMark/>
          </w:tcPr>
          <w:p w14:paraId="45E1A787" w14:textId="77777777" w:rsidR="00387471" w:rsidRPr="00387471" w:rsidRDefault="00387471" w:rsidP="00387471">
            <w:pPr>
              <w:spacing w:after="0" w:line="240" w:lineRule="auto"/>
              <w:jc w:val="center"/>
              <w:rPr>
                <w:rFonts w:ascii="Cambria" w:eastAsia="Times New Roman" w:hAnsi="Cambria" w:cs="Calibri"/>
                <w:b/>
                <w:bCs/>
                <w:color w:val="000000"/>
                <w:sz w:val="24"/>
                <w:szCs w:val="24"/>
                <w:lang w:val="en-IN" w:eastAsia="en-IN"/>
              </w:rPr>
            </w:pPr>
            <w:r w:rsidRPr="00387471">
              <w:rPr>
                <w:rFonts w:ascii="Cambria" w:eastAsia="Times New Roman" w:hAnsi="Cambria" w:cs="Calibri"/>
                <w:b/>
                <w:bCs/>
                <w:color w:val="000000"/>
                <w:sz w:val="24"/>
                <w:szCs w:val="24"/>
                <w:lang w:eastAsia="en-IN"/>
              </w:rPr>
              <w:t>S. No.</w:t>
            </w:r>
          </w:p>
        </w:tc>
        <w:tc>
          <w:tcPr>
            <w:tcW w:w="3740" w:type="dxa"/>
            <w:tcBorders>
              <w:top w:val="single" w:sz="4" w:space="0" w:color="auto"/>
              <w:left w:val="nil"/>
              <w:bottom w:val="single" w:sz="4" w:space="0" w:color="auto"/>
              <w:right w:val="single" w:sz="4" w:space="0" w:color="auto"/>
            </w:tcBorders>
            <w:vAlign w:val="center"/>
            <w:hideMark/>
          </w:tcPr>
          <w:p w14:paraId="7CE4C6C6" w14:textId="77777777" w:rsidR="00387471" w:rsidRPr="00387471" w:rsidRDefault="00387471" w:rsidP="00387471">
            <w:pPr>
              <w:spacing w:after="0" w:line="240" w:lineRule="auto"/>
              <w:jc w:val="center"/>
              <w:rPr>
                <w:rFonts w:ascii="Cambria" w:eastAsia="Times New Roman" w:hAnsi="Cambria" w:cs="Calibri"/>
                <w:b/>
                <w:bCs/>
                <w:color w:val="000000"/>
                <w:sz w:val="24"/>
                <w:szCs w:val="24"/>
                <w:lang w:val="en-IN" w:eastAsia="en-IN"/>
              </w:rPr>
            </w:pPr>
            <w:r w:rsidRPr="00387471">
              <w:rPr>
                <w:rFonts w:ascii="Cambria" w:eastAsia="Times New Roman" w:hAnsi="Cambria" w:cs="Calibri"/>
                <w:b/>
                <w:bCs/>
                <w:color w:val="000000"/>
                <w:sz w:val="24"/>
                <w:szCs w:val="24"/>
                <w:lang w:eastAsia="en-IN"/>
              </w:rPr>
              <w:t>Parameter</w:t>
            </w:r>
          </w:p>
        </w:tc>
        <w:tc>
          <w:tcPr>
            <w:tcW w:w="4060" w:type="dxa"/>
            <w:tcBorders>
              <w:top w:val="single" w:sz="4" w:space="0" w:color="auto"/>
              <w:left w:val="nil"/>
              <w:bottom w:val="single" w:sz="4" w:space="0" w:color="auto"/>
              <w:right w:val="single" w:sz="4" w:space="0" w:color="auto"/>
            </w:tcBorders>
            <w:vAlign w:val="center"/>
            <w:hideMark/>
          </w:tcPr>
          <w:p w14:paraId="6FAA86DF" w14:textId="77777777" w:rsidR="00387471" w:rsidRPr="00387471" w:rsidRDefault="00387471" w:rsidP="00387471">
            <w:pPr>
              <w:spacing w:after="0" w:line="240" w:lineRule="auto"/>
              <w:jc w:val="center"/>
              <w:rPr>
                <w:rFonts w:ascii="Cambria" w:eastAsia="Times New Roman" w:hAnsi="Cambria" w:cs="Calibri"/>
                <w:b/>
                <w:bCs/>
                <w:color w:val="000000"/>
                <w:sz w:val="24"/>
                <w:szCs w:val="24"/>
                <w:lang w:val="en-IN" w:eastAsia="en-IN"/>
              </w:rPr>
            </w:pPr>
            <w:r w:rsidRPr="00387471">
              <w:rPr>
                <w:rFonts w:ascii="Cambria" w:eastAsia="Times New Roman" w:hAnsi="Cambria" w:cs="Calibri"/>
                <w:b/>
                <w:bCs/>
                <w:color w:val="000000"/>
                <w:sz w:val="24"/>
                <w:szCs w:val="24"/>
                <w:lang w:eastAsia="en-IN"/>
              </w:rPr>
              <w:t>Condition</w:t>
            </w:r>
          </w:p>
        </w:tc>
      </w:tr>
      <w:tr w:rsidR="00387471" w:rsidRPr="001D20FA" w14:paraId="3CC7BC4E" w14:textId="77777777" w:rsidTr="00387471">
        <w:trPr>
          <w:trHeight w:val="308"/>
        </w:trPr>
        <w:tc>
          <w:tcPr>
            <w:tcW w:w="1020" w:type="dxa"/>
            <w:tcBorders>
              <w:top w:val="nil"/>
              <w:left w:val="single" w:sz="4" w:space="0" w:color="auto"/>
              <w:bottom w:val="single" w:sz="4" w:space="0" w:color="auto"/>
              <w:right w:val="single" w:sz="4" w:space="0" w:color="auto"/>
            </w:tcBorders>
            <w:shd w:val="clear" w:color="000000" w:fill="F2F2F2"/>
            <w:vAlign w:val="center"/>
            <w:hideMark/>
          </w:tcPr>
          <w:p w14:paraId="6B461D7C" w14:textId="77777777" w:rsidR="00387471" w:rsidRPr="00387471" w:rsidRDefault="00387471" w:rsidP="00387471">
            <w:pPr>
              <w:spacing w:after="0" w:line="240" w:lineRule="auto"/>
              <w:jc w:val="center"/>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1</w:t>
            </w:r>
          </w:p>
        </w:tc>
        <w:tc>
          <w:tcPr>
            <w:tcW w:w="3740" w:type="dxa"/>
            <w:tcBorders>
              <w:top w:val="nil"/>
              <w:left w:val="nil"/>
              <w:bottom w:val="single" w:sz="4" w:space="0" w:color="auto"/>
              <w:right w:val="single" w:sz="4" w:space="0" w:color="auto"/>
            </w:tcBorders>
            <w:shd w:val="clear" w:color="000000" w:fill="F2F2F2"/>
            <w:vAlign w:val="center"/>
            <w:hideMark/>
          </w:tcPr>
          <w:p w14:paraId="7BE5FDE0" w14:textId="77777777" w:rsidR="00387471" w:rsidRPr="00387471" w:rsidRDefault="00387471" w:rsidP="00387471">
            <w:pPr>
              <w:spacing w:after="0" w:line="240" w:lineRule="auto"/>
              <w:jc w:val="both"/>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Stationary phase</w:t>
            </w:r>
          </w:p>
        </w:tc>
        <w:tc>
          <w:tcPr>
            <w:tcW w:w="4060" w:type="dxa"/>
            <w:tcBorders>
              <w:top w:val="nil"/>
              <w:left w:val="nil"/>
              <w:bottom w:val="single" w:sz="4" w:space="0" w:color="auto"/>
              <w:right w:val="single" w:sz="4" w:space="0" w:color="auto"/>
            </w:tcBorders>
            <w:shd w:val="clear" w:color="000000" w:fill="F2F2F2"/>
            <w:vAlign w:val="center"/>
            <w:hideMark/>
          </w:tcPr>
          <w:p w14:paraId="414986DE" w14:textId="77777777" w:rsidR="00387471" w:rsidRPr="001D20FA" w:rsidRDefault="00387471" w:rsidP="00387471">
            <w:pPr>
              <w:spacing w:after="0" w:line="240" w:lineRule="auto"/>
              <w:jc w:val="both"/>
              <w:rPr>
                <w:rFonts w:ascii="Times New Roman" w:eastAsia="Times New Roman" w:hAnsi="Times New Roman" w:cs="Times New Roman"/>
                <w:color w:val="000000"/>
                <w:sz w:val="24"/>
                <w:szCs w:val="24"/>
                <w:lang w:val="sv-SE" w:eastAsia="en-IN"/>
              </w:rPr>
            </w:pPr>
            <w:r w:rsidRPr="001D20FA">
              <w:rPr>
                <w:rFonts w:ascii="Times New Roman" w:eastAsia="Times New Roman" w:hAnsi="Times New Roman" w:cs="Times New Roman"/>
                <w:color w:val="000000"/>
                <w:sz w:val="24"/>
                <w:szCs w:val="24"/>
                <w:lang w:val="sv-SE" w:eastAsia="en-IN"/>
              </w:rPr>
              <w:t xml:space="preserve">Agilent TC-C18(2), 4.6 × 250 mm, 5 </w:t>
            </w:r>
            <w:r w:rsidRPr="00387471">
              <w:rPr>
                <w:rFonts w:ascii="Times New Roman" w:eastAsia="Times New Roman" w:hAnsi="Times New Roman" w:cs="Times New Roman"/>
                <w:color w:val="000000"/>
                <w:sz w:val="24"/>
                <w:szCs w:val="24"/>
                <w:lang w:eastAsia="en-IN"/>
              </w:rPr>
              <w:t>μ</w:t>
            </w:r>
            <w:r w:rsidRPr="001D20FA">
              <w:rPr>
                <w:rFonts w:ascii="Times New Roman" w:eastAsia="Times New Roman" w:hAnsi="Times New Roman" w:cs="Times New Roman"/>
                <w:color w:val="000000"/>
                <w:sz w:val="24"/>
                <w:szCs w:val="24"/>
                <w:lang w:val="sv-SE" w:eastAsia="en-IN"/>
              </w:rPr>
              <w:t>m</w:t>
            </w:r>
          </w:p>
        </w:tc>
      </w:tr>
      <w:tr w:rsidR="00387471" w:rsidRPr="00387471" w14:paraId="1122D40C" w14:textId="77777777" w:rsidTr="00387471">
        <w:trPr>
          <w:trHeight w:val="615"/>
        </w:trPr>
        <w:tc>
          <w:tcPr>
            <w:tcW w:w="1020" w:type="dxa"/>
            <w:tcBorders>
              <w:top w:val="nil"/>
              <w:left w:val="single" w:sz="4" w:space="0" w:color="auto"/>
              <w:bottom w:val="single" w:sz="4" w:space="0" w:color="auto"/>
              <w:right w:val="single" w:sz="4" w:space="0" w:color="auto"/>
            </w:tcBorders>
            <w:vAlign w:val="center"/>
            <w:hideMark/>
          </w:tcPr>
          <w:p w14:paraId="558FC504" w14:textId="77777777" w:rsidR="00387471" w:rsidRPr="00387471" w:rsidRDefault="00387471" w:rsidP="00387471">
            <w:pPr>
              <w:spacing w:after="0" w:line="240" w:lineRule="auto"/>
              <w:jc w:val="center"/>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2</w:t>
            </w:r>
          </w:p>
        </w:tc>
        <w:tc>
          <w:tcPr>
            <w:tcW w:w="3740" w:type="dxa"/>
            <w:tcBorders>
              <w:top w:val="nil"/>
              <w:left w:val="nil"/>
              <w:bottom w:val="single" w:sz="4" w:space="0" w:color="auto"/>
              <w:right w:val="single" w:sz="4" w:space="0" w:color="auto"/>
            </w:tcBorders>
            <w:vAlign w:val="center"/>
            <w:hideMark/>
          </w:tcPr>
          <w:p w14:paraId="07860BA4" w14:textId="77777777" w:rsidR="00387471" w:rsidRPr="00387471" w:rsidRDefault="00387471" w:rsidP="00387471">
            <w:pPr>
              <w:spacing w:after="0" w:line="240" w:lineRule="auto"/>
              <w:jc w:val="both"/>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Mobile phase</w:t>
            </w:r>
          </w:p>
        </w:tc>
        <w:tc>
          <w:tcPr>
            <w:tcW w:w="4060" w:type="dxa"/>
            <w:tcBorders>
              <w:top w:val="nil"/>
              <w:left w:val="nil"/>
              <w:bottom w:val="single" w:sz="4" w:space="0" w:color="auto"/>
              <w:right w:val="single" w:sz="4" w:space="0" w:color="auto"/>
            </w:tcBorders>
            <w:vAlign w:val="center"/>
            <w:hideMark/>
          </w:tcPr>
          <w:p w14:paraId="3C79363F" w14:textId="77777777" w:rsidR="00387471" w:rsidRPr="00387471" w:rsidRDefault="00387471" w:rsidP="00387471">
            <w:pPr>
              <w:spacing w:after="0" w:line="240" w:lineRule="auto"/>
              <w:jc w:val="both"/>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Water : ACN (80:20); pH 3.00 adjusted with O-phosphoric acid</w:t>
            </w:r>
          </w:p>
        </w:tc>
      </w:tr>
      <w:tr w:rsidR="00387471" w:rsidRPr="00387471" w14:paraId="684F0117" w14:textId="77777777" w:rsidTr="00387471">
        <w:trPr>
          <w:trHeight w:val="308"/>
        </w:trPr>
        <w:tc>
          <w:tcPr>
            <w:tcW w:w="1020" w:type="dxa"/>
            <w:tcBorders>
              <w:top w:val="nil"/>
              <w:left w:val="single" w:sz="4" w:space="0" w:color="auto"/>
              <w:bottom w:val="single" w:sz="4" w:space="0" w:color="auto"/>
              <w:right w:val="single" w:sz="4" w:space="0" w:color="auto"/>
            </w:tcBorders>
            <w:shd w:val="clear" w:color="000000" w:fill="F2F2F2"/>
            <w:vAlign w:val="center"/>
            <w:hideMark/>
          </w:tcPr>
          <w:p w14:paraId="002D9CF1" w14:textId="77777777" w:rsidR="00387471" w:rsidRPr="00387471" w:rsidRDefault="00387471" w:rsidP="00387471">
            <w:pPr>
              <w:spacing w:after="0" w:line="240" w:lineRule="auto"/>
              <w:jc w:val="center"/>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3</w:t>
            </w:r>
          </w:p>
        </w:tc>
        <w:tc>
          <w:tcPr>
            <w:tcW w:w="3740" w:type="dxa"/>
            <w:tcBorders>
              <w:top w:val="nil"/>
              <w:left w:val="nil"/>
              <w:bottom w:val="single" w:sz="4" w:space="0" w:color="auto"/>
              <w:right w:val="single" w:sz="4" w:space="0" w:color="auto"/>
            </w:tcBorders>
            <w:shd w:val="clear" w:color="000000" w:fill="F2F2F2"/>
            <w:vAlign w:val="center"/>
            <w:hideMark/>
          </w:tcPr>
          <w:p w14:paraId="70EA6F16" w14:textId="77777777" w:rsidR="00387471" w:rsidRPr="00387471" w:rsidRDefault="00387471" w:rsidP="00387471">
            <w:pPr>
              <w:spacing w:after="0" w:line="240" w:lineRule="auto"/>
              <w:jc w:val="both"/>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Detection wavelength</w:t>
            </w:r>
          </w:p>
        </w:tc>
        <w:tc>
          <w:tcPr>
            <w:tcW w:w="4060" w:type="dxa"/>
            <w:tcBorders>
              <w:top w:val="nil"/>
              <w:left w:val="nil"/>
              <w:bottom w:val="single" w:sz="4" w:space="0" w:color="auto"/>
              <w:right w:val="single" w:sz="4" w:space="0" w:color="auto"/>
            </w:tcBorders>
            <w:shd w:val="clear" w:color="000000" w:fill="F2F2F2"/>
            <w:vAlign w:val="center"/>
            <w:hideMark/>
          </w:tcPr>
          <w:p w14:paraId="6CB49F45" w14:textId="77777777" w:rsidR="00387471" w:rsidRPr="00387471" w:rsidRDefault="00387471" w:rsidP="00387471">
            <w:pPr>
              <w:spacing w:after="0" w:line="240" w:lineRule="auto"/>
              <w:jc w:val="both"/>
              <w:rPr>
                <w:rFonts w:ascii="Cambria" w:eastAsia="Times New Roman" w:hAnsi="Cambria" w:cs="Calibri"/>
                <w:color w:val="000000"/>
                <w:sz w:val="24"/>
                <w:szCs w:val="24"/>
                <w:lang w:val="en-IN" w:eastAsia="en-IN"/>
              </w:rPr>
            </w:pPr>
            <w:r w:rsidRPr="00387471">
              <w:rPr>
                <w:rFonts w:ascii="Cambria" w:eastAsia="Times New Roman" w:hAnsi="Cambria" w:cs="Calibri"/>
                <w:sz w:val="24"/>
                <w:szCs w:val="24"/>
                <w:lang w:eastAsia="en-IN"/>
              </w:rPr>
              <w:t>272 nm</w:t>
            </w:r>
          </w:p>
        </w:tc>
      </w:tr>
      <w:tr w:rsidR="00387471" w:rsidRPr="00387471" w14:paraId="4FCC2840" w14:textId="77777777" w:rsidTr="00387471">
        <w:trPr>
          <w:trHeight w:val="308"/>
        </w:trPr>
        <w:tc>
          <w:tcPr>
            <w:tcW w:w="1020" w:type="dxa"/>
            <w:tcBorders>
              <w:top w:val="nil"/>
              <w:left w:val="single" w:sz="4" w:space="0" w:color="auto"/>
              <w:bottom w:val="single" w:sz="4" w:space="0" w:color="auto"/>
              <w:right w:val="single" w:sz="4" w:space="0" w:color="auto"/>
            </w:tcBorders>
            <w:vAlign w:val="center"/>
            <w:hideMark/>
          </w:tcPr>
          <w:p w14:paraId="39E9C644" w14:textId="77777777" w:rsidR="00387471" w:rsidRPr="00387471" w:rsidRDefault="00387471" w:rsidP="00387471">
            <w:pPr>
              <w:spacing w:after="0" w:line="240" w:lineRule="auto"/>
              <w:jc w:val="center"/>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4</w:t>
            </w:r>
          </w:p>
        </w:tc>
        <w:tc>
          <w:tcPr>
            <w:tcW w:w="3740" w:type="dxa"/>
            <w:tcBorders>
              <w:top w:val="nil"/>
              <w:left w:val="nil"/>
              <w:bottom w:val="single" w:sz="4" w:space="0" w:color="auto"/>
              <w:right w:val="single" w:sz="4" w:space="0" w:color="auto"/>
            </w:tcBorders>
            <w:vAlign w:val="center"/>
            <w:hideMark/>
          </w:tcPr>
          <w:p w14:paraId="586802A8" w14:textId="77777777" w:rsidR="00387471" w:rsidRPr="00387471" w:rsidRDefault="00387471" w:rsidP="00387471">
            <w:pPr>
              <w:spacing w:after="0" w:line="240" w:lineRule="auto"/>
              <w:jc w:val="both"/>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Flow rate</w:t>
            </w:r>
          </w:p>
        </w:tc>
        <w:tc>
          <w:tcPr>
            <w:tcW w:w="4060" w:type="dxa"/>
            <w:tcBorders>
              <w:top w:val="nil"/>
              <w:left w:val="nil"/>
              <w:bottom w:val="single" w:sz="4" w:space="0" w:color="auto"/>
              <w:right w:val="single" w:sz="4" w:space="0" w:color="auto"/>
            </w:tcBorders>
            <w:vAlign w:val="center"/>
            <w:hideMark/>
          </w:tcPr>
          <w:p w14:paraId="293ACCB6" w14:textId="77777777" w:rsidR="00387471" w:rsidRPr="00387471" w:rsidRDefault="00387471" w:rsidP="00387471">
            <w:pPr>
              <w:spacing w:after="0" w:line="240" w:lineRule="auto"/>
              <w:jc w:val="both"/>
              <w:rPr>
                <w:rFonts w:ascii="Cambria" w:eastAsia="Times New Roman" w:hAnsi="Cambria" w:cs="Calibri"/>
                <w:color w:val="000000"/>
                <w:sz w:val="24"/>
                <w:szCs w:val="24"/>
                <w:lang w:val="en-IN" w:eastAsia="en-IN"/>
              </w:rPr>
            </w:pPr>
            <w:r w:rsidRPr="00387471">
              <w:rPr>
                <w:rFonts w:ascii="Cambria" w:eastAsia="Times New Roman" w:hAnsi="Cambria" w:cs="Calibri"/>
                <w:color w:val="000000"/>
                <w:sz w:val="24"/>
                <w:szCs w:val="24"/>
                <w:lang w:eastAsia="en-IN"/>
              </w:rPr>
              <w:t>1 mL/min</w:t>
            </w:r>
          </w:p>
        </w:tc>
      </w:tr>
      <w:tr w:rsidR="00387471" w:rsidRPr="00387471" w14:paraId="141392C0" w14:textId="77777777" w:rsidTr="00387471">
        <w:trPr>
          <w:trHeight w:val="308"/>
        </w:trPr>
        <w:tc>
          <w:tcPr>
            <w:tcW w:w="1020" w:type="dxa"/>
            <w:tcBorders>
              <w:top w:val="nil"/>
              <w:left w:val="single" w:sz="4" w:space="0" w:color="auto"/>
              <w:bottom w:val="single" w:sz="4" w:space="0" w:color="auto"/>
              <w:right w:val="single" w:sz="4" w:space="0" w:color="auto"/>
            </w:tcBorders>
            <w:shd w:val="clear" w:color="000000" w:fill="F2F2F2"/>
            <w:vAlign w:val="center"/>
            <w:hideMark/>
          </w:tcPr>
          <w:p w14:paraId="6630F9B0" w14:textId="77777777" w:rsidR="00387471" w:rsidRPr="00387471" w:rsidRDefault="00387471" w:rsidP="00387471">
            <w:pPr>
              <w:spacing w:after="0" w:line="240" w:lineRule="auto"/>
              <w:jc w:val="center"/>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5</w:t>
            </w:r>
          </w:p>
        </w:tc>
        <w:tc>
          <w:tcPr>
            <w:tcW w:w="3740" w:type="dxa"/>
            <w:tcBorders>
              <w:top w:val="nil"/>
              <w:left w:val="nil"/>
              <w:bottom w:val="single" w:sz="4" w:space="0" w:color="auto"/>
              <w:right w:val="single" w:sz="4" w:space="0" w:color="auto"/>
            </w:tcBorders>
            <w:shd w:val="clear" w:color="000000" w:fill="F2F2F2"/>
            <w:vAlign w:val="center"/>
            <w:hideMark/>
          </w:tcPr>
          <w:p w14:paraId="7FE7B7FD" w14:textId="77777777" w:rsidR="00387471" w:rsidRPr="00387471" w:rsidRDefault="00387471" w:rsidP="00387471">
            <w:pPr>
              <w:spacing w:after="0" w:line="240" w:lineRule="auto"/>
              <w:jc w:val="both"/>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Injection volume</w:t>
            </w:r>
          </w:p>
        </w:tc>
        <w:tc>
          <w:tcPr>
            <w:tcW w:w="4060" w:type="dxa"/>
            <w:tcBorders>
              <w:top w:val="nil"/>
              <w:left w:val="nil"/>
              <w:bottom w:val="single" w:sz="4" w:space="0" w:color="auto"/>
              <w:right w:val="single" w:sz="4" w:space="0" w:color="auto"/>
            </w:tcBorders>
            <w:shd w:val="clear" w:color="000000" w:fill="F2F2F2"/>
            <w:vAlign w:val="center"/>
            <w:hideMark/>
          </w:tcPr>
          <w:p w14:paraId="778A6A0E" w14:textId="77777777" w:rsidR="00387471" w:rsidRPr="00387471" w:rsidRDefault="00387471" w:rsidP="00387471">
            <w:pPr>
              <w:spacing w:after="0" w:line="240" w:lineRule="auto"/>
              <w:jc w:val="both"/>
              <w:rPr>
                <w:rFonts w:ascii="Cambria" w:eastAsia="Times New Roman" w:hAnsi="Cambria" w:cs="Calibri"/>
                <w:color w:val="000000"/>
                <w:sz w:val="24"/>
                <w:szCs w:val="24"/>
                <w:lang w:val="en-IN" w:eastAsia="en-IN"/>
              </w:rPr>
            </w:pPr>
            <w:r w:rsidRPr="00387471">
              <w:rPr>
                <w:rFonts w:ascii="Cambria" w:eastAsia="Times New Roman" w:hAnsi="Cambria" w:cs="Calibri"/>
                <w:sz w:val="24"/>
                <w:szCs w:val="24"/>
                <w:lang w:eastAsia="en-IN"/>
              </w:rPr>
              <w:t xml:space="preserve">10 </w:t>
            </w:r>
            <w:proofErr w:type="spellStart"/>
            <w:r w:rsidRPr="00387471">
              <w:rPr>
                <w:rFonts w:ascii="Cambria" w:eastAsia="Times New Roman" w:hAnsi="Cambria" w:cs="Calibri"/>
                <w:sz w:val="24"/>
                <w:szCs w:val="24"/>
                <w:lang w:eastAsia="en-IN"/>
              </w:rPr>
              <w:t>μL</w:t>
            </w:r>
            <w:proofErr w:type="spellEnd"/>
          </w:p>
        </w:tc>
      </w:tr>
      <w:tr w:rsidR="00387471" w:rsidRPr="00387471" w14:paraId="75BD443F" w14:textId="77777777" w:rsidTr="00387471">
        <w:trPr>
          <w:trHeight w:val="308"/>
        </w:trPr>
        <w:tc>
          <w:tcPr>
            <w:tcW w:w="1020" w:type="dxa"/>
            <w:tcBorders>
              <w:top w:val="nil"/>
              <w:left w:val="single" w:sz="4" w:space="0" w:color="auto"/>
              <w:bottom w:val="single" w:sz="4" w:space="0" w:color="auto"/>
              <w:right w:val="single" w:sz="4" w:space="0" w:color="auto"/>
            </w:tcBorders>
            <w:vAlign w:val="center"/>
            <w:hideMark/>
          </w:tcPr>
          <w:p w14:paraId="4DF1865F" w14:textId="77777777" w:rsidR="00387471" w:rsidRPr="00387471" w:rsidRDefault="00387471" w:rsidP="00387471">
            <w:pPr>
              <w:spacing w:after="0" w:line="240" w:lineRule="auto"/>
              <w:jc w:val="center"/>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6</w:t>
            </w:r>
          </w:p>
        </w:tc>
        <w:tc>
          <w:tcPr>
            <w:tcW w:w="3740" w:type="dxa"/>
            <w:tcBorders>
              <w:top w:val="nil"/>
              <w:left w:val="nil"/>
              <w:bottom w:val="single" w:sz="4" w:space="0" w:color="auto"/>
              <w:right w:val="single" w:sz="4" w:space="0" w:color="auto"/>
            </w:tcBorders>
            <w:vAlign w:val="center"/>
            <w:hideMark/>
          </w:tcPr>
          <w:p w14:paraId="45BCD44F" w14:textId="77777777" w:rsidR="00387471" w:rsidRPr="00387471" w:rsidRDefault="00387471" w:rsidP="00387471">
            <w:pPr>
              <w:spacing w:after="0" w:line="240" w:lineRule="auto"/>
              <w:jc w:val="both"/>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Temperature</w:t>
            </w:r>
          </w:p>
        </w:tc>
        <w:tc>
          <w:tcPr>
            <w:tcW w:w="4060" w:type="dxa"/>
            <w:tcBorders>
              <w:top w:val="nil"/>
              <w:left w:val="nil"/>
              <w:bottom w:val="single" w:sz="4" w:space="0" w:color="auto"/>
              <w:right w:val="single" w:sz="4" w:space="0" w:color="auto"/>
            </w:tcBorders>
            <w:vAlign w:val="center"/>
            <w:hideMark/>
          </w:tcPr>
          <w:p w14:paraId="7829C6D1" w14:textId="77777777" w:rsidR="00387471" w:rsidRPr="00387471" w:rsidRDefault="00387471" w:rsidP="00387471">
            <w:pPr>
              <w:spacing w:after="0" w:line="240" w:lineRule="auto"/>
              <w:jc w:val="both"/>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Ambient</w:t>
            </w:r>
          </w:p>
        </w:tc>
      </w:tr>
      <w:tr w:rsidR="00387471" w:rsidRPr="00387471" w14:paraId="72B32019" w14:textId="77777777" w:rsidTr="00387471">
        <w:trPr>
          <w:trHeight w:val="615"/>
        </w:trPr>
        <w:tc>
          <w:tcPr>
            <w:tcW w:w="1020" w:type="dxa"/>
            <w:tcBorders>
              <w:top w:val="nil"/>
              <w:left w:val="single" w:sz="4" w:space="0" w:color="auto"/>
              <w:bottom w:val="single" w:sz="4" w:space="0" w:color="auto"/>
              <w:right w:val="single" w:sz="4" w:space="0" w:color="auto"/>
            </w:tcBorders>
            <w:shd w:val="clear" w:color="000000" w:fill="F2F2F2"/>
            <w:vAlign w:val="center"/>
            <w:hideMark/>
          </w:tcPr>
          <w:p w14:paraId="78F01CB2" w14:textId="77777777" w:rsidR="00387471" w:rsidRPr="00387471" w:rsidRDefault="00387471" w:rsidP="00387471">
            <w:pPr>
              <w:spacing w:after="0" w:line="240" w:lineRule="auto"/>
              <w:jc w:val="center"/>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7</w:t>
            </w:r>
          </w:p>
        </w:tc>
        <w:tc>
          <w:tcPr>
            <w:tcW w:w="3740" w:type="dxa"/>
            <w:tcBorders>
              <w:top w:val="nil"/>
              <w:left w:val="nil"/>
              <w:bottom w:val="single" w:sz="4" w:space="0" w:color="auto"/>
              <w:right w:val="single" w:sz="4" w:space="0" w:color="auto"/>
            </w:tcBorders>
            <w:shd w:val="clear" w:color="000000" w:fill="F2F2F2"/>
            <w:vAlign w:val="center"/>
            <w:hideMark/>
          </w:tcPr>
          <w:p w14:paraId="2E89C397" w14:textId="77777777" w:rsidR="00387471" w:rsidRPr="00387471" w:rsidRDefault="00387471" w:rsidP="00387471">
            <w:pPr>
              <w:spacing w:after="0" w:line="240" w:lineRule="auto"/>
              <w:jc w:val="both"/>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LC system</w:t>
            </w:r>
          </w:p>
        </w:tc>
        <w:tc>
          <w:tcPr>
            <w:tcW w:w="4060" w:type="dxa"/>
            <w:tcBorders>
              <w:top w:val="nil"/>
              <w:left w:val="nil"/>
              <w:bottom w:val="single" w:sz="4" w:space="0" w:color="auto"/>
              <w:right w:val="single" w:sz="4" w:space="0" w:color="auto"/>
            </w:tcBorders>
            <w:shd w:val="clear" w:color="000000" w:fill="F2F2F2"/>
            <w:vAlign w:val="center"/>
            <w:hideMark/>
          </w:tcPr>
          <w:p w14:paraId="7621331F" w14:textId="77777777" w:rsidR="00387471" w:rsidRPr="00387471" w:rsidRDefault="00387471" w:rsidP="00387471">
            <w:pPr>
              <w:spacing w:after="0" w:line="240" w:lineRule="auto"/>
              <w:jc w:val="both"/>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 xml:space="preserve">Agilent HPLC system with </w:t>
            </w:r>
            <w:proofErr w:type="spellStart"/>
            <w:r w:rsidRPr="00387471">
              <w:rPr>
                <w:rFonts w:ascii="Times New Roman" w:eastAsia="Times New Roman" w:hAnsi="Times New Roman" w:cs="Times New Roman"/>
                <w:color w:val="000000"/>
                <w:sz w:val="24"/>
                <w:szCs w:val="24"/>
                <w:lang w:eastAsia="en-IN"/>
              </w:rPr>
              <w:t>OpenLab</w:t>
            </w:r>
            <w:proofErr w:type="spellEnd"/>
            <w:r w:rsidRPr="00387471">
              <w:rPr>
                <w:rFonts w:ascii="Times New Roman" w:eastAsia="Times New Roman" w:hAnsi="Times New Roman" w:cs="Times New Roman"/>
                <w:color w:val="000000"/>
                <w:sz w:val="24"/>
                <w:szCs w:val="24"/>
                <w:lang w:eastAsia="en-IN"/>
              </w:rPr>
              <w:t xml:space="preserve"> CDS 2 software</w:t>
            </w:r>
          </w:p>
        </w:tc>
      </w:tr>
    </w:tbl>
    <w:p w14:paraId="72B9C7A1" w14:textId="77777777" w:rsidR="00FD7F25" w:rsidRPr="000827BC" w:rsidRDefault="00FD7F25" w:rsidP="00387471">
      <w:pPr>
        <w:pStyle w:val="Heading1"/>
        <w:spacing w:line="360" w:lineRule="auto"/>
        <w:ind w:left="-993" w:right="-291"/>
        <w:rPr>
          <w:rFonts w:ascii="Times New Roman" w:hAnsi="Times New Roman" w:cs="Times New Roman"/>
          <w:color w:val="auto"/>
          <w:sz w:val="24"/>
          <w:szCs w:val="24"/>
        </w:rPr>
      </w:pPr>
      <w:r w:rsidRPr="000827BC">
        <w:rPr>
          <w:rStyle w:val="Strong"/>
          <w:rFonts w:ascii="Times New Roman" w:hAnsi="Times New Roman" w:cs="Times New Roman"/>
          <w:b/>
          <w:bCs/>
          <w:color w:val="auto"/>
          <w:sz w:val="24"/>
          <w:szCs w:val="24"/>
        </w:rPr>
        <w:t>2.7 Determination of Quercetin in the Moringa oleifera Extracts</w:t>
      </w:r>
    </w:p>
    <w:p w14:paraId="5C2C4D91" w14:textId="77777777" w:rsidR="00FD7F25" w:rsidRPr="000827BC" w:rsidRDefault="00FD7F25" w:rsidP="00387471">
      <w:pPr>
        <w:pStyle w:val="Heading3"/>
        <w:spacing w:line="360" w:lineRule="auto"/>
        <w:ind w:left="-993" w:right="-291"/>
        <w:rPr>
          <w:rFonts w:ascii="Times New Roman" w:hAnsi="Times New Roman" w:cs="Times New Roman"/>
          <w:color w:val="auto"/>
          <w:sz w:val="24"/>
          <w:szCs w:val="24"/>
        </w:rPr>
      </w:pPr>
      <w:r w:rsidRPr="000827BC">
        <w:rPr>
          <w:rStyle w:val="Strong"/>
          <w:rFonts w:ascii="Times New Roman" w:hAnsi="Times New Roman" w:cs="Times New Roman"/>
          <w:b/>
          <w:bCs/>
          <w:color w:val="auto"/>
          <w:sz w:val="24"/>
          <w:szCs w:val="24"/>
        </w:rPr>
        <w:t>2.7.1 Preparation of Mobile Phase</w:t>
      </w:r>
    </w:p>
    <w:p w14:paraId="2AA8AB0A" w14:textId="0E42DDC3" w:rsidR="00FD7F25" w:rsidRPr="000827BC" w:rsidRDefault="00FD7F25" w:rsidP="00387471">
      <w:pPr>
        <w:pStyle w:val="NormalWeb"/>
        <w:spacing w:line="360" w:lineRule="auto"/>
        <w:ind w:left="-993" w:right="-291"/>
      </w:pPr>
      <w:r w:rsidRPr="000827BC">
        <w:t xml:space="preserve">For the quantification of quercetin in </w:t>
      </w:r>
      <w:r w:rsidRPr="000827BC">
        <w:rPr>
          <w:rStyle w:val="Emphasis"/>
          <w:rFonts w:eastAsiaTheme="majorEastAsia"/>
        </w:rPr>
        <w:t>Moringa oleifera</w:t>
      </w:r>
      <w:r w:rsidRPr="000827BC">
        <w:t xml:space="preserve"> extracts, a mobile phase consisting of </w:t>
      </w:r>
      <w:r w:rsidR="00C015AC">
        <w:rPr>
          <w:rStyle w:val="Strong"/>
          <w:b w:val="0"/>
        </w:rPr>
        <w:t>Acetonitrile:</w:t>
      </w:r>
      <w:r w:rsidR="00C015AC" w:rsidRPr="000827BC">
        <w:rPr>
          <w:rStyle w:val="Strong"/>
          <w:b w:val="0"/>
        </w:rPr>
        <w:t xml:space="preserve"> Methanol</w:t>
      </w:r>
      <w:r w:rsidRPr="000827BC">
        <w:rPr>
          <w:rStyle w:val="Strong"/>
          <w:b w:val="0"/>
        </w:rPr>
        <w:t xml:space="preserve"> (40:60, v/v)</w:t>
      </w:r>
      <w:r w:rsidRPr="000827BC">
        <w:t xml:space="preserve"> was prepared. The mobile phase was </w:t>
      </w:r>
      <w:r w:rsidRPr="000827BC">
        <w:rPr>
          <w:rStyle w:val="Strong"/>
          <w:b w:val="0"/>
        </w:rPr>
        <w:t>degassed in an ultrasonicator for 15 minutes</w:t>
      </w:r>
      <w:r w:rsidRPr="000827BC">
        <w:t xml:space="preserve"> to eliminate air bubbles and ensure stable baseline performance during chromatographic analysis.</w:t>
      </w:r>
    </w:p>
    <w:p w14:paraId="23B65FAC" w14:textId="77777777" w:rsidR="00FD7F25" w:rsidRPr="000827BC" w:rsidRDefault="00FD7F25" w:rsidP="00387471">
      <w:pPr>
        <w:pStyle w:val="Heading3"/>
        <w:spacing w:line="360" w:lineRule="auto"/>
        <w:ind w:left="-993" w:right="-291"/>
        <w:rPr>
          <w:rFonts w:ascii="Times New Roman" w:hAnsi="Times New Roman" w:cs="Times New Roman"/>
          <w:color w:val="auto"/>
          <w:sz w:val="24"/>
          <w:szCs w:val="24"/>
        </w:rPr>
      </w:pPr>
      <w:r w:rsidRPr="000827BC">
        <w:rPr>
          <w:rStyle w:val="Strong"/>
          <w:rFonts w:ascii="Times New Roman" w:hAnsi="Times New Roman" w:cs="Times New Roman"/>
          <w:b/>
          <w:bCs/>
          <w:color w:val="auto"/>
          <w:sz w:val="24"/>
          <w:szCs w:val="24"/>
        </w:rPr>
        <w:lastRenderedPageBreak/>
        <w:t>2.7.2 Preparation of Standard Stock Solution</w:t>
      </w:r>
    </w:p>
    <w:p w14:paraId="26811670" w14:textId="77777777" w:rsidR="00FD7F25" w:rsidRPr="000827BC" w:rsidRDefault="00FD7F25" w:rsidP="00387471">
      <w:pPr>
        <w:pStyle w:val="NormalWeb"/>
        <w:spacing w:line="360" w:lineRule="auto"/>
        <w:ind w:left="-993" w:right="-291"/>
      </w:pPr>
      <w:r w:rsidRPr="000827BC">
        <w:t xml:space="preserve">A standard stock solution of quercetin was prepared by dissolving </w:t>
      </w:r>
      <w:r w:rsidRPr="000827BC">
        <w:rPr>
          <w:rStyle w:val="Strong"/>
          <w:b w:val="0"/>
        </w:rPr>
        <w:t>1 mg</w:t>
      </w:r>
      <w:r w:rsidRPr="000827BC">
        <w:t xml:space="preserve"> of the quercetin standard in </w:t>
      </w:r>
      <w:r w:rsidRPr="000827BC">
        <w:rPr>
          <w:rStyle w:val="Strong"/>
          <w:b w:val="0"/>
        </w:rPr>
        <w:t>1 mL of methanol</w:t>
      </w:r>
      <w:r w:rsidRPr="000827BC">
        <w:t xml:space="preserve">. From this stock, working standard solutions were prepared by appropriate dilution to obtain concentrations of </w:t>
      </w:r>
      <w:r w:rsidRPr="000827BC">
        <w:rPr>
          <w:rStyle w:val="Strong"/>
          <w:b w:val="0"/>
        </w:rPr>
        <w:t>20 μg/mL, 10 μg/mL, and 5 μg/mL</w:t>
      </w:r>
      <w:r w:rsidRPr="000827BC">
        <w:t>, which were used to construct the calibration curve for quantification</w:t>
      </w:r>
      <w:r w:rsidR="00FC6C50" w:rsidRPr="000827BC">
        <w:t xml:space="preserve"> (</w:t>
      </w:r>
      <w:r w:rsidR="00FC6C50" w:rsidRPr="000827BC">
        <w:rPr>
          <w:color w:val="222222"/>
          <w:shd w:val="clear" w:color="auto" w:fill="FFFFFF"/>
        </w:rPr>
        <w:t>Guideline 2005).</w:t>
      </w:r>
    </w:p>
    <w:p w14:paraId="41468F12" w14:textId="77777777" w:rsidR="00FD7F25" w:rsidRPr="000827BC" w:rsidRDefault="00FD7F25" w:rsidP="00387471">
      <w:pPr>
        <w:pStyle w:val="Heading3"/>
        <w:spacing w:line="360" w:lineRule="auto"/>
        <w:ind w:left="-993" w:right="-291"/>
        <w:rPr>
          <w:rFonts w:ascii="Times New Roman" w:hAnsi="Times New Roman" w:cs="Times New Roman"/>
          <w:color w:val="auto"/>
          <w:sz w:val="24"/>
          <w:szCs w:val="24"/>
        </w:rPr>
      </w:pPr>
      <w:r w:rsidRPr="000827BC">
        <w:rPr>
          <w:rStyle w:val="Strong"/>
          <w:rFonts w:ascii="Times New Roman" w:hAnsi="Times New Roman" w:cs="Times New Roman"/>
          <w:b/>
          <w:bCs/>
          <w:color w:val="auto"/>
          <w:sz w:val="24"/>
          <w:szCs w:val="24"/>
        </w:rPr>
        <w:t>2.7.3 Preparation of Sample Extract</w:t>
      </w:r>
    </w:p>
    <w:p w14:paraId="4AEB6AD9" w14:textId="77777777" w:rsidR="00FD7F25" w:rsidRPr="000827BC" w:rsidRDefault="00FD7F25" w:rsidP="00387471">
      <w:pPr>
        <w:pStyle w:val="NormalWeb"/>
        <w:spacing w:line="360" w:lineRule="auto"/>
        <w:ind w:left="-993" w:right="-291"/>
      </w:pPr>
      <w:r w:rsidRPr="000827BC">
        <w:t xml:space="preserve">The concentrated methanolic and aqueous extracts of </w:t>
      </w:r>
      <w:r w:rsidRPr="000827BC">
        <w:rPr>
          <w:rStyle w:val="Emphasis"/>
          <w:rFonts w:eastAsiaTheme="majorEastAsia"/>
        </w:rPr>
        <w:t>Moringa oleifera</w:t>
      </w:r>
      <w:r w:rsidRPr="000827BC">
        <w:t xml:space="preserve"> leaves were dissolved in methanol to form a </w:t>
      </w:r>
      <w:r w:rsidRPr="000827BC">
        <w:rPr>
          <w:rStyle w:val="Strong"/>
          <w:b w:val="0"/>
        </w:rPr>
        <w:t>1 mg/mL stock solution</w:t>
      </w:r>
      <w:r w:rsidRPr="000827BC">
        <w:t xml:space="preserve">. A working solution of </w:t>
      </w:r>
      <w:r w:rsidRPr="000827BC">
        <w:rPr>
          <w:rStyle w:val="Strong"/>
          <w:b w:val="0"/>
        </w:rPr>
        <w:t>100 μg/mL</w:t>
      </w:r>
      <w:r w:rsidRPr="000827BC">
        <w:rPr>
          <w:b/>
        </w:rPr>
        <w:t xml:space="preserve"> </w:t>
      </w:r>
      <w:r w:rsidRPr="000827BC">
        <w:t xml:space="preserve">was prepared from this stock. The sample solutions were </w:t>
      </w:r>
      <w:r w:rsidRPr="000827BC">
        <w:rPr>
          <w:rStyle w:val="Strong"/>
          <w:b w:val="0"/>
        </w:rPr>
        <w:t>sonicated for 10 minutes</w:t>
      </w:r>
      <w:r w:rsidRPr="000827BC">
        <w:t xml:space="preserve"> to ensure complete dissolution and filtered through a</w:t>
      </w:r>
      <w:r w:rsidRPr="000827BC">
        <w:rPr>
          <w:b/>
        </w:rPr>
        <w:t xml:space="preserve"> </w:t>
      </w:r>
      <w:r w:rsidRPr="000827BC">
        <w:rPr>
          <w:rStyle w:val="Strong"/>
          <w:b w:val="0"/>
        </w:rPr>
        <w:t xml:space="preserve">0.2 </w:t>
      </w:r>
      <w:proofErr w:type="spellStart"/>
      <w:r w:rsidRPr="000827BC">
        <w:rPr>
          <w:rStyle w:val="Strong"/>
          <w:b w:val="0"/>
        </w:rPr>
        <w:t>μm</w:t>
      </w:r>
      <w:proofErr w:type="spellEnd"/>
      <w:r w:rsidRPr="000827BC">
        <w:rPr>
          <w:rStyle w:val="Strong"/>
          <w:b w:val="0"/>
        </w:rPr>
        <w:t>, 13 mm nylon membrane filter</w:t>
      </w:r>
      <w:r w:rsidRPr="000827BC">
        <w:rPr>
          <w:b/>
        </w:rPr>
        <w:t xml:space="preserve"> </w:t>
      </w:r>
      <w:r w:rsidRPr="000827BC">
        <w:t>prior to HPLC injection.</w:t>
      </w:r>
    </w:p>
    <w:p w14:paraId="446EE158" w14:textId="77777777" w:rsidR="00FD7F25" w:rsidRPr="000827BC" w:rsidRDefault="00FD7F25" w:rsidP="00387471">
      <w:pPr>
        <w:pStyle w:val="Heading3"/>
        <w:spacing w:line="360" w:lineRule="auto"/>
        <w:ind w:left="-993" w:right="-291"/>
        <w:rPr>
          <w:rFonts w:ascii="Times New Roman" w:hAnsi="Times New Roman" w:cs="Times New Roman"/>
          <w:color w:val="auto"/>
          <w:sz w:val="24"/>
          <w:szCs w:val="24"/>
        </w:rPr>
      </w:pPr>
      <w:r w:rsidRPr="000827BC">
        <w:rPr>
          <w:rStyle w:val="Strong"/>
          <w:rFonts w:ascii="Times New Roman" w:hAnsi="Times New Roman" w:cs="Times New Roman"/>
          <w:b/>
          <w:bCs/>
          <w:color w:val="auto"/>
          <w:sz w:val="24"/>
          <w:szCs w:val="24"/>
        </w:rPr>
        <w:t>2.7.4 Chromatographic Conditions</w:t>
      </w:r>
    </w:p>
    <w:p w14:paraId="6CC7D6FD" w14:textId="77777777" w:rsidR="00FD7F25" w:rsidRPr="000827BC" w:rsidRDefault="00FD7F25" w:rsidP="00387471">
      <w:pPr>
        <w:pStyle w:val="NormalWeb"/>
        <w:spacing w:line="360" w:lineRule="auto"/>
        <w:ind w:left="-993" w:right="-291"/>
        <w:rPr>
          <w:b/>
        </w:rPr>
      </w:pPr>
      <w:r w:rsidRPr="000827BC">
        <w:rPr>
          <w:rStyle w:val="Strong"/>
        </w:rPr>
        <w:t xml:space="preserve">Table 2. </w:t>
      </w:r>
      <w:r w:rsidRPr="000827BC">
        <w:rPr>
          <w:rStyle w:val="Strong"/>
          <w:b w:val="0"/>
        </w:rPr>
        <w:t>Chromatographic Conditions for the Quantification of Quercetin Using Agilent TC-C18(</w:t>
      </w:r>
      <w:proofErr w:type="gramStart"/>
      <w:r w:rsidRPr="000827BC">
        <w:rPr>
          <w:rStyle w:val="Strong"/>
          <w:b w:val="0"/>
        </w:rPr>
        <w:t>2)®</w:t>
      </w:r>
      <w:proofErr w:type="gramEnd"/>
      <w:r w:rsidRPr="000827BC">
        <w:rPr>
          <w:rStyle w:val="Strong"/>
          <w:b w:val="0"/>
        </w:rPr>
        <w:t xml:space="preserve"> HPLC Column</w:t>
      </w:r>
      <w:r w:rsidR="00036A90" w:rsidRPr="000827BC">
        <w:rPr>
          <w:rStyle w:val="Strong"/>
          <w:b w:val="0"/>
        </w:rPr>
        <w:t>.</w:t>
      </w:r>
    </w:p>
    <w:tbl>
      <w:tblPr>
        <w:tblW w:w="8820" w:type="dxa"/>
        <w:tblInd w:w="118" w:type="dxa"/>
        <w:tblLook w:val="04A0" w:firstRow="1" w:lastRow="0" w:firstColumn="1" w:lastColumn="0" w:noHBand="0" w:noVBand="1"/>
      </w:tblPr>
      <w:tblGrid>
        <w:gridCol w:w="1020"/>
        <w:gridCol w:w="3740"/>
        <w:gridCol w:w="4060"/>
      </w:tblGrid>
      <w:tr w:rsidR="00387471" w:rsidRPr="00387471" w14:paraId="4AA730F7" w14:textId="77777777" w:rsidTr="00387471">
        <w:trPr>
          <w:trHeight w:val="308"/>
        </w:trPr>
        <w:tc>
          <w:tcPr>
            <w:tcW w:w="1020" w:type="dxa"/>
            <w:tcBorders>
              <w:top w:val="single" w:sz="8" w:space="0" w:color="BFBFBF"/>
              <w:left w:val="single" w:sz="8" w:space="0" w:color="BFBFBF"/>
              <w:bottom w:val="single" w:sz="8" w:space="0" w:color="BFBFBF"/>
              <w:right w:val="single" w:sz="8" w:space="0" w:color="BFBFBF"/>
            </w:tcBorders>
            <w:vAlign w:val="center"/>
            <w:hideMark/>
          </w:tcPr>
          <w:p w14:paraId="07DE8368" w14:textId="77777777" w:rsidR="00387471" w:rsidRPr="00387471" w:rsidRDefault="00387471" w:rsidP="00387471">
            <w:pPr>
              <w:spacing w:after="0" w:line="240" w:lineRule="auto"/>
              <w:jc w:val="center"/>
              <w:rPr>
                <w:rFonts w:ascii="Cambria" w:eastAsia="Times New Roman" w:hAnsi="Cambria" w:cs="Calibri"/>
                <w:b/>
                <w:bCs/>
                <w:color w:val="000000"/>
                <w:sz w:val="24"/>
                <w:szCs w:val="24"/>
                <w:lang w:val="en-IN" w:eastAsia="en-IN"/>
              </w:rPr>
            </w:pPr>
            <w:r w:rsidRPr="00387471">
              <w:rPr>
                <w:rFonts w:ascii="Cambria" w:eastAsia="Times New Roman" w:hAnsi="Cambria" w:cs="Calibri"/>
                <w:b/>
                <w:bCs/>
                <w:color w:val="000000"/>
                <w:sz w:val="24"/>
                <w:szCs w:val="24"/>
                <w:lang w:eastAsia="en-IN"/>
              </w:rPr>
              <w:t>S. No.</w:t>
            </w:r>
          </w:p>
        </w:tc>
        <w:tc>
          <w:tcPr>
            <w:tcW w:w="3740" w:type="dxa"/>
            <w:tcBorders>
              <w:top w:val="single" w:sz="8" w:space="0" w:color="BFBFBF"/>
              <w:left w:val="nil"/>
              <w:bottom w:val="single" w:sz="8" w:space="0" w:color="BFBFBF"/>
              <w:right w:val="single" w:sz="8" w:space="0" w:color="BFBFBF"/>
            </w:tcBorders>
            <w:vAlign w:val="center"/>
            <w:hideMark/>
          </w:tcPr>
          <w:p w14:paraId="7E63DC0F" w14:textId="77777777" w:rsidR="00387471" w:rsidRPr="00387471" w:rsidRDefault="00387471" w:rsidP="00387471">
            <w:pPr>
              <w:spacing w:after="0" w:line="240" w:lineRule="auto"/>
              <w:jc w:val="center"/>
              <w:rPr>
                <w:rFonts w:ascii="Cambria" w:eastAsia="Times New Roman" w:hAnsi="Cambria" w:cs="Calibri"/>
                <w:b/>
                <w:bCs/>
                <w:color w:val="000000"/>
                <w:sz w:val="24"/>
                <w:szCs w:val="24"/>
                <w:lang w:val="en-IN" w:eastAsia="en-IN"/>
              </w:rPr>
            </w:pPr>
            <w:r w:rsidRPr="00387471">
              <w:rPr>
                <w:rFonts w:ascii="Cambria" w:eastAsia="Times New Roman" w:hAnsi="Cambria" w:cs="Calibri"/>
                <w:b/>
                <w:bCs/>
                <w:color w:val="000000"/>
                <w:sz w:val="24"/>
                <w:szCs w:val="24"/>
                <w:lang w:eastAsia="en-IN"/>
              </w:rPr>
              <w:t>Parameter</w:t>
            </w:r>
          </w:p>
        </w:tc>
        <w:tc>
          <w:tcPr>
            <w:tcW w:w="4060" w:type="dxa"/>
            <w:tcBorders>
              <w:top w:val="single" w:sz="8" w:space="0" w:color="BFBFBF"/>
              <w:left w:val="nil"/>
              <w:bottom w:val="single" w:sz="8" w:space="0" w:color="BFBFBF"/>
              <w:right w:val="single" w:sz="8" w:space="0" w:color="BFBFBF"/>
            </w:tcBorders>
            <w:vAlign w:val="center"/>
            <w:hideMark/>
          </w:tcPr>
          <w:p w14:paraId="57FE1CE4" w14:textId="77777777" w:rsidR="00387471" w:rsidRPr="00387471" w:rsidRDefault="00387471" w:rsidP="00387471">
            <w:pPr>
              <w:spacing w:after="0" w:line="240" w:lineRule="auto"/>
              <w:jc w:val="center"/>
              <w:rPr>
                <w:rFonts w:ascii="Cambria" w:eastAsia="Times New Roman" w:hAnsi="Cambria" w:cs="Calibri"/>
                <w:b/>
                <w:bCs/>
                <w:color w:val="000000"/>
                <w:sz w:val="24"/>
                <w:szCs w:val="24"/>
                <w:lang w:val="en-IN" w:eastAsia="en-IN"/>
              </w:rPr>
            </w:pPr>
            <w:r w:rsidRPr="00387471">
              <w:rPr>
                <w:rFonts w:ascii="Cambria" w:eastAsia="Times New Roman" w:hAnsi="Cambria" w:cs="Calibri"/>
                <w:b/>
                <w:bCs/>
                <w:color w:val="000000"/>
                <w:sz w:val="24"/>
                <w:szCs w:val="24"/>
                <w:lang w:eastAsia="en-IN"/>
              </w:rPr>
              <w:t>Condition</w:t>
            </w:r>
          </w:p>
        </w:tc>
      </w:tr>
      <w:tr w:rsidR="00387471" w:rsidRPr="001D20FA" w14:paraId="64CB34C7" w14:textId="77777777" w:rsidTr="00387471">
        <w:trPr>
          <w:trHeight w:val="315"/>
        </w:trPr>
        <w:tc>
          <w:tcPr>
            <w:tcW w:w="1020" w:type="dxa"/>
            <w:tcBorders>
              <w:top w:val="nil"/>
              <w:left w:val="single" w:sz="8" w:space="0" w:color="BFBFBF"/>
              <w:bottom w:val="single" w:sz="8" w:space="0" w:color="BFBFBF"/>
              <w:right w:val="single" w:sz="8" w:space="0" w:color="BFBFBF"/>
            </w:tcBorders>
            <w:shd w:val="clear" w:color="000000" w:fill="F2F2F2"/>
            <w:vAlign w:val="center"/>
            <w:hideMark/>
          </w:tcPr>
          <w:p w14:paraId="0B0E6147" w14:textId="77777777" w:rsidR="00387471" w:rsidRPr="00387471" w:rsidRDefault="00387471" w:rsidP="00387471">
            <w:pPr>
              <w:spacing w:after="0" w:line="240" w:lineRule="auto"/>
              <w:jc w:val="center"/>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1</w:t>
            </w:r>
          </w:p>
        </w:tc>
        <w:tc>
          <w:tcPr>
            <w:tcW w:w="3740" w:type="dxa"/>
            <w:tcBorders>
              <w:top w:val="nil"/>
              <w:left w:val="nil"/>
              <w:bottom w:val="single" w:sz="8" w:space="0" w:color="BFBFBF"/>
              <w:right w:val="single" w:sz="8" w:space="0" w:color="BFBFBF"/>
            </w:tcBorders>
            <w:shd w:val="clear" w:color="000000" w:fill="F2F2F2"/>
            <w:vAlign w:val="center"/>
            <w:hideMark/>
          </w:tcPr>
          <w:p w14:paraId="41B6A9B3" w14:textId="77777777" w:rsidR="00387471" w:rsidRPr="00387471" w:rsidRDefault="00387471" w:rsidP="00387471">
            <w:pPr>
              <w:spacing w:after="0" w:line="240" w:lineRule="auto"/>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Stationary phase</w:t>
            </w:r>
          </w:p>
        </w:tc>
        <w:tc>
          <w:tcPr>
            <w:tcW w:w="4060" w:type="dxa"/>
            <w:tcBorders>
              <w:top w:val="nil"/>
              <w:left w:val="nil"/>
              <w:bottom w:val="single" w:sz="8" w:space="0" w:color="BFBFBF"/>
              <w:right w:val="single" w:sz="8" w:space="0" w:color="BFBFBF"/>
            </w:tcBorders>
            <w:shd w:val="clear" w:color="000000" w:fill="F2F2F2"/>
            <w:vAlign w:val="center"/>
            <w:hideMark/>
          </w:tcPr>
          <w:p w14:paraId="179907C1" w14:textId="77777777" w:rsidR="00387471" w:rsidRPr="001D20FA" w:rsidRDefault="00387471" w:rsidP="00387471">
            <w:pPr>
              <w:spacing w:after="0" w:line="240" w:lineRule="auto"/>
              <w:rPr>
                <w:rFonts w:ascii="Times New Roman" w:eastAsia="Times New Roman" w:hAnsi="Times New Roman" w:cs="Times New Roman"/>
                <w:color w:val="000000"/>
                <w:sz w:val="24"/>
                <w:szCs w:val="24"/>
                <w:lang w:val="sv-SE" w:eastAsia="en-IN"/>
              </w:rPr>
            </w:pPr>
            <w:r w:rsidRPr="001D20FA">
              <w:rPr>
                <w:rFonts w:ascii="Times New Roman" w:eastAsia="Times New Roman" w:hAnsi="Times New Roman" w:cs="Times New Roman"/>
                <w:color w:val="000000"/>
                <w:sz w:val="24"/>
                <w:szCs w:val="24"/>
                <w:lang w:val="sv-SE" w:eastAsia="en-IN"/>
              </w:rPr>
              <w:t xml:space="preserve">Agilent TC-C18(2), 4.6 × 250 mm, 5 </w:t>
            </w:r>
            <w:r w:rsidRPr="00387471">
              <w:rPr>
                <w:rFonts w:ascii="Times New Roman" w:eastAsia="Times New Roman" w:hAnsi="Times New Roman" w:cs="Times New Roman"/>
                <w:color w:val="000000"/>
                <w:sz w:val="24"/>
                <w:szCs w:val="24"/>
                <w:lang w:eastAsia="en-IN"/>
              </w:rPr>
              <w:t>μ</w:t>
            </w:r>
            <w:r w:rsidRPr="001D20FA">
              <w:rPr>
                <w:rFonts w:ascii="Times New Roman" w:eastAsia="Times New Roman" w:hAnsi="Times New Roman" w:cs="Times New Roman"/>
                <w:color w:val="000000"/>
                <w:sz w:val="24"/>
                <w:szCs w:val="24"/>
                <w:lang w:val="sv-SE" w:eastAsia="en-IN"/>
              </w:rPr>
              <w:t>m</w:t>
            </w:r>
          </w:p>
        </w:tc>
      </w:tr>
      <w:tr w:rsidR="00387471" w:rsidRPr="00387471" w14:paraId="74273F28" w14:textId="77777777" w:rsidTr="00387471">
        <w:trPr>
          <w:trHeight w:val="315"/>
        </w:trPr>
        <w:tc>
          <w:tcPr>
            <w:tcW w:w="1020" w:type="dxa"/>
            <w:tcBorders>
              <w:top w:val="nil"/>
              <w:left w:val="single" w:sz="8" w:space="0" w:color="BFBFBF"/>
              <w:bottom w:val="single" w:sz="8" w:space="0" w:color="BFBFBF"/>
              <w:right w:val="single" w:sz="8" w:space="0" w:color="BFBFBF"/>
            </w:tcBorders>
            <w:vAlign w:val="center"/>
            <w:hideMark/>
          </w:tcPr>
          <w:p w14:paraId="62B4A2F0" w14:textId="77777777" w:rsidR="00387471" w:rsidRPr="00387471" w:rsidRDefault="00387471" w:rsidP="00387471">
            <w:pPr>
              <w:spacing w:after="0" w:line="240" w:lineRule="auto"/>
              <w:jc w:val="center"/>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2</w:t>
            </w:r>
          </w:p>
        </w:tc>
        <w:tc>
          <w:tcPr>
            <w:tcW w:w="3740" w:type="dxa"/>
            <w:tcBorders>
              <w:top w:val="nil"/>
              <w:left w:val="nil"/>
              <w:bottom w:val="single" w:sz="8" w:space="0" w:color="BFBFBF"/>
              <w:right w:val="single" w:sz="8" w:space="0" w:color="BFBFBF"/>
            </w:tcBorders>
            <w:vAlign w:val="center"/>
            <w:hideMark/>
          </w:tcPr>
          <w:p w14:paraId="46DBB990" w14:textId="77777777" w:rsidR="00387471" w:rsidRPr="00387471" w:rsidRDefault="00387471" w:rsidP="00387471">
            <w:pPr>
              <w:spacing w:after="0" w:line="240" w:lineRule="auto"/>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Mobile phase</w:t>
            </w:r>
          </w:p>
        </w:tc>
        <w:tc>
          <w:tcPr>
            <w:tcW w:w="4060" w:type="dxa"/>
            <w:tcBorders>
              <w:top w:val="nil"/>
              <w:left w:val="nil"/>
              <w:bottom w:val="single" w:sz="8" w:space="0" w:color="BFBFBF"/>
              <w:right w:val="single" w:sz="8" w:space="0" w:color="BFBFBF"/>
            </w:tcBorders>
            <w:vAlign w:val="center"/>
            <w:hideMark/>
          </w:tcPr>
          <w:p w14:paraId="766AA41F" w14:textId="77777777" w:rsidR="00387471" w:rsidRPr="00387471" w:rsidRDefault="00387471" w:rsidP="00387471">
            <w:pPr>
              <w:spacing w:after="0" w:line="240" w:lineRule="auto"/>
              <w:rPr>
                <w:rFonts w:ascii="Cambria" w:eastAsia="Times New Roman" w:hAnsi="Cambria" w:cs="Calibri"/>
                <w:color w:val="000000"/>
                <w:sz w:val="24"/>
                <w:szCs w:val="24"/>
                <w:lang w:val="en-IN" w:eastAsia="en-IN"/>
              </w:rPr>
            </w:pPr>
            <w:r w:rsidRPr="00387471">
              <w:rPr>
                <w:rFonts w:ascii="Cambria" w:eastAsia="Times New Roman" w:hAnsi="Cambria" w:cs="Calibri"/>
                <w:color w:val="000000"/>
                <w:sz w:val="24"/>
                <w:szCs w:val="24"/>
                <w:lang w:eastAsia="en-IN"/>
              </w:rPr>
              <w:t>ACN : Methanol (40:60)</w:t>
            </w:r>
          </w:p>
        </w:tc>
      </w:tr>
      <w:tr w:rsidR="00387471" w:rsidRPr="00387471" w14:paraId="382BC423" w14:textId="77777777" w:rsidTr="00387471">
        <w:trPr>
          <w:trHeight w:val="315"/>
        </w:trPr>
        <w:tc>
          <w:tcPr>
            <w:tcW w:w="1020" w:type="dxa"/>
            <w:tcBorders>
              <w:top w:val="nil"/>
              <w:left w:val="single" w:sz="8" w:space="0" w:color="BFBFBF"/>
              <w:bottom w:val="single" w:sz="8" w:space="0" w:color="BFBFBF"/>
              <w:right w:val="single" w:sz="8" w:space="0" w:color="BFBFBF"/>
            </w:tcBorders>
            <w:shd w:val="clear" w:color="000000" w:fill="F2F2F2"/>
            <w:vAlign w:val="center"/>
            <w:hideMark/>
          </w:tcPr>
          <w:p w14:paraId="20AED227" w14:textId="77777777" w:rsidR="00387471" w:rsidRPr="00387471" w:rsidRDefault="00387471" w:rsidP="00387471">
            <w:pPr>
              <w:spacing w:after="0" w:line="240" w:lineRule="auto"/>
              <w:jc w:val="center"/>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3</w:t>
            </w:r>
          </w:p>
        </w:tc>
        <w:tc>
          <w:tcPr>
            <w:tcW w:w="3740" w:type="dxa"/>
            <w:tcBorders>
              <w:top w:val="nil"/>
              <w:left w:val="nil"/>
              <w:bottom w:val="single" w:sz="8" w:space="0" w:color="BFBFBF"/>
              <w:right w:val="single" w:sz="8" w:space="0" w:color="BFBFBF"/>
            </w:tcBorders>
            <w:shd w:val="clear" w:color="000000" w:fill="F2F2F2"/>
            <w:vAlign w:val="center"/>
            <w:hideMark/>
          </w:tcPr>
          <w:p w14:paraId="6DC0D5F1" w14:textId="77777777" w:rsidR="00387471" w:rsidRPr="00387471" w:rsidRDefault="00387471" w:rsidP="00387471">
            <w:pPr>
              <w:spacing w:after="0" w:line="240" w:lineRule="auto"/>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Detection wavelength</w:t>
            </w:r>
          </w:p>
        </w:tc>
        <w:tc>
          <w:tcPr>
            <w:tcW w:w="4060" w:type="dxa"/>
            <w:tcBorders>
              <w:top w:val="nil"/>
              <w:left w:val="nil"/>
              <w:bottom w:val="single" w:sz="8" w:space="0" w:color="BFBFBF"/>
              <w:right w:val="single" w:sz="8" w:space="0" w:color="BFBFBF"/>
            </w:tcBorders>
            <w:shd w:val="clear" w:color="000000" w:fill="F2F2F2"/>
            <w:vAlign w:val="center"/>
            <w:hideMark/>
          </w:tcPr>
          <w:p w14:paraId="19DC6C19" w14:textId="77777777" w:rsidR="00387471" w:rsidRPr="00387471" w:rsidRDefault="00387471" w:rsidP="00387471">
            <w:pPr>
              <w:spacing w:after="0" w:line="240" w:lineRule="auto"/>
              <w:rPr>
                <w:rFonts w:ascii="Cambria" w:eastAsia="Times New Roman" w:hAnsi="Cambria" w:cs="Calibri"/>
                <w:color w:val="000000"/>
                <w:sz w:val="24"/>
                <w:szCs w:val="24"/>
                <w:lang w:val="en-IN" w:eastAsia="en-IN"/>
              </w:rPr>
            </w:pPr>
            <w:r w:rsidRPr="00387471">
              <w:rPr>
                <w:rFonts w:ascii="Cambria" w:eastAsia="Times New Roman" w:hAnsi="Cambria" w:cs="Calibri"/>
                <w:sz w:val="24"/>
                <w:szCs w:val="24"/>
                <w:lang w:eastAsia="en-IN"/>
              </w:rPr>
              <w:t>317 nm</w:t>
            </w:r>
          </w:p>
        </w:tc>
      </w:tr>
      <w:tr w:rsidR="00387471" w:rsidRPr="00387471" w14:paraId="058BBBB9" w14:textId="77777777" w:rsidTr="00387471">
        <w:trPr>
          <w:trHeight w:val="315"/>
        </w:trPr>
        <w:tc>
          <w:tcPr>
            <w:tcW w:w="1020" w:type="dxa"/>
            <w:tcBorders>
              <w:top w:val="nil"/>
              <w:left w:val="single" w:sz="8" w:space="0" w:color="BFBFBF"/>
              <w:bottom w:val="single" w:sz="8" w:space="0" w:color="BFBFBF"/>
              <w:right w:val="single" w:sz="8" w:space="0" w:color="BFBFBF"/>
            </w:tcBorders>
            <w:vAlign w:val="center"/>
            <w:hideMark/>
          </w:tcPr>
          <w:p w14:paraId="02105061" w14:textId="77777777" w:rsidR="00387471" w:rsidRPr="00387471" w:rsidRDefault="00387471" w:rsidP="00387471">
            <w:pPr>
              <w:spacing w:after="0" w:line="240" w:lineRule="auto"/>
              <w:jc w:val="center"/>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4</w:t>
            </w:r>
          </w:p>
        </w:tc>
        <w:tc>
          <w:tcPr>
            <w:tcW w:w="3740" w:type="dxa"/>
            <w:tcBorders>
              <w:top w:val="nil"/>
              <w:left w:val="nil"/>
              <w:bottom w:val="single" w:sz="8" w:space="0" w:color="BFBFBF"/>
              <w:right w:val="single" w:sz="8" w:space="0" w:color="BFBFBF"/>
            </w:tcBorders>
            <w:vAlign w:val="center"/>
            <w:hideMark/>
          </w:tcPr>
          <w:p w14:paraId="46E84EA9" w14:textId="77777777" w:rsidR="00387471" w:rsidRPr="00387471" w:rsidRDefault="00387471" w:rsidP="00387471">
            <w:pPr>
              <w:spacing w:after="0" w:line="240" w:lineRule="auto"/>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Flow rate</w:t>
            </w:r>
          </w:p>
        </w:tc>
        <w:tc>
          <w:tcPr>
            <w:tcW w:w="4060" w:type="dxa"/>
            <w:tcBorders>
              <w:top w:val="nil"/>
              <w:left w:val="nil"/>
              <w:bottom w:val="single" w:sz="8" w:space="0" w:color="BFBFBF"/>
              <w:right w:val="single" w:sz="8" w:space="0" w:color="BFBFBF"/>
            </w:tcBorders>
            <w:vAlign w:val="center"/>
            <w:hideMark/>
          </w:tcPr>
          <w:p w14:paraId="591E96CA" w14:textId="77777777" w:rsidR="00387471" w:rsidRPr="00387471" w:rsidRDefault="00387471" w:rsidP="00387471">
            <w:pPr>
              <w:spacing w:after="0" w:line="240" w:lineRule="auto"/>
              <w:rPr>
                <w:rFonts w:ascii="Cambria" w:eastAsia="Times New Roman" w:hAnsi="Cambria" w:cs="Calibri"/>
                <w:color w:val="000000"/>
                <w:sz w:val="24"/>
                <w:szCs w:val="24"/>
                <w:lang w:val="en-IN" w:eastAsia="en-IN"/>
              </w:rPr>
            </w:pPr>
            <w:r w:rsidRPr="00387471">
              <w:rPr>
                <w:rFonts w:ascii="Cambria" w:eastAsia="Times New Roman" w:hAnsi="Cambria" w:cs="Calibri"/>
                <w:color w:val="000000"/>
                <w:sz w:val="24"/>
                <w:szCs w:val="24"/>
                <w:lang w:eastAsia="en-IN"/>
              </w:rPr>
              <w:t>1 mL/min</w:t>
            </w:r>
          </w:p>
        </w:tc>
      </w:tr>
      <w:tr w:rsidR="00387471" w:rsidRPr="00387471" w14:paraId="78E8007C" w14:textId="77777777" w:rsidTr="00387471">
        <w:trPr>
          <w:trHeight w:val="315"/>
        </w:trPr>
        <w:tc>
          <w:tcPr>
            <w:tcW w:w="1020" w:type="dxa"/>
            <w:tcBorders>
              <w:top w:val="nil"/>
              <w:left w:val="single" w:sz="8" w:space="0" w:color="BFBFBF"/>
              <w:bottom w:val="single" w:sz="8" w:space="0" w:color="BFBFBF"/>
              <w:right w:val="single" w:sz="8" w:space="0" w:color="BFBFBF"/>
            </w:tcBorders>
            <w:shd w:val="clear" w:color="000000" w:fill="F2F2F2"/>
            <w:vAlign w:val="center"/>
            <w:hideMark/>
          </w:tcPr>
          <w:p w14:paraId="5CAD50BE" w14:textId="77777777" w:rsidR="00387471" w:rsidRPr="00387471" w:rsidRDefault="00387471" w:rsidP="00387471">
            <w:pPr>
              <w:spacing w:after="0" w:line="240" w:lineRule="auto"/>
              <w:jc w:val="center"/>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5</w:t>
            </w:r>
          </w:p>
        </w:tc>
        <w:tc>
          <w:tcPr>
            <w:tcW w:w="3740" w:type="dxa"/>
            <w:tcBorders>
              <w:top w:val="nil"/>
              <w:left w:val="nil"/>
              <w:bottom w:val="single" w:sz="8" w:space="0" w:color="BFBFBF"/>
              <w:right w:val="single" w:sz="8" w:space="0" w:color="BFBFBF"/>
            </w:tcBorders>
            <w:shd w:val="clear" w:color="000000" w:fill="F2F2F2"/>
            <w:vAlign w:val="center"/>
            <w:hideMark/>
          </w:tcPr>
          <w:p w14:paraId="7FFF6D20" w14:textId="77777777" w:rsidR="00387471" w:rsidRPr="00387471" w:rsidRDefault="00387471" w:rsidP="00387471">
            <w:pPr>
              <w:spacing w:after="0" w:line="240" w:lineRule="auto"/>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Injection volume</w:t>
            </w:r>
          </w:p>
        </w:tc>
        <w:tc>
          <w:tcPr>
            <w:tcW w:w="4060" w:type="dxa"/>
            <w:tcBorders>
              <w:top w:val="nil"/>
              <w:left w:val="nil"/>
              <w:bottom w:val="single" w:sz="8" w:space="0" w:color="BFBFBF"/>
              <w:right w:val="single" w:sz="8" w:space="0" w:color="BFBFBF"/>
            </w:tcBorders>
            <w:shd w:val="clear" w:color="000000" w:fill="F2F2F2"/>
            <w:vAlign w:val="center"/>
            <w:hideMark/>
          </w:tcPr>
          <w:p w14:paraId="050A583E" w14:textId="77777777" w:rsidR="00387471" w:rsidRPr="00387471" w:rsidRDefault="00387471" w:rsidP="00387471">
            <w:pPr>
              <w:spacing w:after="0" w:line="240" w:lineRule="auto"/>
              <w:rPr>
                <w:rFonts w:ascii="Cambria" w:eastAsia="Times New Roman" w:hAnsi="Cambria" w:cs="Calibri"/>
                <w:color w:val="000000"/>
                <w:sz w:val="24"/>
                <w:szCs w:val="24"/>
                <w:lang w:val="en-IN" w:eastAsia="en-IN"/>
              </w:rPr>
            </w:pPr>
            <w:r w:rsidRPr="00387471">
              <w:rPr>
                <w:rFonts w:ascii="Cambria" w:eastAsia="Times New Roman" w:hAnsi="Cambria" w:cs="Calibri"/>
                <w:sz w:val="24"/>
                <w:szCs w:val="24"/>
                <w:lang w:eastAsia="en-IN"/>
              </w:rPr>
              <w:t xml:space="preserve">10 </w:t>
            </w:r>
            <w:proofErr w:type="spellStart"/>
            <w:r w:rsidRPr="00387471">
              <w:rPr>
                <w:rFonts w:ascii="Cambria" w:eastAsia="Times New Roman" w:hAnsi="Cambria" w:cs="Calibri"/>
                <w:sz w:val="24"/>
                <w:szCs w:val="24"/>
                <w:lang w:eastAsia="en-IN"/>
              </w:rPr>
              <w:t>μL</w:t>
            </w:r>
            <w:proofErr w:type="spellEnd"/>
          </w:p>
        </w:tc>
      </w:tr>
      <w:tr w:rsidR="00387471" w:rsidRPr="00387471" w14:paraId="6633A002" w14:textId="77777777" w:rsidTr="00387471">
        <w:trPr>
          <w:trHeight w:val="315"/>
        </w:trPr>
        <w:tc>
          <w:tcPr>
            <w:tcW w:w="1020" w:type="dxa"/>
            <w:tcBorders>
              <w:top w:val="nil"/>
              <w:left w:val="single" w:sz="8" w:space="0" w:color="BFBFBF"/>
              <w:bottom w:val="single" w:sz="8" w:space="0" w:color="BFBFBF"/>
              <w:right w:val="single" w:sz="8" w:space="0" w:color="BFBFBF"/>
            </w:tcBorders>
            <w:vAlign w:val="center"/>
            <w:hideMark/>
          </w:tcPr>
          <w:p w14:paraId="77679D90" w14:textId="77777777" w:rsidR="00387471" w:rsidRPr="00387471" w:rsidRDefault="00387471" w:rsidP="00387471">
            <w:pPr>
              <w:spacing w:after="0" w:line="240" w:lineRule="auto"/>
              <w:jc w:val="center"/>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6</w:t>
            </w:r>
          </w:p>
        </w:tc>
        <w:tc>
          <w:tcPr>
            <w:tcW w:w="3740" w:type="dxa"/>
            <w:tcBorders>
              <w:top w:val="nil"/>
              <w:left w:val="nil"/>
              <w:bottom w:val="single" w:sz="8" w:space="0" w:color="BFBFBF"/>
              <w:right w:val="single" w:sz="8" w:space="0" w:color="BFBFBF"/>
            </w:tcBorders>
            <w:vAlign w:val="center"/>
            <w:hideMark/>
          </w:tcPr>
          <w:p w14:paraId="5D149BB7" w14:textId="77777777" w:rsidR="00387471" w:rsidRPr="00387471" w:rsidRDefault="00387471" w:rsidP="00387471">
            <w:pPr>
              <w:spacing w:after="0" w:line="240" w:lineRule="auto"/>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Temperature</w:t>
            </w:r>
          </w:p>
        </w:tc>
        <w:tc>
          <w:tcPr>
            <w:tcW w:w="4060" w:type="dxa"/>
            <w:tcBorders>
              <w:top w:val="nil"/>
              <w:left w:val="nil"/>
              <w:bottom w:val="single" w:sz="8" w:space="0" w:color="BFBFBF"/>
              <w:right w:val="single" w:sz="8" w:space="0" w:color="BFBFBF"/>
            </w:tcBorders>
            <w:vAlign w:val="center"/>
            <w:hideMark/>
          </w:tcPr>
          <w:p w14:paraId="7AA6A5CD" w14:textId="77777777" w:rsidR="00387471" w:rsidRPr="00387471" w:rsidRDefault="00387471" w:rsidP="00387471">
            <w:pPr>
              <w:spacing w:after="0" w:line="240" w:lineRule="auto"/>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Ambient</w:t>
            </w:r>
          </w:p>
        </w:tc>
      </w:tr>
      <w:tr w:rsidR="00387471" w:rsidRPr="00387471" w14:paraId="4D7289BE" w14:textId="77777777" w:rsidTr="00387471">
        <w:trPr>
          <w:trHeight w:val="623"/>
        </w:trPr>
        <w:tc>
          <w:tcPr>
            <w:tcW w:w="1020" w:type="dxa"/>
            <w:tcBorders>
              <w:top w:val="nil"/>
              <w:left w:val="single" w:sz="8" w:space="0" w:color="BFBFBF"/>
              <w:bottom w:val="single" w:sz="8" w:space="0" w:color="BFBFBF"/>
              <w:right w:val="single" w:sz="8" w:space="0" w:color="BFBFBF"/>
            </w:tcBorders>
            <w:shd w:val="clear" w:color="000000" w:fill="F2F2F2"/>
            <w:vAlign w:val="center"/>
            <w:hideMark/>
          </w:tcPr>
          <w:p w14:paraId="658E545A" w14:textId="77777777" w:rsidR="00387471" w:rsidRPr="00387471" w:rsidRDefault="00387471" w:rsidP="00387471">
            <w:pPr>
              <w:spacing w:after="0" w:line="240" w:lineRule="auto"/>
              <w:jc w:val="center"/>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7</w:t>
            </w:r>
          </w:p>
        </w:tc>
        <w:tc>
          <w:tcPr>
            <w:tcW w:w="3740" w:type="dxa"/>
            <w:tcBorders>
              <w:top w:val="nil"/>
              <w:left w:val="nil"/>
              <w:bottom w:val="single" w:sz="8" w:space="0" w:color="BFBFBF"/>
              <w:right w:val="single" w:sz="8" w:space="0" w:color="BFBFBF"/>
            </w:tcBorders>
            <w:shd w:val="clear" w:color="000000" w:fill="F2F2F2"/>
            <w:vAlign w:val="center"/>
            <w:hideMark/>
          </w:tcPr>
          <w:p w14:paraId="2046E28E" w14:textId="77777777" w:rsidR="00387471" w:rsidRPr="00387471" w:rsidRDefault="00387471" w:rsidP="00387471">
            <w:pPr>
              <w:spacing w:after="0" w:line="240" w:lineRule="auto"/>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LC system</w:t>
            </w:r>
          </w:p>
        </w:tc>
        <w:tc>
          <w:tcPr>
            <w:tcW w:w="4060" w:type="dxa"/>
            <w:tcBorders>
              <w:top w:val="nil"/>
              <w:left w:val="nil"/>
              <w:bottom w:val="single" w:sz="8" w:space="0" w:color="BFBFBF"/>
              <w:right w:val="single" w:sz="8" w:space="0" w:color="BFBFBF"/>
            </w:tcBorders>
            <w:shd w:val="clear" w:color="000000" w:fill="F2F2F2"/>
            <w:vAlign w:val="center"/>
            <w:hideMark/>
          </w:tcPr>
          <w:p w14:paraId="5A6E1D9A" w14:textId="77777777" w:rsidR="00387471" w:rsidRPr="00387471" w:rsidRDefault="00387471" w:rsidP="00387471">
            <w:pPr>
              <w:spacing w:after="0" w:line="240" w:lineRule="auto"/>
              <w:rPr>
                <w:rFonts w:ascii="Times New Roman" w:eastAsia="Times New Roman" w:hAnsi="Times New Roman" w:cs="Times New Roman"/>
                <w:color w:val="000000"/>
                <w:sz w:val="24"/>
                <w:szCs w:val="24"/>
                <w:lang w:val="en-IN" w:eastAsia="en-IN"/>
              </w:rPr>
            </w:pPr>
            <w:r w:rsidRPr="00387471">
              <w:rPr>
                <w:rFonts w:ascii="Times New Roman" w:eastAsia="Times New Roman" w:hAnsi="Times New Roman" w:cs="Times New Roman"/>
                <w:color w:val="000000"/>
                <w:sz w:val="24"/>
                <w:szCs w:val="24"/>
                <w:lang w:eastAsia="en-IN"/>
              </w:rPr>
              <w:t xml:space="preserve">Agilent HPLC system with </w:t>
            </w:r>
            <w:proofErr w:type="spellStart"/>
            <w:r w:rsidRPr="00387471">
              <w:rPr>
                <w:rFonts w:ascii="Times New Roman" w:eastAsia="Times New Roman" w:hAnsi="Times New Roman" w:cs="Times New Roman"/>
                <w:color w:val="000000"/>
                <w:sz w:val="24"/>
                <w:szCs w:val="24"/>
                <w:lang w:eastAsia="en-IN"/>
              </w:rPr>
              <w:t>OpenLab</w:t>
            </w:r>
            <w:proofErr w:type="spellEnd"/>
            <w:r w:rsidRPr="00387471">
              <w:rPr>
                <w:rFonts w:ascii="Times New Roman" w:eastAsia="Times New Roman" w:hAnsi="Times New Roman" w:cs="Times New Roman"/>
                <w:color w:val="000000"/>
                <w:sz w:val="24"/>
                <w:szCs w:val="24"/>
                <w:lang w:eastAsia="en-IN"/>
              </w:rPr>
              <w:t xml:space="preserve"> CDS 2 software</w:t>
            </w:r>
          </w:p>
        </w:tc>
      </w:tr>
    </w:tbl>
    <w:p w14:paraId="7C9C60BE" w14:textId="77777777" w:rsidR="003C5D29" w:rsidRDefault="003C5D29" w:rsidP="00387471">
      <w:pPr>
        <w:ind w:left="-993" w:right="-291"/>
        <w:rPr>
          <w:rFonts w:ascii="Times New Roman" w:eastAsiaTheme="majorEastAsia" w:hAnsi="Times New Roman" w:cs="Times New Roman"/>
          <w:b/>
          <w:bCs/>
          <w:color w:val="000000" w:themeColor="text1"/>
          <w:sz w:val="24"/>
          <w:szCs w:val="24"/>
        </w:rPr>
      </w:pPr>
    </w:p>
    <w:p w14:paraId="08614695" w14:textId="77777777" w:rsidR="005C2D2C" w:rsidRPr="005C2D2C" w:rsidRDefault="005C2D2C" w:rsidP="005C2D2C">
      <w:pPr>
        <w:pStyle w:val="Heading2"/>
        <w:spacing w:line="360" w:lineRule="auto"/>
        <w:ind w:left="-990"/>
        <w:jc w:val="both"/>
        <w:rPr>
          <w:rFonts w:ascii="Times New Roman" w:hAnsi="Times New Roman" w:cs="Times New Roman"/>
          <w:color w:val="000000" w:themeColor="text1"/>
          <w:sz w:val="24"/>
          <w:szCs w:val="24"/>
        </w:rPr>
      </w:pPr>
      <w:r w:rsidRPr="005C2D2C">
        <w:rPr>
          <w:rFonts w:ascii="Times New Roman" w:hAnsi="Times New Roman" w:cs="Times New Roman"/>
          <w:color w:val="000000" w:themeColor="text1"/>
          <w:sz w:val="24"/>
          <w:szCs w:val="24"/>
        </w:rPr>
        <w:t>2.7 Statistical Analysis</w:t>
      </w:r>
    </w:p>
    <w:p w14:paraId="03CEEAA1" w14:textId="67D8089E" w:rsidR="003F5650" w:rsidRPr="005C2D2C" w:rsidRDefault="005C2D2C" w:rsidP="005C2D2C">
      <w:pPr>
        <w:pStyle w:val="NormalWeb"/>
        <w:spacing w:line="360" w:lineRule="auto"/>
        <w:ind w:left="-990"/>
        <w:jc w:val="both"/>
        <w:rPr>
          <w:color w:val="000000" w:themeColor="text1"/>
        </w:rPr>
      </w:pPr>
      <w:r w:rsidRPr="005C2D2C">
        <w:rPr>
          <w:color w:val="000000" w:themeColor="text1"/>
        </w:rPr>
        <w:t xml:space="preserve">All experiments were performed in triplicate, and results were expressed as mean ± standard deviation (SD). Statistical analysis was carried out using standard statistical software. Calibration curves for gallic acid and quercetin were constructed using linear regression analysis. Differences between </w:t>
      </w:r>
      <w:r w:rsidRPr="005C2D2C">
        <w:rPr>
          <w:color w:val="000000" w:themeColor="text1"/>
        </w:rPr>
        <w:lastRenderedPageBreak/>
        <w:t xml:space="preserve">methanolic and aqueous extracts were evaluated using appropriate statistical methods, and significance was considered at p &lt; 0.05 (Sharma </w:t>
      </w:r>
      <w:r w:rsidRPr="005C2D2C">
        <w:rPr>
          <w:i/>
          <w:color w:val="000000" w:themeColor="text1"/>
        </w:rPr>
        <w:t>et al.,</w:t>
      </w:r>
      <w:r w:rsidRPr="005C2D2C">
        <w:rPr>
          <w:color w:val="000000" w:themeColor="text1"/>
        </w:rPr>
        <w:t xml:space="preserve"> 2023).</w:t>
      </w:r>
    </w:p>
    <w:p w14:paraId="16384D51" w14:textId="77777777" w:rsidR="009E08CB" w:rsidRPr="000827BC" w:rsidRDefault="00AA2D09" w:rsidP="00387471">
      <w:pPr>
        <w:ind w:left="-993" w:right="-291"/>
        <w:rPr>
          <w:rFonts w:eastAsiaTheme="majorEastAsia"/>
          <w:b/>
          <w:sz w:val="24"/>
        </w:rPr>
      </w:pPr>
      <w:r w:rsidRPr="000827BC">
        <w:rPr>
          <w:rFonts w:ascii="Times New Roman" w:hAnsi="Times New Roman" w:cs="Times New Roman"/>
          <w:b/>
          <w:color w:val="000000" w:themeColor="text1"/>
          <w:sz w:val="28"/>
          <w:szCs w:val="24"/>
        </w:rPr>
        <w:t>3. Results</w:t>
      </w:r>
    </w:p>
    <w:p w14:paraId="08FACC4F" w14:textId="77777777" w:rsidR="009E08CB" w:rsidRPr="000827BC" w:rsidRDefault="009E08CB" w:rsidP="00387471">
      <w:pPr>
        <w:spacing w:line="360" w:lineRule="auto"/>
        <w:ind w:left="-993" w:right="-291"/>
        <w:jc w:val="both"/>
        <w:rPr>
          <w:rFonts w:ascii="Times New Roman" w:hAnsi="Times New Roman" w:cs="Times New Roman"/>
          <w:b/>
          <w:sz w:val="24"/>
          <w:szCs w:val="24"/>
        </w:rPr>
      </w:pPr>
      <w:r w:rsidRPr="000827BC">
        <w:rPr>
          <w:rFonts w:ascii="Times New Roman" w:hAnsi="Times New Roman" w:cs="Times New Roman"/>
          <w:b/>
          <w:sz w:val="24"/>
          <w:szCs w:val="24"/>
        </w:rPr>
        <w:t>3.1 Extractive Yield (%)</w:t>
      </w:r>
    </w:p>
    <w:p w14:paraId="0695B962" w14:textId="2B5C1FF4" w:rsidR="0082189E" w:rsidRPr="000827BC" w:rsidRDefault="00C54B7A" w:rsidP="00387471">
      <w:pPr>
        <w:pStyle w:val="NormalWeb"/>
        <w:spacing w:line="360" w:lineRule="auto"/>
        <w:ind w:left="-993" w:right="-291"/>
        <w:jc w:val="both"/>
        <w:rPr>
          <w:b/>
        </w:rPr>
      </w:pPr>
      <w:r w:rsidRPr="000827BC">
        <w:t xml:space="preserve">The extractive yield of </w:t>
      </w:r>
      <w:r w:rsidRPr="000827BC">
        <w:rPr>
          <w:rStyle w:val="Emphasis"/>
        </w:rPr>
        <w:t>Moringa oleifera</w:t>
      </w:r>
      <w:r w:rsidRPr="000827BC">
        <w:t xml:space="preserve"> leaves was calculated based on the dried weight of the methanolic and aqueous extracts obtained after Soxhlet extraction. </w:t>
      </w:r>
      <w:r w:rsidR="0082189E" w:rsidRPr="000827BC">
        <w:t xml:space="preserve">The extraction results showed that the </w:t>
      </w:r>
      <w:r w:rsidR="0082189E" w:rsidRPr="000827BC">
        <w:rPr>
          <w:rStyle w:val="Strong"/>
          <w:b w:val="0"/>
        </w:rPr>
        <w:t>methanolic extract (MO-M)</w:t>
      </w:r>
      <w:r w:rsidR="0082189E" w:rsidRPr="000827BC">
        <w:rPr>
          <w:b/>
        </w:rPr>
        <w:t xml:space="preserve"> </w:t>
      </w:r>
      <w:r w:rsidR="0082189E" w:rsidRPr="000827BC">
        <w:t xml:space="preserve">produced a </w:t>
      </w:r>
      <w:r w:rsidR="0082189E" w:rsidRPr="000827BC">
        <w:rPr>
          <w:rStyle w:val="Strong"/>
          <w:b w:val="0"/>
        </w:rPr>
        <w:t>higher yield (12.56%)</w:t>
      </w:r>
      <w:r w:rsidR="0082189E" w:rsidRPr="000827BC">
        <w:rPr>
          <w:b/>
        </w:rPr>
        <w:t xml:space="preserve"> </w:t>
      </w:r>
      <w:r w:rsidR="0082189E" w:rsidRPr="000827BC">
        <w:t xml:space="preserve">compared to the </w:t>
      </w:r>
      <w:r w:rsidR="0082189E" w:rsidRPr="000827BC">
        <w:rPr>
          <w:rStyle w:val="Strong"/>
          <w:b w:val="0"/>
        </w:rPr>
        <w:t>aqueous extract (MO-A) (10.21%)</w:t>
      </w:r>
      <w:r w:rsidR="0082189E" w:rsidRPr="000827BC">
        <w:t>. Methanol is an effective solvent for extracting moderately polar phytoconstituents such as phenolics, flavonoids, and other bioactive compounds, which may contribute to its comparatively higher extraction efficiency. In contrast, the aqueous extract yielded slightly less material, as water primarily dissolves highly hydrophilic constituents such as tannins, sugars, proteins, and organic acids.</w:t>
      </w:r>
    </w:p>
    <w:p w14:paraId="38F59994" w14:textId="77777777" w:rsidR="00C54B7A" w:rsidRPr="000827BC" w:rsidRDefault="00C54B7A" w:rsidP="00387471">
      <w:pPr>
        <w:pStyle w:val="Heading3"/>
        <w:spacing w:line="360" w:lineRule="auto"/>
        <w:ind w:left="-993" w:right="-291"/>
        <w:jc w:val="both"/>
        <w:rPr>
          <w:rFonts w:ascii="Times New Roman" w:hAnsi="Times New Roman" w:cs="Times New Roman"/>
          <w:color w:val="auto"/>
          <w:sz w:val="24"/>
          <w:szCs w:val="24"/>
        </w:rPr>
      </w:pPr>
      <w:r w:rsidRPr="000827BC">
        <w:rPr>
          <w:rStyle w:val="Strong"/>
          <w:rFonts w:ascii="Times New Roman" w:hAnsi="Times New Roman" w:cs="Times New Roman"/>
          <w:b/>
          <w:bCs/>
          <w:color w:val="auto"/>
          <w:sz w:val="24"/>
          <w:szCs w:val="24"/>
        </w:rPr>
        <w:t xml:space="preserve">Table 3. </w:t>
      </w:r>
      <w:r w:rsidRPr="000827BC">
        <w:rPr>
          <w:rStyle w:val="Strong"/>
          <w:rFonts w:ascii="Times New Roman" w:hAnsi="Times New Roman" w:cs="Times New Roman"/>
          <w:bCs/>
          <w:color w:val="auto"/>
          <w:sz w:val="24"/>
          <w:szCs w:val="24"/>
        </w:rPr>
        <w:t>Yield obtained from samples after extraction</w:t>
      </w:r>
      <w:r w:rsidR="00683833" w:rsidRPr="000827BC">
        <w:rPr>
          <w:rStyle w:val="Strong"/>
          <w:rFonts w:ascii="Times New Roman" w:hAnsi="Times New Roman" w:cs="Times New Roman"/>
          <w:bCs/>
          <w:color w:val="auto"/>
          <w:sz w:val="24"/>
          <w:szCs w:val="24"/>
        </w:rPr>
        <w:t>.</w:t>
      </w:r>
    </w:p>
    <w:tbl>
      <w:tblPr>
        <w:tblW w:w="8820" w:type="dxa"/>
        <w:tblInd w:w="118" w:type="dxa"/>
        <w:tblLook w:val="04A0" w:firstRow="1" w:lastRow="0" w:firstColumn="1" w:lastColumn="0" w:noHBand="0" w:noVBand="1"/>
      </w:tblPr>
      <w:tblGrid>
        <w:gridCol w:w="1020"/>
        <w:gridCol w:w="3740"/>
        <w:gridCol w:w="4060"/>
      </w:tblGrid>
      <w:tr w:rsidR="00387471" w14:paraId="7442392B" w14:textId="77777777" w:rsidTr="00387471">
        <w:trPr>
          <w:trHeight w:val="351"/>
        </w:trPr>
        <w:tc>
          <w:tcPr>
            <w:tcW w:w="1020" w:type="dxa"/>
            <w:tcBorders>
              <w:top w:val="single" w:sz="8" w:space="0" w:color="BFBFBF"/>
              <w:left w:val="single" w:sz="8" w:space="0" w:color="BFBFBF"/>
              <w:bottom w:val="single" w:sz="8" w:space="0" w:color="BFBFBF"/>
              <w:right w:val="single" w:sz="8" w:space="0" w:color="BFBFBF"/>
            </w:tcBorders>
            <w:vAlign w:val="center"/>
            <w:hideMark/>
          </w:tcPr>
          <w:p w14:paraId="027C1109" w14:textId="77777777" w:rsidR="00387471" w:rsidRDefault="00387471" w:rsidP="00387471">
            <w:pPr>
              <w:jc w:val="center"/>
              <w:rPr>
                <w:rFonts w:ascii="Cambria" w:hAnsi="Cambria" w:cs="Calibri"/>
                <w:b/>
                <w:bCs/>
                <w:color w:val="000000"/>
              </w:rPr>
            </w:pPr>
            <w:r>
              <w:rPr>
                <w:rFonts w:ascii="Cambria" w:hAnsi="Cambria" w:cs="Calibri"/>
                <w:b/>
                <w:bCs/>
                <w:color w:val="000000"/>
              </w:rPr>
              <w:t>S. No.</w:t>
            </w:r>
          </w:p>
        </w:tc>
        <w:tc>
          <w:tcPr>
            <w:tcW w:w="3740" w:type="dxa"/>
            <w:tcBorders>
              <w:top w:val="single" w:sz="8" w:space="0" w:color="BFBFBF"/>
              <w:left w:val="nil"/>
              <w:bottom w:val="single" w:sz="8" w:space="0" w:color="BFBFBF"/>
              <w:right w:val="single" w:sz="8" w:space="0" w:color="BFBFBF"/>
            </w:tcBorders>
            <w:vAlign w:val="center"/>
            <w:hideMark/>
          </w:tcPr>
          <w:p w14:paraId="6CA63E50" w14:textId="77777777" w:rsidR="00387471" w:rsidRDefault="00387471" w:rsidP="00387471">
            <w:pPr>
              <w:jc w:val="center"/>
              <w:rPr>
                <w:rFonts w:ascii="Cambria" w:hAnsi="Cambria" w:cs="Calibri"/>
                <w:b/>
                <w:bCs/>
                <w:color w:val="000000"/>
              </w:rPr>
            </w:pPr>
            <w:r>
              <w:rPr>
                <w:rFonts w:ascii="Cambria" w:hAnsi="Cambria" w:cs="Calibri"/>
                <w:b/>
                <w:bCs/>
                <w:color w:val="000000"/>
              </w:rPr>
              <w:t>Sample Code</w:t>
            </w:r>
          </w:p>
        </w:tc>
        <w:tc>
          <w:tcPr>
            <w:tcW w:w="4060" w:type="dxa"/>
            <w:tcBorders>
              <w:top w:val="single" w:sz="8" w:space="0" w:color="BFBFBF"/>
              <w:left w:val="nil"/>
              <w:bottom w:val="single" w:sz="8" w:space="0" w:color="BFBFBF"/>
              <w:right w:val="single" w:sz="8" w:space="0" w:color="BFBFBF"/>
            </w:tcBorders>
            <w:vAlign w:val="center"/>
            <w:hideMark/>
          </w:tcPr>
          <w:p w14:paraId="40B17E2C" w14:textId="77777777" w:rsidR="00387471" w:rsidRDefault="00387471" w:rsidP="00387471">
            <w:pPr>
              <w:jc w:val="center"/>
              <w:rPr>
                <w:rFonts w:ascii="Cambria" w:hAnsi="Cambria" w:cs="Calibri"/>
                <w:b/>
                <w:bCs/>
                <w:color w:val="000000"/>
              </w:rPr>
            </w:pPr>
            <w:r>
              <w:rPr>
                <w:rFonts w:ascii="Cambria" w:hAnsi="Cambria" w:cs="Calibri"/>
                <w:b/>
                <w:bCs/>
                <w:color w:val="000000"/>
              </w:rPr>
              <w:t>Yield Content (%)</w:t>
            </w:r>
          </w:p>
        </w:tc>
      </w:tr>
      <w:tr w:rsidR="00387471" w14:paraId="5208EB9A" w14:textId="77777777" w:rsidTr="00387471">
        <w:trPr>
          <w:trHeight w:val="315"/>
        </w:trPr>
        <w:tc>
          <w:tcPr>
            <w:tcW w:w="1020" w:type="dxa"/>
            <w:tcBorders>
              <w:top w:val="nil"/>
              <w:left w:val="single" w:sz="8" w:space="0" w:color="BFBFBF"/>
              <w:bottom w:val="single" w:sz="8" w:space="0" w:color="BFBFBF"/>
              <w:right w:val="single" w:sz="8" w:space="0" w:color="BFBFBF"/>
            </w:tcBorders>
            <w:shd w:val="clear" w:color="000000" w:fill="F2F2F2"/>
            <w:vAlign w:val="center"/>
            <w:hideMark/>
          </w:tcPr>
          <w:p w14:paraId="2B9828FF" w14:textId="77777777" w:rsidR="00387471" w:rsidRDefault="00387471" w:rsidP="00387471">
            <w:pPr>
              <w:jc w:val="center"/>
              <w:rPr>
                <w:rFonts w:ascii="Times New Roman" w:hAnsi="Times New Roman" w:cs="Times New Roman"/>
                <w:b/>
                <w:bCs/>
                <w:color w:val="000000"/>
              </w:rPr>
            </w:pPr>
            <w:r>
              <w:rPr>
                <w:b/>
                <w:bCs/>
                <w:color w:val="000000"/>
              </w:rPr>
              <w:t>1</w:t>
            </w:r>
          </w:p>
        </w:tc>
        <w:tc>
          <w:tcPr>
            <w:tcW w:w="3740" w:type="dxa"/>
            <w:tcBorders>
              <w:top w:val="nil"/>
              <w:left w:val="nil"/>
              <w:bottom w:val="single" w:sz="8" w:space="0" w:color="BFBFBF"/>
              <w:right w:val="single" w:sz="8" w:space="0" w:color="BFBFBF"/>
            </w:tcBorders>
            <w:shd w:val="clear" w:color="000000" w:fill="F2F2F2"/>
            <w:vAlign w:val="center"/>
            <w:hideMark/>
          </w:tcPr>
          <w:p w14:paraId="07699A94" w14:textId="77777777" w:rsidR="00387471" w:rsidRDefault="00387471" w:rsidP="00387471">
            <w:pPr>
              <w:rPr>
                <w:color w:val="000000"/>
              </w:rPr>
            </w:pPr>
            <w:r>
              <w:rPr>
                <w:color w:val="000000"/>
              </w:rPr>
              <w:t>MO-M</w:t>
            </w:r>
          </w:p>
        </w:tc>
        <w:tc>
          <w:tcPr>
            <w:tcW w:w="4060" w:type="dxa"/>
            <w:tcBorders>
              <w:top w:val="nil"/>
              <w:left w:val="nil"/>
              <w:bottom w:val="single" w:sz="8" w:space="0" w:color="BFBFBF"/>
              <w:right w:val="single" w:sz="8" w:space="0" w:color="BFBFBF"/>
            </w:tcBorders>
            <w:shd w:val="clear" w:color="000000" w:fill="F2F2F2"/>
            <w:vAlign w:val="center"/>
            <w:hideMark/>
          </w:tcPr>
          <w:p w14:paraId="795BCE5E" w14:textId="77777777" w:rsidR="00387471" w:rsidRDefault="00387471" w:rsidP="00387471">
            <w:pPr>
              <w:jc w:val="center"/>
              <w:rPr>
                <w:color w:val="000000"/>
              </w:rPr>
            </w:pPr>
            <w:r>
              <w:rPr>
                <w:color w:val="000000"/>
              </w:rPr>
              <w:t>12.56</w:t>
            </w:r>
          </w:p>
        </w:tc>
      </w:tr>
      <w:tr w:rsidR="00387471" w14:paraId="19F960B1" w14:textId="77777777" w:rsidTr="00AE2F4A">
        <w:trPr>
          <w:trHeight w:val="308"/>
        </w:trPr>
        <w:tc>
          <w:tcPr>
            <w:tcW w:w="1020" w:type="dxa"/>
            <w:tcBorders>
              <w:top w:val="nil"/>
              <w:left w:val="single" w:sz="8" w:space="0" w:color="BFBFBF"/>
              <w:bottom w:val="single" w:sz="8" w:space="0" w:color="BFBFBF"/>
              <w:right w:val="single" w:sz="8" w:space="0" w:color="BFBFBF"/>
            </w:tcBorders>
            <w:vAlign w:val="center"/>
            <w:hideMark/>
          </w:tcPr>
          <w:p w14:paraId="3B434BBC" w14:textId="77777777" w:rsidR="00387471" w:rsidRDefault="00387471" w:rsidP="00387471">
            <w:pPr>
              <w:jc w:val="center"/>
              <w:rPr>
                <w:b/>
                <w:bCs/>
                <w:color w:val="000000"/>
              </w:rPr>
            </w:pPr>
            <w:r>
              <w:rPr>
                <w:b/>
                <w:bCs/>
                <w:color w:val="000000"/>
              </w:rPr>
              <w:t>2</w:t>
            </w:r>
          </w:p>
        </w:tc>
        <w:tc>
          <w:tcPr>
            <w:tcW w:w="3740" w:type="dxa"/>
            <w:tcBorders>
              <w:top w:val="nil"/>
              <w:left w:val="nil"/>
              <w:bottom w:val="single" w:sz="8" w:space="0" w:color="BFBFBF"/>
              <w:right w:val="single" w:sz="8" w:space="0" w:color="BFBFBF"/>
            </w:tcBorders>
            <w:vAlign w:val="center"/>
            <w:hideMark/>
          </w:tcPr>
          <w:p w14:paraId="1FBD4E81" w14:textId="77777777" w:rsidR="00387471" w:rsidRDefault="00387471" w:rsidP="00387471">
            <w:pPr>
              <w:rPr>
                <w:color w:val="000000"/>
              </w:rPr>
            </w:pPr>
            <w:r>
              <w:rPr>
                <w:color w:val="000000"/>
              </w:rPr>
              <w:t>MO-A</w:t>
            </w:r>
          </w:p>
        </w:tc>
        <w:tc>
          <w:tcPr>
            <w:tcW w:w="4060" w:type="dxa"/>
            <w:tcBorders>
              <w:top w:val="nil"/>
              <w:left w:val="nil"/>
              <w:bottom w:val="single" w:sz="8" w:space="0" w:color="BFBFBF"/>
              <w:right w:val="single" w:sz="8" w:space="0" w:color="BFBFBF"/>
            </w:tcBorders>
            <w:vAlign w:val="center"/>
            <w:hideMark/>
          </w:tcPr>
          <w:p w14:paraId="3C797139" w14:textId="77777777" w:rsidR="00387471" w:rsidRDefault="00387471" w:rsidP="00387471">
            <w:pPr>
              <w:jc w:val="center"/>
              <w:rPr>
                <w:color w:val="000000"/>
              </w:rPr>
            </w:pPr>
            <w:r>
              <w:rPr>
                <w:color w:val="000000"/>
              </w:rPr>
              <w:t>10.21</w:t>
            </w:r>
          </w:p>
        </w:tc>
      </w:tr>
    </w:tbl>
    <w:p w14:paraId="5F4C8D04" w14:textId="77777777" w:rsidR="003C5D29" w:rsidRPr="000827BC" w:rsidRDefault="00443043" w:rsidP="00387471">
      <w:pPr>
        <w:pStyle w:val="Heading1"/>
        <w:spacing w:line="360" w:lineRule="auto"/>
        <w:ind w:left="-993" w:right="-291"/>
        <w:jc w:val="both"/>
        <w:rPr>
          <w:rFonts w:ascii="Times New Roman" w:hAnsi="Times New Roman" w:cs="Times New Roman"/>
          <w:b w:val="0"/>
          <w:color w:val="auto"/>
          <w:sz w:val="24"/>
        </w:rPr>
      </w:pPr>
      <w:r w:rsidRPr="000827BC">
        <w:rPr>
          <w:rFonts w:ascii="Times New Roman" w:hAnsi="Times New Roman" w:cs="Times New Roman"/>
          <w:b w:val="0"/>
          <w:color w:val="auto"/>
          <w:sz w:val="24"/>
        </w:rPr>
        <w:t>These results clearly indicate that</w:t>
      </w:r>
      <w:r w:rsidRPr="000827BC">
        <w:rPr>
          <w:rFonts w:ascii="Times New Roman" w:hAnsi="Times New Roman" w:cs="Times New Roman"/>
          <w:color w:val="auto"/>
          <w:sz w:val="24"/>
        </w:rPr>
        <w:t xml:space="preserve"> </w:t>
      </w:r>
      <w:r w:rsidRPr="000827BC">
        <w:rPr>
          <w:rStyle w:val="Strong"/>
          <w:rFonts w:ascii="Times New Roman" w:hAnsi="Times New Roman" w:cs="Times New Roman"/>
          <w:color w:val="auto"/>
          <w:sz w:val="24"/>
        </w:rPr>
        <w:t>methanolic extraction produced a higher yield than aqueous extraction</w:t>
      </w:r>
      <w:r w:rsidRPr="000827BC">
        <w:rPr>
          <w:rFonts w:ascii="Times New Roman" w:hAnsi="Times New Roman" w:cs="Times New Roman"/>
          <w:b w:val="0"/>
          <w:color w:val="auto"/>
          <w:sz w:val="24"/>
        </w:rPr>
        <w:t>, which aligns with previously reported findings for many plant leaf extractions where alcohol-based solvents often enhance extraction efficiency.</w:t>
      </w:r>
    </w:p>
    <w:p w14:paraId="16CAC253" w14:textId="77777777" w:rsidR="00640B92" w:rsidRPr="000827BC" w:rsidRDefault="00640B92" w:rsidP="00387471">
      <w:pPr>
        <w:pStyle w:val="Heading1"/>
        <w:spacing w:line="360" w:lineRule="auto"/>
        <w:ind w:left="-993" w:right="-291"/>
        <w:jc w:val="both"/>
        <w:rPr>
          <w:rFonts w:ascii="Times New Roman" w:hAnsi="Times New Roman" w:cs="Times New Roman"/>
          <w:color w:val="auto"/>
          <w:sz w:val="24"/>
        </w:rPr>
      </w:pPr>
      <w:r w:rsidRPr="000827BC">
        <w:rPr>
          <w:rStyle w:val="Strong"/>
          <w:rFonts w:ascii="Times New Roman" w:hAnsi="Times New Roman" w:cs="Times New Roman"/>
          <w:b/>
          <w:bCs/>
          <w:color w:val="auto"/>
          <w:sz w:val="24"/>
          <w:szCs w:val="24"/>
        </w:rPr>
        <w:t>3.2 Total Phenolic Content (TPC)</w:t>
      </w:r>
    </w:p>
    <w:p w14:paraId="7B8DA4E5" w14:textId="77777777" w:rsidR="00640B92" w:rsidRPr="000827BC" w:rsidRDefault="00640B92" w:rsidP="00387471">
      <w:pPr>
        <w:pStyle w:val="NormalWeb"/>
        <w:spacing w:line="360" w:lineRule="auto"/>
        <w:ind w:left="-993" w:right="-291"/>
        <w:jc w:val="both"/>
      </w:pPr>
      <w:r w:rsidRPr="000827BC">
        <w:t xml:space="preserve">The Total Phenolic Content (TPC) of </w:t>
      </w:r>
      <w:r w:rsidRPr="000827BC">
        <w:rPr>
          <w:rStyle w:val="Emphasis"/>
        </w:rPr>
        <w:t>Moringa oleifera</w:t>
      </w:r>
      <w:r w:rsidRPr="000827BC">
        <w:t xml:space="preserve"> leaf extracts was determined using the </w:t>
      </w:r>
      <w:proofErr w:type="spellStart"/>
      <w:r w:rsidRPr="000827BC">
        <w:t>Folin</w:t>
      </w:r>
      <w:proofErr w:type="spellEnd"/>
      <w:r w:rsidRPr="000827BC">
        <w:t>–</w:t>
      </w:r>
      <w:proofErr w:type="spellStart"/>
      <w:r w:rsidRPr="000827BC">
        <w:t>Ciocalteu</w:t>
      </w:r>
      <w:proofErr w:type="spellEnd"/>
      <w:r w:rsidRPr="000827BC">
        <w:t xml:space="preserve"> method, and results were expressed as milligrams of Gallic Acid Equivalent per gram of extract (mg GAE/g). The methanolic extract (MO-M) exhibited a higher phenolic concentration compared to the aqueous extract (MO-A). This is consistent with previous findings indicating that methanol, due to its intermediate polarity, is more efficient in extracting phenolic compounds from plant matrices. Phenolics are major contributors to antioxidant activity because of their strong hydrogen-</w:t>
      </w:r>
      <w:r w:rsidRPr="000827BC">
        <w:lastRenderedPageBreak/>
        <w:t>donating ability and free radical–scavenging potential.</w:t>
      </w:r>
      <w:r w:rsidR="00322F7B" w:rsidRPr="000827BC">
        <w:t xml:space="preserve"> Polyphenols exhibit potent antioxidant activity by donating hydrogen atoms and neutralizing free radicals, thereby preventing oxidative cellular damage. Such mechanisms explain the high DPPH and FRAP activity exhibited by Moringa methanolic extracts (</w:t>
      </w:r>
      <w:proofErr w:type="spellStart"/>
      <w:r w:rsidR="00322F7B" w:rsidRPr="000827BC">
        <w:t>Alhakmani</w:t>
      </w:r>
      <w:proofErr w:type="spellEnd"/>
      <w:r w:rsidR="00322F7B" w:rsidRPr="000827BC">
        <w:t xml:space="preserve"> </w:t>
      </w:r>
      <w:r w:rsidR="00322F7B" w:rsidRPr="000827BC">
        <w:rPr>
          <w:i/>
        </w:rPr>
        <w:t>et al.,</w:t>
      </w:r>
      <w:r w:rsidR="00322F7B" w:rsidRPr="000827BC">
        <w:t xml:space="preserve"> 2020).</w:t>
      </w:r>
      <w:r w:rsidRPr="000827BC">
        <w:t xml:space="preserve"> The higher TPC value observed in MO-M suggests that methanol selectively extracts more antioxidant-rich secondary metabolites, whereas water extracts a broader but less phenolic-dense profile of hydrophilic components.</w:t>
      </w:r>
    </w:p>
    <w:p w14:paraId="03FBCE9F" w14:textId="77777777" w:rsidR="00640B92" w:rsidRDefault="00640B92" w:rsidP="00387471">
      <w:pPr>
        <w:pStyle w:val="Heading3"/>
        <w:spacing w:line="360" w:lineRule="auto"/>
        <w:ind w:left="-993" w:right="-291"/>
        <w:jc w:val="both"/>
        <w:rPr>
          <w:rStyle w:val="Strong"/>
          <w:rFonts w:ascii="Times New Roman" w:hAnsi="Times New Roman" w:cs="Times New Roman"/>
          <w:bCs/>
          <w:color w:val="auto"/>
          <w:sz w:val="24"/>
          <w:szCs w:val="24"/>
        </w:rPr>
      </w:pPr>
      <w:r w:rsidRPr="000827BC">
        <w:rPr>
          <w:rStyle w:val="Strong"/>
          <w:rFonts w:ascii="Times New Roman" w:hAnsi="Times New Roman" w:cs="Times New Roman"/>
          <w:b/>
          <w:bCs/>
          <w:color w:val="auto"/>
          <w:sz w:val="24"/>
          <w:szCs w:val="24"/>
        </w:rPr>
        <w:t xml:space="preserve">Table 4. </w:t>
      </w:r>
      <w:r w:rsidRPr="000827BC">
        <w:rPr>
          <w:rStyle w:val="Strong"/>
          <w:rFonts w:ascii="Times New Roman" w:hAnsi="Times New Roman" w:cs="Times New Roman"/>
          <w:bCs/>
          <w:color w:val="auto"/>
          <w:sz w:val="24"/>
          <w:szCs w:val="24"/>
        </w:rPr>
        <w:t xml:space="preserve">Total Phenolic Content of </w:t>
      </w:r>
      <w:r w:rsidRPr="000827BC">
        <w:rPr>
          <w:rStyle w:val="Strong"/>
          <w:rFonts w:ascii="Times New Roman" w:hAnsi="Times New Roman" w:cs="Times New Roman"/>
          <w:bCs/>
          <w:i/>
          <w:color w:val="auto"/>
          <w:sz w:val="24"/>
          <w:szCs w:val="24"/>
        </w:rPr>
        <w:t>Moringa oleifera</w:t>
      </w:r>
      <w:r w:rsidRPr="000827BC">
        <w:rPr>
          <w:rStyle w:val="Strong"/>
          <w:rFonts w:ascii="Times New Roman" w:hAnsi="Times New Roman" w:cs="Times New Roman"/>
          <w:bCs/>
          <w:color w:val="auto"/>
          <w:sz w:val="24"/>
          <w:szCs w:val="24"/>
        </w:rPr>
        <w:t xml:space="preserve"> Extracts</w:t>
      </w:r>
      <w:r w:rsidR="00036A90" w:rsidRPr="000827BC">
        <w:rPr>
          <w:rStyle w:val="Strong"/>
          <w:rFonts w:ascii="Times New Roman" w:hAnsi="Times New Roman" w:cs="Times New Roman"/>
          <w:bCs/>
          <w:color w:val="auto"/>
          <w:sz w:val="24"/>
          <w:szCs w:val="24"/>
        </w:rPr>
        <w:t>.</w:t>
      </w:r>
    </w:p>
    <w:tbl>
      <w:tblPr>
        <w:tblW w:w="8820" w:type="dxa"/>
        <w:tblInd w:w="113" w:type="dxa"/>
        <w:tblLook w:val="04A0" w:firstRow="1" w:lastRow="0" w:firstColumn="1" w:lastColumn="0" w:noHBand="0" w:noVBand="1"/>
      </w:tblPr>
      <w:tblGrid>
        <w:gridCol w:w="1020"/>
        <w:gridCol w:w="3740"/>
        <w:gridCol w:w="4060"/>
      </w:tblGrid>
      <w:tr w:rsidR="00AE2F4A" w:rsidRPr="00AE2F4A" w14:paraId="4ED1D347" w14:textId="77777777" w:rsidTr="00AE2F4A">
        <w:trPr>
          <w:trHeight w:val="300"/>
        </w:trPr>
        <w:tc>
          <w:tcPr>
            <w:tcW w:w="1020" w:type="dxa"/>
            <w:tcBorders>
              <w:top w:val="single" w:sz="4" w:space="0" w:color="auto"/>
              <w:left w:val="single" w:sz="4" w:space="0" w:color="auto"/>
              <w:bottom w:val="single" w:sz="4" w:space="0" w:color="auto"/>
              <w:right w:val="single" w:sz="4" w:space="0" w:color="auto"/>
            </w:tcBorders>
            <w:vAlign w:val="center"/>
            <w:hideMark/>
          </w:tcPr>
          <w:p w14:paraId="56E804EE" w14:textId="77777777" w:rsidR="00AE2F4A" w:rsidRPr="00AE2F4A" w:rsidRDefault="00AE2F4A" w:rsidP="00AE2F4A">
            <w:pPr>
              <w:spacing w:after="0" w:line="240" w:lineRule="auto"/>
              <w:jc w:val="center"/>
              <w:rPr>
                <w:rFonts w:ascii="Cambria" w:eastAsia="Times New Roman" w:hAnsi="Cambria" w:cs="Calibri"/>
                <w:b/>
                <w:bCs/>
                <w:color w:val="000000"/>
                <w:sz w:val="24"/>
                <w:szCs w:val="24"/>
                <w:lang w:val="en-IN" w:eastAsia="en-IN"/>
              </w:rPr>
            </w:pPr>
            <w:r w:rsidRPr="00AE2F4A">
              <w:rPr>
                <w:rFonts w:ascii="Cambria" w:eastAsia="Times New Roman" w:hAnsi="Cambria" w:cs="Calibri"/>
                <w:b/>
                <w:bCs/>
                <w:color w:val="000000"/>
                <w:sz w:val="24"/>
                <w:szCs w:val="24"/>
                <w:lang w:eastAsia="en-IN"/>
              </w:rPr>
              <w:t>S. No.</w:t>
            </w:r>
          </w:p>
        </w:tc>
        <w:tc>
          <w:tcPr>
            <w:tcW w:w="3740" w:type="dxa"/>
            <w:tcBorders>
              <w:top w:val="single" w:sz="4" w:space="0" w:color="auto"/>
              <w:left w:val="nil"/>
              <w:bottom w:val="single" w:sz="4" w:space="0" w:color="auto"/>
              <w:right w:val="single" w:sz="4" w:space="0" w:color="auto"/>
            </w:tcBorders>
            <w:vAlign w:val="center"/>
            <w:hideMark/>
          </w:tcPr>
          <w:p w14:paraId="1E120D95" w14:textId="77777777" w:rsidR="00AE2F4A" w:rsidRPr="00AE2F4A" w:rsidRDefault="00AE2F4A" w:rsidP="00AE2F4A">
            <w:pPr>
              <w:spacing w:after="0" w:line="240" w:lineRule="auto"/>
              <w:jc w:val="center"/>
              <w:rPr>
                <w:rFonts w:ascii="Cambria" w:eastAsia="Times New Roman" w:hAnsi="Cambria" w:cs="Calibri"/>
                <w:b/>
                <w:bCs/>
                <w:color w:val="000000"/>
                <w:sz w:val="24"/>
                <w:szCs w:val="24"/>
                <w:lang w:val="en-IN" w:eastAsia="en-IN"/>
              </w:rPr>
            </w:pPr>
            <w:r w:rsidRPr="00AE2F4A">
              <w:rPr>
                <w:rFonts w:ascii="Cambria" w:eastAsia="Times New Roman" w:hAnsi="Cambria" w:cs="Calibri"/>
                <w:b/>
                <w:bCs/>
                <w:color w:val="000000"/>
                <w:sz w:val="24"/>
                <w:szCs w:val="24"/>
                <w:lang w:eastAsia="en-IN"/>
              </w:rPr>
              <w:t>Sample Code</w:t>
            </w:r>
          </w:p>
        </w:tc>
        <w:tc>
          <w:tcPr>
            <w:tcW w:w="4060" w:type="dxa"/>
            <w:tcBorders>
              <w:top w:val="single" w:sz="4" w:space="0" w:color="auto"/>
              <w:left w:val="nil"/>
              <w:bottom w:val="single" w:sz="4" w:space="0" w:color="auto"/>
              <w:right w:val="single" w:sz="4" w:space="0" w:color="auto"/>
            </w:tcBorders>
            <w:vAlign w:val="center"/>
            <w:hideMark/>
          </w:tcPr>
          <w:p w14:paraId="359FCEEB" w14:textId="77777777" w:rsidR="00AE2F4A" w:rsidRPr="00AE2F4A" w:rsidRDefault="00AE2F4A" w:rsidP="00AE2F4A">
            <w:pPr>
              <w:spacing w:after="0" w:line="240" w:lineRule="auto"/>
              <w:jc w:val="center"/>
              <w:rPr>
                <w:rFonts w:ascii="Cambria" w:eastAsia="Times New Roman" w:hAnsi="Cambria" w:cs="Calibri"/>
                <w:b/>
                <w:bCs/>
                <w:color w:val="000000"/>
                <w:sz w:val="24"/>
                <w:szCs w:val="24"/>
                <w:lang w:val="en-IN" w:eastAsia="en-IN"/>
              </w:rPr>
            </w:pPr>
            <w:r w:rsidRPr="00AE2F4A">
              <w:rPr>
                <w:rFonts w:ascii="Cambria" w:eastAsia="Times New Roman" w:hAnsi="Cambria" w:cs="Calibri"/>
                <w:b/>
                <w:bCs/>
                <w:color w:val="000000"/>
                <w:sz w:val="24"/>
                <w:szCs w:val="24"/>
                <w:lang w:eastAsia="en-IN"/>
              </w:rPr>
              <w:t>TPC (mg GAE/g)</w:t>
            </w:r>
          </w:p>
        </w:tc>
      </w:tr>
      <w:tr w:rsidR="00AE2F4A" w:rsidRPr="00AE2F4A" w14:paraId="1C5903A2" w14:textId="77777777" w:rsidTr="00AE2F4A">
        <w:trPr>
          <w:trHeight w:val="308"/>
        </w:trPr>
        <w:tc>
          <w:tcPr>
            <w:tcW w:w="1020" w:type="dxa"/>
            <w:tcBorders>
              <w:top w:val="nil"/>
              <w:left w:val="single" w:sz="4" w:space="0" w:color="auto"/>
              <w:bottom w:val="single" w:sz="4" w:space="0" w:color="auto"/>
              <w:right w:val="single" w:sz="4" w:space="0" w:color="auto"/>
            </w:tcBorders>
            <w:shd w:val="clear" w:color="000000" w:fill="F2F2F2"/>
            <w:vAlign w:val="center"/>
            <w:hideMark/>
          </w:tcPr>
          <w:p w14:paraId="62A336B0" w14:textId="77777777" w:rsidR="00AE2F4A" w:rsidRPr="00AE2F4A" w:rsidRDefault="00AE2F4A" w:rsidP="00AE2F4A">
            <w:pPr>
              <w:spacing w:after="0" w:line="240" w:lineRule="auto"/>
              <w:jc w:val="center"/>
              <w:rPr>
                <w:rFonts w:ascii="Times New Roman" w:eastAsia="Times New Roman" w:hAnsi="Times New Roman" w:cs="Times New Roman"/>
                <w:color w:val="000000"/>
                <w:sz w:val="24"/>
                <w:szCs w:val="24"/>
                <w:lang w:val="en-IN" w:eastAsia="en-IN"/>
              </w:rPr>
            </w:pPr>
            <w:r w:rsidRPr="00AE2F4A">
              <w:rPr>
                <w:rFonts w:ascii="Times New Roman" w:eastAsia="Times New Roman" w:hAnsi="Times New Roman" w:cs="Times New Roman"/>
                <w:color w:val="000000"/>
                <w:sz w:val="24"/>
                <w:szCs w:val="24"/>
                <w:lang w:eastAsia="en-IN"/>
              </w:rPr>
              <w:t>1</w:t>
            </w:r>
          </w:p>
        </w:tc>
        <w:tc>
          <w:tcPr>
            <w:tcW w:w="3740" w:type="dxa"/>
            <w:tcBorders>
              <w:top w:val="nil"/>
              <w:left w:val="nil"/>
              <w:bottom w:val="single" w:sz="4" w:space="0" w:color="auto"/>
              <w:right w:val="single" w:sz="4" w:space="0" w:color="auto"/>
            </w:tcBorders>
            <w:shd w:val="clear" w:color="000000" w:fill="F2F2F2"/>
            <w:vAlign w:val="center"/>
            <w:hideMark/>
          </w:tcPr>
          <w:p w14:paraId="2A75ED5C" w14:textId="77777777" w:rsidR="00AE2F4A" w:rsidRPr="00AE2F4A" w:rsidRDefault="00AE2F4A" w:rsidP="00AE2F4A">
            <w:pPr>
              <w:spacing w:after="0" w:line="240" w:lineRule="auto"/>
              <w:jc w:val="center"/>
              <w:rPr>
                <w:rFonts w:ascii="Times New Roman" w:eastAsia="Times New Roman" w:hAnsi="Times New Roman" w:cs="Times New Roman"/>
                <w:color w:val="000000"/>
                <w:sz w:val="24"/>
                <w:szCs w:val="24"/>
                <w:lang w:val="en-IN" w:eastAsia="en-IN"/>
              </w:rPr>
            </w:pPr>
            <w:r w:rsidRPr="00AE2F4A">
              <w:rPr>
                <w:rFonts w:ascii="Times New Roman" w:eastAsia="Times New Roman" w:hAnsi="Times New Roman" w:cs="Times New Roman"/>
                <w:color w:val="000000"/>
                <w:sz w:val="24"/>
                <w:szCs w:val="24"/>
                <w:lang w:eastAsia="en-IN"/>
              </w:rPr>
              <w:t>MO-M</w:t>
            </w:r>
          </w:p>
        </w:tc>
        <w:tc>
          <w:tcPr>
            <w:tcW w:w="4060" w:type="dxa"/>
            <w:tcBorders>
              <w:top w:val="nil"/>
              <w:left w:val="nil"/>
              <w:bottom w:val="single" w:sz="4" w:space="0" w:color="auto"/>
              <w:right w:val="single" w:sz="4" w:space="0" w:color="auto"/>
            </w:tcBorders>
            <w:shd w:val="clear" w:color="000000" w:fill="F2F2F2"/>
            <w:vAlign w:val="center"/>
            <w:hideMark/>
          </w:tcPr>
          <w:p w14:paraId="091F99B9" w14:textId="77777777" w:rsidR="00AE2F4A" w:rsidRPr="00AE2F4A" w:rsidRDefault="00AE2F4A" w:rsidP="00AE2F4A">
            <w:pPr>
              <w:spacing w:after="0" w:line="240" w:lineRule="auto"/>
              <w:jc w:val="center"/>
              <w:rPr>
                <w:rFonts w:ascii="Cambria" w:eastAsia="Times New Roman" w:hAnsi="Cambria" w:cs="Calibri"/>
                <w:color w:val="000000"/>
                <w:sz w:val="24"/>
                <w:szCs w:val="24"/>
                <w:lang w:val="en-IN" w:eastAsia="en-IN"/>
              </w:rPr>
            </w:pPr>
            <w:r w:rsidRPr="00AE2F4A">
              <w:rPr>
                <w:rFonts w:ascii="Cambria" w:eastAsia="Times New Roman" w:hAnsi="Cambria" w:cs="Calibri"/>
                <w:sz w:val="24"/>
                <w:szCs w:val="24"/>
                <w:lang w:eastAsia="en-IN"/>
              </w:rPr>
              <w:t>25.85 ± 0.62</w:t>
            </w:r>
          </w:p>
        </w:tc>
      </w:tr>
      <w:tr w:rsidR="00AE2F4A" w:rsidRPr="00AE2F4A" w14:paraId="3661F72A" w14:textId="77777777" w:rsidTr="00AE2F4A">
        <w:trPr>
          <w:trHeight w:val="308"/>
        </w:trPr>
        <w:tc>
          <w:tcPr>
            <w:tcW w:w="1020" w:type="dxa"/>
            <w:tcBorders>
              <w:top w:val="nil"/>
              <w:left w:val="single" w:sz="4" w:space="0" w:color="auto"/>
              <w:bottom w:val="single" w:sz="4" w:space="0" w:color="auto"/>
              <w:right w:val="single" w:sz="4" w:space="0" w:color="auto"/>
            </w:tcBorders>
            <w:vAlign w:val="center"/>
            <w:hideMark/>
          </w:tcPr>
          <w:p w14:paraId="1DED24E3" w14:textId="77777777" w:rsidR="00AE2F4A" w:rsidRPr="00AE2F4A" w:rsidRDefault="00AE2F4A" w:rsidP="00AE2F4A">
            <w:pPr>
              <w:spacing w:after="0" w:line="240" w:lineRule="auto"/>
              <w:jc w:val="center"/>
              <w:rPr>
                <w:rFonts w:ascii="Times New Roman" w:eastAsia="Times New Roman" w:hAnsi="Times New Roman" w:cs="Times New Roman"/>
                <w:color w:val="000000"/>
                <w:sz w:val="24"/>
                <w:szCs w:val="24"/>
                <w:lang w:val="en-IN" w:eastAsia="en-IN"/>
              </w:rPr>
            </w:pPr>
            <w:r w:rsidRPr="00AE2F4A">
              <w:rPr>
                <w:rFonts w:ascii="Times New Roman" w:eastAsia="Times New Roman" w:hAnsi="Times New Roman" w:cs="Times New Roman"/>
                <w:bCs/>
                <w:color w:val="000000"/>
                <w:sz w:val="24"/>
                <w:szCs w:val="24"/>
                <w:lang w:eastAsia="en-IN"/>
              </w:rPr>
              <w:t>2</w:t>
            </w:r>
          </w:p>
        </w:tc>
        <w:tc>
          <w:tcPr>
            <w:tcW w:w="3740" w:type="dxa"/>
            <w:tcBorders>
              <w:top w:val="nil"/>
              <w:left w:val="nil"/>
              <w:bottom w:val="single" w:sz="4" w:space="0" w:color="auto"/>
              <w:right w:val="single" w:sz="4" w:space="0" w:color="auto"/>
            </w:tcBorders>
            <w:vAlign w:val="center"/>
            <w:hideMark/>
          </w:tcPr>
          <w:p w14:paraId="2DACD36F" w14:textId="77777777" w:rsidR="00AE2F4A" w:rsidRPr="00AE2F4A" w:rsidRDefault="00AE2F4A" w:rsidP="00AE2F4A">
            <w:pPr>
              <w:spacing w:after="0" w:line="240" w:lineRule="auto"/>
              <w:jc w:val="center"/>
              <w:rPr>
                <w:rFonts w:ascii="Times New Roman" w:eastAsia="Times New Roman" w:hAnsi="Times New Roman" w:cs="Times New Roman"/>
                <w:color w:val="000000"/>
                <w:sz w:val="24"/>
                <w:szCs w:val="24"/>
                <w:lang w:val="en-IN" w:eastAsia="en-IN"/>
              </w:rPr>
            </w:pPr>
            <w:r w:rsidRPr="00AE2F4A">
              <w:rPr>
                <w:rFonts w:ascii="Times New Roman" w:eastAsia="Times New Roman" w:hAnsi="Times New Roman" w:cs="Times New Roman"/>
                <w:color w:val="000000"/>
                <w:sz w:val="24"/>
                <w:szCs w:val="24"/>
                <w:lang w:eastAsia="en-IN"/>
              </w:rPr>
              <w:t>MO-A</w:t>
            </w:r>
          </w:p>
        </w:tc>
        <w:tc>
          <w:tcPr>
            <w:tcW w:w="4060" w:type="dxa"/>
            <w:tcBorders>
              <w:top w:val="nil"/>
              <w:left w:val="nil"/>
              <w:bottom w:val="single" w:sz="4" w:space="0" w:color="auto"/>
              <w:right w:val="single" w:sz="4" w:space="0" w:color="auto"/>
            </w:tcBorders>
            <w:vAlign w:val="center"/>
            <w:hideMark/>
          </w:tcPr>
          <w:p w14:paraId="5A38214A" w14:textId="77777777" w:rsidR="00AE2F4A" w:rsidRPr="00AE2F4A" w:rsidRDefault="00AE2F4A" w:rsidP="00AE2F4A">
            <w:pPr>
              <w:spacing w:after="0" w:line="240" w:lineRule="auto"/>
              <w:jc w:val="center"/>
              <w:rPr>
                <w:rFonts w:ascii="Cambria" w:eastAsia="Times New Roman" w:hAnsi="Cambria" w:cs="Calibri"/>
                <w:color w:val="000000"/>
                <w:sz w:val="24"/>
                <w:szCs w:val="24"/>
                <w:lang w:val="en-IN" w:eastAsia="en-IN"/>
              </w:rPr>
            </w:pPr>
            <w:r w:rsidRPr="00AE2F4A">
              <w:rPr>
                <w:rFonts w:ascii="Cambria" w:eastAsia="Times New Roman" w:hAnsi="Cambria" w:cs="Calibri"/>
                <w:color w:val="000000"/>
                <w:sz w:val="24"/>
                <w:szCs w:val="24"/>
                <w:lang w:eastAsia="en-IN"/>
              </w:rPr>
              <w:t>17.21 ± 0.55</w:t>
            </w:r>
          </w:p>
        </w:tc>
      </w:tr>
    </w:tbl>
    <w:p w14:paraId="5B290464" w14:textId="77777777" w:rsidR="00640B92" w:rsidRPr="000827BC" w:rsidRDefault="00640B92" w:rsidP="00387471">
      <w:pPr>
        <w:pStyle w:val="NormalWeb"/>
        <w:spacing w:line="360" w:lineRule="auto"/>
        <w:ind w:left="-993" w:right="-291"/>
        <w:jc w:val="both"/>
      </w:pPr>
      <w:r w:rsidRPr="000827BC">
        <w:t>These results indicate that the methanolic extract contains significantly higher phenolic content than the aqueous extract, confirming its suitability for further antioxidant and HPLC-based analyses.</w:t>
      </w:r>
    </w:p>
    <w:p w14:paraId="6EB1730E" w14:textId="1EA0229D" w:rsidR="00E44891" w:rsidRPr="000827BC" w:rsidRDefault="00CA5C31" w:rsidP="00387471">
      <w:pPr>
        <w:pStyle w:val="NormalWeb"/>
        <w:spacing w:line="360" w:lineRule="auto"/>
        <w:ind w:left="-993" w:right="-291"/>
        <w:jc w:val="both"/>
        <w:rPr>
          <w:b/>
        </w:rPr>
      </w:pPr>
      <w:r w:rsidRPr="000827BC">
        <w:rPr>
          <w:b/>
        </w:rPr>
        <w:t xml:space="preserve"> </w:t>
      </w:r>
      <w:r w:rsidR="00EE6894" w:rsidRPr="000827BC">
        <w:rPr>
          <w:b/>
        </w:rPr>
        <w:t xml:space="preserve">3.3 </w:t>
      </w:r>
      <w:r w:rsidR="00EE6894" w:rsidRPr="000827BC">
        <w:rPr>
          <w:rStyle w:val="Strong"/>
        </w:rPr>
        <w:t>Total Flavonoid Content (TFC)</w:t>
      </w:r>
    </w:p>
    <w:p w14:paraId="2897DA39" w14:textId="5B5BC3B4" w:rsidR="00841BFD" w:rsidRPr="000827BC" w:rsidRDefault="00841BFD" w:rsidP="00387471">
      <w:pPr>
        <w:pStyle w:val="NormalWeb"/>
        <w:spacing w:line="360" w:lineRule="auto"/>
        <w:ind w:left="-993" w:right="-291"/>
        <w:jc w:val="both"/>
        <w:rPr>
          <w:b/>
        </w:rPr>
      </w:pPr>
      <w:r w:rsidRPr="000827BC">
        <w:t xml:space="preserve">The Total Flavonoid Content (TFC) of </w:t>
      </w:r>
      <w:r w:rsidRPr="000827BC">
        <w:rPr>
          <w:rStyle w:val="Emphasis"/>
        </w:rPr>
        <w:t>Moringa oleifera</w:t>
      </w:r>
      <w:r w:rsidRPr="000827BC">
        <w:t xml:space="preserve"> leaf extracts was determined using the </w:t>
      </w:r>
      <w:proofErr w:type="spellStart"/>
      <w:r w:rsidRPr="000827BC">
        <w:t>AlCl</w:t>
      </w:r>
      <w:proofErr w:type="spellEnd"/>
      <w:r w:rsidRPr="000827BC">
        <w:t>₃ colorimetric method, and the values were expressed as milligrams of Quercetin Equivalent per gram of extract (mg QE/g). Similar to the phenolic content, the methanolic extract (MO-M) demonstrated a higher flavonoid concentration compared to the aqueous extract (MO-A). This can be attributed to the enhanced solubility of flavonoids in methanol due to its intermediate polarity, which facilitates greater extraction of quercetin-type and other polyhydroxylated flavonoid structures. Flavonoids are known for their strong antioxidant capacity, metal-chelating behavior, and free radical–neutralizing potential. Therefore, the higher TFC value obtained in the methanolic extract suggests that methanol is more effective in isolating flavonoid-rich phytoconstituents essential for antioxidant and pharmacological activity.</w:t>
      </w:r>
    </w:p>
    <w:p w14:paraId="649B732E" w14:textId="77777777" w:rsidR="00841BFD" w:rsidRDefault="00841BFD" w:rsidP="00387471">
      <w:pPr>
        <w:pStyle w:val="Heading3"/>
        <w:spacing w:line="360" w:lineRule="auto"/>
        <w:ind w:left="-993" w:right="-291"/>
        <w:jc w:val="both"/>
        <w:rPr>
          <w:rStyle w:val="Strong"/>
          <w:rFonts w:ascii="Times New Roman" w:hAnsi="Times New Roman" w:cs="Times New Roman"/>
          <w:bCs/>
          <w:color w:val="auto"/>
          <w:sz w:val="24"/>
          <w:szCs w:val="24"/>
        </w:rPr>
      </w:pPr>
      <w:r w:rsidRPr="000827BC">
        <w:rPr>
          <w:rStyle w:val="Strong"/>
          <w:rFonts w:ascii="Times New Roman" w:hAnsi="Times New Roman" w:cs="Times New Roman"/>
          <w:b/>
          <w:bCs/>
          <w:color w:val="auto"/>
          <w:sz w:val="24"/>
          <w:szCs w:val="24"/>
        </w:rPr>
        <w:t>Table 5.</w:t>
      </w:r>
      <w:r w:rsidRPr="000827BC">
        <w:rPr>
          <w:rStyle w:val="Strong"/>
          <w:rFonts w:ascii="Times New Roman" w:hAnsi="Times New Roman" w:cs="Times New Roman"/>
          <w:bCs/>
          <w:color w:val="auto"/>
          <w:sz w:val="24"/>
          <w:szCs w:val="24"/>
        </w:rPr>
        <w:t xml:space="preserve"> Total Flavonoid Content of </w:t>
      </w:r>
      <w:r w:rsidRPr="000827BC">
        <w:rPr>
          <w:rStyle w:val="Strong"/>
          <w:rFonts w:ascii="Times New Roman" w:hAnsi="Times New Roman" w:cs="Times New Roman"/>
          <w:bCs/>
          <w:i/>
          <w:color w:val="auto"/>
          <w:sz w:val="24"/>
          <w:szCs w:val="24"/>
        </w:rPr>
        <w:t>Moringa oleifera</w:t>
      </w:r>
      <w:r w:rsidRPr="000827BC">
        <w:rPr>
          <w:rStyle w:val="Strong"/>
          <w:rFonts w:ascii="Times New Roman" w:hAnsi="Times New Roman" w:cs="Times New Roman"/>
          <w:bCs/>
          <w:color w:val="auto"/>
          <w:sz w:val="24"/>
          <w:szCs w:val="24"/>
        </w:rPr>
        <w:t xml:space="preserve"> Extracts</w:t>
      </w:r>
      <w:r w:rsidR="00036A90" w:rsidRPr="000827BC">
        <w:rPr>
          <w:rStyle w:val="Strong"/>
          <w:rFonts w:ascii="Times New Roman" w:hAnsi="Times New Roman" w:cs="Times New Roman"/>
          <w:bCs/>
          <w:color w:val="auto"/>
          <w:sz w:val="24"/>
          <w:szCs w:val="24"/>
        </w:rPr>
        <w:t>.</w:t>
      </w:r>
    </w:p>
    <w:tbl>
      <w:tblPr>
        <w:tblW w:w="8820" w:type="dxa"/>
        <w:tblInd w:w="118" w:type="dxa"/>
        <w:tblLook w:val="04A0" w:firstRow="1" w:lastRow="0" w:firstColumn="1" w:lastColumn="0" w:noHBand="0" w:noVBand="1"/>
      </w:tblPr>
      <w:tblGrid>
        <w:gridCol w:w="1020"/>
        <w:gridCol w:w="3740"/>
        <w:gridCol w:w="4060"/>
      </w:tblGrid>
      <w:tr w:rsidR="00AE2F4A" w:rsidRPr="00AE2F4A" w14:paraId="1DDA2AF8" w14:textId="77777777" w:rsidTr="00AE2F4A">
        <w:trPr>
          <w:trHeight w:val="308"/>
        </w:trPr>
        <w:tc>
          <w:tcPr>
            <w:tcW w:w="1020" w:type="dxa"/>
            <w:tcBorders>
              <w:top w:val="single" w:sz="8" w:space="0" w:color="BFBFBF"/>
              <w:left w:val="single" w:sz="8" w:space="0" w:color="BFBFBF"/>
              <w:bottom w:val="single" w:sz="8" w:space="0" w:color="BFBFBF"/>
              <w:right w:val="single" w:sz="8" w:space="0" w:color="BFBFBF"/>
            </w:tcBorders>
            <w:vAlign w:val="center"/>
            <w:hideMark/>
          </w:tcPr>
          <w:p w14:paraId="2A44C4AB" w14:textId="77777777" w:rsidR="00AE2F4A" w:rsidRPr="00AE2F4A" w:rsidRDefault="00AE2F4A" w:rsidP="00AE2F4A">
            <w:pPr>
              <w:spacing w:after="0" w:line="240" w:lineRule="auto"/>
              <w:jc w:val="center"/>
              <w:rPr>
                <w:rFonts w:ascii="Cambria" w:eastAsia="Times New Roman" w:hAnsi="Cambria" w:cs="Calibri"/>
                <w:b/>
                <w:bCs/>
                <w:color w:val="000000"/>
                <w:sz w:val="24"/>
                <w:szCs w:val="24"/>
                <w:lang w:val="en-IN" w:eastAsia="en-IN"/>
              </w:rPr>
            </w:pPr>
            <w:r w:rsidRPr="00AE2F4A">
              <w:rPr>
                <w:rFonts w:ascii="Cambria" w:eastAsia="Times New Roman" w:hAnsi="Cambria" w:cs="Calibri"/>
                <w:b/>
                <w:bCs/>
                <w:color w:val="000000"/>
                <w:sz w:val="24"/>
                <w:szCs w:val="24"/>
                <w:lang w:eastAsia="en-IN"/>
              </w:rPr>
              <w:t>S. No.</w:t>
            </w:r>
          </w:p>
        </w:tc>
        <w:tc>
          <w:tcPr>
            <w:tcW w:w="3740" w:type="dxa"/>
            <w:tcBorders>
              <w:top w:val="single" w:sz="8" w:space="0" w:color="BFBFBF"/>
              <w:left w:val="nil"/>
              <w:bottom w:val="single" w:sz="8" w:space="0" w:color="BFBFBF"/>
              <w:right w:val="single" w:sz="8" w:space="0" w:color="BFBFBF"/>
            </w:tcBorders>
            <w:vAlign w:val="center"/>
            <w:hideMark/>
          </w:tcPr>
          <w:p w14:paraId="2B399D8D" w14:textId="77777777" w:rsidR="00AE2F4A" w:rsidRPr="00AE2F4A" w:rsidRDefault="00AE2F4A" w:rsidP="00AE2F4A">
            <w:pPr>
              <w:spacing w:after="0" w:line="240" w:lineRule="auto"/>
              <w:jc w:val="center"/>
              <w:rPr>
                <w:rFonts w:ascii="Cambria" w:eastAsia="Times New Roman" w:hAnsi="Cambria" w:cs="Calibri"/>
                <w:b/>
                <w:bCs/>
                <w:color w:val="000000"/>
                <w:sz w:val="24"/>
                <w:szCs w:val="24"/>
                <w:lang w:val="en-IN" w:eastAsia="en-IN"/>
              </w:rPr>
            </w:pPr>
            <w:r w:rsidRPr="00AE2F4A">
              <w:rPr>
                <w:rFonts w:ascii="Cambria" w:eastAsia="Times New Roman" w:hAnsi="Cambria" w:cs="Calibri"/>
                <w:b/>
                <w:bCs/>
                <w:color w:val="000000"/>
                <w:sz w:val="24"/>
                <w:szCs w:val="24"/>
                <w:lang w:eastAsia="en-IN"/>
              </w:rPr>
              <w:t>Sample Code</w:t>
            </w:r>
          </w:p>
        </w:tc>
        <w:tc>
          <w:tcPr>
            <w:tcW w:w="4060" w:type="dxa"/>
            <w:tcBorders>
              <w:top w:val="single" w:sz="8" w:space="0" w:color="BFBFBF"/>
              <w:left w:val="nil"/>
              <w:bottom w:val="single" w:sz="8" w:space="0" w:color="BFBFBF"/>
              <w:right w:val="single" w:sz="8" w:space="0" w:color="BFBFBF"/>
            </w:tcBorders>
            <w:vAlign w:val="center"/>
            <w:hideMark/>
          </w:tcPr>
          <w:p w14:paraId="5C5E045C" w14:textId="77777777" w:rsidR="00AE2F4A" w:rsidRPr="00AE2F4A" w:rsidRDefault="00AE2F4A" w:rsidP="00AE2F4A">
            <w:pPr>
              <w:spacing w:after="0" w:line="240" w:lineRule="auto"/>
              <w:jc w:val="center"/>
              <w:rPr>
                <w:rFonts w:ascii="Cambria" w:eastAsia="Times New Roman" w:hAnsi="Cambria" w:cs="Calibri"/>
                <w:b/>
                <w:bCs/>
                <w:color w:val="000000"/>
                <w:sz w:val="24"/>
                <w:szCs w:val="24"/>
                <w:lang w:val="en-IN" w:eastAsia="en-IN"/>
              </w:rPr>
            </w:pPr>
            <w:r w:rsidRPr="00AE2F4A">
              <w:rPr>
                <w:rFonts w:ascii="Cambria" w:eastAsia="Times New Roman" w:hAnsi="Cambria" w:cs="Calibri"/>
                <w:b/>
                <w:bCs/>
                <w:color w:val="000000"/>
                <w:sz w:val="24"/>
                <w:szCs w:val="24"/>
                <w:lang w:eastAsia="en-IN"/>
              </w:rPr>
              <w:t>TFC (mg QE/g)</w:t>
            </w:r>
          </w:p>
        </w:tc>
      </w:tr>
      <w:tr w:rsidR="00AE2F4A" w:rsidRPr="00AE2F4A" w14:paraId="5FDA8371" w14:textId="77777777" w:rsidTr="00AE2F4A">
        <w:trPr>
          <w:trHeight w:val="315"/>
        </w:trPr>
        <w:tc>
          <w:tcPr>
            <w:tcW w:w="1020" w:type="dxa"/>
            <w:tcBorders>
              <w:top w:val="nil"/>
              <w:left w:val="single" w:sz="8" w:space="0" w:color="BFBFBF"/>
              <w:bottom w:val="single" w:sz="8" w:space="0" w:color="BFBFBF"/>
              <w:right w:val="single" w:sz="8" w:space="0" w:color="BFBFBF"/>
            </w:tcBorders>
            <w:shd w:val="clear" w:color="000000" w:fill="F2F2F2"/>
            <w:vAlign w:val="center"/>
            <w:hideMark/>
          </w:tcPr>
          <w:p w14:paraId="55AF34FF" w14:textId="77777777" w:rsidR="00AE2F4A" w:rsidRPr="00AE2F4A" w:rsidRDefault="00AE2F4A" w:rsidP="00AE2F4A">
            <w:pPr>
              <w:spacing w:after="0" w:line="240" w:lineRule="auto"/>
              <w:jc w:val="center"/>
              <w:rPr>
                <w:rFonts w:ascii="Times New Roman" w:eastAsia="Times New Roman" w:hAnsi="Times New Roman" w:cs="Times New Roman"/>
                <w:color w:val="000000"/>
                <w:sz w:val="24"/>
                <w:szCs w:val="24"/>
                <w:lang w:val="en-IN" w:eastAsia="en-IN"/>
              </w:rPr>
            </w:pPr>
            <w:r w:rsidRPr="00AE2F4A">
              <w:rPr>
                <w:rFonts w:ascii="Times New Roman" w:eastAsia="Times New Roman" w:hAnsi="Times New Roman" w:cs="Times New Roman"/>
                <w:color w:val="000000"/>
                <w:sz w:val="24"/>
                <w:szCs w:val="24"/>
                <w:lang w:eastAsia="en-IN"/>
              </w:rPr>
              <w:t>1</w:t>
            </w:r>
          </w:p>
        </w:tc>
        <w:tc>
          <w:tcPr>
            <w:tcW w:w="3740" w:type="dxa"/>
            <w:tcBorders>
              <w:top w:val="nil"/>
              <w:left w:val="nil"/>
              <w:bottom w:val="single" w:sz="8" w:space="0" w:color="BFBFBF"/>
              <w:right w:val="single" w:sz="8" w:space="0" w:color="BFBFBF"/>
            </w:tcBorders>
            <w:shd w:val="clear" w:color="000000" w:fill="F2F2F2"/>
            <w:vAlign w:val="center"/>
            <w:hideMark/>
          </w:tcPr>
          <w:p w14:paraId="3D9110B9" w14:textId="77777777" w:rsidR="00AE2F4A" w:rsidRPr="00AE2F4A" w:rsidRDefault="00AE2F4A" w:rsidP="00AE2F4A">
            <w:pPr>
              <w:spacing w:after="0" w:line="240" w:lineRule="auto"/>
              <w:jc w:val="center"/>
              <w:rPr>
                <w:rFonts w:ascii="Times New Roman" w:eastAsia="Times New Roman" w:hAnsi="Times New Roman" w:cs="Times New Roman"/>
                <w:color w:val="000000"/>
                <w:sz w:val="24"/>
                <w:szCs w:val="24"/>
                <w:lang w:val="en-IN" w:eastAsia="en-IN"/>
              </w:rPr>
            </w:pPr>
            <w:r w:rsidRPr="00AE2F4A">
              <w:rPr>
                <w:rFonts w:ascii="Times New Roman" w:eastAsia="Times New Roman" w:hAnsi="Times New Roman" w:cs="Times New Roman"/>
                <w:color w:val="000000"/>
                <w:sz w:val="24"/>
                <w:szCs w:val="24"/>
                <w:lang w:eastAsia="en-IN"/>
              </w:rPr>
              <w:t>MO-M</w:t>
            </w:r>
          </w:p>
        </w:tc>
        <w:tc>
          <w:tcPr>
            <w:tcW w:w="4060" w:type="dxa"/>
            <w:tcBorders>
              <w:top w:val="nil"/>
              <w:left w:val="nil"/>
              <w:bottom w:val="single" w:sz="8" w:space="0" w:color="BFBFBF"/>
              <w:right w:val="single" w:sz="8" w:space="0" w:color="BFBFBF"/>
            </w:tcBorders>
            <w:shd w:val="clear" w:color="000000" w:fill="F2F2F2"/>
            <w:vAlign w:val="center"/>
            <w:hideMark/>
          </w:tcPr>
          <w:p w14:paraId="013B6D3E" w14:textId="77777777" w:rsidR="00AE2F4A" w:rsidRPr="00AE2F4A" w:rsidRDefault="00AE2F4A" w:rsidP="00AE2F4A">
            <w:pPr>
              <w:spacing w:after="0" w:line="240" w:lineRule="auto"/>
              <w:jc w:val="center"/>
              <w:rPr>
                <w:rFonts w:ascii="Cambria" w:eastAsia="Times New Roman" w:hAnsi="Cambria" w:cs="Calibri"/>
                <w:color w:val="000000"/>
                <w:sz w:val="24"/>
                <w:szCs w:val="24"/>
                <w:lang w:val="en-IN" w:eastAsia="en-IN"/>
              </w:rPr>
            </w:pPr>
            <w:r w:rsidRPr="00AE2F4A">
              <w:rPr>
                <w:rFonts w:ascii="Cambria" w:eastAsia="Times New Roman" w:hAnsi="Cambria" w:cs="Calibri"/>
                <w:sz w:val="24"/>
                <w:szCs w:val="24"/>
                <w:lang w:eastAsia="en-IN"/>
              </w:rPr>
              <w:t>6.47 ± 0.43</w:t>
            </w:r>
          </w:p>
        </w:tc>
      </w:tr>
      <w:tr w:rsidR="00AE2F4A" w:rsidRPr="00AE2F4A" w14:paraId="5AA44BA9" w14:textId="77777777" w:rsidTr="00AE2F4A">
        <w:trPr>
          <w:trHeight w:val="315"/>
        </w:trPr>
        <w:tc>
          <w:tcPr>
            <w:tcW w:w="1020" w:type="dxa"/>
            <w:tcBorders>
              <w:top w:val="nil"/>
              <w:left w:val="single" w:sz="8" w:space="0" w:color="BFBFBF"/>
              <w:bottom w:val="single" w:sz="8" w:space="0" w:color="BFBFBF"/>
              <w:right w:val="single" w:sz="8" w:space="0" w:color="BFBFBF"/>
            </w:tcBorders>
            <w:vAlign w:val="center"/>
            <w:hideMark/>
          </w:tcPr>
          <w:p w14:paraId="5CF16E6D" w14:textId="77777777" w:rsidR="00AE2F4A" w:rsidRPr="00AE2F4A" w:rsidRDefault="00AE2F4A" w:rsidP="00AE2F4A">
            <w:pPr>
              <w:spacing w:after="0" w:line="240" w:lineRule="auto"/>
              <w:jc w:val="center"/>
              <w:rPr>
                <w:rFonts w:ascii="Times New Roman" w:eastAsia="Times New Roman" w:hAnsi="Times New Roman" w:cs="Times New Roman"/>
                <w:color w:val="000000"/>
                <w:sz w:val="24"/>
                <w:szCs w:val="24"/>
                <w:lang w:val="en-IN" w:eastAsia="en-IN"/>
              </w:rPr>
            </w:pPr>
            <w:r w:rsidRPr="00AE2F4A">
              <w:rPr>
                <w:rFonts w:ascii="Times New Roman" w:eastAsia="Times New Roman" w:hAnsi="Times New Roman" w:cs="Times New Roman"/>
                <w:color w:val="000000"/>
                <w:sz w:val="24"/>
                <w:szCs w:val="24"/>
                <w:lang w:eastAsia="en-IN"/>
              </w:rPr>
              <w:t>2</w:t>
            </w:r>
          </w:p>
        </w:tc>
        <w:tc>
          <w:tcPr>
            <w:tcW w:w="3740" w:type="dxa"/>
            <w:tcBorders>
              <w:top w:val="nil"/>
              <w:left w:val="nil"/>
              <w:bottom w:val="single" w:sz="8" w:space="0" w:color="BFBFBF"/>
              <w:right w:val="single" w:sz="8" w:space="0" w:color="BFBFBF"/>
            </w:tcBorders>
            <w:vAlign w:val="center"/>
            <w:hideMark/>
          </w:tcPr>
          <w:p w14:paraId="352631E0" w14:textId="77777777" w:rsidR="00AE2F4A" w:rsidRPr="00AE2F4A" w:rsidRDefault="00AE2F4A" w:rsidP="00AE2F4A">
            <w:pPr>
              <w:spacing w:after="0" w:line="240" w:lineRule="auto"/>
              <w:jc w:val="center"/>
              <w:rPr>
                <w:rFonts w:ascii="Times New Roman" w:eastAsia="Times New Roman" w:hAnsi="Times New Roman" w:cs="Times New Roman"/>
                <w:color w:val="000000"/>
                <w:sz w:val="24"/>
                <w:szCs w:val="24"/>
                <w:lang w:val="en-IN" w:eastAsia="en-IN"/>
              </w:rPr>
            </w:pPr>
            <w:r w:rsidRPr="00AE2F4A">
              <w:rPr>
                <w:rFonts w:ascii="Times New Roman" w:eastAsia="Times New Roman" w:hAnsi="Times New Roman" w:cs="Times New Roman"/>
                <w:color w:val="000000"/>
                <w:sz w:val="24"/>
                <w:szCs w:val="24"/>
                <w:lang w:eastAsia="en-IN"/>
              </w:rPr>
              <w:t>MO-A</w:t>
            </w:r>
          </w:p>
        </w:tc>
        <w:tc>
          <w:tcPr>
            <w:tcW w:w="4060" w:type="dxa"/>
            <w:tcBorders>
              <w:top w:val="nil"/>
              <w:left w:val="nil"/>
              <w:bottom w:val="single" w:sz="8" w:space="0" w:color="BFBFBF"/>
              <w:right w:val="single" w:sz="8" w:space="0" w:color="BFBFBF"/>
            </w:tcBorders>
            <w:vAlign w:val="center"/>
            <w:hideMark/>
          </w:tcPr>
          <w:p w14:paraId="155435E5" w14:textId="77777777" w:rsidR="00AE2F4A" w:rsidRPr="00AE2F4A" w:rsidRDefault="00AE2F4A" w:rsidP="00AE2F4A">
            <w:pPr>
              <w:spacing w:after="0" w:line="240" w:lineRule="auto"/>
              <w:jc w:val="center"/>
              <w:rPr>
                <w:rFonts w:ascii="Cambria" w:eastAsia="Times New Roman" w:hAnsi="Cambria" w:cs="Calibri"/>
                <w:color w:val="000000"/>
                <w:sz w:val="24"/>
                <w:szCs w:val="24"/>
                <w:lang w:val="en-IN" w:eastAsia="en-IN"/>
              </w:rPr>
            </w:pPr>
            <w:r w:rsidRPr="00AE2F4A">
              <w:rPr>
                <w:rFonts w:ascii="Cambria" w:eastAsia="Times New Roman" w:hAnsi="Cambria" w:cs="Calibri"/>
                <w:color w:val="000000"/>
                <w:sz w:val="24"/>
                <w:szCs w:val="24"/>
                <w:lang w:eastAsia="en-IN"/>
              </w:rPr>
              <w:t>3.85 ± 0.22</w:t>
            </w:r>
          </w:p>
        </w:tc>
      </w:tr>
    </w:tbl>
    <w:p w14:paraId="0C49E7FC" w14:textId="77777777" w:rsidR="00841BFD" w:rsidRPr="000827BC" w:rsidRDefault="00841BFD" w:rsidP="00387471">
      <w:pPr>
        <w:pStyle w:val="NormalWeb"/>
        <w:spacing w:line="360" w:lineRule="auto"/>
        <w:ind w:left="-993" w:right="-291"/>
        <w:jc w:val="both"/>
      </w:pPr>
      <w:r w:rsidRPr="000827BC">
        <w:lastRenderedPageBreak/>
        <w:t xml:space="preserve">These findings confirm that the methanolic extract contains a significantly higher flavonoid content than the aqueous extract, supporting the use of methanol for extracting antioxidant-rich compounds from </w:t>
      </w:r>
      <w:r w:rsidRPr="000827BC">
        <w:rPr>
          <w:rStyle w:val="Emphasis"/>
        </w:rPr>
        <w:t>Moringa oleifera</w:t>
      </w:r>
      <w:r w:rsidRPr="000827BC">
        <w:t xml:space="preserve"> leaves.</w:t>
      </w:r>
    </w:p>
    <w:p w14:paraId="17B1E976" w14:textId="77777777" w:rsidR="009729B1" w:rsidRDefault="009729B1">
      <w:pPr>
        <w:rPr>
          <w:rFonts w:ascii="Times New Roman" w:eastAsia="Times New Roman" w:hAnsi="Times New Roman" w:cs="Times New Roman"/>
          <w:b/>
          <w:sz w:val="24"/>
          <w:szCs w:val="24"/>
        </w:rPr>
      </w:pPr>
      <w:r>
        <w:rPr>
          <w:b/>
        </w:rPr>
        <w:br w:type="page"/>
      </w:r>
    </w:p>
    <w:p w14:paraId="0A5567B9" w14:textId="30D5DDFC" w:rsidR="0078221C" w:rsidRPr="000827BC" w:rsidRDefault="0078221C" w:rsidP="00387471">
      <w:pPr>
        <w:pStyle w:val="NormalWeb"/>
        <w:spacing w:line="360" w:lineRule="auto"/>
        <w:ind w:left="-993" w:right="-291"/>
        <w:jc w:val="both"/>
        <w:rPr>
          <w:b/>
        </w:rPr>
      </w:pPr>
      <w:r w:rsidRPr="000827BC">
        <w:rPr>
          <w:b/>
        </w:rPr>
        <w:lastRenderedPageBreak/>
        <w:t>3.4 Quantification of Gallic Acid</w:t>
      </w:r>
    </w:p>
    <w:p w14:paraId="0978C807" w14:textId="0C75B263" w:rsidR="003F2B58" w:rsidRDefault="003F2B58" w:rsidP="00387471">
      <w:pPr>
        <w:pStyle w:val="Heading3"/>
        <w:spacing w:line="360" w:lineRule="auto"/>
        <w:ind w:left="-993" w:right="-291"/>
        <w:jc w:val="both"/>
        <w:rPr>
          <w:rStyle w:val="Emphasis"/>
          <w:rFonts w:ascii="Times New Roman" w:hAnsi="Times New Roman" w:cs="Times New Roman"/>
          <w:b w:val="0"/>
          <w:color w:val="000000" w:themeColor="text1"/>
          <w:sz w:val="24"/>
          <w:szCs w:val="24"/>
        </w:rPr>
      </w:pPr>
      <w:r w:rsidRPr="000827BC">
        <w:rPr>
          <w:rStyle w:val="Strong"/>
          <w:rFonts w:ascii="Times New Roman" w:hAnsi="Times New Roman" w:cs="Times New Roman"/>
          <w:b/>
          <w:bCs/>
          <w:color w:val="000000" w:themeColor="text1"/>
          <w:sz w:val="24"/>
          <w:szCs w:val="24"/>
        </w:rPr>
        <w:t xml:space="preserve">Table </w:t>
      </w:r>
      <w:r w:rsidR="000D614F">
        <w:rPr>
          <w:rStyle w:val="Strong"/>
          <w:rFonts w:ascii="Times New Roman" w:hAnsi="Times New Roman" w:cs="Times New Roman"/>
          <w:b/>
          <w:bCs/>
          <w:color w:val="000000" w:themeColor="text1"/>
          <w:sz w:val="24"/>
          <w:szCs w:val="24"/>
        </w:rPr>
        <w:t>6</w:t>
      </w:r>
      <w:r w:rsidRPr="000827BC">
        <w:rPr>
          <w:rStyle w:val="Strong"/>
          <w:rFonts w:ascii="Times New Roman" w:hAnsi="Times New Roman" w:cs="Times New Roman"/>
          <w:b/>
          <w:bCs/>
          <w:color w:val="000000" w:themeColor="text1"/>
          <w:sz w:val="24"/>
          <w:szCs w:val="24"/>
        </w:rPr>
        <w:t xml:space="preserve">. </w:t>
      </w:r>
      <w:r w:rsidRPr="000827BC">
        <w:rPr>
          <w:rStyle w:val="Strong"/>
          <w:rFonts w:ascii="Times New Roman" w:hAnsi="Times New Roman" w:cs="Times New Roman"/>
          <w:bCs/>
          <w:color w:val="000000" w:themeColor="text1"/>
          <w:sz w:val="24"/>
          <w:szCs w:val="24"/>
        </w:rPr>
        <w:t xml:space="preserve">HPLC Determination of Gallic Acid Content in Methanolic and Aqueous Extracts of </w:t>
      </w:r>
      <w:r w:rsidRPr="000827BC">
        <w:rPr>
          <w:rStyle w:val="Emphasis"/>
          <w:rFonts w:ascii="Times New Roman" w:hAnsi="Times New Roman" w:cs="Times New Roman"/>
          <w:b w:val="0"/>
          <w:color w:val="000000" w:themeColor="text1"/>
          <w:sz w:val="24"/>
          <w:szCs w:val="24"/>
        </w:rPr>
        <w:t>Moringa oleifera</w:t>
      </w:r>
      <w:r w:rsidR="00036A90" w:rsidRPr="000827BC">
        <w:rPr>
          <w:rStyle w:val="Emphasis"/>
          <w:rFonts w:ascii="Times New Roman" w:hAnsi="Times New Roman" w:cs="Times New Roman"/>
          <w:b w:val="0"/>
          <w:color w:val="000000" w:themeColor="text1"/>
          <w:sz w:val="24"/>
          <w:szCs w:val="24"/>
        </w:rPr>
        <w:t>.</w:t>
      </w:r>
    </w:p>
    <w:tbl>
      <w:tblPr>
        <w:tblW w:w="8066" w:type="dxa"/>
        <w:jc w:val="center"/>
        <w:tblLook w:val="04A0" w:firstRow="1" w:lastRow="0" w:firstColumn="1" w:lastColumn="0" w:noHBand="0" w:noVBand="1"/>
      </w:tblPr>
      <w:tblGrid>
        <w:gridCol w:w="769"/>
        <w:gridCol w:w="2705"/>
        <w:gridCol w:w="2896"/>
        <w:gridCol w:w="1696"/>
      </w:tblGrid>
      <w:tr w:rsidR="009729B1" w:rsidRPr="009729B1" w14:paraId="53242F3E" w14:textId="77777777" w:rsidTr="009729B1">
        <w:trPr>
          <w:trHeight w:val="583"/>
          <w:jc w:val="center"/>
        </w:trPr>
        <w:tc>
          <w:tcPr>
            <w:tcW w:w="795" w:type="dxa"/>
            <w:vMerge w:val="restart"/>
            <w:tcBorders>
              <w:top w:val="single" w:sz="8" w:space="0" w:color="BFBFBF"/>
              <w:left w:val="single" w:sz="8" w:space="0" w:color="BFBFBF"/>
              <w:bottom w:val="nil"/>
              <w:right w:val="single" w:sz="8" w:space="0" w:color="BFBFBF"/>
            </w:tcBorders>
            <w:vAlign w:val="center"/>
            <w:hideMark/>
          </w:tcPr>
          <w:p w14:paraId="07CB08EF" w14:textId="77777777" w:rsidR="009729B1" w:rsidRPr="009729B1" w:rsidRDefault="009729B1" w:rsidP="009729B1">
            <w:pPr>
              <w:spacing w:after="0" w:line="240" w:lineRule="auto"/>
              <w:jc w:val="center"/>
              <w:rPr>
                <w:rFonts w:ascii="Times New Roman" w:eastAsia="Times New Roman" w:hAnsi="Times New Roman" w:cs="Times New Roman"/>
                <w:b/>
                <w:bCs/>
                <w:color w:val="000000"/>
                <w:sz w:val="24"/>
                <w:szCs w:val="24"/>
                <w:lang w:val="en-IN" w:eastAsia="en-IN"/>
              </w:rPr>
            </w:pPr>
            <w:r w:rsidRPr="009729B1">
              <w:rPr>
                <w:rFonts w:ascii="Times New Roman" w:eastAsia="Times New Roman" w:hAnsi="Times New Roman" w:cs="Times New Roman"/>
                <w:b/>
                <w:bCs/>
                <w:color w:val="000000"/>
                <w:sz w:val="24"/>
                <w:szCs w:val="24"/>
                <w:lang w:eastAsia="en-IN"/>
              </w:rPr>
              <w:t>S. No</w:t>
            </w:r>
          </w:p>
        </w:tc>
        <w:tc>
          <w:tcPr>
            <w:tcW w:w="2875" w:type="dxa"/>
            <w:vMerge w:val="restart"/>
            <w:tcBorders>
              <w:top w:val="single" w:sz="8" w:space="0" w:color="BFBFBF"/>
              <w:left w:val="single" w:sz="8" w:space="0" w:color="BFBFBF"/>
              <w:bottom w:val="single" w:sz="8" w:space="0" w:color="BFBFBF"/>
              <w:right w:val="single" w:sz="8" w:space="0" w:color="BFBFBF"/>
            </w:tcBorders>
            <w:vAlign w:val="center"/>
            <w:hideMark/>
          </w:tcPr>
          <w:p w14:paraId="13225FCA" w14:textId="77777777" w:rsidR="009729B1" w:rsidRPr="009729B1" w:rsidRDefault="009729B1" w:rsidP="009729B1">
            <w:pPr>
              <w:spacing w:after="0" w:line="240" w:lineRule="auto"/>
              <w:jc w:val="center"/>
              <w:rPr>
                <w:rFonts w:ascii="Times New Roman" w:eastAsia="Times New Roman" w:hAnsi="Times New Roman" w:cs="Times New Roman"/>
                <w:b/>
                <w:bCs/>
                <w:color w:val="000000"/>
                <w:sz w:val="24"/>
                <w:szCs w:val="24"/>
                <w:lang w:val="en-IN" w:eastAsia="en-IN"/>
              </w:rPr>
            </w:pPr>
            <w:r w:rsidRPr="009729B1">
              <w:rPr>
                <w:rFonts w:ascii="Times New Roman" w:eastAsia="Times New Roman" w:hAnsi="Times New Roman" w:cs="Times New Roman"/>
                <w:b/>
                <w:bCs/>
                <w:color w:val="000000"/>
                <w:sz w:val="24"/>
                <w:szCs w:val="24"/>
                <w:lang w:eastAsia="en-IN"/>
              </w:rPr>
              <w:t>Sample Code</w:t>
            </w:r>
          </w:p>
        </w:tc>
        <w:tc>
          <w:tcPr>
            <w:tcW w:w="3104" w:type="dxa"/>
            <w:vMerge w:val="restart"/>
            <w:tcBorders>
              <w:top w:val="single" w:sz="8" w:space="0" w:color="BFBFBF"/>
              <w:left w:val="single" w:sz="8" w:space="0" w:color="BFBFBF"/>
              <w:bottom w:val="single" w:sz="8" w:space="0" w:color="BFBFBF"/>
              <w:right w:val="single" w:sz="8" w:space="0" w:color="BFBFBF"/>
            </w:tcBorders>
            <w:vAlign w:val="center"/>
            <w:hideMark/>
          </w:tcPr>
          <w:p w14:paraId="28C18D3E" w14:textId="77777777" w:rsidR="009729B1" w:rsidRPr="009729B1" w:rsidRDefault="009729B1" w:rsidP="009729B1">
            <w:pPr>
              <w:spacing w:after="0" w:line="240" w:lineRule="auto"/>
              <w:jc w:val="center"/>
              <w:rPr>
                <w:rFonts w:ascii="Times New Roman" w:eastAsia="Times New Roman" w:hAnsi="Times New Roman" w:cs="Times New Roman"/>
                <w:b/>
                <w:bCs/>
                <w:color w:val="000000"/>
                <w:sz w:val="24"/>
                <w:szCs w:val="24"/>
                <w:lang w:val="en-IN" w:eastAsia="en-IN"/>
              </w:rPr>
            </w:pPr>
            <w:r w:rsidRPr="009729B1">
              <w:rPr>
                <w:rFonts w:ascii="Times New Roman" w:eastAsia="Times New Roman" w:hAnsi="Times New Roman" w:cs="Times New Roman"/>
                <w:b/>
                <w:bCs/>
                <w:color w:val="000000"/>
                <w:sz w:val="24"/>
                <w:szCs w:val="24"/>
                <w:lang w:eastAsia="en-IN"/>
              </w:rPr>
              <w:t>RT (min)</w:t>
            </w:r>
          </w:p>
        </w:tc>
        <w:tc>
          <w:tcPr>
            <w:tcW w:w="1292" w:type="dxa"/>
            <w:tcBorders>
              <w:top w:val="single" w:sz="8" w:space="0" w:color="BFBFBF"/>
              <w:left w:val="nil"/>
              <w:bottom w:val="nil"/>
              <w:right w:val="single" w:sz="8" w:space="0" w:color="BFBFBF"/>
            </w:tcBorders>
            <w:vAlign w:val="center"/>
            <w:hideMark/>
          </w:tcPr>
          <w:p w14:paraId="24545A98" w14:textId="77777777" w:rsidR="009729B1" w:rsidRPr="009729B1" w:rsidRDefault="009729B1" w:rsidP="009729B1">
            <w:pPr>
              <w:spacing w:after="0" w:line="240" w:lineRule="auto"/>
              <w:jc w:val="center"/>
              <w:rPr>
                <w:rFonts w:ascii="Times New Roman" w:eastAsia="Times New Roman" w:hAnsi="Times New Roman" w:cs="Times New Roman"/>
                <w:b/>
                <w:bCs/>
                <w:color w:val="000000"/>
                <w:sz w:val="24"/>
                <w:szCs w:val="24"/>
                <w:lang w:val="en-IN" w:eastAsia="en-IN"/>
              </w:rPr>
            </w:pPr>
            <w:r w:rsidRPr="009729B1">
              <w:rPr>
                <w:rFonts w:ascii="Times New Roman" w:eastAsia="Times New Roman" w:hAnsi="Times New Roman" w:cs="Times New Roman"/>
                <w:b/>
                <w:bCs/>
                <w:color w:val="000000"/>
                <w:sz w:val="24"/>
                <w:szCs w:val="24"/>
                <w:lang w:eastAsia="en-IN"/>
              </w:rPr>
              <w:t>Concentration</w:t>
            </w:r>
          </w:p>
        </w:tc>
      </w:tr>
      <w:tr w:rsidR="009729B1" w:rsidRPr="009729B1" w14:paraId="173CF09E" w14:textId="77777777" w:rsidTr="009729B1">
        <w:trPr>
          <w:trHeight w:val="34"/>
          <w:jc w:val="center"/>
        </w:trPr>
        <w:tc>
          <w:tcPr>
            <w:tcW w:w="795" w:type="dxa"/>
            <w:vMerge/>
            <w:tcBorders>
              <w:top w:val="single" w:sz="8" w:space="0" w:color="BFBFBF"/>
              <w:left w:val="single" w:sz="8" w:space="0" w:color="BFBFBF"/>
              <w:bottom w:val="nil"/>
              <w:right w:val="single" w:sz="8" w:space="0" w:color="BFBFBF"/>
            </w:tcBorders>
            <w:vAlign w:val="center"/>
            <w:hideMark/>
          </w:tcPr>
          <w:p w14:paraId="2E3535F1" w14:textId="77777777" w:rsidR="009729B1" w:rsidRPr="009729B1" w:rsidRDefault="009729B1" w:rsidP="009729B1">
            <w:pPr>
              <w:spacing w:after="0" w:line="240" w:lineRule="auto"/>
              <w:rPr>
                <w:rFonts w:ascii="Times New Roman" w:eastAsia="Times New Roman" w:hAnsi="Times New Roman" w:cs="Times New Roman"/>
                <w:b/>
                <w:bCs/>
                <w:color w:val="000000"/>
                <w:sz w:val="24"/>
                <w:szCs w:val="24"/>
                <w:lang w:val="en-IN" w:eastAsia="en-IN"/>
              </w:rPr>
            </w:pPr>
          </w:p>
        </w:tc>
        <w:tc>
          <w:tcPr>
            <w:tcW w:w="2875" w:type="dxa"/>
            <w:vMerge/>
            <w:tcBorders>
              <w:top w:val="single" w:sz="8" w:space="0" w:color="BFBFBF"/>
              <w:left w:val="single" w:sz="8" w:space="0" w:color="BFBFBF"/>
              <w:bottom w:val="single" w:sz="8" w:space="0" w:color="BFBFBF"/>
              <w:right w:val="single" w:sz="8" w:space="0" w:color="BFBFBF"/>
            </w:tcBorders>
            <w:vAlign w:val="center"/>
            <w:hideMark/>
          </w:tcPr>
          <w:p w14:paraId="4A631EEA" w14:textId="77777777" w:rsidR="009729B1" w:rsidRPr="009729B1" w:rsidRDefault="009729B1" w:rsidP="009729B1">
            <w:pPr>
              <w:spacing w:after="0" w:line="240" w:lineRule="auto"/>
              <w:rPr>
                <w:rFonts w:ascii="Times New Roman" w:eastAsia="Times New Roman" w:hAnsi="Times New Roman" w:cs="Times New Roman"/>
                <w:b/>
                <w:bCs/>
                <w:color w:val="000000"/>
                <w:sz w:val="24"/>
                <w:szCs w:val="24"/>
                <w:lang w:val="en-IN" w:eastAsia="en-IN"/>
              </w:rPr>
            </w:pPr>
          </w:p>
        </w:tc>
        <w:tc>
          <w:tcPr>
            <w:tcW w:w="3104" w:type="dxa"/>
            <w:vMerge/>
            <w:tcBorders>
              <w:top w:val="single" w:sz="8" w:space="0" w:color="BFBFBF"/>
              <w:left w:val="single" w:sz="8" w:space="0" w:color="BFBFBF"/>
              <w:bottom w:val="single" w:sz="8" w:space="0" w:color="BFBFBF"/>
              <w:right w:val="single" w:sz="8" w:space="0" w:color="BFBFBF"/>
            </w:tcBorders>
            <w:vAlign w:val="center"/>
            <w:hideMark/>
          </w:tcPr>
          <w:p w14:paraId="57A5D1F8" w14:textId="77777777" w:rsidR="009729B1" w:rsidRPr="009729B1" w:rsidRDefault="009729B1" w:rsidP="009729B1">
            <w:pPr>
              <w:spacing w:after="0" w:line="240" w:lineRule="auto"/>
              <w:rPr>
                <w:rFonts w:ascii="Times New Roman" w:eastAsia="Times New Roman" w:hAnsi="Times New Roman" w:cs="Times New Roman"/>
                <w:b/>
                <w:bCs/>
                <w:color w:val="000000"/>
                <w:sz w:val="24"/>
                <w:szCs w:val="24"/>
                <w:lang w:val="en-IN" w:eastAsia="en-IN"/>
              </w:rPr>
            </w:pPr>
          </w:p>
        </w:tc>
        <w:tc>
          <w:tcPr>
            <w:tcW w:w="1292" w:type="dxa"/>
            <w:tcBorders>
              <w:top w:val="nil"/>
              <w:left w:val="nil"/>
              <w:bottom w:val="single" w:sz="8" w:space="0" w:color="BFBFBF"/>
              <w:right w:val="single" w:sz="8" w:space="0" w:color="BFBFBF"/>
            </w:tcBorders>
            <w:vAlign w:val="center"/>
            <w:hideMark/>
          </w:tcPr>
          <w:p w14:paraId="0F750491" w14:textId="77777777" w:rsidR="009729B1" w:rsidRPr="009729B1" w:rsidRDefault="009729B1" w:rsidP="009729B1">
            <w:pPr>
              <w:spacing w:after="0" w:line="240" w:lineRule="auto"/>
              <w:rPr>
                <w:rFonts w:ascii="Times New Roman" w:eastAsia="Times New Roman" w:hAnsi="Times New Roman" w:cs="Times New Roman"/>
                <w:b/>
                <w:bCs/>
                <w:color w:val="000000"/>
                <w:sz w:val="24"/>
                <w:szCs w:val="24"/>
                <w:lang w:val="en-IN" w:eastAsia="en-IN"/>
              </w:rPr>
            </w:pPr>
            <w:r w:rsidRPr="009729B1">
              <w:rPr>
                <w:rFonts w:ascii="Times New Roman" w:eastAsia="Times New Roman" w:hAnsi="Times New Roman" w:cs="Times New Roman"/>
                <w:b/>
                <w:bCs/>
                <w:color w:val="000000"/>
                <w:sz w:val="24"/>
                <w:szCs w:val="24"/>
                <w:lang w:eastAsia="en-IN"/>
              </w:rPr>
              <w:t>(µg/mL)</w:t>
            </w:r>
          </w:p>
        </w:tc>
      </w:tr>
      <w:tr w:rsidR="009729B1" w:rsidRPr="009729B1" w14:paraId="4968680E" w14:textId="77777777" w:rsidTr="009729B1">
        <w:trPr>
          <w:trHeight w:val="298"/>
          <w:jc w:val="center"/>
        </w:trPr>
        <w:tc>
          <w:tcPr>
            <w:tcW w:w="79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7E78AE2" w14:textId="77777777" w:rsidR="009729B1" w:rsidRPr="009729B1" w:rsidRDefault="009729B1" w:rsidP="009729B1">
            <w:pPr>
              <w:spacing w:after="0" w:line="240" w:lineRule="auto"/>
              <w:jc w:val="center"/>
              <w:rPr>
                <w:rFonts w:ascii="Times New Roman" w:eastAsia="Times New Roman" w:hAnsi="Times New Roman" w:cs="Times New Roman"/>
                <w:color w:val="000000"/>
                <w:sz w:val="24"/>
                <w:szCs w:val="24"/>
                <w:lang w:val="en-IN" w:eastAsia="en-IN"/>
              </w:rPr>
            </w:pPr>
            <w:r w:rsidRPr="009729B1">
              <w:rPr>
                <w:rFonts w:ascii="Times New Roman" w:eastAsia="Times New Roman" w:hAnsi="Times New Roman" w:cs="Times New Roman"/>
                <w:color w:val="000000"/>
                <w:sz w:val="24"/>
                <w:szCs w:val="24"/>
                <w:lang w:eastAsia="en-IN"/>
              </w:rPr>
              <w:t>1</w:t>
            </w:r>
          </w:p>
        </w:tc>
        <w:tc>
          <w:tcPr>
            <w:tcW w:w="2875" w:type="dxa"/>
            <w:tcBorders>
              <w:top w:val="nil"/>
              <w:left w:val="nil"/>
              <w:bottom w:val="single" w:sz="8" w:space="0" w:color="BFBFBF"/>
              <w:right w:val="single" w:sz="8" w:space="0" w:color="BFBFBF"/>
            </w:tcBorders>
            <w:shd w:val="clear" w:color="000000" w:fill="F2F2F2"/>
            <w:vAlign w:val="center"/>
            <w:hideMark/>
          </w:tcPr>
          <w:p w14:paraId="28C7BD65" w14:textId="77777777" w:rsidR="009729B1" w:rsidRPr="009729B1" w:rsidRDefault="009729B1" w:rsidP="009729B1">
            <w:pPr>
              <w:spacing w:after="0" w:line="240" w:lineRule="auto"/>
              <w:jc w:val="center"/>
              <w:rPr>
                <w:rFonts w:ascii="Times New Roman" w:eastAsia="Times New Roman" w:hAnsi="Times New Roman" w:cs="Times New Roman"/>
                <w:color w:val="000000"/>
                <w:sz w:val="24"/>
                <w:szCs w:val="24"/>
                <w:lang w:val="en-IN" w:eastAsia="en-IN"/>
              </w:rPr>
            </w:pPr>
            <w:r w:rsidRPr="009729B1">
              <w:rPr>
                <w:rFonts w:ascii="Times New Roman" w:eastAsia="Times New Roman" w:hAnsi="Times New Roman" w:cs="Times New Roman"/>
                <w:color w:val="000000"/>
                <w:sz w:val="24"/>
                <w:szCs w:val="24"/>
                <w:lang w:eastAsia="en-IN"/>
              </w:rPr>
              <w:t>MO-A</w:t>
            </w:r>
          </w:p>
        </w:tc>
        <w:tc>
          <w:tcPr>
            <w:tcW w:w="3104" w:type="dxa"/>
            <w:tcBorders>
              <w:top w:val="nil"/>
              <w:left w:val="nil"/>
              <w:bottom w:val="single" w:sz="8" w:space="0" w:color="BFBFBF"/>
              <w:right w:val="single" w:sz="8" w:space="0" w:color="BFBFBF"/>
            </w:tcBorders>
            <w:shd w:val="clear" w:color="000000" w:fill="F2F2F2"/>
            <w:vAlign w:val="center"/>
            <w:hideMark/>
          </w:tcPr>
          <w:p w14:paraId="11B99580" w14:textId="77777777" w:rsidR="009729B1" w:rsidRPr="009729B1" w:rsidRDefault="009729B1" w:rsidP="009729B1">
            <w:pPr>
              <w:spacing w:after="0" w:line="240" w:lineRule="auto"/>
              <w:jc w:val="center"/>
              <w:rPr>
                <w:rFonts w:ascii="Times New Roman" w:eastAsia="Times New Roman" w:hAnsi="Times New Roman" w:cs="Times New Roman"/>
                <w:color w:val="000000"/>
                <w:sz w:val="24"/>
                <w:szCs w:val="24"/>
                <w:lang w:val="en-IN" w:eastAsia="en-IN"/>
              </w:rPr>
            </w:pPr>
            <w:r w:rsidRPr="009729B1">
              <w:rPr>
                <w:rFonts w:ascii="Times New Roman" w:eastAsia="Times New Roman" w:hAnsi="Times New Roman" w:cs="Times New Roman"/>
                <w:color w:val="000000"/>
                <w:sz w:val="24"/>
                <w:szCs w:val="24"/>
                <w:lang w:eastAsia="en-IN"/>
              </w:rPr>
              <w:t>3.25</w:t>
            </w:r>
          </w:p>
        </w:tc>
        <w:tc>
          <w:tcPr>
            <w:tcW w:w="1292" w:type="dxa"/>
            <w:tcBorders>
              <w:top w:val="nil"/>
              <w:left w:val="nil"/>
              <w:bottom w:val="single" w:sz="8" w:space="0" w:color="BFBFBF"/>
              <w:right w:val="single" w:sz="8" w:space="0" w:color="BFBFBF"/>
            </w:tcBorders>
            <w:shd w:val="clear" w:color="000000" w:fill="F2F2F2"/>
            <w:vAlign w:val="center"/>
            <w:hideMark/>
          </w:tcPr>
          <w:p w14:paraId="17A8FFC2" w14:textId="77777777" w:rsidR="009729B1" w:rsidRPr="009729B1" w:rsidRDefault="009729B1" w:rsidP="009729B1">
            <w:pPr>
              <w:spacing w:after="0" w:line="240" w:lineRule="auto"/>
              <w:jc w:val="center"/>
              <w:rPr>
                <w:rFonts w:ascii="Cambria" w:eastAsia="Times New Roman" w:hAnsi="Cambria" w:cs="Calibri"/>
                <w:color w:val="000000"/>
                <w:sz w:val="24"/>
                <w:szCs w:val="24"/>
                <w:lang w:val="en-IN" w:eastAsia="en-IN"/>
              </w:rPr>
            </w:pPr>
            <w:r w:rsidRPr="009729B1">
              <w:rPr>
                <w:rFonts w:ascii="Cambria" w:eastAsia="Times New Roman" w:hAnsi="Cambria" w:cs="Calibri"/>
                <w:color w:val="000000" w:themeColor="text1"/>
                <w:sz w:val="24"/>
                <w:szCs w:val="24"/>
                <w:lang w:eastAsia="en-IN"/>
              </w:rPr>
              <w:t>1.3</w:t>
            </w:r>
          </w:p>
        </w:tc>
      </w:tr>
      <w:tr w:rsidR="009729B1" w:rsidRPr="009729B1" w14:paraId="65252C04" w14:textId="77777777" w:rsidTr="009729B1">
        <w:trPr>
          <w:trHeight w:val="298"/>
          <w:jc w:val="center"/>
        </w:trPr>
        <w:tc>
          <w:tcPr>
            <w:tcW w:w="795" w:type="dxa"/>
            <w:tcBorders>
              <w:top w:val="nil"/>
              <w:left w:val="single" w:sz="4" w:space="0" w:color="auto"/>
              <w:bottom w:val="single" w:sz="4" w:space="0" w:color="auto"/>
              <w:right w:val="single" w:sz="4" w:space="0" w:color="auto"/>
            </w:tcBorders>
            <w:vAlign w:val="center"/>
            <w:hideMark/>
          </w:tcPr>
          <w:p w14:paraId="456CABDD" w14:textId="77777777" w:rsidR="009729B1" w:rsidRPr="009729B1" w:rsidRDefault="009729B1" w:rsidP="009729B1">
            <w:pPr>
              <w:spacing w:after="0" w:line="240" w:lineRule="auto"/>
              <w:jc w:val="center"/>
              <w:rPr>
                <w:rFonts w:ascii="Times New Roman" w:eastAsia="Times New Roman" w:hAnsi="Times New Roman" w:cs="Times New Roman"/>
                <w:color w:val="000000"/>
                <w:sz w:val="24"/>
                <w:szCs w:val="24"/>
                <w:lang w:val="en-IN" w:eastAsia="en-IN"/>
              </w:rPr>
            </w:pPr>
            <w:r w:rsidRPr="009729B1">
              <w:rPr>
                <w:rFonts w:ascii="Times New Roman" w:eastAsia="Times New Roman" w:hAnsi="Times New Roman" w:cs="Times New Roman"/>
                <w:color w:val="000000"/>
                <w:sz w:val="24"/>
                <w:szCs w:val="24"/>
                <w:lang w:eastAsia="en-IN"/>
              </w:rPr>
              <w:t>2</w:t>
            </w:r>
          </w:p>
        </w:tc>
        <w:tc>
          <w:tcPr>
            <w:tcW w:w="2875" w:type="dxa"/>
            <w:tcBorders>
              <w:top w:val="nil"/>
              <w:left w:val="nil"/>
              <w:bottom w:val="single" w:sz="8" w:space="0" w:color="BFBFBF"/>
              <w:right w:val="single" w:sz="8" w:space="0" w:color="BFBFBF"/>
            </w:tcBorders>
            <w:vAlign w:val="center"/>
            <w:hideMark/>
          </w:tcPr>
          <w:p w14:paraId="750A21C3" w14:textId="77777777" w:rsidR="009729B1" w:rsidRPr="009729B1" w:rsidRDefault="009729B1" w:rsidP="009729B1">
            <w:pPr>
              <w:spacing w:after="0" w:line="240" w:lineRule="auto"/>
              <w:jc w:val="center"/>
              <w:rPr>
                <w:rFonts w:ascii="Times New Roman" w:eastAsia="Times New Roman" w:hAnsi="Times New Roman" w:cs="Times New Roman"/>
                <w:color w:val="000000"/>
                <w:sz w:val="24"/>
                <w:szCs w:val="24"/>
                <w:lang w:val="en-IN" w:eastAsia="en-IN"/>
              </w:rPr>
            </w:pPr>
            <w:r w:rsidRPr="009729B1">
              <w:rPr>
                <w:rFonts w:ascii="Times New Roman" w:eastAsia="Times New Roman" w:hAnsi="Times New Roman" w:cs="Times New Roman"/>
                <w:color w:val="000000"/>
                <w:sz w:val="24"/>
                <w:szCs w:val="24"/>
                <w:lang w:eastAsia="en-IN"/>
              </w:rPr>
              <w:t>MO-M</w:t>
            </w:r>
          </w:p>
        </w:tc>
        <w:tc>
          <w:tcPr>
            <w:tcW w:w="3104" w:type="dxa"/>
            <w:tcBorders>
              <w:top w:val="nil"/>
              <w:left w:val="nil"/>
              <w:bottom w:val="single" w:sz="8" w:space="0" w:color="BFBFBF"/>
              <w:right w:val="single" w:sz="8" w:space="0" w:color="BFBFBF"/>
            </w:tcBorders>
            <w:vAlign w:val="center"/>
            <w:hideMark/>
          </w:tcPr>
          <w:p w14:paraId="20BE25EF" w14:textId="77777777" w:rsidR="009729B1" w:rsidRPr="009729B1" w:rsidRDefault="009729B1" w:rsidP="009729B1">
            <w:pPr>
              <w:spacing w:after="0" w:line="240" w:lineRule="auto"/>
              <w:jc w:val="center"/>
              <w:rPr>
                <w:rFonts w:ascii="Times New Roman" w:eastAsia="Times New Roman" w:hAnsi="Times New Roman" w:cs="Times New Roman"/>
                <w:color w:val="000000"/>
                <w:sz w:val="24"/>
                <w:szCs w:val="24"/>
                <w:lang w:val="en-IN" w:eastAsia="en-IN"/>
              </w:rPr>
            </w:pPr>
            <w:r w:rsidRPr="009729B1">
              <w:rPr>
                <w:rFonts w:ascii="Times New Roman" w:eastAsia="Times New Roman" w:hAnsi="Times New Roman" w:cs="Times New Roman"/>
                <w:color w:val="000000"/>
                <w:sz w:val="24"/>
                <w:szCs w:val="24"/>
                <w:lang w:eastAsia="en-IN"/>
              </w:rPr>
              <w:t>3.25</w:t>
            </w:r>
          </w:p>
        </w:tc>
        <w:tc>
          <w:tcPr>
            <w:tcW w:w="1292" w:type="dxa"/>
            <w:tcBorders>
              <w:top w:val="nil"/>
              <w:left w:val="nil"/>
              <w:bottom w:val="single" w:sz="8" w:space="0" w:color="BFBFBF"/>
              <w:right w:val="single" w:sz="8" w:space="0" w:color="BFBFBF"/>
            </w:tcBorders>
            <w:vAlign w:val="center"/>
            <w:hideMark/>
          </w:tcPr>
          <w:p w14:paraId="39C21179" w14:textId="77777777" w:rsidR="009729B1" w:rsidRPr="009729B1" w:rsidRDefault="009729B1" w:rsidP="009729B1">
            <w:pPr>
              <w:spacing w:after="0" w:line="240" w:lineRule="auto"/>
              <w:jc w:val="center"/>
              <w:rPr>
                <w:rFonts w:ascii="Cambria" w:eastAsia="Times New Roman" w:hAnsi="Cambria" w:cs="Calibri"/>
                <w:color w:val="000000"/>
                <w:sz w:val="24"/>
                <w:szCs w:val="24"/>
                <w:lang w:val="en-IN" w:eastAsia="en-IN"/>
              </w:rPr>
            </w:pPr>
            <w:r w:rsidRPr="009729B1">
              <w:rPr>
                <w:rFonts w:ascii="Cambria" w:eastAsia="Times New Roman" w:hAnsi="Cambria" w:cs="Calibri"/>
                <w:color w:val="000000"/>
                <w:sz w:val="24"/>
                <w:szCs w:val="24"/>
                <w:lang w:eastAsia="en-IN"/>
              </w:rPr>
              <w:t>2.4</w:t>
            </w:r>
          </w:p>
        </w:tc>
      </w:tr>
    </w:tbl>
    <w:p w14:paraId="5D4FE2CB" w14:textId="77777777" w:rsidR="009729B1" w:rsidRPr="009729B1" w:rsidRDefault="009729B1" w:rsidP="009729B1"/>
    <w:p w14:paraId="61B5BFC5" w14:textId="77777777" w:rsidR="003F2B58" w:rsidRPr="000827BC" w:rsidRDefault="003F2B58" w:rsidP="00387471">
      <w:pPr>
        <w:pStyle w:val="NormalWeb"/>
        <w:spacing w:line="360" w:lineRule="auto"/>
        <w:ind w:left="-993" w:right="-291"/>
        <w:jc w:val="both"/>
        <w:rPr>
          <w:color w:val="000000" w:themeColor="text1"/>
        </w:rPr>
      </w:pPr>
      <w:r w:rsidRPr="000827BC">
        <w:rPr>
          <w:color w:val="000000" w:themeColor="text1"/>
        </w:rPr>
        <w:t xml:space="preserve">The HPLC chromatographic analysis of </w:t>
      </w:r>
      <w:r w:rsidRPr="000827BC">
        <w:rPr>
          <w:rStyle w:val="Emphasis"/>
          <w:color w:val="000000" w:themeColor="text1"/>
        </w:rPr>
        <w:t>Moringa oleifera</w:t>
      </w:r>
      <w:r w:rsidRPr="000827BC">
        <w:rPr>
          <w:color w:val="000000" w:themeColor="text1"/>
        </w:rPr>
        <w:t xml:space="preserve"> extracts confirmed the presence of gallic acid in both the aqueous (MO-A) and methanolic (MO-M) fractions. Sharp and well-resolved peaks were recorded at a retention time of </w:t>
      </w:r>
      <w:r w:rsidRPr="000827BC">
        <w:rPr>
          <w:rStyle w:val="Strong"/>
          <w:b w:val="0"/>
          <w:color w:val="000000" w:themeColor="text1"/>
        </w:rPr>
        <w:t>3.250 minutes</w:t>
      </w:r>
      <w:r w:rsidRPr="000827BC">
        <w:rPr>
          <w:color w:val="000000" w:themeColor="text1"/>
        </w:rPr>
        <w:t>, matching the reference gallic acid standard and confirming compound identity.</w:t>
      </w:r>
    </w:p>
    <w:p w14:paraId="148AE447" w14:textId="77777777" w:rsidR="003F2B58" w:rsidRPr="000827BC" w:rsidRDefault="003F2B58" w:rsidP="00387471">
      <w:pPr>
        <w:pStyle w:val="NormalWeb"/>
        <w:spacing w:line="360" w:lineRule="auto"/>
        <w:ind w:left="-993" w:right="-291"/>
        <w:jc w:val="both"/>
        <w:rPr>
          <w:color w:val="000000" w:themeColor="text1"/>
        </w:rPr>
      </w:pPr>
      <w:r w:rsidRPr="000827BC">
        <w:rPr>
          <w:color w:val="000000" w:themeColor="text1"/>
        </w:rPr>
        <w:t xml:space="preserve">Quantitative analysis revealed that the methanolic extract (MO-M) contained a </w:t>
      </w:r>
      <w:r w:rsidRPr="000827BC">
        <w:rPr>
          <w:rStyle w:val="Strong"/>
          <w:b w:val="0"/>
          <w:color w:val="000000" w:themeColor="text1"/>
        </w:rPr>
        <w:t>higher concentration of gallic acid (2.4 µg/mL)</w:t>
      </w:r>
      <w:r w:rsidRPr="000827BC">
        <w:rPr>
          <w:color w:val="000000" w:themeColor="text1"/>
        </w:rPr>
        <w:t xml:space="preserve"> compared to the aqueous extract (MO-A) (</w:t>
      </w:r>
      <w:r w:rsidRPr="000827BC">
        <w:rPr>
          <w:rStyle w:val="Strong"/>
          <w:b w:val="0"/>
          <w:color w:val="000000" w:themeColor="text1"/>
        </w:rPr>
        <w:t>1.3 µg/mL</w:t>
      </w:r>
      <w:r w:rsidRPr="000827BC">
        <w:rPr>
          <w:color w:val="000000" w:themeColor="text1"/>
        </w:rPr>
        <w:t>). The increased gallic acid content in MO-M highlights the superior extraction efficiency of methanol for phenolic acids owing to its intermediate polarity and greater solvation capacity. These findings are consistent with previously reported studies indicating enhanced phenolic recovery using methanol-based extraction systems.</w:t>
      </w:r>
    </w:p>
    <w:p w14:paraId="77F1B2A2" w14:textId="77777777" w:rsidR="009729B1" w:rsidRDefault="00F07D54" w:rsidP="00387471">
      <w:pPr>
        <w:pStyle w:val="NormalWeb"/>
        <w:spacing w:line="360" w:lineRule="auto"/>
        <w:ind w:left="-993" w:right="-291"/>
        <w:jc w:val="center"/>
        <w:rPr>
          <w:rStyle w:val="Strong"/>
          <w:bCs w:val="0"/>
          <w:color w:val="000000" w:themeColor="text1"/>
        </w:rPr>
      </w:pPr>
      <w:r w:rsidRPr="000827BC">
        <w:rPr>
          <w:noProof/>
          <w:color w:val="000000" w:themeColor="text1"/>
        </w:rPr>
        <w:drawing>
          <wp:inline distT="0" distB="0" distL="0" distR="0" wp14:anchorId="47558BF0" wp14:editId="70CEED1D">
            <wp:extent cx="5485638" cy="2407740"/>
            <wp:effectExtent l="0" t="0" r="1270" b="0"/>
            <wp:docPr id="1" name="Picture 1" descr="C:\Users\User\Desktop\Deepak Chaudhary\Research paper\Paper 7\STD_25[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eepak Chaudhary\Research paper\Paper 7\STD_25[2]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9706" cy="2409525"/>
                    </a:xfrm>
                    <a:prstGeom prst="rect">
                      <a:avLst/>
                    </a:prstGeom>
                    <a:noFill/>
                    <a:ln>
                      <a:noFill/>
                    </a:ln>
                  </pic:spPr>
                </pic:pic>
              </a:graphicData>
            </a:graphic>
          </wp:inline>
        </w:drawing>
      </w:r>
    </w:p>
    <w:p w14:paraId="2F642700" w14:textId="7656EA76" w:rsidR="003F2B58" w:rsidRPr="000827BC" w:rsidRDefault="003F2B58" w:rsidP="00387471">
      <w:pPr>
        <w:pStyle w:val="NormalWeb"/>
        <w:spacing w:line="360" w:lineRule="auto"/>
        <w:ind w:left="-993" w:right="-291"/>
        <w:jc w:val="center"/>
        <w:rPr>
          <w:rStyle w:val="Strong"/>
          <w:b w:val="0"/>
          <w:bCs w:val="0"/>
          <w:color w:val="000000" w:themeColor="text1"/>
        </w:rPr>
      </w:pPr>
      <w:r w:rsidRPr="000827BC">
        <w:rPr>
          <w:rStyle w:val="Strong"/>
          <w:bCs w:val="0"/>
          <w:color w:val="000000" w:themeColor="text1"/>
        </w:rPr>
        <w:t>F</w:t>
      </w:r>
      <w:r w:rsidR="00BB6EF1">
        <w:rPr>
          <w:rStyle w:val="Strong"/>
          <w:bCs w:val="0"/>
          <w:color w:val="000000" w:themeColor="text1"/>
        </w:rPr>
        <w:t>ig.</w:t>
      </w:r>
      <w:r w:rsidRPr="000827BC">
        <w:rPr>
          <w:rStyle w:val="Strong"/>
          <w:bCs w:val="0"/>
          <w:color w:val="000000" w:themeColor="text1"/>
        </w:rPr>
        <w:t xml:space="preserve"> 2. </w:t>
      </w:r>
      <w:r w:rsidRPr="000827BC">
        <w:rPr>
          <w:rStyle w:val="Strong"/>
          <w:b w:val="0"/>
          <w:bCs w:val="0"/>
          <w:color w:val="000000" w:themeColor="text1"/>
        </w:rPr>
        <w:t>HPLC chromatogram showing the gallic acid standard peak</w:t>
      </w:r>
      <w:r w:rsidR="00F07D54" w:rsidRPr="000827BC">
        <w:rPr>
          <w:rStyle w:val="Strong"/>
          <w:b w:val="0"/>
          <w:bCs w:val="0"/>
          <w:color w:val="000000" w:themeColor="text1"/>
        </w:rPr>
        <w:t>.</w:t>
      </w:r>
    </w:p>
    <w:p w14:paraId="2A931877" w14:textId="77777777" w:rsidR="009729B1" w:rsidRDefault="00F07D54" w:rsidP="00387471">
      <w:pPr>
        <w:pStyle w:val="NormalWeb"/>
        <w:spacing w:line="360" w:lineRule="auto"/>
        <w:ind w:left="-993" w:right="-291"/>
        <w:jc w:val="center"/>
        <w:rPr>
          <w:rStyle w:val="Strong"/>
          <w:bCs w:val="0"/>
          <w:color w:val="000000" w:themeColor="text1"/>
        </w:rPr>
      </w:pPr>
      <w:r w:rsidRPr="000827BC">
        <w:rPr>
          <w:noProof/>
          <w:color w:val="000000" w:themeColor="text1"/>
        </w:rPr>
        <w:lastRenderedPageBreak/>
        <w:drawing>
          <wp:inline distT="0" distB="0" distL="0" distR="0" wp14:anchorId="18DB36C1" wp14:editId="2CD04096">
            <wp:extent cx="5486400" cy="2381048"/>
            <wp:effectExtent l="0" t="0" r="0" b="635"/>
            <wp:docPr id="2" name="Picture 2" descr="C:\Users\User\Desktop\Deepak Chaudhary\Research paper\Paper 7\SAMPLE_2[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eepak Chaudhary\Research paper\Paper 7\SAMPLE_2[1]_page-0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381048"/>
                    </a:xfrm>
                    <a:prstGeom prst="rect">
                      <a:avLst/>
                    </a:prstGeom>
                    <a:noFill/>
                    <a:ln>
                      <a:noFill/>
                    </a:ln>
                  </pic:spPr>
                </pic:pic>
              </a:graphicData>
            </a:graphic>
          </wp:inline>
        </w:drawing>
      </w:r>
    </w:p>
    <w:p w14:paraId="3038EF1C" w14:textId="457973E3" w:rsidR="003F2B58" w:rsidRPr="000827BC" w:rsidRDefault="00BB6EF1" w:rsidP="00387471">
      <w:pPr>
        <w:pStyle w:val="NormalWeb"/>
        <w:spacing w:line="360" w:lineRule="auto"/>
        <w:ind w:left="-993" w:right="-291"/>
        <w:jc w:val="center"/>
        <w:rPr>
          <w:rStyle w:val="Strong"/>
          <w:b w:val="0"/>
          <w:bCs w:val="0"/>
          <w:color w:val="000000" w:themeColor="text1"/>
        </w:rPr>
      </w:pPr>
      <w:r>
        <w:rPr>
          <w:rStyle w:val="Strong"/>
          <w:bCs w:val="0"/>
          <w:color w:val="000000" w:themeColor="text1"/>
        </w:rPr>
        <w:t>Fig.</w:t>
      </w:r>
      <w:r w:rsidR="003F2B58" w:rsidRPr="000827BC">
        <w:rPr>
          <w:rStyle w:val="Strong"/>
          <w:bCs w:val="0"/>
          <w:color w:val="000000" w:themeColor="text1"/>
        </w:rPr>
        <w:t xml:space="preserve"> 3. </w:t>
      </w:r>
      <w:r w:rsidR="003F2B58" w:rsidRPr="000827BC">
        <w:rPr>
          <w:rStyle w:val="Strong"/>
          <w:b w:val="0"/>
          <w:bCs w:val="0"/>
          <w:color w:val="000000" w:themeColor="text1"/>
        </w:rPr>
        <w:t>HPLC chromatogram showing the gallic acid peak in MO-A</w:t>
      </w:r>
      <w:r w:rsidR="00F07D54" w:rsidRPr="000827BC">
        <w:rPr>
          <w:rStyle w:val="Strong"/>
          <w:b w:val="0"/>
          <w:bCs w:val="0"/>
          <w:color w:val="000000" w:themeColor="text1"/>
        </w:rPr>
        <w:t>.</w:t>
      </w:r>
    </w:p>
    <w:p w14:paraId="6F28E8F2" w14:textId="77777777" w:rsidR="009729B1" w:rsidRDefault="00D73C40" w:rsidP="00387471">
      <w:pPr>
        <w:pStyle w:val="NormalWeb"/>
        <w:spacing w:line="360" w:lineRule="auto"/>
        <w:ind w:left="-993" w:right="-291"/>
        <w:jc w:val="center"/>
        <w:rPr>
          <w:rStyle w:val="Strong"/>
          <w:bCs w:val="0"/>
          <w:color w:val="000000" w:themeColor="text1"/>
        </w:rPr>
      </w:pPr>
      <w:r w:rsidRPr="000827BC">
        <w:rPr>
          <w:b/>
          <w:noProof/>
          <w:color w:val="000000" w:themeColor="text1"/>
        </w:rPr>
        <w:drawing>
          <wp:inline distT="0" distB="0" distL="0" distR="0" wp14:anchorId="4C4A965B" wp14:editId="6476EF0F">
            <wp:extent cx="5486400" cy="2364397"/>
            <wp:effectExtent l="0" t="0" r="0" b="0"/>
            <wp:docPr id="3" name="Picture 3" descr="C:\Users\User\Desktop\Deepak Chaudhary\Research paper\Paper 7\SAMPLE_1[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eepak Chaudhary\Research paper\Paper 7\SAMPLE_1[1]_page-0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364397"/>
                    </a:xfrm>
                    <a:prstGeom prst="rect">
                      <a:avLst/>
                    </a:prstGeom>
                    <a:noFill/>
                    <a:ln>
                      <a:noFill/>
                    </a:ln>
                  </pic:spPr>
                </pic:pic>
              </a:graphicData>
            </a:graphic>
          </wp:inline>
        </w:drawing>
      </w:r>
    </w:p>
    <w:p w14:paraId="1339E349" w14:textId="7B4CB2C2" w:rsidR="003F2B58" w:rsidRPr="000827BC" w:rsidRDefault="00BB6EF1" w:rsidP="00387471">
      <w:pPr>
        <w:pStyle w:val="NormalWeb"/>
        <w:spacing w:line="360" w:lineRule="auto"/>
        <w:ind w:left="-993" w:right="-291"/>
        <w:jc w:val="center"/>
        <w:rPr>
          <w:color w:val="000000" w:themeColor="text1"/>
        </w:rPr>
      </w:pPr>
      <w:r>
        <w:rPr>
          <w:rStyle w:val="Strong"/>
          <w:bCs w:val="0"/>
          <w:color w:val="000000" w:themeColor="text1"/>
        </w:rPr>
        <w:t>Fig.</w:t>
      </w:r>
      <w:r w:rsidR="003F2B58" w:rsidRPr="000827BC">
        <w:rPr>
          <w:rStyle w:val="Strong"/>
          <w:bCs w:val="0"/>
          <w:color w:val="000000" w:themeColor="text1"/>
        </w:rPr>
        <w:t xml:space="preserve"> 4. </w:t>
      </w:r>
      <w:r w:rsidR="003F2B58" w:rsidRPr="000827BC">
        <w:rPr>
          <w:rStyle w:val="Strong"/>
          <w:b w:val="0"/>
          <w:bCs w:val="0"/>
          <w:color w:val="000000" w:themeColor="text1"/>
        </w:rPr>
        <w:t>HPLC chromatogram showing the gallic acid peak in MO-M</w:t>
      </w:r>
      <w:r w:rsidR="00D73C40" w:rsidRPr="000827BC">
        <w:rPr>
          <w:rStyle w:val="Strong"/>
          <w:b w:val="0"/>
          <w:bCs w:val="0"/>
          <w:color w:val="000000" w:themeColor="text1"/>
        </w:rPr>
        <w:t>.</w:t>
      </w:r>
    </w:p>
    <w:p w14:paraId="2ED12064" w14:textId="77777777" w:rsidR="003F2B58" w:rsidRPr="000827BC" w:rsidRDefault="003F2B58" w:rsidP="00387471">
      <w:pPr>
        <w:pStyle w:val="NormalWeb"/>
        <w:spacing w:line="360" w:lineRule="auto"/>
        <w:ind w:left="-993" w:right="-291"/>
        <w:jc w:val="both"/>
        <w:rPr>
          <w:color w:val="000000" w:themeColor="text1"/>
        </w:rPr>
      </w:pPr>
      <w:r w:rsidRPr="000827BC">
        <w:rPr>
          <w:color w:val="000000" w:themeColor="text1"/>
        </w:rPr>
        <w:t>After examining the chromatograms (Figures 2–4), the retention time of gallic acid in both extracts showed perfect alignment with the standard, confirming chromatographic specificity and identity. The higher gallic acid content in the methanolic extract further supports the well-established advantage of methanol for phenolic compound extraction from plant materials.</w:t>
      </w:r>
    </w:p>
    <w:p w14:paraId="27D47100" w14:textId="77777777" w:rsidR="001F0112" w:rsidRPr="000827BC" w:rsidRDefault="001F0112" w:rsidP="00387471">
      <w:pPr>
        <w:pStyle w:val="Heading1"/>
        <w:spacing w:line="360" w:lineRule="auto"/>
        <w:ind w:left="-993" w:right="-291"/>
        <w:jc w:val="both"/>
        <w:rPr>
          <w:rFonts w:ascii="Times New Roman" w:hAnsi="Times New Roman" w:cs="Times New Roman"/>
          <w:color w:val="000000" w:themeColor="text1"/>
          <w:sz w:val="24"/>
        </w:rPr>
      </w:pPr>
      <w:r w:rsidRPr="000827BC">
        <w:rPr>
          <w:rStyle w:val="Strong"/>
          <w:rFonts w:ascii="Times New Roman" w:hAnsi="Times New Roman" w:cs="Times New Roman"/>
          <w:b/>
          <w:bCs/>
          <w:color w:val="000000" w:themeColor="text1"/>
          <w:sz w:val="24"/>
        </w:rPr>
        <w:lastRenderedPageBreak/>
        <w:t>3.5 Quantification of Quercetin</w:t>
      </w:r>
    </w:p>
    <w:p w14:paraId="1BFFCA38" w14:textId="04307445" w:rsidR="00036A90" w:rsidRPr="000827BC" w:rsidRDefault="001F0112" w:rsidP="00387471">
      <w:pPr>
        <w:pStyle w:val="Heading3"/>
        <w:spacing w:line="360" w:lineRule="auto"/>
        <w:ind w:left="-993" w:right="-291"/>
        <w:jc w:val="both"/>
        <w:rPr>
          <w:rFonts w:ascii="Times New Roman" w:hAnsi="Times New Roman" w:cs="Times New Roman"/>
          <w:b w:val="0"/>
          <w:i/>
          <w:iCs/>
          <w:color w:val="000000" w:themeColor="text1"/>
        </w:rPr>
      </w:pPr>
      <w:r w:rsidRPr="000827BC">
        <w:rPr>
          <w:rStyle w:val="Strong"/>
          <w:rFonts w:ascii="Times New Roman" w:hAnsi="Times New Roman" w:cs="Times New Roman"/>
          <w:b/>
          <w:bCs/>
          <w:color w:val="000000" w:themeColor="text1"/>
        </w:rPr>
        <w:t xml:space="preserve">Table </w:t>
      </w:r>
      <w:r w:rsidR="000D614F">
        <w:rPr>
          <w:rStyle w:val="Strong"/>
          <w:rFonts w:ascii="Times New Roman" w:hAnsi="Times New Roman" w:cs="Times New Roman"/>
          <w:b/>
          <w:bCs/>
          <w:color w:val="000000" w:themeColor="text1"/>
        </w:rPr>
        <w:t>7</w:t>
      </w:r>
      <w:r w:rsidRPr="000827BC">
        <w:rPr>
          <w:rStyle w:val="Strong"/>
          <w:rFonts w:ascii="Times New Roman" w:hAnsi="Times New Roman" w:cs="Times New Roman"/>
          <w:b/>
          <w:bCs/>
          <w:color w:val="000000" w:themeColor="text1"/>
        </w:rPr>
        <w:t xml:space="preserve">. </w:t>
      </w:r>
      <w:r w:rsidRPr="000827BC">
        <w:rPr>
          <w:rStyle w:val="Strong"/>
          <w:rFonts w:ascii="Times New Roman" w:hAnsi="Times New Roman" w:cs="Times New Roman"/>
          <w:bCs/>
          <w:color w:val="000000" w:themeColor="text1"/>
        </w:rPr>
        <w:t xml:space="preserve">HPLC Determination of Quercetin Content in Methanolic and Aqueous Extracts of </w:t>
      </w:r>
      <w:r w:rsidRPr="000827BC">
        <w:rPr>
          <w:rStyle w:val="Emphasis"/>
          <w:rFonts w:ascii="Times New Roman" w:hAnsi="Times New Roman" w:cs="Times New Roman"/>
          <w:b w:val="0"/>
          <w:color w:val="000000" w:themeColor="text1"/>
        </w:rPr>
        <w:t>Moringa oleifera</w:t>
      </w:r>
      <w:r w:rsidR="00036A90" w:rsidRPr="000827BC">
        <w:rPr>
          <w:rStyle w:val="Emphasis"/>
          <w:rFonts w:ascii="Times New Roman" w:hAnsi="Times New Roman" w:cs="Times New Roman"/>
          <w:b w:val="0"/>
          <w:color w:val="000000" w:themeColor="text1"/>
        </w:rPr>
        <w:t>.</w:t>
      </w:r>
    </w:p>
    <w:tbl>
      <w:tblPr>
        <w:tblW w:w="9666" w:type="dxa"/>
        <w:jc w:val="center"/>
        <w:tblLook w:val="04A0" w:firstRow="1" w:lastRow="0" w:firstColumn="1" w:lastColumn="0" w:noHBand="0" w:noVBand="1"/>
      </w:tblPr>
      <w:tblGrid>
        <w:gridCol w:w="888"/>
        <w:gridCol w:w="3100"/>
        <w:gridCol w:w="3318"/>
        <w:gridCol w:w="2360"/>
      </w:tblGrid>
      <w:tr w:rsidR="00306013" w14:paraId="4B73A21C" w14:textId="77777777" w:rsidTr="00306013">
        <w:trPr>
          <w:trHeight w:val="211"/>
          <w:jc w:val="center"/>
        </w:trPr>
        <w:tc>
          <w:tcPr>
            <w:tcW w:w="888" w:type="dxa"/>
            <w:tcBorders>
              <w:top w:val="single" w:sz="4" w:space="0" w:color="auto"/>
              <w:left w:val="single" w:sz="4" w:space="0" w:color="auto"/>
              <w:bottom w:val="single" w:sz="4" w:space="0" w:color="auto"/>
              <w:right w:val="single" w:sz="4" w:space="0" w:color="auto"/>
            </w:tcBorders>
            <w:vAlign w:val="center"/>
            <w:hideMark/>
          </w:tcPr>
          <w:p w14:paraId="6973EC04" w14:textId="77777777" w:rsidR="00306013" w:rsidRDefault="00306013">
            <w:pPr>
              <w:jc w:val="center"/>
              <w:rPr>
                <w:color w:val="000000"/>
              </w:rPr>
            </w:pPr>
            <w:r>
              <w:rPr>
                <w:color w:val="000000" w:themeColor="text1"/>
              </w:rPr>
              <w:t>S. No</w:t>
            </w:r>
          </w:p>
        </w:tc>
        <w:tc>
          <w:tcPr>
            <w:tcW w:w="3100" w:type="dxa"/>
            <w:tcBorders>
              <w:top w:val="single" w:sz="4" w:space="0" w:color="auto"/>
              <w:left w:val="single" w:sz="4" w:space="0" w:color="auto"/>
              <w:bottom w:val="single" w:sz="4" w:space="0" w:color="auto"/>
              <w:right w:val="single" w:sz="4" w:space="0" w:color="auto"/>
            </w:tcBorders>
            <w:vAlign w:val="center"/>
            <w:hideMark/>
          </w:tcPr>
          <w:p w14:paraId="1F3235F7" w14:textId="77777777" w:rsidR="00306013" w:rsidRDefault="00306013">
            <w:pPr>
              <w:jc w:val="center"/>
              <w:rPr>
                <w:color w:val="000000"/>
              </w:rPr>
            </w:pPr>
            <w:r>
              <w:rPr>
                <w:color w:val="000000" w:themeColor="text1"/>
              </w:rPr>
              <w:t>Sample Code</w:t>
            </w:r>
          </w:p>
        </w:tc>
        <w:tc>
          <w:tcPr>
            <w:tcW w:w="3318" w:type="dxa"/>
            <w:tcBorders>
              <w:top w:val="single" w:sz="4" w:space="0" w:color="auto"/>
              <w:left w:val="single" w:sz="4" w:space="0" w:color="auto"/>
              <w:bottom w:val="single" w:sz="4" w:space="0" w:color="auto"/>
              <w:right w:val="single" w:sz="4" w:space="0" w:color="auto"/>
            </w:tcBorders>
            <w:vAlign w:val="center"/>
            <w:hideMark/>
          </w:tcPr>
          <w:p w14:paraId="644CF668" w14:textId="77777777" w:rsidR="00306013" w:rsidRDefault="00306013">
            <w:pPr>
              <w:jc w:val="center"/>
              <w:rPr>
                <w:color w:val="000000"/>
              </w:rPr>
            </w:pPr>
            <w:r>
              <w:rPr>
                <w:color w:val="000000" w:themeColor="text1"/>
              </w:rPr>
              <w:t>RT (min)</w:t>
            </w:r>
          </w:p>
        </w:tc>
        <w:tc>
          <w:tcPr>
            <w:tcW w:w="2360" w:type="dxa"/>
            <w:tcBorders>
              <w:top w:val="single" w:sz="4" w:space="0" w:color="auto"/>
              <w:left w:val="nil"/>
              <w:bottom w:val="single" w:sz="4" w:space="0" w:color="auto"/>
              <w:right w:val="single" w:sz="4" w:space="0" w:color="auto"/>
            </w:tcBorders>
            <w:vAlign w:val="center"/>
            <w:hideMark/>
          </w:tcPr>
          <w:p w14:paraId="7795DE07" w14:textId="244D57A6" w:rsidR="00306013" w:rsidRDefault="00306013">
            <w:pPr>
              <w:jc w:val="center"/>
              <w:rPr>
                <w:color w:val="000000"/>
              </w:rPr>
            </w:pPr>
            <w:r>
              <w:rPr>
                <w:color w:val="000000" w:themeColor="text1"/>
              </w:rPr>
              <w:t xml:space="preserve">Concentration(µg/mL) </w:t>
            </w:r>
          </w:p>
        </w:tc>
      </w:tr>
      <w:tr w:rsidR="00306013" w14:paraId="6C944597" w14:textId="77777777" w:rsidTr="00306013">
        <w:trPr>
          <w:trHeight w:val="108"/>
          <w:jc w:val="center"/>
        </w:trPr>
        <w:tc>
          <w:tcPr>
            <w:tcW w:w="888" w:type="dxa"/>
            <w:tcBorders>
              <w:top w:val="nil"/>
              <w:left w:val="single" w:sz="4" w:space="0" w:color="auto"/>
              <w:bottom w:val="single" w:sz="4" w:space="0" w:color="auto"/>
              <w:right w:val="single" w:sz="4" w:space="0" w:color="auto"/>
            </w:tcBorders>
            <w:shd w:val="clear" w:color="000000" w:fill="F2F2F2"/>
            <w:vAlign w:val="center"/>
            <w:hideMark/>
          </w:tcPr>
          <w:p w14:paraId="1743B769" w14:textId="77777777" w:rsidR="00306013" w:rsidRDefault="00306013">
            <w:pPr>
              <w:jc w:val="center"/>
              <w:rPr>
                <w:b/>
                <w:bCs/>
                <w:color w:val="000000"/>
              </w:rPr>
            </w:pPr>
            <w:r>
              <w:rPr>
                <w:b/>
                <w:bCs/>
                <w:color w:val="000000" w:themeColor="text1"/>
              </w:rPr>
              <w:t>1</w:t>
            </w:r>
          </w:p>
        </w:tc>
        <w:tc>
          <w:tcPr>
            <w:tcW w:w="3100" w:type="dxa"/>
            <w:tcBorders>
              <w:top w:val="nil"/>
              <w:left w:val="nil"/>
              <w:bottom w:val="single" w:sz="4" w:space="0" w:color="auto"/>
              <w:right w:val="single" w:sz="4" w:space="0" w:color="auto"/>
            </w:tcBorders>
            <w:shd w:val="clear" w:color="000000" w:fill="F2F2F2"/>
            <w:vAlign w:val="center"/>
            <w:hideMark/>
          </w:tcPr>
          <w:p w14:paraId="1BDFE381" w14:textId="77777777" w:rsidR="00306013" w:rsidRDefault="00306013">
            <w:pPr>
              <w:jc w:val="center"/>
              <w:rPr>
                <w:color w:val="000000"/>
              </w:rPr>
            </w:pPr>
            <w:r>
              <w:rPr>
                <w:color w:val="000000" w:themeColor="text1"/>
              </w:rPr>
              <w:t>MO-A</w:t>
            </w:r>
          </w:p>
        </w:tc>
        <w:tc>
          <w:tcPr>
            <w:tcW w:w="3318" w:type="dxa"/>
            <w:tcBorders>
              <w:top w:val="nil"/>
              <w:left w:val="nil"/>
              <w:bottom w:val="single" w:sz="4" w:space="0" w:color="auto"/>
              <w:right w:val="single" w:sz="4" w:space="0" w:color="auto"/>
            </w:tcBorders>
            <w:shd w:val="clear" w:color="000000" w:fill="F2F2F2"/>
            <w:vAlign w:val="center"/>
            <w:hideMark/>
          </w:tcPr>
          <w:p w14:paraId="772793B7" w14:textId="77777777" w:rsidR="00306013" w:rsidRDefault="00306013">
            <w:pPr>
              <w:jc w:val="center"/>
              <w:rPr>
                <w:color w:val="000000"/>
              </w:rPr>
            </w:pPr>
            <w:r>
              <w:rPr>
                <w:color w:val="000000" w:themeColor="text1"/>
              </w:rPr>
              <w:t>3.103</w:t>
            </w:r>
          </w:p>
        </w:tc>
        <w:tc>
          <w:tcPr>
            <w:tcW w:w="2360" w:type="dxa"/>
            <w:tcBorders>
              <w:top w:val="nil"/>
              <w:left w:val="nil"/>
              <w:bottom w:val="single" w:sz="4" w:space="0" w:color="auto"/>
              <w:right w:val="single" w:sz="4" w:space="0" w:color="auto"/>
            </w:tcBorders>
            <w:shd w:val="clear" w:color="000000" w:fill="F2F2F2"/>
            <w:vAlign w:val="center"/>
            <w:hideMark/>
          </w:tcPr>
          <w:p w14:paraId="445ADB1A" w14:textId="77777777" w:rsidR="00306013" w:rsidRDefault="00306013">
            <w:pPr>
              <w:jc w:val="center"/>
              <w:rPr>
                <w:color w:val="000000"/>
              </w:rPr>
            </w:pPr>
            <w:r>
              <w:rPr>
                <w:color w:val="000000" w:themeColor="text1"/>
              </w:rPr>
              <w:t>0.48</w:t>
            </w:r>
          </w:p>
        </w:tc>
      </w:tr>
      <w:tr w:rsidR="00306013" w14:paraId="430C1996" w14:textId="77777777" w:rsidTr="00306013">
        <w:trPr>
          <w:trHeight w:val="44"/>
          <w:jc w:val="center"/>
        </w:trPr>
        <w:tc>
          <w:tcPr>
            <w:tcW w:w="888" w:type="dxa"/>
            <w:tcBorders>
              <w:top w:val="nil"/>
              <w:left w:val="single" w:sz="4" w:space="0" w:color="auto"/>
              <w:bottom w:val="single" w:sz="4" w:space="0" w:color="auto"/>
              <w:right w:val="single" w:sz="4" w:space="0" w:color="auto"/>
            </w:tcBorders>
            <w:vAlign w:val="center"/>
            <w:hideMark/>
          </w:tcPr>
          <w:p w14:paraId="0F3EA732" w14:textId="77777777" w:rsidR="00306013" w:rsidRDefault="00306013">
            <w:pPr>
              <w:jc w:val="center"/>
              <w:rPr>
                <w:b/>
                <w:bCs/>
                <w:color w:val="000000"/>
              </w:rPr>
            </w:pPr>
            <w:r>
              <w:rPr>
                <w:b/>
                <w:bCs/>
                <w:color w:val="000000" w:themeColor="text1"/>
              </w:rPr>
              <w:t>2</w:t>
            </w:r>
          </w:p>
        </w:tc>
        <w:tc>
          <w:tcPr>
            <w:tcW w:w="3100" w:type="dxa"/>
            <w:tcBorders>
              <w:top w:val="nil"/>
              <w:left w:val="nil"/>
              <w:bottom w:val="single" w:sz="4" w:space="0" w:color="auto"/>
              <w:right w:val="single" w:sz="4" w:space="0" w:color="auto"/>
            </w:tcBorders>
            <w:vAlign w:val="center"/>
            <w:hideMark/>
          </w:tcPr>
          <w:p w14:paraId="71A0EE05" w14:textId="77777777" w:rsidR="00306013" w:rsidRDefault="00306013">
            <w:pPr>
              <w:jc w:val="center"/>
              <w:rPr>
                <w:color w:val="000000"/>
              </w:rPr>
            </w:pPr>
            <w:r>
              <w:rPr>
                <w:color w:val="000000" w:themeColor="text1"/>
              </w:rPr>
              <w:t>MO-M</w:t>
            </w:r>
          </w:p>
        </w:tc>
        <w:tc>
          <w:tcPr>
            <w:tcW w:w="3318" w:type="dxa"/>
            <w:tcBorders>
              <w:top w:val="nil"/>
              <w:left w:val="nil"/>
              <w:bottom w:val="single" w:sz="4" w:space="0" w:color="auto"/>
              <w:right w:val="single" w:sz="4" w:space="0" w:color="auto"/>
            </w:tcBorders>
            <w:vAlign w:val="center"/>
            <w:hideMark/>
          </w:tcPr>
          <w:p w14:paraId="45D8333F" w14:textId="77777777" w:rsidR="00306013" w:rsidRDefault="00306013">
            <w:pPr>
              <w:jc w:val="center"/>
              <w:rPr>
                <w:color w:val="000000"/>
              </w:rPr>
            </w:pPr>
            <w:r>
              <w:rPr>
                <w:color w:val="000000" w:themeColor="text1"/>
              </w:rPr>
              <w:t>3.1</w:t>
            </w:r>
          </w:p>
        </w:tc>
        <w:tc>
          <w:tcPr>
            <w:tcW w:w="2360" w:type="dxa"/>
            <w:tcBorders>
              <w:top w:val="nil"/>
              <w:left w:val="nil"/>
              <w:bottom w:val="single" w:sz="4" w:space="0" w:color="auto"/>
              <w:right w:val="single" w:sz="4" w:space="0" w:color="auto"/>
            </w:tcBorders>
            <w:vAlign w:val="center"/>
            <w:hideMark/>
          </w:tcPr>
          <w:p w14:paraId="1232D46D" w14:textId="77777777" w:rsidR="00306013" w:rsidRDefault="00306013">
            <w:pPr>
              <w:jc w:val="center"/>
              <w:rPr>
                <w:color w:val="000000"/>
              </w:rPr>
            </w:pPr>
            <w:r>
              <w:rPr>
                <w:color w:val="000000" w:themeColor="text1"/>
              </w:rPr>
              <w:t>1.4</w:t>
            </w:r>
          </w:p>
        </w:tc>
      </w:tr>
    </w:tbl>
    <w:p w14:paraId="57CB4252" w14:textId="293D5AAB" w:rsidR="00036A90" w:rsidRPr="000827BC" w:rsidRDefault="00036A90" w:rsidP="00387471">
      <w:pPr>
        <w:pStyle w:val="NormalWeb"/>
        <w:spacing w:line="360" w:lineRule="auto"/>
        <w:ind w:left="-993" w:right="-291"/>
        <w:jc w:val="both"/>
      </w:pPr>
      <w:r w:rsidRPr="000827BC">
        <w:t xml:space="preserve">The quantification of quercetin in the methanolic (MO-M) and aqueous (MO-A) extracts of </w:t>
      </w:r>
      <w:r w:rsidRPr="000827BC">
        <w:rPr>
          <w:i/>
          <w:iCs/>
        </w:rPr>
        <w:t>Moringa oleifera</w:t>
      </w:r>
      <w:r w:rsidRPr="000827BC">
        <w:t xml:space="preserve"> was performed using High-Performance Liquid Chromatography (HPLC). Chromatographic separation was achieved on a C18 reverse-phase column (4.6 × 250 mm, 5 </w:t>
      </w:r>
      <w:proofErr w:type="spellStart"/>
      <w:r w:rsidRPr="000827BC">
        <w:t>μm</w:t>
      </w:r>
      <w:proofErr w:type="spellEnd"/>
      <w:r w:rsidRPr="000827BC">
        <w:t xml:space="preserve">) using a mobile phase of </w:t>
      </w:r>
      <w:proofErr w:type="spellStart"/>
      <w:proofErr w:type="gramStart"/>
      <w:r w:rsidRPr="000827BC">
        <w:rPr>
          <w:bCs/>
        </w:rPr>
        <w:t>a</w:t>
      </w:r>
      <w:r w:rsidR="00E25053">
        <w:rPr>
          <w:bCs/>
        </w:rPr>
        <w:t>cetonitrile</w:t>
      </w:r>
      <w:r w:rsidRPr="000827BC">
        <w:rPr>
          <w:bCs/>
        </w:rPr>
        <w:t>:methanol</w:t>
      </w:r>
      <w:proofErr w:type="spellEnd"/>
      <w:proofErr w:type="gramEnd"/>
      <w:r w:rsidRPr="000827BC">
        <w:rPr>
          <w:bCs/>
        </w:rPr>
        <w:t xml:space="preserve"> (40:60, v/v)</w:t>
      </w:r>
      <w:r w:rsidRPr="000827BC">
        <w:t xml:space="preserve">, which provided sharp and well-resolved peaks for quercetin. Detection was carried out at </w:t>
      </w:r>
      <w:r w:rsidRPr="000827BC">
        <w:rPr>
          <w:bCs/>
        </w:rPr>
        <w:t>317 nm</w:t>
      </w:r>
      <w:r w:rsidRPr="000827BC">
        <w:t>, the characteristic absorption maximum of quercetin.</w:t>
      </w:r>
    </w:p>
    <w:p w14:paraId="2BBC36BB" w14:textId="77777777" w:rsidR="00036A90" w:rsidRPr="000827BC" w:rsidRDefault="00036A90" w:rsidP="00387471">
      <w:pPr>
        <w:spacing w:before="100" w:beforeAutospacing="1" w:after="100" w:afterAutospacing="1" w:line="360" w:lineRule="auto"/>
        <w:ind w:left="-993" w:right="-291"/>
        <w:jc w:val="both"/>
        <w:rPr>
          <w:rFonts w:ascii="Times New Roman" w:eastAsia="Times New Roman" w:hAnsi="Times New Roman" w:cs="Times New Roman"/>
          <w:sz w:val="24"/>
          <w:szCs w:val="24"/>
        </w:rPr>
      </w:pPr>
      <w:r w:rsidRPr="000827BC">
        <w:rPr>
          <w:rFonts w:ascii="Times New Roman" w:eastAsia="Times New Roman" w:hAnsi="Times New Roman" w:cs="Times New Roman"/>
          <w:sz w:val="24"/>
          <w:szCs w:val="24"/>
        </w:rPr>
        <w:t xml:space="preserve">Distinct and well-defined quercetin peaks were observed in both extracts at retention times of </w:t>
      </w:r>
      <w:r w:rsidRPr="000827BC">
        <w:rPr>
          <w:rFonts w:ascii="Times New Roman" w:eastAsia="Times New Roman" w:hAnsi="Times New Roman" w:cs="Times New Roman"/>
          <w:bCs/>
          <w:sz w:val="24"/>
          <w:szCs w:val="24"/>
        </w:rPr>
        <w:t>3.103 minutes (MO-A)</w:t>
      </w:r>
      <w:r w:rsidRPr="000827BC">
        <w:rPr>
          <w:rFonts w:ascii="Times New Roman" w:eastAsia="Times New Roman" w:hAnsi="Times New Roman" w:cs="Times New Roman"/>
          <w:sz w:val="24"/>
          <w:szCs w:val="24"/>
        </w:rPr>
        <w:t xml:space="preserve"> and </w:t>
      </w:r>
      <w:r w:rsidRPr="000827BC">
        <w:rPr>
          <w:rFonts w:ascii="Times New Roman" w:eastAsia="Times New Roman" w:hAnsi="Times New Roman" w:cs="Times New Roman"/>
          <w:bCs/>
          <w:sz w:val="24"/>
          <w:szCs w:val="24"/>
        </w:rPr>
        <w:t>3.100 minutes (MO-M)</w:t>
      </w:r>
      <w:r w:rsidRPr="000827BC">
        <w:rPr>
          <w:rFonts w:ascii="Times New Roman" w:eastAsia="Times New Roman" w:hAnsi="Times New Roman" w:cs="Times New Roman"/>
          <w:sz w:val="24"/>
          <w:szCs w:val="24"/>
        </w:rPr>
        <w:t xml:space="preserve">, closely matching the retention time of the quercetin standard and confirming the compound’s identity. Quantitative results showed that the methanolic extract contained a </w:t>
      </w:r>
      <w:r w:rsidRPr="000827BC">
        <w:rPr>
          <w:rFonts w:ascii="Times New Roman" w:eastAsia="Times New Roman" w:hAnsi="Times New Roman" w:cs="Times New Roman"/>
          <w:bCs/>
          <w:sz w:val="24"/>
          <w:szCs w:val="24"/>
        </w:rPr>
        <w:t>higher quercetin concentration (1.4 µg/mL)</w:t>
      </w:r>
      <w:r w:rsidRPr="000827BC">
        <w:rPr>
          <w:rFonts w:ascii="Times New Roman" w:eastAsia="Times New Roman" w:hAnsi="Times New Roman" w:cs="Times New Roman"/>
          <w:sz w:val="24"/>
          <w:szCs w:val="24"/>
        </w:rPr>
        <w:t xml:space="preserve"> compared to the aqueous extract (</w:t>
      </w:r>
      <w:r w:rsidRPr="000827BC">
        <w:rPr>
          <w:rFonts w:ascii="Times New Roman" w:eastAsia="Times New Roman" w:hAnsi="Times New Roman" w:cs="Times New Roman"/>
          <w:bCs/>
          <w:sz w:val="24"/>
          <w:szCs w:val="24"/>
        </w:rPr>
        <w:t>0.48 µg/mL</w:t>
      </w:r>
      <w:r w:rsidRPr="000827BC">
        <w:rPr>
          <w:rFonts w:ascii="Times New Roman" w:eastAsia="Times New Roman" w:hAnsi="Times New Roman" w:cs="Times New Roman"/>
          <w:sz w:val="24"/>
          <w:szCs w:val="24"/>
        </w:rPr>
        <w:t>). This difference reflects the enhanced solubility of quercetin in methanol and corresponds with the higher Total Flavonoid Content (TFC) previously recorded for the methanolic fraction.</w:t>
      </w:r>
    </w:p>
    <w:p w14:paraId="7A4FEC44" w14:textId="77777777" w:rsidR="00306013" w:rsidRDefault="00036A90" w:rsidP="00387471">
      <w:pPr>
        <w:spacing w:before="100" w:beforeAutospacing="1" w:after="100" w:afterAutospacing="1" w:line="360" w:lineRule="auto"/>
        <w:ind w:left="-993" w:right="-291"/>
        <w:jc w:val="center"/>
        <w:rPr>
          <w:rStyle w:val="Strong"/>
          <w:rFonts w:ascii="Times New Roman" w:hAnsi="Times New Roman" w:cs="Times New Roman"/>
          <w:bCs w:val="0"/>
          <w:color w:val="000000" w:themeColor="text1"/>
          <w:sz w:val="24"/>
        </w:rPr>
      </w:pPr>
      <w:r w:rsidRPr="000827BC">
        <w:rPr>
          <w:rFonts w:ascii="Times New Roman" w:eastAsia="Times New Roman" w:hAnsi="Times New Roman" w:cs="Times New Roman"/>
          <w:noProof/>
          <w:sz w:val="24"/>
          <w:szCs w:val="24"/>
        </w:rPr>
        <w:drawing>
          <wp:inline distT="0" distB="0" distL="0" distR="0" wp14:anchorId="41BDEFA9" wp14:editId="483ECE5D">
            <wp:extent cx="5485554" cy="2591701"/>
            <wp:effectExtent l="0" t="0" r="1270" b="0"/>
            <wp:docPr id="4" name="Picture 4" descr="C:\Users\User\Desktop\Deepak Chaudhary\Research paper\Paper 7\Std10ug-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Deepak Chaudhary\Research paper\Paper 7\Std10ug-Q.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1576" cy="2594546"/>
                    </a:xfrm>
                    <a:prstGeom prst="rect">
                      <a:avLst/>
                    </a:prstGeom>
                    <a:noFill/>
                    <a:ln>
                      <a:noFill/>
                    </a:ln>
                  </pic:spPr>
                </pic:pic>
              </a:graphicData>
            </a:graphic>
          </wp:inline>
        </w:drawing>
      </w:r>
    </w:p>
    <w:p w14:paraId="6E8C6FD5" w14:textId="120E8B74" w:rsidR="001F0112" w:rsidRPr="000827BC" w:rsidRDefault="00BB6EF1" w:rsidP="00387471">
      <w:pPr>
        <w:spacing w:before="100" w:beforeAutospacing="1" w:after="100" w:afterAutospacing="1" w:line="360" w:lineRule="auto"/>
        <w:ind w:left="-993" w:right="-291"/>
        <w:jc w:val="center"/>
        <w:rPr>
          <w:rStyle w:val="Strong"/>
          <w:rFonts w:ascii="Times New Roman" w:hAnsi="Times New Roman" w:cs="Times New Roman"/>
          <w:b w:val="0"/>
          <w:bCs w:val="0"/>
          <w:color w:val="000000" w:themeColor="text1"/>
          <w:sz w:val="24"/>
        </w:rPr>
      </w:pPr>
      <w:r>
        <w:rPr>
          <w:rStyle w:val="Strong"/>
          <w:rFonts w:ascii="Times New Roman" w:hAnsi="Times New Roman" w:cs="Times New Roman"/>
          <w:bCs w:val="0"/>
          <w:color w:val="000000" w:themeColor="text1"/>
          <w:sz w:val="24"/>
        </w:rPr>
        <w:t>Fig.</w:t>
      </w:r>
      <w:r w:rsidR="001F0112" w:rsidRPr="000827BC">
        <w:rPr>
          <w:rStyle w:val="Strong"/>
          <w:rFonts w:ascii="Times New Roman" w:hAnsi="Times New Roman" w:cs="Times New Roman"/>
          <w:bCs w:val="0"/>
          <w:color w:val="000000" w:themeColor="text1"/>
          <w:sz w:val="24"/>
        </w:rPr>
        <w:t xml:space="preserve"> 5</w:t>
      </w:r>
      <w:r w:rsidR="001F0112" w:rsidRPr="000827BC">
        <w:rPr>
          <w:rStyle w:val="Strong"/>
          <w:rFonts w:ascii="Times New Roman" w:hAnsi="Times New Roman" w:cs="Times New Roman"/>
          <w:b w:val="0"/>
          <w:bCs w:val="0"/>
          <w:color w:val="000000" w:themeColor="text1"/>
          <w:sz w:val="24"/>
        </w:rPr>
        <w:t>. HPLC chromatogram showing the quercetin standard peak</w:t>
      </w:r>
      <w:r w:rsidR="00036A90" w:rsidRPr="000827BC">
        <w:rPr>
          <w:rStyle w:val="Strong"/>
          <w:rFonts w:ascii="Times New Roman" w:hAnsi="Times New Roman" w:cs="Times New Roman"/>
          <w:b w:val="0"/>
          <w:bCs w:val="0"/>
          <w:color w:val="000000" w:themeColor="text1"/>
          <w:sz w:val="24"/>
        </w:rPr>
        <w:t>.</w:t>
      </w:r>
    </w:p>
    <w:p w14:paraId="381E4329" w14:textId="77777777" w:rsidR="00306013" w:rsidRDefault="00036A90" w:rsidP="00387471">
      <w:pPr>
        <w:spacing w:before="100" w:beforeAutospacing="1" w:after="100" w:afterAutospacing="1" w:line="360" w:lineRule="auto"/>
        <w:ind w:left="-993" w:right="-291"/>
        <w:jc w:val="center"/>
        <w:rPr>
          <w:rStyle w:val="Strong"/>
          <w:rFonts w:ascii="Times New Roman" w:hAnsi="Times New Roman" w:cs="Times New Roman"/>
          <w:bCs w:val="0"/>
          <w:color w:val="000000" w:themeColor="text1"/>
        </w:rPr>
      </w:pPr>
      <w:r w:rsidRPr="000827BC">
        <w:rPr>
          <w:rFonts w:ascii="Times New Roman" w:eastAsia="Times New Roman" w:hAnsi="Times New Roman" w:cs="Times New Roman"/>
          <w:noProof/>
          <w:sz w:val="24"/>
          <w:szCs w:val="24"/>
        </w:rPr>
        <w:lastRenderedPageBreak/>
        <w:drawing>
          <wp:inline distT="0" distB="0" distL="0" distR="0" wp14:anchorId="4AFC520E" wp14:editId="4CE4C22B">
            <wp:extent cx="5486400" cy="2839735"/>
            <wp:effectExtent l="0" t="0" r="0" b="0"/>
            <wp:docPr id="6" name="Picture 6" descr="C:\Users\User\Desktop\Deepak Chaudhary\Research paper\Paper 7\ET_AV_u[1]_page-0001-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Deepak Chaudhary\Research paper\Paper 7\ET_AV_u[1]_page-0001-Q.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839735"/>
                    </a:xfrm>
                    <a:prstGeom prst="rect">
                      <a:avLst/>
                    </a:prstGeom>
                    <a:noFill/>
                    <a:ln>
                      <a:noFill/>
                    </a:ln>
                  </pic:spPr>
                </pic:pic>
              </a:graphicData>
            </a:graphic>
          </wp:inline>
        </w:drawing>
      </w:r>
    </w:p>
    <w:p w14:paraId="1CAB3EA9" w14:textId="541FD7E7" w:rsidR="001F0112" w:rsidRPr="000827BC" w:rsidRDefault="00BB6EF1" w:rsidP="00387471">
      <w:pPr>
        <w:spacing w:before="100" w:beforeAutospacing="1" w:after="100" w:afterAutospacing="1" w:line="360" w:lineRule="auto"/>
        <w:ind w:left="-993" w:right="-291"/>
        <w:jc w:val="center"/>
        <w:rPr>
          <w:rStyle w:val="Strong"/>
          <w:rFonts w:ascii="Times New Roman" w:hAnsi="Times New Roman" w:cs="Times New Roman"/>
          <w:b w:val="0"/>
          <w:bCs w:val="0"/>
          <w:color w:val="000000" w:themeColor="text1"/>
        </w:rPr>
      </w:pPr>
      <w:r>
        <w:rPr>
          <w:rStyle w:val="Strong"/>
          <w:rFonts w:ascii="Times New Roman" w:hAnsi="Times New Roman" w:cs="Times New Roman"/>
          <w:bCs w:val="0"/>
          <w:color w:val="000000" w:themeColor="text1"/>
        </w:rPr>
        <w:t>Fig.</w:t>
      </w:r>
      <w:r w:rsidR="001F0112" w:rsidRPr="000827BC">
        <w:rPr>
          <w:rStyle w:val="Strong"/>
          <w:rFonts w:ascii="Times New Roman" w:hAnsi="Times New Roman" w:cs="Times New Roman"/>
          <w:bCs w:val="0"/>
          <w:color w:val="000000" w:themeColor="text1"/>
        </w:rPr>
        <w:t xml:space="preserve"> 6.</w:t>
      </w:r>
      <w:r w:rsidR="001F0112" w:rsidRPr="000827BC">
        <w:rPr>
          <w:rStyle w:val="Strong"/>
          <w:rFonts w:ascii="Times New Roman" w:hAnsi="Times New Roman" w:cs="Times New Roman"/>
          <w:b w:val="0"/>
          <w:bCs w:val="0"/>
          <w:color w:val="000000" w:themeColor="text1"/>
        </w:rPr>
        <w:t xml:space="preserve"> HPLC chromatogram showing the quercetin peak in MO-A</w:t>
      </w:r>
      <w:r w:rsidR="00036A90" w:rsidRPr="000827BC">
        <w:rPr>
          <w:rStyle w:val="Strong"/>
          <w:rFonts w:ascii="Times New Roman" w:hAnsi="Times New Roman" w:cs="Times New Roman"/>
          <w:b w:val="0"/>
          <w:bCs w:val="0"/>
          <w:color w:val="000000" w:themeColor="text1"/>
        </w:rPr>
        <w:t>.</w:t>
      </w:r>
    </w:p>
    <w:p w14:paraId="23148BFA" w14:textId="77777777" w:rsidR="00306013" w:rsidRDefault="00036A90" w:rsidP="00387471">
      <w:pPr>
        <w:spacing w:before="100" w:beforeAutospacing="1" w:after="100" w:afterAutospacing="1" w:line="360" w:lineRule="auto"/>
        <w:ind w:left="-993" w:right="-291"/>
        <w:jc w:val="center"/>
        <w:rPr>
          <w:rStyle w:val="Strong"/>
          <w:rFonts w:ascii="Times New Roman" w:hAnsi="Times New Roman" w:cs="Times New Roman"/>
          <w:bCs w:val="0"/>
          <w:color w:val="000000" w:themeColor="text1"/>
        </w:rPr>
      </w:pPr>
      <w:r w:rsidRPr="000827BC">
        <w:rPr>
          <w:rFonts w:ascii="Times New Roman" w:eastAsia="Times New Roman" w:hAnsi="Times New Roman" w:cs="Times New Roman"/>
          <w:noProof/>
          <w:sz w:val="24"/>
          <w:szCs w:val="24"/>
        </w:rPr>
        <w:drawing>
          <wp:inline distT="0" distB="0" distL="0" distR="0" wp14:anchorId="7EF9D8B7" wp14:editId="51FBD04D">
            <wp:extent cx="5486400" cy="2901310"/>
            <wp:effectExtent l="0" t="0" r="0" b="0"/>
            <wp:docPr id="7" name="Picture 7" descr="C:\Users\User\Desktop\Deepak Chaudhary\Research paper\Paper 7\ET_OP_u[1]_page-0001-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Deepak Chaudhary\Research paper\Paper 7\ET_OP_u[1]_page-0001-Q.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901310"/>
                    </a:xfrm>
                    <a:prstGeom prst="rect">
                      <a:avLst/>
                    </a:prstGeom>
                    <a:noFill/>
                    <a:ln>
                      <a:noFill/>
                    </a:ln>
                  </pic:spPr>
                </pic:pic>
              </a:graphicData>
            </a:graphic>
          </wp:inline>
        </w:drawing>
      </w:r>
    </w:p>
    <w:p w14:paraId="708F8BAB" w14:textId="2467AA33" w:rsidR="001F0112" w:rsidRPr="000827BC" w:rsidRDefault="00BB6EF1" w:rsidP="00387471">
      <w:pPr>
        <w:spacing w:before="100" w:beforeAutospacing="1" w:after="100" w:afterAutospacing="1" w:line="360" w:lineRule="auto"/>
        <w:ind w:left="-993" w:right="-291"/>
        <w:jc w:val="center"/>
        <w:rPr>
          <w:rFonts w:ascii="Times New Roman" w:eastAsia="Times New Roman" w:hAnsi="Times New Roman" w:cs="Times New Roman"/>
          <w:sz w:val="24"/>
          <w:szCs w:val="24"/>
        </w:rPr>
      </w:pPr>
      <w:r>
        <w:rPr>
          <w:rStyle w:val="Strong"/>
          <w:rFonts w:ascii="Times New Roman" w:hAnsi="Times New Roman" w:cs="Times New Roman"/>
          <w:bCs w:val="0"/>
          <w:color w:val="000000" w:themeColor="text1"/>
        </w:rPr>
        <w:t>Fig.</w:t>
      </w:r>
      <w:r w:rsidR="001F0112" w:rsidRPr="000827BC">
        <w:rPr>
          <w:rStyle w:val="Strong"/>
          <w:rFonts w:ascii="Times New Roman" w:hAnsi="Times New Roman" w:cs="Times New Roman"/>
          <w:bCs w:val="0"/>
          <w:color w:val="000000" w:themeColor="text1"/>
        </w:rPr>
        <w:t xml:space="preserve"> 7.</w:t>
      </w:r>
      <w:r w:rsidR="001F0112" w:rsidRPr="000827BC">
        <w:rPr>
          <w:rStyle w:val="Strong"/>
          <w:rFonts w:ascii="Times New Roman" w:hAnsi="Times New Roman" w:cs="Times New Roman"/>
          <w:b w:val="0"/>
          <w:bCs w:val="0"/>
          <w:color w:val="000000" w:themeColor="text1"/>
        </w:rPr>
        <w:t xml:space="preserve"> HPLC chromatogram showing the quercetin peak in MO-M</w:t>
      </w:r>
    </w:p>
    <w:p w14:paraId="4DEE1AC1" w14:textId="77777777" w:rsidR="003F2B58" w:rsidRPr="000827BC" w:rsidRDefault="001F0112" w:rsidP="00387471">
      <w:pPr>
        <w:pStyle w:val="NormalWeb"/>
        <w:spacing w:line="360" w:lineRule="auto"/>
        <w:ind w:left="-993" w:right="-291"/>
        <w:jc w:val="both"/>
        <w:rPr>
          <w:color w:val="000000" w:themeColor="text1"/>
        </w:rPr>
      </w:pPr>
      <w:r w:rsidRPr="000827BC">
        <w:rPr>
          <w:color w:val="000000" w:themeColor="text1"/>
        </w:rPr>
        <w:t xml:space="preserve">After reviewing the chromatograms (Figures 5–7), the retention time of quercetin in both extracts showed excellent alignment with the standard peak, confirming chromatographic specificity and accurate identification. The higher quercetin concentration in the methanolic extract reinforces the superior extraction ability of methanol for flavonoid compounds. This is attributed to the intermediate </w:t>
      </w:r>
      <w:r w:rsidRPr="000827BC">
        <w:rPr>
          <w:color w:val="000000" w:themeColor="text1"/>
        </w:rPr>
        <w:lastRenderedPageBreak/>
        <w:t>polarity of methanol, which enhances the solubility of polyhydroxylated flavonoids such as quercetin. These findings are consistent with earlier phytochemical reports that methanol is one of the most efficient solvents for flavonoid extraction from plant matrices.</w:t>
      </w:r>
    </w:p>
    <w:p w14:paraId="7E702DCC" w14:textId="77777777" w:rsidR="00E4262B" w:rsidRPr="00E4262B" w:rsidRDefault="00E4262B" w:rsidP="00E4262B">
      <w:pPr>
        <w:pStyle w:val="Heading1"/>
        <w:spacing w:line="360" w:lineRule="auto"/>
        <w:ind w:left="-990"/>
        <w:jc w:val="both"/>
        <w:rPr>
          <w:rFonts w:ascii="Times New Roman" w:hAnsi="Times New Roman" w:cs="Times New Roman"/>
          <w:color w:val="000000" w:themeColor="text1"/>
          <w:sz w:val="24"/>
          <w:szCs w:val="24"/>
        </w:rPr>
      </w:pPr>
      <w:r w:rsidRPr="00E4262B">
        <w:rPr>
          <w:rFonts w:ascii="Times New Roman" w:hAnsi="Times New Roman" w:cs="Times New Roman"/>
          <w:color w:val="000000" w:themeColor="text1"/>
          <w:sz w:val="24"/>
          <w:szCs w:val="24"/>
        </w:rPr>
        <w:t>4. Discussion</w:t>
      </w:r>
    </w:p>
    <w:p w14:paraId="3099D6C8" w14:textId="6E782DD1" w:rsidR="00E4262B" w:rsidRPr="00E4262B" w:rsidRDefault="00E4262B" w:rsidP="00E4262B">
      <w:pPr>
        <w:pStyle w:val="NormalWeb"/>
        <w:spacing w:line="360" w:lineRule="auto"/>
        <w:ind w:left="-990"/>
        <w:jc w:val="both"/>
        <w:rPr>
          <w:color w:val="000000" w:themeColor="text1"/>
        </w:rPr>
      </w:pPr>
      <w:r w:rsidRPr="00E4262B">
        <w:rPr>
          <w:color w:val="000000" w:themeColor="text1"/>
        </w:rPr>
        <w:t xml:space="preserve">The present study evaluated the influence of solvent polarity on the extraction efficiency and phytochemical composition of </w:t>
      </w:r>
      <w:r w:rsidRPr="00E4262B">
        <w:rPr>
          <w:rStyle w:val="Emphasis"/>
          <w:color w:val="000000" w:themeColor="text1"/>
        </w:rPr>
        <w:t>Moringa oleifera</w:t>
      </w:r>
      <w:r w:rsidRPr="00E4262B">
        <w:rPr>
          <w:color w:val="000000" w:themeColor="text1"/>
        </w:rPr>
        <w:t xml:space="preserve"> leaves collected from the </w:t>
      </w:r>
      <w:proofErr w:type="spellStart"/>
      <w:r w:rsidRPr="00E4262B">
        <w:rPr>
          <w:color w:val="000000" w:themeColor="text1"/>
        </w:rPr>
        <w:t>Hathwa</w:t>
      </w:r>
      <w:proofErr w:type="spellEnd"/>
      <w:r w:rsidRPr="00E4262B">
        <w:rPr>
          <w:color w:val="000000" w:themeColor="text1"/>
        </w:rPr>
        <w:t xml:space="preserve"> region of Bihar, India (Asia), with particular emphasis on the quantification of key antioxidant markers, gallic acid and quercetin. The findings demonstrate that methanol is a more effective solvent than water for extracting phenolic and flavonoid compounds. This difference is primarily attributed to the intermediate polarity of methanol, which enhances the solubility and extraction of moderately polar secondary metabolites, including phenolic acids and flavonoids (Sharma </w:t>
      </w:r>
      <w:r w:rsidRPr="00E4262B">
        <w:rPr>
          <w:i/>
          <w:color w:val="000000" w:themeColor="text1"/>
        </w:rPr>
        <w:t xml:space="preserve">et al., </w:t>
      </w:r>
      <w:r w:rsidRPr="00E4262B">
        <w:rPr>
          <w:color w:val="000000" w:themeColor="text1"/>
        </w:rPr>
        <w:t>2023).</w:t>
      </w:r>
    </w:p>
    <w:p w14:paraId="18D1913F" w14:textId="73C2871B" w:rsidR="00E4262B" w:rsidRPr="00E4262B" w:rsidRDefault="00E4262B" w:rsidP="00E4262B">
      <w:pPr>
        <w:pStyle w:val="NormalWeb"/>
        <w:spacing w:line="360" w:lineRule="auto"/>
        <w:ind w:left="-990"/>
        <w:jc w:val="both"/>
        <w:rPr>
          <w:color w:val="000000" w:themeColor="text1"/>
        </w:rPr>
      </w:pPr>
      <w:r w:rsidRPr="00E4262B">
        <w:rPr>
          <w:color w:val="000000" w:themeColor="text1"/>
        </w:rPr>
        <w:t>The extractive yield showed a slight advantage for the methanolic extract compared to the aqueous extract. Although aqueous solvents often extract higher amounts of hydrophilic compounds such as sugars, proteins, and polysaccharides, methanol preferentially extracts biologically active secondary metabolites rather than bulk hydrophilic constituents. Similar findings have been reported in recent phytochemical studies, where methanolic extraction yielded higher concentrations of phenolic compounds due to its superior penetration into plant tissues and ability to disrupt plan</w:t>
      </w:r>
      <w:r>
        <w:rPr>
          <w:color w:val="000000" w:themeColor="text1"/>
        </w:rPr>
        <w:t xml:space="preserve">t cell walls (Saini </w:t>
      </w:r>
      <w:r w:rsidRPr="00E4262B">
        <w:rPr>
          <w:i/>
          <w:color w:val="000000" w:themeColor="text1"/>
        </w:rPr>
        <w:t>et al.,</w:t>
      </w:r>
      <w:r>
        <w:rPr>
          <w:color w:val="000000" w:themeColor="text1"/>
        </w:rPr>
        <w:t xml:space="preserve"> 2021</w:t>
      </w:r>
      <w:r w:rsidRPr="00E4262B">
        <w:rPr>
          <w:color w:val="000000" w:themeColor="text1"/>
        </w:rPr>
        <w:t>).</w:t>
      </w:r>
    </w:p>
    <w:p w14:paraId="3ABDE884" w14:textId="7FE66B35" w:rsidR="00E4262B" w:rsidRPr="00E4262B" w:rsidRDefault="00E4262B" w:rsidP="00E4262B">
      <w:pPr>
        <w:pStyle w:val="NormalWeb"/>
        <w:spacing w:line="360" w:lineRule="auto"/>
        <w:ind w:left="-990"/>
        <w:jc w:val="both"/>
        <w:rPr>
          <w:color w:val="000000" w:themeColor="text1"/>
        </w:rPr>
      </w:pPr>
      <w:r w:rsidRPr="00E4262B">
        <w:rPr>
          <w:color w:val="000000" w:themeColor="text1"/>
        </w:rPr>
        <w:t xml:space="preserve">The Total Phenolic Content (TPC) and Total Flavonoid Content (TFC) results further confirmed the enhanced extraction efficiency of methanol. Phenolic and flavonoid compounds are known to exhibit higher solubility in organic solvents with intermediate polarity, which facilitates their efficient recovery. Previous studies on medicinal plants have consistently reported higher phenolic and flavonoid concentrations in methanolic extracts compared to aqueous extracts (Sharma </w:t>
      </w:r>
      <w:r w:rsidRPr="00E4262B">
        <w:rPr>
          <w:i/>
          <w:color w:val="000000" w:themeColor="text1"/>
        </w:rPr>
        <w:t>et al.,</w:t>
      </w:r>
      <w:r w:rsidRPr="00E4262B">
        <w:rPr>
          <w:color w:val="000000" w:themeColor="text1"/>
        </w:rPr>
        <w:t xml:space="preserve"> 2023). Furthermore, increased phenolic and flavonoid content is strongly associated with enhanced antioxidant activity, as these compounds play a critical role in neutralizing free radicals and preventing oxidative damage (</w:t>
      </w:r>
      <w:r w:rsidR="009E102D" w:rsidRPr="00813E9A">
        <w:rPr>
          <w:color w:val="222222"/>
          <w:shd w:val="clear" w:color="auto" w:fill="FFFFFF"/>
        </w:rPr>
        <w:t>Badhe</w:t>
      </w:r>
      <w:r w:rsidRPr="00813E9A">
        <w:rPr>
          <w:color w:val="000000" w:themeColor="text1"/>
        </w:rPr>
        <w:t xml:space="preserve"> </w:t>
      </w:r>
      <w:r w:rsidRPr="00813E9A">
        <w:rPr>
          <w:i/>
          <w:color w:val="000000" w:themeColor="text1"/>
        </w:rPr>
        <w:t>et al.,</w:t>
      </w:r>
      <w:r w:rsidR="009E102D" w:rsidRPr="00813E9A">
        <w:rPr>
          <w:color w:val="000000" w:themeColor="text1"/>
        </w:rPr>
        <w:t xml:space="preserve"> 2025</w:t>
      </w:r>
      <w:r w:rsidRPr="00E4262B">
        <w:rPr>
          <w:color w:val="000000" w:themeColor="text1"/>
        </w:rPr>
        <w:t xml:space="preserve">). The elevated TPC and TFC observed in the methanolic extract of </w:t>
      </w:r>
      <w:r w:rsidRPr="00E4262B">
        <w:rPr>
          <w:rStyle w:val="Emphasis"/>
          <w:color w:val="000000" w:themeColor="text1"/>
        </w:rPr>
        <w:t>Moringa oleifera</w:t>
      </w:r>
      <w:r w:rsidRPr="00E4262B">
        <w:rPr>
          <w:color w:val="000000" w:themeColor="text1"/>
        </w:rPr>
        <w:t xml:space="preserve"> therefore indicate its greater antioxidant potential.</w:t>
      </w:r>
    </w:p>
    <w:p w14:paraId="228DE67F" w14:textId="11C1D046" w:rsidR="00E4262B" w:rsidRPr="00E4262B" w:rsidRDefault="00E4262B" w:rsidP="00E4262B">
      <w:pPr>
        <w:pStyle w:val="NormalWeb"/>
        <w:spacing w:line="360" w:lineRule="auto"/>
        <w:ind w:left="-990"/>
        <w:jc w:val="both"/>
        <w:rPr>
          <w:color w:val="000000" w:themeColor="text1"/>
        </w:rPr>
      </w:pPr>
      <w:r w:rsidRPr="00E4262B">
        <w:rPr>
          <w:color w:val="000000" w:themeColor="text1"/>
        </w:rPr>
        <w:lastRenderedPageBreak/>
        <w:t>High-Performance Liquid Chromatography (HPLC) analysis confirmed the presence of gallic acid and quercetin in both methanolic and aqueous extracts, with retention times matching those of standard reference compounds. This confirms the specificity, accuracy, and reliability of the chromatographic method used in the study. Quantitative analysis revealed higher concentrations of gallic acid and quercetin in the methanolic extract compared to the aqueous extract, which is consistent with the TPC and TFC findings. These results are in agreement with previous studies demonstrating that methanol enhances the extraction of phenolic antioxidants from medicinal plants due to its ability to dissolve both polar and moderately non-polar compounds (</w:t>
      </w:r>
      <w:r w:rsidR="009E102D" w:rsidRPr="005C2D2C">
        <w:rPr>
          <w:color w:val="212121"/>
          <w:shd w:val="clear" w:color="auto" w:fill="FFFFFF"/>
        </w:rPr>
        <w:t>Sawant</w:t>
      </w:r>
      <w:r w:rsidR="009E102D">
        <w:rPr>
          <w:color w:val="000000" w:themeColor="text1"/>
        </w:rPr>
        <w:t xml:space="preserve"> </w:t>
      </w:r>
      <w:r w:rsidR="009E102D" w:rsidRPr="009E102D">
        <w:rPr>
          <w:i/>
          <w:color w:val="000000" w:themeColor="text1"/>
        </w:rPr>
        <w:t>et al.,</w:t>
      </w:r>
      <w:r w:rsidR="009E102D">
        <w:rPr>
          <w:color w:val="000000" w:themeColor="text1"/>
        </w:rPr>
        <w:t xml:space="preserve"> 2010</w:t>
      </w:r>
      <w:r w:rsidRPr="00E4262B">
        <w:rPr>
          <w:color w:val="000000" w:themeColor="text1"/>
        </w:rPr>
        <w:t>).</w:t>
      </w:r>
    </w:p>
    <w:p w14:paraId="38D0681C" w14:textId="2FD7E87C" w:rsidR="00E4262B" w:rsidRPr="00E4262B" w:rsidRDefault="00E4262B" w:rsidP="00E4262B">
      <w:pPr>
        <w:pStyle w:val="NormalWeb"/>
        <w:spacing w:line="360" w:lineRule="auto"/>
        <w:ind w:left="-990"/>
        <w:jc w:val="both"/>
        <w:rPr>
          <w:color w:val="000000" w:themeColor="text1"/>
        </w:rPr>
      </w:pPr>
      <w:r w:rsidRPr="00E4262B">
        <w:rPr>
          <w:color w:val="000000" w:themeColor="text1"/>
        </w:rPr>
        <w:t>Gallic acid and quercetin are well-established antioxidant compounds known for their strong free radical scavenging activity and pharmacological properties, including anti-inflammatory, antimicrobia</w:t>
      </w:r>
      <w:r w:rsidR="009E102D">
        <w:rPr>
          <w:color w:val="000000" w:themeColor="text1"/>
        </w:rPr>
        <w:t xml:space="preserve">l, and cardioprotective effects. </w:t>
      </w:r>
      <w:r w:rsidRPr="00E4262B">
        <w:rPr>
          <w:color w:val="000000" w:themeColor="text1"/>
        </w:rPr>
        <w:t xml:space="preserve">The higher concentrations of these compounds in the methanolic extract suggest greater antioxidant and therapeutic potential. Additionally, methanolic extracts of medicinal plants have been reported to exhibit stronger antimicrobial activity compared to aqueous extracts, which is attributed to their higher phenolic and flavonoid content (Rao </w:t>
      </w:r>
      <w:r w:rsidRPr="00813E9A">
        <w:rPr>
          <w:i/>
          <w:color w:val="000000" w:themeColor="text1"/>
        </w:rPr>
        <w:t>et al.,</w:t>
      </w:r>
      <w:r w:rsidRPr="00E4262B">
        <w:rPr>
          <w:color w:val="000000" w:themeColor="text1"/>
        </w:rPr>
        <w:t xml:space="preserve"> 2021; Sharma </w:t>
      </w:r>
      <w:r w:rsidRPr="00E4262B">
        <w:rPr>
          <w:i/>
          <w:color w:val="000000" w:themeColor="text1"/>
        </w:rPr>
        <w:t>et al.,</w:t>
      </w:r>
      <w:r w:rsidRPr="00E4262B">
        <w:rPr>
          <w:color w:val="000000" w:themeColor="text1"/>
        </w:rPr>
        <w:t xml:space="preserve"> 2023). These findings further support the effectiveness of methanol as an extraction solvent for recovering bioactive phytochemicals from plant materials.</w:t>
      </w:r>
    </w:p>
    <w:p w14:paraId="2E36C913" w14:textId="77777777" w:rsidR="00E4262B" w:rsidRPr="00E4262B" w:rsidRDefault="00E4262B" w:rsidP="00E4262B">
      <w:pPr>
        <w:pStyle w:val="NormalWeb"/>
        <w:spacing w:line="360" w:lineRule="auto"/>
        <w:ind w:left="-990"/>
        <w:jc w:val="both"/>
        <w:rPr>
          <w:color w:val="000000" w:themeColor="text1"/>
        </w:rPr>
      </w:pPr>
      <w:r w:rsidRPr="00E4262B">
        <w:rPr>
          <w:color w:val="000000" w:themeColor="text1"/>
        </w:rPr>
        <w:t xml:space="preserve">Environmental factors such as soil composition, climatic conditions, and geographical location may also influence phytochemical accumulation in plants. The </w:t>
      </w:r>
      <w:proofErr w:type="spellStart"/>
      <w:r w:rsidRPr="00E4262B">
        <w:rPr>
          <w:color w:val="000000" w:themeColor="text1"/>
        </w:rPr>
        <w:t>Hathwa</w:t>
      </w:r>
      <w:proofErr w:type="spellEnd"/>
      <w:r w:rsidRPr="00E4262B">
        <w:rPr>
          <w:color w:val="000000" w:themeColor="text1"/>
        </w:rPr>
        <w:t xml:space="preserve"> region of Bihar, India, is characterized by subtropical climatic conditions and fertile alluvial soil, which may contribute to enhanced biosynthesis of secondary metabolites in </w:t>
      </w:r>
      <w:r w:rsidRPr="00E4262B">
        <w:rPr>
          <w:rStyle w:val="Emphasis"/>
          <w:color w:val="000000" w:themeColor="text1"/>
        </w:rPr>
        <w:t>Moringa oleifera</w:t>
      </w:r>
      <w:r w:rsidRPr="00E4262B">
        <w:rPr>
          <w:color w:val="000000" w:themeColor="text1"/>
        </w:rPr>
        <w:t xml:space="preserve">. Such regional variations in phytochemical content have been reported in several medicinal plant studies (Sharma </w:t>
      </w:r>
      <w:r w:rsidRPr="00E4262B">
        <w:rPr>
          <w:i/>
          <w:color w:val="000000" w:themeColor="text1"/>
        </w:rPr>
        <w:t>et al.,</w:t>
      </w:r>
      <w:r w:rsidRPr="00E4262B">
        <w:rPr>
          <w:color w:val="000000" w:themeColor="text1"/>
        </w:rPr>
        <w:t xml:space="preserve"> 2023).</w:t>
      </w:r>
    </w:p>
    <w:p w14:paraId="06CC9BA6" w14:textId="77777777" w:rsidR="00E4262B" w:rsidRPr="00E4262B" w:rsidRDefault="00E4262B" w:rsidP="00E4262B">
      <w:pPr>
        <w:pStyle w:val="NormalWeb"/>
        <w:spacing w:line="360" w:lineRule="auto"/>
        <w:ind w:left="-990"/>
        <w:jc w:val="both"/>
        <w:rPr>
          <w:color w:val="000000" w:themeColor="text1"/>
        </w:rPr>
      </w:pPr>
      <w:r w:rsidRPr="00E4262B">
        <w:rPr>
          <w:color w:val="000000" w:themeColor="text1"/>
        </w:rPr>
        <w:t xml:space="preserve">Overall, the present study clearly demonstrates the significant influence of solvent polarity on the extraction efficiency and phytochemical composition of </w:t>
      </w:r>
      <w:r w:rsidRPr="00E4262B">
        <w:rPr>
          <w:rStyle w:val="Emphasis"/>
          <w:color w:val="000000" w:themeColor="text1"/>
        </w:rPr>
        <w:t>Moringa oleifera</w:t>
      </w:r>
      <w:r w:rsidRPr="00E4262B">
        <w:rPr>
          <w:color w:val="000000" w:themeColor="text1"/>
        </w:rPr>
        <w:t xml:space="preserve"> leaves. Methanol proved to be a more effective solvent for extracting phenolic and flavonoid compounds, including gallic acid and quercetin. The combined TPC, TFC, and HPLC findings confirm that </w:t>
      </w:r>
      <w:r w:rsidRPr="00E4262B">
        <w:rPr>
          <w:rStyle w:val="Emphasis"/>
          <w:color w:val="000000" w:themeColor="text1"/>
        </w:rPr>
        <w:t>Moringa oleifera</w:t>
      </w:r>
      <w:r w:rsidRPr="00E4262B">
        <w:rPr>
          <w:color w:val="000000" w:themeColor="text1"/>
        </w:rPr>
        <w:t xml:space="preserve"> leaves are a rich source of antioxidant phytochemicals and support their potential application in nutraceutical, pharmaceutical, and functional food industries.</w:t>
      </w:r>
    </w:p>
    <w:p w14:paraId="4210A837" w14:textId="727BD631" w:rsidR="00AA2D09" w:rsidRPr="000827BC" w:rsidRDefault="00E4262B" w:rsidP="00E4262B">
      <w:pPr>
        <w:pStyle w:val="Heading1"/>
        <w:spacing w:line="360" w:lineRule="auto"/>
        <w:ind w:left="-993" w:right="-291"/>
        <w:jc w:val="both"/>
        <w:rPr>
          <w:rFonts w:ascii="Times New Roman" w:hAnsi="Times New Roman" w:cs="Times New Roman"/>
          <w:color w:val="auto"/>
        </w:rPr>
      </w:pPr>
      <w:r w:rsidRPr="000827BC">
        <w:rPr>
          <w:rStyle w:val="Strong"/>
          <w:rFonts w:ascii="Times New Roman" w:hAnsi="Times New Roman" w:cs="Times New Roman"/>
          <w:b/>
          <w:bCs/>
          <w:color w:val="auto"/>
        </w:rPr>
        <w:lastRenderedPageBreak/>
        <w:t xml:space="preserve"> </w:t>
      </w:r>
      <w:r w:rsidR="00AA2D09" w:rsidRPr="000827BC">
        <w:rPr>
          <w:rStyle w:val="Strong"/>
          <w:rFonts w:ascii="Times New Roman" w:hAnsi="Times New Roman" w:cs="Times New Roman"/>
          <w:b/>
          <w:bCs/>
          <w:color w:val="auto"/>
        </w:rPr>
        <w:t>5. Conclusion</w:t>
      </w:r>
    </w:p>
    <w:p w14:paraId="5326BD8B" w14:textId="719B2D62" w:rsidR="00730B51" w:rsidRDefault="00E4262B" w:rsidP="00306013">
      <w:pPr>
        <w:pStyle w:val="NormalWeb"/>
        <w:spacing w:line="360" w:lineRule="auto"/>
        <w:ind w:left="-993" w:right="-291"/>
        <w:jc w:val="both"/>
      </w:pPr>
      <w:r>
        <w:t xml:space="preserve">This study demonstrates that solvent polarity plays an important role in the efficient extraction of phenolic and flavonoid compounds from </w:t>
      </w:r>
      <w:r>
        <w:rPr>
          <w:rStyle w:val="Emphasis"/>
        </w:rPr>
        <w:t>Moringa oleifera</w:t>
      </w:r>
      <w:r>
        <w:t xml:space="preserve"> leaves col</w:t>
      </w:r>
      <w:bookmarkStart w:id="0" w:name="_GoBack"/>
      <w:bookmarkEnd w:id="0"/>
      <w:r>
        <w:t xml:space="preserve">lected from the </w:t>
      </w:r>
      <w:proofErr w:type="spellStart"/>
      <w:r>
        <w:t>Hathwa</w:t>
      </w:r>
      <w:proofErr w:type="spellEnd"/>
      <w:r>
        <w:t xml:space="preserve"> region of Bihar, India (Asia). Methanol was identified as a more effective solvent compared to water for the recovery of key antioxidant phytochemicals such as gallic acid and quercetin. The results highlight the importance of solvent selection in maximizing phytochemical extraction efficiency. High-Performance Liquid Chromatography (HPLC) proved to be a reliable and precise analytical technique for the identification and quantification of phenolic markers. The chromatographic method ensured accurate detection and confirmed the presence of bioactive compounds in the extracts. This study also provides scientific validation for the traditional medicinal use of </w:t>
      </w:r>
      <w:r>
        <w:rPr>
          <w:rStyle w:val="Emphasis"/>
        </w:rPr>
        <w:t>Moringa oleifera</w:t>
      </w:r>
      <w:r>
        <w:t xml:space="preserve"> leaves in rural healthcare systems. The presence of antioxidant phytochemicals supports its therapeutic relevance in managing oxidative stress–related conditions. The findings emphasize the phytochemical richness of </w:t>
      </w:r>
      <w:r>
        <w:rPr>
          <w:rStyle w:val="Emphasis"/>
        </w:rPr>
        <w:t>Moringa oleifera</w:t>
      </w:r>
      <w:r>
        <w:t xml:space="preserve"> leaves from this geographical region. Environmental and regional factors may contribute to variations in phytochemical composition. The study contributes valuable information for the phytochemical standardization of medicinal plants. It also highlights the potential of </w:t>
      </w:r>
      <w:r>
        <w:rPr>
          <w:rStyle w:val="Emphasis"/>
        </w:rPr>
        <w:t>Moringa oleifera</w:t>
      </w:r>
      <w:r>
        <w:t xml:space="preserve"> as a natural source of antioxidant compounds. These findings support its application in nutraceutical and pharmaceutical formulations. The study establishes a reliable analytical approach for future phytochemical investigations. It also provides a useful reference for quality evaluation of plant-based products. Overall, </w:t>
      </w:r>
      <w:r>
        <w:rPr>
          <w:rStyle w:val="Emphasis"/>
        </w:rPr>
        <w:t>Moringa oleifera</w:t>
      </w:r>
      <w:r>
        <w:t xml:space="preserve"> represents a promising plant resource for therapeutic and industrial applications.</w:t>
      </w:r>
    </w:p>
    <w:p w14:paraId="75A539B0" w14:textId="77777777" w:rsidR="00591514" w:rsidRPr="00591514" w:rsidRDefault="00591514" w:rsidP="00591514">
      <w:pPr>
        <w:pStyle w:val="NormalWeb"/>
        <w:spacing w:line="360" w:lineRule="auto"/>
        <w:ind w:left="-993" w:right="-291"/>
        <w:jc w:val="both"/>
        <w:rPr>
          <w:b/>
          <w:color w:val="000000" w:themeColor="text1"/>
          <w:sz w:val="28"/>
        </w:rPr>
      </w:pPr>
      <w:r w:rsidRPr="00591514">
        <w:rPr>
          <w:b/>
          <w:color w:val="000000" w:themeColor="text1"/>
          <w:sz w:val="28"/>
        </w:rPr>
        <w:t>Disclaimer (Artificial intelligence)</w:t>
      </w:r>
    </w:p>
    <w:p w14:paraId="6928FAA4" w14:textId="316ED7D3" w:rsidR="00591514" w:rsidRPr="00591514" w:rsidRDefault="00591514" w:rsidP="00591514">
      <w:pPr>
        <w:pStyle w:val="NormalWeb"/>
        <w:spacing w:line="360" w:lineRule="auto"/>
        <w:ind w:left="-993" w:right="-291"/>
        <w:jc w:val="both"/>
        <w:rPr>
          <w:color w:val="000000" w:themeColor="text1"/>
          <w:sz w:val="28"/>
        </w:rPr>
      </w:pPr>
      <w:r w:rsidRPr="00591514">
        <w:rPr>
          <w:b/>
          <w:color w:val="000000" w:themeColor="text1"/>
          <w:sz w:val="28"/>
        </w:rPr>
        <w:t>Author(s) hereby declare that NO generative AI technologies such as Large Language Models (</w:t>
      </w:r>
      <w:proofErr w:type="spellStart"/>
      <w:r w:rsidRPr="00591514">
        <w:rPr>
          <w:b/>
          <w:color w:val="000000" w:themeColor="text1"/>
          <w:sz w:val="28"/>
        </w:rPr>
        <w:t>ChatGPT</w:t>
      </w:r>
      <w:proofErr w:type="spellEnd"/>
      <w:r w:rsidRPr="00591514">
        <w:rPr>
          <w:b/>
          <w:color w:val="000000" w:themeColor="text1"/>
          <w:sz w:val="28"/>
        </w:rPr>
        <w:t>, COPILOT, etc.) and text-to-image generators have been used during the writing or editing of this manuscript</w:t>
      </w:r>
    </w:p>
    <w:p w14:paraId="60481F05" w14:textId="49DAF515" w:rsidR="00591514" w:rsidRDefault="00591514" w:rsidP="00306013">
      <w:pPr>
        <w:pStyle w:val="NormalWeb"/>
        <w:spacing w:line="360" w:lineRule="auto"/>
        <w:ind w:left="-993" w:right="-291"/>
        <w:jc w:val="both"/>
        <w:rPr>
          <w:b/>
          <w:color w:val="000000" w:themeColor="text1"/>
          <w:sz w:val="28"/>
        </w:rPr>
      </w:pPr>
    </w:p>
    <w:p w14:paraId="6FF9008A" w14:textId="77777777" w:rsidR="00591514" w:rsidRDefault="00591514" w:rsidP="00306013">
      <w:pPr>
        <w:pStyle w:val="NormalWeb"/>
        <w:spacing w:line="360" w:lineRule="auto"/>
        <w:ind w:left="-993" w:right="-291"/>
        <w:jc w:val="both"/>
        <w:rPr>
          <w:b/>
          <w:color w:val="000000" w:themeColor="text1"/>
          <w:sz w:val="28"/>
        </w:rPr>
      </w:pPr>
    </w:p>
    <w:p w14:paraId="2A6910E7" w14:textId="1578B790" w:rsidR="00C9513A" w:rsidRPr="00306013" w:rsidRDefault="00C9513A" w:rsidP="00306013">
      <w:pPr>
        <w:pStyle w:val="NormalWeb"/>
        <w:spacing w:line="360" w:lineRule="auto"/>
        <w:ind w:left="-993" w:right="-291"/>
        <w:jc w:val="both"/>
      </w:pPr>
      <w:r w:rsidRPr="000827BC">
        <w:rPr>
          <w:b/>
          <w:color w:val="000000" w:themeColor="text1"/>
          <w:sz w:val="28"/>
        </w:rPr>
        <w:lastRenderedPageBreak/>
        <w:t>Reference</w:t>
      </w:r>
    </w:p>
    <w:p w14:paraId="01935859" w14:textId="77777777" w:rsidR="00813E9A" w:rsidRPr="00813E9A" w:rsidRDefault="00813E9A" w:rsidP="00940DA9">
      <w:pPr>
        <w:pStyle w:val="NormalWeb"/>
        <w:numPr>
          <w:ilvl w:val="0"/>
          <w:numId w:val="10"/>
        </w:numPr>
        <w:spacing w:line="360" w:lineRule="auto"/>
        <w:ind w:left="-709"/>
        <w:jc w:val="both"/>
      </w:pPr>
      <w:r w:rsidRPr="00813E9A">
        <w:rPr>
          <w:color w:val="222222"/>
          <w:shd w:val="clear" w:color="auto" w:fill="FFFFFF"/>
        </w:rPr>
        <w:t xml:space="preserve">Ahmad, L., Ullah, F., </w:t>
      </w:r>
      <w:proofErr w:type="spellStart"/>
      <w:r w:rsidRPr="00813E9A">
        <w:rPr>
          <w:color w:val="222222"/>
          <w:shd w:val="clear" w:color="auto" w:fill="FFFFFF"/>
        </w:rPr>
        <w:t>Semotiuk</w:t>
      </w:r>
      <w:proofErr w:type="spellEnd"/>
      <w:r w:rsidRPr="00813E9A">
        <w:rPr>
          <w:color w:val="222222"/>
          <w:shd w:val="clear" w:color="auto" w:fill="FFFFFF"/>
        </w:rPr>
        <w:t xml:space="preserve">, A. J., Rashid, W., Khan, I., Jan, H. A., ... &amp; Ahmad, I. (2020). Traditional knowledge and economic significance of Berberis </w:t>
      </w:r>
      <w:proofErr w:type="spellStart"/>
      <w:r w:rsidRPr="00813E9A">
        <w:rPr>
          <w:color w:val="222222"/>
          <w:shd w:val="clear" w:color="auto" w:fill="FFFFFF"/>
        </w:rPr>
        <w:t>lycium</w:t>
      </w:r>
      <w:proofErr w:type="spellEnd"/>
      <w:r w:rsidRPr="00813E9A">
        <w:rPr>
          <w:color w:val="222222"/>
          <w:shd w:val="clear" w:color="auto" w:fill="FFFFFF"/>
        </w:rPr>
        <w:t xml:space="preserve"> </w:t>
      </w:r>
      <w:proofErr w:type="spellStart"/>
      <w:r w:rsidRPr="00813E9A">
        <w:rPr>
          <w:color w:val="222222"/>
          <w:shd w:val="clear" w:color="auto" w:fill="FFFFFF"/>
        </w:rPr>
        <w:t>Royle</w:t>
      </w:r>
      <w:proofErr w:type="spellEnd"/>
      <w:r w:rsidRPr="00813E9A">
        <w:rPr>
          <w:color w:val="222222"/>
          <w:shd w:val="clear" w:color="auto" w:fill="FFFFFF"/>
        </w:rPr>
        <w:t xml:space="preserve"> in the Lower Dir District, Pakistan. </w:t>
      </w:r>
      <w:r w:rsidRPr="00813E9A">
        <w:rPr>
          <w:i/>
          <w:iCs/>
          <w:color w:val="222222"/>
          <w:shd w:val="clear" w:color="auto" w:fill="FFFFFF"/>
        </w:rPr>
        <w:t>Ethnobotany Research and Applications</w:t>
      </w:r>
      <w:r w:rsidRPr="00813E9A">
        <w:rPr>
          <w:color w:val="222222"/>
          <w:shd w:val="clear" w:color="auto" w:fill="FFFFFF"/>
        </w:rPr>
        <w:t>, </w:t>
      </w:r>
      <w:r w:rsidRPr="00813E9A">
        <w:rPr>
          <w:i/>
          <w:iCs/>
          <w:color w:val="222222"/>
          <w:shd w:val="clear" w:color="auto" w:fill="FFFFFF"/>
        </w:rPr>
        <w:t>20</w:t>
      </w:r>
      <w:r w:rsidRPr="00813E9A">
        <w:rPr>
          <w:color w:val="222222"/>
          <w:shd w:val="clear" w:color="auto" w:fill="FFFFFF"/>
        </w:rPr>
        <w:t>, 1-12.</w:t>
      </w:r>
    </w:p>
    <w:p w14:paraId="0CB10316" w14:textId="77777777" w:rsidR="00813E9A" w:rsidRPr="00813E9A" w:rsidRDefault="00813E9A" w:rsidP="00306013">
      <w:pPr>
        <w:pStyle w:val="NormalWeb"/>
        <w:numPr>
          <w:ilvl w:val="0"/>
          <w:numId w:val="10"/>
        </w:numPr>
        <w:spacing w:line="360" w:lineRule="auto"/>
        <w:ind w:left="-709"/>
        <w:jc w:val="both"/>
      </w:pPr>
      <w:r w:rsidRPr="00813E9A">
        <w:t xml:space="preserve">Ahmad, M. S. (2016). </w:t>
      </w:r>
      <w:r w:rsidRPr="00813E9A">
        <w:rPr>
          <w:rStyle w:val="Emphasis"/>
        </w:rPr>
        <w:t xml:space="preserve">Documentation and folklore use of medicinal plants of </w:t>
      </w:r>
      <w:proofErr w:type="spellStart"/>
      <w:r w:rsidRPr="00813E9A">
        <w:rPr>
          <w:rStyle w:val="Emphasis"/>
        </w:rPr>
        <w:t>Hathwa</w:t>
      </w:r>
      <w:proofErr w:type="spellEnd"/>
      <w:r w:rsidRPr="00813E9A">
        <w:rPr>
          <w:rStyle w:val="Emphasis"/>
        </w:rPr>
        <w:t xml:space="preserve"> (</w:t>
      </w:r>
      <w:proofErr w:type="spellStart"/>
      <w:r w:rsidRPr="00813E9A">
        <w:rPr>
          <w:rStyle w:val="Emphasis"/>
        </w:rPr>
        <w:t>Gopalganj</w:t>
      </w:r>
      <w:proofErr w:type="spellEnd"/>
      <w:r w:rsidRPr="00813E9A">
        <w:rPr>
          <w:rStyle w:val="Emphasis"/>
        </w:rPr>
        <w:t>), Bihar.</w:t>
      </w:r>
      <w:r w:rsidRPr="00813E9A">
        <w:t xml:space="preserve"> The </w:t>
      </w:r>
      <w:proofErr w:type="spellStart"/>
      <w:r w:rsidRPr="00813E9A">
        <w:t>Biobrio</w:t>
      </w:r>
      <w:proofErr w:type="spellEnd"/>
      <w:r w:rsidRPr="00813E9A">
        <w:t>, 3(1–2), 153–160.</w:t>
      </w:r>
      <w:r w:rsidRPr="00813E9A">
        <w:rPr>
          <w:color w:val="212121"/>
        </w:rPr>
        <w:t xml:space="preserve"> </w:t>
      </w:r>
    </w:p>
    <w:p w14:paraId="7DD011AC" w14:textId="77777777" w:rsidR="00813E9A" w:rsidRPr="00813E9A" w:rsidRDefault="00813E9A" w:rsidP="00306013">
      <w:pPr>
        <w:pStyle w:val="NormalWeb"/>
        <w:numPr>
          <w:ilvl w:val="0"/>
          <w:numId w:val="10"/>
        </w:numPr>
        <w:spacing w:line="360" w:lineRule="auto"/>
        <w:ind w:left="-709"/>
        <w:jc w:val="both"/>
      </w:pPr>
      <w:r w:rsidRPr="00813E9A">
        <w:rPr>
          <w:lang w:val="sv-SE"/>
        </w:rPr>
        <w:t xml:space="preserve">Alhakmani, F., Kumar, S., &amp; Khan, S. A. (2020). </w:t>
      </w:r>
      <w:r w:rsidRPr="00813E9A">
        <w:rPr>
          <w:rStyle w:val="Emphasis"/>
        </w:rPr>
        <w:t>Antioxidant activity of fresh and dry leaf extracts of selected medicinal plants.</w:t>
      </w:r>
      <w:r w:rsidRPr="00813E9A">
        <w:t xml:space="preserve"> Antioxidants, 9(7), 785.</w:t>
      </w:r>
    </w:p>
    <w:p w14:paraId="3242DF0C" w14:textId="77777777" w:rsidR="00813E9A" w:rsidRPr="00813E9A" w:rsidRDefault="00813E9A" w:rsidP="00940DA9">
      <w:pPr>
        <w:pStyle w:val="NormalWeb"/>
        <w:numPr>
          <w:ilvl w:val="0"/>
          <w:numId w:val="10"/>
        </w:numPr>
        <w:spacing w:line="360" w:lineRule="auto"/>
        <w:ind w:left="-709"/>
        <w:jc w:val="both"/>
      </w:pPr>
      <w:r w:rsidRPr="00813E9A">
        <w:rPr>
          <w:color w:val="222222"/>
          <w:shd w:val="clear" w:color="auto" w:fill="FFFFFF"/>
        </w:rPr>
        <w:t xml:space="preserve">Alia, F., Putri, M., </w:t>
      </w:r>
      <w:proofErr w:type="spellStart"/>
      <w:r w:rsidRPr="00813E9A">
        <w:rPr>
          <w:color w:val="222222"/>
          <w:shd w:val="clear" w:color="auto" w:fill="FFFFFF"/>
        </w:rPr>
        <w:t>Anggraeni</w:t>
      </w:r>
      <w:proofErr w:type="spellEnd"/>
      <w:r w:rsidRPr="00813E9A">
        <w:rPr>
          <w:color w:val="222222"/>
          <w:shd w:val="clear" w:color="auto" w:fill="FFFFFF"/>
        </w:rPr>
        <w:t xml:space="preserve">, N., &amp; </w:t>
      </w:r>
      <w:proofErr w:type="spellStart"/>
      <w:r w:rsidRPr="00813E9A">
        <w:rPr>
          <w:color w:val="222222"/>
          <w:shd w:val="clear" w:color="auto" w:fill="FFFFFF"/>
        </w:rPr>
        <w:t>Syamsunarno</w:t>
      </w:r>
      <w:proofErr w:type="spellEnd"/>
      <w:r w:rsidRPr="00813E9A">
        <w:rPr>
          <w:color w:val="222222"/>
          <w:shd w:val="clear" w:color="auto" w:fill="FFFFFF"/>
        </w:rPr>
        <w:t>, M. R. A. A. (2022). The potency of Moringa oleifera Lam. as protective agent in cardiac damage and vascular dysfunction. </w:t>
      </w:r>
      <w:r w:rsidRPr="00813E9A">
        <w:rPr>
          <w:i/>
          <w:iCs/>
          <w:color w:val="222222"/>
          <w:shd w:val="clear" w:color="auto" w:fill="FFFFFF"/>
        </w:rPr>
        <w:t>Frontiers in Pharmacology</w:t>
      </w:r>
      <w:r w:rsidRPr="00813E9A">
        <w:rPr>
          <w:color w:val="222222"/>
          <w:shd w:val="clear" w:color="auto" w:fill="FFFFFF"/>
        </w:rPr>
        <w:t>, </w:t>
      </w:r>
      <w:r w:rsidRPr="00813E9A">
        <w:rPr>
          <w:i/>
          <w:iCs/>
          <w:color w:val="222222"/>
          <w:shd w:val="clear" w:color="auto" w:fill="FFFFFF"/>
        </w:rPr>
        <w:t>12</w:t>
      </w:r>
      <w:r w:rsidRPr="00813E9A">
        <w:rPr>
          <w:color w:val="222222"/>
          <w:shd w:val="clear" w:color="auto" w:fill="FFFFFF"/>
        </w:rPr>
        <w:t>, 724439.</w:t>
      </w:r>
    </w:p>
    <w:p w14:paraId="4A738C47" w14:textId="77777777" w:rsidR="00813E9A" w:rsidRPr="00813E9A" w:rsidRDefault="00813E9A" w:rsidP="00306013">
      <w:pPr>
        <w:pStyle w:val="NormalWeb"/>
        <w:numPr>
          <w:ilvl w:val="0"/>
          <w:numId w:val="10"/>
        </w:numPr>
        <w:spacing w:line="360" w:lineRule="auto"/>
        <w:ind w:left="-709"/>
        <w:jc w:val="both"/>
      </w:pPr>
      <w:r w:rsidRPr="00813E9A">
        <w:t xml:space="preserve">Anwar, F., Latif, S., Ashraf, M., &amp; Gilani, A. H. (2007). </w:t>
      </w:r>
      <w:r w:rsidRPr="00813E9A">
        <w:rPr>
          <w:rStyle w:val="Emphasis"/>
        </w:rPr>
        <w:t>Moringa oleifera</w:t>
      </w:r>
      <w:r w:rsidRPr="00813E9A">
        <w:t xml:space="preserve">: A food plant with multiple medicinal uses. </w:t>
      </w:r>
      <w:proofErr w:type="spellStart"/>
      <w:r w:rsidRPr="00813E9A">
        <w:rPr>
          <w:rStyle w:val="Strong"/>
          <w:b w:val="0"/>
        </w:rPr>
        <w:t>Phytotherapy</w:t>
      </w:r>
      <w:proofErr w:type="spellEnd"/>
      <w:r w:rsidRPr="00813E9A">
        <w:rPr>
          <w:rStyle w:val="Strong"/>
          <w:b w:val="0"/>
        </w:rPr>
        <w:t xml:space="preserve"> Research</w:t>
      </w:r>
      <w:r w:rsidRPr="00813E9A">
        <w:t>, 21(1), 17–25.</w:t>
      </w:r>
    </w:p>
    <w:p w14:paraId="4DD94D1E" w14:textId="77777777" w:rsidR="00813E9A" w:rsidRPr="000827BC" w:rsidRDefault="00813E9A" w:rsidP="00940DA9">
      <w:pPr>
        <w:pStyle w:val="NormalWeb"/>
        <w:numPr>
          <w:ilvl w:val="0"/>
          <w:numId w:val="10"/>
        </w:numPr>
        <w:spacing w:line="360" w:lineRule="auto"/>
        <w:ind w:left="-709"/>
        <w:jc w:val="both"/>
      </w:pPr>
      <w:r w:rsidRPr="00813E9A">
        <w:rPr>
          <w:color w:val="222222"/>
          <w:shd w:val="clear" w:color="auto" w:fill="FFFFFF"/>
        </w:rPr>
        <w:t>Badhe, P., &amp; Badhe, A. (2025). Moringa oleifera in Breast Cancer: Targeting ROS, p53, and VEGF Pathways through Phytochemical Synergy. </w:t>
      </w:r>
      <w:proofErr w:type="spellStart"/>
      <w:r w:rsidRPr="00813E9A">
        <w:rPr>
          <w:i/>
          <w:iCs/>
          <w:color w:val="222222"/>
          <w:shd w:val="clear" w:color="auto" w:fill="FFFFFF"/>
        </w:rPr>
        <w:t>Biopress</w:t>
      </w:r>
      <w:proofErr w:type="spellEnd"/>
      <w:r w:rsidRPr="00813E9A">
        <w:rPr>
          <w:i/>
          <w:iCs/>
          <w:color w:val="222222"/>
          <w:shd w:val="clear" w:color="auto" w:fill="FFFFFF"/>
        </w:rPr>
        <w:t xml:space="preserve"> Journal of Computational Life Sciences (BJCLS)</w:t>
      </w:r>
      <w:r w:rsidRPr="00813E9A">
        <w:rPr>
          <w:color w:val="222222"/>
          <w:shd w:val="clear" w:color="auto" w:fill="FFFFFF"/>
        </w:rPr>
        <w:t>, </w:t>
      </w:r>
      <w:r w:rsidRPr="00813E9A">
        <w:rPr>
          <w:i/>
          <w:iCs/>
          <w:color w:val="222222"/>
          <w:shd w:val="clear" w:color="auto" w:fill="FFFFFF"/>
        </w:rPr>
        <w:t>1</w:t>
      </w:r>
      <w:r w:rsidRPr="00813E9A">
        <w:rPr>
          <w:color w:val="222222"/>
          <w:shd w:val="clear" w:color="auto" w:fill="FFFFFF"/>
        </w:rPr>
        <w:t>(07), 90-105.</w:t>
      </w:r>
    </w:p>
    <w:p w14:paraId="2470631F" w14:textId="77777777" w:rsidR="00813E9A" w:rsidRPr="00813E9A" w:rsidRDefault="00813E9A" w:rsidP="00306013">
      <w:pPr>
        <w:pStyle w:val="NormalWeb"/>
        <w:numPr>
          <w:ilvl w:val="0"/>
          <w:numId w:val="10"/>
        </w:numPr>
        <w:spacing w:line="360" w:lineRule="auto"/>
        <w:ind w:left="-709"/>
        <w:jc w:val="both"/>
      </w:pPr>
      <w:proofErr w:type="spellStart"/>
      <w:r w:rsidRPr="00813E9A">
        <w:t>Baitha</w:t>
      </w:r>
      <w:proofErr w:type="spellEnd"/>
      <w:r w:rsidRPr="00813E9A">
        <w:t xml:space="preserve">, R. R., &amp; Ahmad, M. S. (2019). </w:t>
      </w:r>
      <w:r w:rsidRPr="00813E9A">
        <w:rPr>
          <w:rStyle w:val="Emphasis"/>
        </w:rPr>
        <w:t xml:space="preserve">Study of few climbers and twiners used to cure inflammatory diseases of District West </w:t>
      </w:r>
      <w:proofErr w:type="spellStart"/>
      <w:r w:rsidRPr="00813E9A">
        <w:rPr>
          <w:rStyle w:val="Emphasis"/>
        </w:rPr>
        <w:t>Champaran</w:t>
      </w:r>
      <w:proofErr w:type="spellEnd"/>
      <w:r w:rsidRPr="00813E9A">
        <w:rPr>
          <w:rStyle w:val="Emphasis"/>
        </w:rPr>
        <w:t>.</w:t>
      </w:r>
      <w:r w:rsidRPr="00813E9A">
        <w:t xml:space="preserve"> The </w:t>
      </w:r>
      <w:proofErr w:type="spellStart"/>
      <w:r w:rsidRPr="00813E9A">
        <w:t>Biobrio</w:t>
      </w:r>
      <w:proofErr w:type="spellEnd"/>
      <w:r w:rsidRPr="00813E9A">
        <w:t>, 6(1–2), 370–377.</w:t>
      </w:r>
    </w:p>
    <w:p w14:paraId="06977355" w14:textId="77777777" w:rsidR="00813E9A" w:rsidRPr="00813E9A" w:rsidRDefault="00813E9A" w:rsidP="00306013">
      <w:pPr>
        <w:pStyle w:val="NormalWeb"/>
        <w:numPr>
          <w:ilvl w:val="0"/>
          <w:numId w:val="10"/>
        </w:numPr>
        <w:spacing w:line="360" w:lineRule="auto"/>
        <w:ind w:left="-709"/>
        <w:jc w:val="both"/>
      </w:pPr>
      <w:r w:rsidRPr="00813E9A">
        <w:t xml:space="preserve">Chang, C., Yang, M., Wen, H., &amp; </w:t>
      </w:r>
      <w:proofErr w:type="spellStart"/>
      <w:r w:rsidRPr="00813E9A">
        <w:t>Chern</w:t>
      </w:r>
      <w:proofErr w:type="spellEnd"/>
      <w:r w:rsidRPr="00813E9A">
        <w:t xml:space="preserve">, J. (2002). Estimation of total flavonoid content in propolis by two complementary colorimetric methods. </w:t>
      </w:r>
      <w:r w:rsidRPr="00813E9A">
        <w:rPr>
          <w:rStyle w:val="Emphasis"/>
        </w:rPr>
        <w:t>Journal of Food and Drug Analysis</w:t>
      </w:r>
      <w:r w:rsidRPr="00813E9A">
        <w:t>, 10, 178–182.</w:t>
      </w:r>
    </w:p>
    <w:p w14:paraId="7B3039E6" w14:textId="77777777" w:rsidR="00813E9A" w:rsidRPr="00813E9A" w:rsidRDefault="00813E9A" w:rsidP="00306013">
      <w:pPr>
        <w:pStyle w:val="NormalWeb"/>
        <w:numPr>
          <w:ilvl w:val="0"/>
          <w:numId w:val="10"/>
        </w:numPr>
        <w:spacing w:line="360" w:lineRule="auto"/>
        <w:ind w:left="-709"/>
        <w:jc w:val="both"/>
      </w:pPr>
      <w:r w:rsidRPr="00813E9A">
        <w:rPr>
          <w:color w:val="222222"/>
          <w:shd w:val="clear" w:color="auto" w:fill="FFFFFF"/>
        </w:rPr>
        <w:t>Guideline, I. H. T. (2005). Validation of analytical procedures: text and methodology. </w:t>
      </w:r>
      <w:r w:rsidRPr="00813E9A">
        <w:rPr>
          <w:i/>
          <w:iCs/>
          <w:color w:val="222222"/>
          <w:shd w:val="clear" w:color="auto" w:fill="FFFFFF"/>
        </w:rPr>
        <w:t>Q2 (R1)</w:t>
      </w:r>
      <w:r w:rsidRPr="00813E9A">
        <w:rPr>
          <w:color w:val="222222"/>
          <w:shd w:val="clear" w:color="auto" w:fill="FFFFFF"/>
        </w:rPr>
        <w:t>, </w:t>
      </w:r>
      <w:r w:rsidRPr="00813E9A">
        <w:rPr>
          <w:i/>
          <w:iCs/>
          <w:color w:val="222222"/>
          <w:shd w:val="clear" w:color="auto" w:fill="FFFFFF"/>
        </w:rPr>
        <w:t>1</w:t>
      </w:r>
      <w:r w:rsidRPr="00813E9A">
        <w:rPr>
          <w:color w:val="222222"/>
          <w:shd w:val="clear" w:color="auto" w:fill="FFFFFF"/>
        </w:rPr>
        <w:t>(20), 05.</w:t>
      </w:r>
    </w:p>
    <w:p w14:paraId="042A2B56" w14:textId="77777777" w:rsidR="00813E9A" w:rsidRPr="00813E9A" w:rsidRDefault="00813E9A" w:rsidP="00306013">
      <w:pPr>
        <w:pStyle w:val="NormalWeb"/>
        <w:numPr>
          <w:ilvl w:val="0"/>
          <w:numId w:val="10"/>
        </w:numPr>
        <w:spacing w:line="360" w:lineRule="auto"/>
        <w:ind w:left="-709"/>
        <w:jc w:val="both"/>
      </w:pPr>
      <w:r w:rsidRPr="00813E9A">
        <w:t xml:space="preserve">Hossain, A., Khatun, M. A., Islam, M., &amp; </w:t>
      </w:r>
      <w:proofErr w:type="spellStart"/>
      <w:r w:rsidRPr="00813E9A">
        <w:t>Huque</w:t>
      </w:r>
      <w:proofErr w:type="spellEnd"/>
      <w:r w:rsidRPr="00813E9A">
        <w:t xml:space="preserve">, R. (2017). Enhancement of antioxidant quality of green leafy vegetables upon different cooking method. </w:t>
      </w:r>
      <w:r w:rsidRPr="00813E9A">
        <w:rPr>
          <w:rStyle w:val="Strong"/>
          <w:b w:val="0"/>
        </w:rPr>
        <w:t>Preventive Nutrition and Food Science</w:t>
      </w:r>
      <w:r w:rsidRPr="00813E9A">
        <w:t>, 22(3), 216–222.</w:t>
      </w:r>
    </w:p>
    <w:p w14:paraId="60CD429B" w14:textId="77777777" w:rsidR="00813E9A" w:rsidRPr="00813E9A" w:rsidRDefault="00813E9A" w:rsidP="00306013">
      <w:pPr>
        <w:pStyle w:val="NormalWeb"/>
        <w:numPr>
          <w:ilvl w:val="0"/>
          <w:numId w:val="10"/>
        </w:numPr>
        <w:spacing w:line="360" w:lineRule="auto"/>
        <w:ind w:left="-709"/>
        <w:jc w:val="both"/>
      </w:pPr>
      <w:r w:rsidRPr="00813E9A">
        <w:t xml:space="preserve">Kumari, S., &amp; Singh, R. (2020). </w:t>
      </w:r>
      <w:r w:rsidRPr="00813E9A">
        <w:rPr>
          <w:rStyle w:val="Emphasis"/>
        </w:rPr>
        <w:t>Assessment of bioactive potential in selected medicinal plant extracts.</w:t>
      </w:r>
      <w:r w:rsidRPr="00813E9A">
        <w:t xml:space="preserve"> Journal of Medicinal Plants Research, 14(3), 112–118.</w:t>
      </w:r>
    </w:p>
    <w:p w14:paraId="3D810F46" w14:textId="77777777" w:rsidR="00813E9A" w:rsidRPr="00813E9A" w:rsidRDefault="00813E9A" w:rsidP="00306013">
      <w:pPr>
        <w:pStyle w:val="NormalWeb"/>
        <w:numPr>
          <w:ilvl w:val="0"/>
          <w:numId w:val="10"/>
        </w:numPr>
        <w:spacing w:line="360" w:lineRule="auto"/>
        <w:ind w:left="-709"/>
        <w:jc w:val="both"/>
      </w:pPr>
      <w:r w:rsidRPr="00813E9A">
        <w:lastRenderedPageBreak/>
        <w:t xml:space="preserve">Leone, A., Spada, A., </w:t>
      </w:r>
      <w:proofErr w:type="spellStart"/>
      <w:r w:rsidRPr="00813E9A">
        <w:t>Battezzati</w:t>
      </w:r>
      <w:proofErr w:type="spellEnd"/>
      <w:r w:rsidRPr="00813E9A">
        <w:t xml:space="preserve">, A., Schiraldi, A., </w:t>
      </w:r>
      <w:proofErr w:type="spellStart"/>
      <w:r w:rsidRPr="00813E9A">
        <w:t>Aristil</w:t>
      </w:r>
      <w:proofErr w:type="spellEnd"/>
      <w:r w:rsidRPr="00813E9A">
        <w:t xml:space="preserve">, J., &amp; </w:t>
      </w:r>
      <w:proofErr w:type="spellStart"/>
      <w:r w:rsidRPr="00813E9A">
        <w:t>Bertoli</w:t>
      </w:r>
      <w:proofErr w:type="spellEnd"/>
      <w:r w:rsidRPr="00813E9A">
        <w:t xml:space="preserve">, S. (2015). Cultivation, genetic, ethnopharmacology, phytochemistry and pharmacology of </w:t>
      </w:r>
      <w:r w:rsidRPr="00813E9A">
        <w:rPr>
          <w:rStyle w:val="Emphasis"/>
        </w:rPr>
        <w:t>Moringa oleifera</w:t>
      </w:r>
      <w:r w:rsidRPr="00813E9A">
        <w:t xml:space="preserve">. </w:t>
      </w:r>
      <w:r w:rsidRPr="00813E9A">
        <w:rPr>
          <w:rStyle w:val="Strong"/>
          <w:b w:val="0"/>
        </w:rPr>
        <w:t>International Journal of Molecular Sciences</w:t>
      </w:r>
      <w:r w:rsidRPr="00813E9A">
        <w:t>, 16(6), 12791–12835.</w:t>
      </w:r>
    </w:p>
    <w:p w14:paraId="1B33B78A" w14:textId="77777777" w:rsidR="00813E9A" w:rsidRPr="00813E9A" w:rsidRDefault="00813E9A" w:rsidP="00940DA9">
      <w:pPr>
        <w:pStyle w:val="NormalWeb"/>
        <w:numPr>
          <w:ilvl w:val="0"/>
          <w:numId w:val="10"/>
        </w:numPr>
        <w:spacing w:line="360" w:lineRule="auto"/>
        <w:ind w:left="-709"/>
        <w:jc w:val="both"/>
      </w:pPr>
      <w:proofErr w:type="spellStart"/>
      <w:r w:rsidRPr="00813E9A">
        <w:rPr>
          <w:color w:val="222222"/>
          <w:shd w:val="clear" w:color="auto" w:fill="FFFFFF"/>
        </w:rPr>
        <w:t>Moyano</w:t>
      </w:r>
      <w:proofErr w:type="spellEnd"/>
      <w:r w:rsidRPr="00813E9A">
        <w:rPr>
          <w:color w:val="222222"/>
          <w:shd w:val="clear" w:color="auto" w:fill="FFFFFF"/>
        </w:rPr>
        <w:t xml:space="preserve">, C. A. E., </w:t>
      </w:r>
      <w:proofErr w:type="spellStart"/>
      <w:r w:rsidRPr="00813E9A">
        <w:rPr>
          <w:color w:val="222222"/>
          <w:shd w:val="clear" w:color="auto" w:fill="FFFFFF"/>
        </w:rPr>
        <w:t>Suástegui</w:t>
      </w:r>
      <w:proofErr w:type="spellEnd"/>
      <w:r w:rsidRPr="00813E9A">
        <w:rPr>
          <w:color w:val="222222"/>
          <w:shd w:val="clear" w:color="auto" w:fill="FFFFFF"/>
        </w:rPr>
        <w:t xml:space="preserve">, J. M. M., </w:t>
      </w:r>
      <w:proofErr w:type="spellStart"/>
      <w:r w:rsidRPr="00813E9A">
        <w:rPr>
          <w:color w:val="222222"/>
          <w:shd w:val="clear" w:color="auto" w:fill="FFFFFF"/>
        </w:rPr>
        <w:t>Vivenes</w:t>
      </w:r>
      <w:proofErr w:type="spellEnd"/>
      <w:r w:rsidRPr="00813E9A">
        <w:rPr>
          <w:color w:val="222222"/>
          <w:shd w:val="clear" w:color="auto" w:fill="FFFFFF"/>
        </w:rPr>
        <w:t xml:space="preserve">, E. Z., </w:t>
      </w:r>
      <w:proofErr w:type="spellStart"/>
      <w:r w:rsidRPr="00813E9A">
        <w:rPr>
          <w:color w:val="222222"/>
          <w:shd w:val="clear" w:color="auto" w:fill="FFFFFF"/>
        </w:rPr>
        <w:t>Ganadara</w:t>
      </w:r>
      <w:proofErr w:type="spellEnd"/>
      <w:r w:rsidRPr="00813E9A">
        <w:rPr>
          <w:color w:val="222222"/>
          <w:shd w:val="clear" w:color="auto" w:fill="FFFFFF"/>
        </w:rPr>
        <w:t xml:space="preserve">, J. S., &amp; </w:t>
      </w:r>
      <w:proofErr w:type="spellStart"/>
      <w:r w:rsidRPr="00813E9A">
        <w:rPr>
          <w:color w:val="222222"/>
          <w:shd w:val="clear" w:color="auto" w:fill="FFFFFF"/>
        </w:rPr>
        <w:t>Seijo</w:t>
      </w:r>
      <w:proofErr w:type="spellEnd"/>
      <w:r w:rsidRPr="00813E9A">
        <w:rPr>
          <w:color w:val="222222"/>
          <w:shd w:val="clear" w:color="auto" w:fill="FFFFFF"/>
        </w:rPr>
        <w:t xml:space="preserve">, C. L. (2021). </w:t>
      </w:r>
      <w:proofErr w:type="spellStart"/>
      <w:r w:rsidRPr="00813E9A">
        <w:rPr>
          <w:color w:val="222222"/>
          <w:shd w:val="clear" w:color="auto" w:fill="FFFFFF"/>
        </w:rPr>
        <w:t>Análisis</w:t>
      </w:r>
      <w:proofErr w:type="spellEnd"/>
      <w:r w:rsidRPr="00813E9A">
        <w:rPr>
          <w:color w:val="222222"/>
          <w:shd w:val="clear" w:color="auto" w:fill="FFFFFF"/>
        </w:rPr>
        <w:t xml:space="preserve"> del </w:t>
      </w:r>
      <w:proofErr w:type="spellStart"/>
      <w:r w:rsidRPr="00813E9A">
        <w:rPr>
          <w:color w:val="222222"/>
          <w:shd w:val="clear" w:color="auto" w:fill="FFFFFF"/>
        </w:rPr>
        <w:t>perfil</w:t>
      </w:r>
      <w:proofErr w:type="spellEnd"/>
      <w:r w:rsidRPr="00813E9A">
        <w:rPr>
          <w:color w:val="222222"/>
          <w:shd w:val="clear" w:color="auto" w:fill="FFFFFF"/>
        </w:rPr>
        <w:t xml:space="preserve"> </w:t>
      </w:r>
      <w:proofErr w:type="spellStart"/>
      <w:r w:rsidRPr="00813E9A">
        <w:rPr>
          <w:color w:val="222222"/>
          <w:shd w:val="clear" w:color="auto" w:fill="FFFFFF"/>
        </w:rPr>
        <w:t>lipídico</w:t>
      </w:r>
      <w:proofErr w:type="spellEnd"/>
      <w:r w:rsidRPr="00813E9A">
        <w:rPr>
          <w:color w:val="222222"/>
          <w:shd w:val="clear" w:color="auto" w:fill="FFFFFF"/>
        </w:rPr>
        <w:t xml:space="preserve"> y </w:t>
      </w:r>
      <w:proofErr w:type="spellStart"/>
      <w:r w:rsidRPr="00813E9A">
        <w:rPr>
          <w:color w:val="222222"/>
          <w:shd w:val="clear" w:color="auto" w:fill="FFFFFF"/>
        </w:rPr>
        <w:t>aminoacídico</w:t>
      </w:r>
      <w:proofErr w:type="spellEnd"/>
      <w:r w:rsidRPr="00813E9A">
        <w:rPr>
          <w:color w:val="222222"/>
          <w:shd w:val="clear" w:color="auto" w:fill="FFFFFF"/>
        </w:rPr>
        <w:t xml:space="preserve"> de hojas </w:t>
      </w:r>
      <w:proofErr w:type="spellStart"/>
      <w:r w:rsidRPr="00813E9A">
        <w:rPr>
          <w:color w:val="222222"/>
          <w:shd w:val="clear" w:color="auto" w:fill="FFFFFF"/>
        </w:rPr>
        <w:t>deshidratadas</w:t>
      </w:r>
      <w:proofErr w:type="spellEnd"/>
      <w:r w:rsidRPr="00813E9A">
        <w:rPr>
          <w:color w:val="222222"/>
          <w:shd w:val="clear" w:color="auto" w:fill="FFFFFF"/>
        </w:rPr>
        <w:t xml:space="preserve"> de Moringa oleifera (L.) y </w:t>
      </w:r>
      <w:proofErr w:type="spellStart"/>
      <w:r w:rsidRPr="00813E9A">
        <w:rPr>
          <w:color w:val="222222"/>
          <w:shd w:val="clear" w:color="auto" w:fill="FFFFFF"/>
        </w:rPr>
        <w:t>su</w:t>
      </w:r>
      <w:proofErr w:type="spellEnd"/>
      <w:r w:rsidRPr="00813E9A">
        <w:rPr>
          <w:color w:val="222222"/>
          <w:shd w:val="clear" w:color="auto" w:fill="FFFFFF"/>
        </w:rPr>
        <w:t xml:space="preserve"> </w:t>
      </w:r>
      <w:proofErr w:type="spellStart"/>
      <w:r w:rsidRPr="00813E9A">
        <w:rPr>
          <w:color w:val="222222"/>
          <w:shd w:val="clear" w:color="auto" w:fill="FFFFFF"/>
        </w:rPr>
        <w:t>potencial</w:t>
      </w:r>
      <w:proofErr w:type="spellEnd"/>
      <w:r w:rsidRPr="00813E9A">
        <w:rPr>
          <w:color w:val="222222"/>
          <w:shd w:val="clear" w:color="auto" w:fill="FFFFFF"/>
        </w:rPr>
        <w:t xml:space="preserve"> </w:t>
      </w:r>
      <w:proofErr w:type="spellStart"/>
      <w:r w:rsidRPr="00813E9A">
        <w:rPr>
          <w:color w:val="222222"/>
          <w:shd w:val="clear" w:color="auto" w:fill="FFFFFF"/>
        </w:rPr>
        <w:t>como</w:t>
      </w:r>
      <w:proofErr w:type="spellEnd"/>
      <w:r w:rsidRPr="00813E9A">
        <w:rPr>
          <w:color w:val="222222"/>
          <w:shd w:val="clear" w:color="auto" w:fill="FFFFFF"/>
        </w:rPr>
        <w:t xml:space="preserve"> </w:t>
      </w:r>
      <w:proofErr w:type="spellStart"/>
      <w:r w:rsidRPr="00813E9A">
        <w:rPr>
          <w:color w:val="222222"/>
          <w:shd w:val="clear" w:color="auto" w:fill="FFFFFF"/>
        </w:rPr>
        <w:t>suplemento</w:t>
      </w:r>
      <w:proofErr w:type="spellEnd"/>
      <w:r w:rsidRPr="00813E9A">
        <w:rPr>
          <w:color w:val="222222"/>
          <w:shd w:val="clear" w:color="auto" w:fill="FFFFFF"/>
        </w:rPr>
        <w:t xml:space="preserve"> </w:t>
      </w:r>
      <w:proofErr w:type="spellStart"/>
      <w:r w:rsidRPr="00813E9A">
        <w:rPr>
          <w:color w:val="222222"/>
          <w:shd w:val="clear" w:color="auto" w:fill="FFFFFF"/>
        </w:rPr>
        <w:t>dietético</w:t>
      </w:r>
      <w:proofErr w:type="spellEnd"/>
      <w:r w:rsidRPr="00813E9A">
        <w:rPr>
          <w:color w:val="222222"/>
          <w:shd w:val="clear" w:color="auto" w:fill="FFFFFF"/>
        </w:rPr>
        <w:t xml:space="preserve"> </w:t>
      </w:r>
      <w:proofErr w:type="spellStart"/>
      <w:r w:rsidRPr="00813E9A">
        <w:rPr>
          <w:color w:val="222222"/>
          <w:shd w:val="clear" w:color="auto" w:fill="FFFFFF"/>
        </w:rPr>
        <w:t>en</w:t>
      </w:r>
      <w:proofErr w:type="spellEnd"/>
      <w:r w:rsidRPr="00813E9A">
        <w:rPr>
          <w:color w:val="222222"/>
          <w:shd w:val="clear" w:color="auto" w:fill="FFFFFF"/>
        </w:rPr>
        <w:t xml:space="preserve"> </w:t>
      </w:r>
      <w:proofErr w:type="spellStart"/>
      <w:r w:rsidRPr="00813E9A">
        <w:rPr>
          <w:color w:val="222222"/>
          <w:shd w:val="clear" w:color="auto" w:fill="FFFFFF"/>
        </w:rPr>
        <w:t>acuicultura</w:t>
      </w:r>
      <w:proofErr w:type="spellEnd"/>
      <w:r w:rsidRPr="00813E9A">
        <w:rPr>
          <w:color w:val="222222"/>
          <w:shd w:val="clear" w:color="auto" w:fill="FFFFFF"/>
        </w:rPr>
        <w:t xml:space="preserve"> de </w:t>
      </w:r>
      <w:proofErr w:type="spellStart"/>
      <w:r w:rsidRPr="00813E9A">
        <w:rPr>
          <w:color w:val="222222"/>
          <w:shd w:val="clear" w:color="auto" w:fill="FFFFFF"/>
        </w:rPr>
        <w:t>moluscos</w:t>
      </w:r>
      <w:proofErr w:type="spellEnd"/>
      <w:r w:rsidRPr="00813E9A">
        <w:rPr>
          <w:color w:val="222222"/>
          <w:shd w:val="clear" w:color="auto" w:fill="FFFFFF"/>
        </w:rPr>
        <w:t>. </w:t>
      </w:r>
      <w:r w:rsidRPr="00813E9A">
        <w:rPr>
          <w:i/>
          <w:iCs/>
          <w:color w:val="222222"/>
          <w:shd w:val="clear" w:color="auto" w:fill="FFFFFF"/>
        </w:rPr>
        <w:t xml:space="preserve">La </w:t>
      </w:r>
      <w:proofErr w:type="spellStart"/>
      <w:r w:rsidRPr="00813E9A">
        <w:rPr>
          <w:i/>
          <w:iCs/>
          <w:color w:val="222222"/>
          <w:shd w:val="clear" w:color="auto" w:fill="FFFFFF"/>
        </w:rPr>
        <w:t>Técnica</w:t>
      </w:r>
      <w:proofErr w:type="spellEnd"/>
      <w:r w:rsidRPr="00813E9A">
        <w:rPr>
          <w:i/>
          <w:iCs/>
          <w:color w:val="222222"/>
          <w:shd w:val="clear" w:color="auto" w:fill="FFFFFF"/>
        </w:rPr>
        <w:t xml:space="preserve">. </w:t>
      </w:r>
      <w:proofErr w:type="spellStart"/>
      <w:r w:rsidRPr="00813E9A">
        <w:rPr>
          <w:i/>
          <w:iCs/>
          <w:color w:val="222222"/>
          <w:shd w:val="clear" w:color="auto" w:fill="FFFFFF"/>
        </w:rPr>
        <w:t>Revista</w:t>
      </w:r>
      <w:proofErr w:type="spellEnd"/>
      <w:r w:rsidRPr="00813E9A">
        <w:rPr>
          <w:i/>
          <w:iCs/>
          <w:color w:val="222222"/>
          <w:shd w:val="clear" w:color="auto" w:fill="FFFFFF"/>
        </w:rPr>
        <w:t xml:space="preserve"> de las </w:t>
      </w:r>
      <w:proofErr w:type="spellStart"/>
      <w:r w:rsidRPr="00813E9A">
        <w:rPr>
          <w:i/>
          <w:iCs/>
          <w:color w:val="222222"/>
          <w:shd w:val="clear" w:color="auto" w:fill="FFFFFF"/>
        </w:rPr>
        <w:t>Agrociencias</w:t>
      </w:r>
      <w:proofErr w:type="spellEnd"/>
      <w:r w:rsidRPr="00813E9A">
        <w:rPr>
          <w:i/>
          <w:iCs/>
          <w:color w:val="222222"/>
          <w:shd w:val="clear" w:color="auto" w:fill="FFFFFF"/>
        </w:rPr>
        <w:t>. ISSN 2477-8982</w:t>
      </w:r>
      <w:r w:rsidRPr="00813E9A">
        <w:rPr>
          <w:color w:val="222222"/>
          <w:shd w:val="clear" w:color="auto" w:fill="FFFFFF"/>
        </w:rPr>
        <w:t>.</w:t>
      </w:r>
    </w:p>
    <w:p w14:paraId="2A14EB12" w14:textId="77777777" w:rsidR="00813E9A" w:rsidRPr="00813E9A" w:rsidRDefault="00813E9A" w:rsidP="00940DA9">
      <w:pPr>
        <w:pStyle w:val="NormalWeb"/>
        <w:numPr>
          <w:ilvl w:val="0"/>
          <w:numId w:val="10"/>
        </w:numPr>
        <w:spacing w:line="360" w:lineRule="auto"/>
        <w:ind w:left="-709"/>
        <w:jc w:val="both"/>
      </w:pPr>
      <w:r w:rsidRPr="00813E9A">
        <w:rPr>
          <w:color w:val="222222"/>
          <w:shd w:val="clear" w:color="auto" w:fill="FFFFFF"/>
        </w:rPr>
        <w:t xml:space="preserve">Mukherjee, S., </w:t>
      </w:r>
      <w:proofErr w:type="spellStart"/>
      <w:r w:rsidRPr="00813E9A">
        <w:rPr>
          <w:color w:val="222222"/>
          <w:shd w:val="clear" w:color="auto" w:fill="FFFFFF"/>
        </w:rPr>
        <w:t>Mudalkar</w:t>
      </w:r>
      <w:proofErr w:type="spellEnd"/>
      <w:r w:rsidRPr="00813E9A">
        <w:rPr>
          <w:color w:val="222222"/>
          <w:shd w:val="clear" w:color="auto" w:fill="FFFFFF"/>
        </w:rPr>
        <w:t>, S., Singh, G., &amp; Kumar, S. (2024). MEDICO BIOWEALTH OF INDIA. </w:t>
      </w:r>
      <w:r w:rsidRPr="00813E9A">
        <w:rPr>
          <w:i/>
          <w:iCs/>
          <w:color w:val="222222"/>
          <w:shd w:val="clear" w:color="auto" w:fill="FFFFFF"/>
        </w:rPr>
        <w:t>Ambika Prasad Research Foundation, Odisha, India. DOI: https://doi. org/10.5281/</w:t>
      </w:r>
      <w:proofErr w:type="spellStart"/>
      <w:r w:rsidRPr="00813E9A">
        <w:rPr>
          <w:i/>
          <w:iCs/>
          <w:color w:val="222222"/>
          <w:shd w:val="clear" w:color="auto" w:fill="FFFFFF"/>
        </w:rPr>
        <w:t>zenodo</w:t>
      </w:r>
      <w:proofErr w:type="spellEnd"/>
      <w:r w:rsidRPr="00813E9A">
        <w:rPr>
          <w:color w:val="222222"/>
          <w:shd w:val="clear" w:color="auto" w:fill="FFFFFF"/>
        </w:rPr>
        <w:t>, </w:t>
      </w:r>
      <w:r w:rsidRPr="00813E9A">
        <w:rPr>
          <w:i/>
          <w:iCs/>
          <w:color w:val="222222"/>
          <w:shd w:val="clear" w:color="auto" w:fill="FFFFFF"/>
        </w:rPr>
        <w:t>13924509</w:t>
      </w:r>
      <w:r w:rsidRPr="00813E9A">
        <w:rPr>
          <w:color w:val="222222"/>
          <w:shd w:val="clear" w:color="auto" w:fill="FFFFFF"/>
        </w:rPr>
        <w:t>.</w:t>
      </w:r>
    </w:p>
    <w:p w14:paraId="7F8AE561" w14:textId="77777777" w:rsidR="00813E9A" w:rsidRPr="00813E9A" w:rsidRDefault="00813E9A" w:rsidP="00306013">
      <w:pPr>
        <w:pStyle w:val="NormalWeb"/>
        <w:numPr>
          <w:ilvl w:val="0"/>
          <w:numId w:val="10"/>
        </w:numPr>
        <w:spacing w:line="360" w:lineRule="auto"/>
        <w:ind w:left="-709"/>
        <w:jc w:val="both"/>
      </w:pPr>
      <w:r w:rsidRPr="00813E9A">
        <w:t xml:space="preserve">Rao, P., Mishra, S., &amp; Nayak, V. (2021). </w:t>
      </w:r>
      <w:r w:rsidRPr="00813E9A">
        <w:rPr>
          <w:rStyle w:val="Emphasis"/>
        </w:rPr>
        <w:t>Antibacterial activity of different solvent extracts of medicinal plant leaves.</w:t>
      </w:r>
      <w:r w:rsidRPr="00813E9A">
        <w:t xml:space="preserve"> International Journal of Phytomedicine, 13(2), 150–158.</w:t>
      </w:r>
    </w:p>
    <w:p w14:paraId="0E8EC442" w14:textId="77777777" w:rsidR="00813E9A" w:rsidRPr="00813E9A" w:rsidRDefault="00813E9A" w:rsidP="00940DA9">
      <w:pPr>
        <w:pStyle w:val="NormalWeb"/>
        <w:numPr>
          <w:ilvl w:val="0"/>
          <w:numId w:val="10"/>
        </w:numPr>
        <w:spacing w:line="360" w:lineRule="auto"/>
        <w:ind w:left="-709"/>
        <w:jc w:val="both"/>
      </w:pPr>
      <w:r w:rsidRPr="00813E9A">
        <w:rPr>
          <w:color w:val="222222"/>
          <w:shd w:val="clear" w:color="auto" w:fill="FFFFFF"/>
        </w:rPr>
        <w:t xml:space="preserve">Rodríguez-Pérez, C., </w:t>
      </w:r>
      <w:proofErr w:type="spellStart"/>
      <w:r w:rsidRPr="00813E9A">
        <w:rPr>
          <w:color w:val="222222"/>
          <w:shd w:val="clear" w:color="auto" w:fill="FFFFFF"/>
        </w:rPr>
        <w:t>Quirantes-Piné</w:t>
      </w:r>
      <w:proofErr w:type="spellEnd"/>
      <w:r w:rsidRPr="00813E9A">
        <w:rPr>
          <w:color w:val="222222"/>
          <w:shd w:val="clear" w:color="auto" w:fill="FFFFFF"/>
        </w:rPr>
        <w:t>, R., Fernández-Gutiérrez, A., &amp; Segura-</w:t>
      </w:r>
      <w:proofErr w:type="spellStart"/>
      <w:r w:rsidRPr="00813E9A">
        <w:rPr>
          <w:color w:val="222222"/>
          <w:shd w:val="clear" w:color="auto" w:fill="FFFFFF"/>
        </w:rPr>
        <w:t>Carretero</w:t>
      </w:r>
      <w:proofErr w:type="spellEnd"/>
      <w:r w:rsidRPr="00813E9A">
        <w:rPr>
          <w:color w:val="222222"/>
          <w:shd w:val="clear" w:color="auto" w:fill="FFFFFF"/>
        </w:rPr>
        <w:t>, A. (2015). Optimization of extraction method to obtain a phenolic compounds-rich extract from Moringa oleifera Lam leaves. </w:t>
      </w:r>
      <w:r w:rsidRPr="00813E9A">
        <w:rPr>
          <w:i/>
          <w:iCs/>
          <w:color w:val="222222"/>
          <w:shd w:val="clear" w:color="auto" w:fill="FFFFFF"/>
        </w:rPr>
        <w:t>Industrial Crops and Products</w:t>
      </w:r>
      <w:r w:rsidRPr="00813E9A">
        <w:rPr>
          <w:color w:val="222222"/>
          <w:shd w:val="clear" w:color="auto" w:fill="FFFFFF"/>
        </w:rPr>
        <w:t>, </w:t>
      </w:r>
      <w:r w:rsidRPr="00813E9A">
        <w:rPr>
          <w:i/>
          <w:iCs/>
          <w:color w:val="222222"/>
          <w:shd w:val="clear" w:color="auto" w:fill="FFFFFF"/>
        </w:rPr>
        <w:t>66</w:t>
      </w:r>
      <w:r w:rsidRPr="00813E9A">
        <w:rPr>
          <w:color w:val="222222"/>
          <w:shd w:val="clear" w:color="auto" w:fill="FFFFFF"/>
        </w:rPr>
        <w:t>, 246-254.</w:t>
      </w:r>
    </w:p>
    <w:p w14:paraId="160BE1EF" w14:textId="77777777" w:rsidR="00813E9A" w:rsidRPr="00813E9A" w:rsidRDefault="00813E9A" w:rsidP="00940DA9">
      <w:pPr>
        <w:pStyle w:val="NormalWeb"/>
        <w:numPr>
          <w:ilvl w:val="0"/>
          <w:numId w:val="10"/>
        </w:numPr>
        <w:spacing w:line="360" w:lineRule="auto"/>
        <w:ind w:left="-709"/>
        <w:jc w:val="both"/>
      </w:pPr>
      <w:r w:rsidRPr="00813E9A">
        <w:rPr>
          <w:color w:val="222222"/>
          <w:shd w:val="clear" w:color="auto" w:fill="FFFFFF"/>
        </w:rPr>
        <w:t xml:space="preserve">Saini, R. K., Prasad, P., Sreedhar, R. V., </w:t>
      </w:r>
      <w:proofErr w:type="spellStart"/>
      <w:r w:rsidRPr="00813E9A">
        <w:rPr>
          <w:color w:val="222222"/>
          <w:shd w:val="clear" w:color="auto" w:fill="FFFFFF"/>
        </w:rPr>
        <w:t>Akhilender</w:t>
      </w:r>
      <w:proofErr w:type="spellEnd"/>
      <w:r w:rsidRPr="00813E9A">
        <w:rPr>
          <w:color w:val="222222"/>
          <w:shd w:val="clear" w:color="auto" w:fill="FFFFFF"/>
        </w:rPr>
        <w:t xml:space="preserve"> Naidu, K., Shang, X., &amp; </w:t>
      </w:r>
      <w:proofErr w:type="spellStart"/>
      <w:r w:rsidRPr="00813E9A">
        <w:rPr>
          <w:color w:val="222222"/>
          <w:shd w:val="clear" w:color="auto" w:fill="FFFFFF"/>
        </w:rPr>
        <w:t>Keum</w:t>
      </w:r>
      <w:proofErr w:type="spellEnd"/>
      <w:r w:rsidRPr="00813E9A">
        <w:rPr>
          <w:color w:val="222222"/>
          <w:shd w:val="clear" w:color="auto" w:fill="FFFFFF"/>
        </w:rPr>
        <w:t>, Y. S. (2021). Omega− 3 polyunsaturated fatty acids (PUFAs): Emerging plant and microbial sources, oxidative stability, bioavailability, and health benefits—A review. </w:t>
      </w:r>
      <w:r w:rsidRPr="00813E9A">
        <w:rPr>
          <w:i/>
          <w:iCs/>
          <w:color w:val="222222"/>
          <w:shd w:val="clear" w:color="auto" w:fill="FFFFFF"/>
        </w:rPr>
        <w:t>Antioxidants</w:t>
      </w:r>
      <w:r w:rsidRPr="00813E9A">
        <w:rPr>
          <w:color w:val="222222"/>
          <w:shd w:val="clear" w:color="auto" w:fill="FFFFFF"/>
        </w:rPr>
        <w:t>, </w:t>
      </w:r>
      <w:r w:rsidRPr="00813E9A">
        <w:rPr>
          <w:i/>
          <w:iCs/>
          <w:color w:val="222222"/>
          <w:shd w:val="clear" w:color="auto" w:fill="FFFFFF"/>
        </w:rPr>
        <w:t>10</w:t>
      </w:r>
      <w:r w:rsidRPr="00813E9A">
        <w:rPr>
          <w:color w:val="222222"/>
          <w:shd w:val="clear" w:color="auto" w:fill="FFFFFF"/>
        </w:rPr>
        <w:t>(10), 1627.</w:t>
      </w:r>
    </w:p>
    <w:p w14:paraId="60E74C03" w14:textId="77777777" w:rsidR="00813E9A" w:rsidRPr="00813E9A" w:rsidRDefault="00813E9A" w:rsidP="00306013">
      <w:pPr>
        <w:pStyle w:val="NormalWeb"/>
        <w:numPr>
          <w:ilvl w:val="0"/>
          <w:numId w:val="10"/>
        </w:numPr>
        <w:spacing w:line="360" w:lineRule="auto"/>
        <w:ind w:left="-709"/>
        <w:jc w:val="both"/>
      </w:pPr>
      <w:r w:rsidRPr="00813E9A">
        <w:rPr>
          <w:color w:val="212121"/>
          <w:shd w:val="clear" w:color="auto" w:fill="FFFFFF"/>
        </w:rPr>
        <w:t xml:space="preserve">Sawant L, Prabhakar B, </w:t>
      </w:r>
      <w:proofErr w:type="spellStart"/>
      <w:r w:rsidRPr="00813E9A">
        <w:rPr>
          <w:color w:val="212121"/>
          <w:shd w:val="clear" w:color="auto" w:fill="FFFFFF"/>
        </w:rPr>
        <w:t>Pandita</w:t>
      </w:r>
      <w:proofErr w:type="spellEnd"/>
      <w:r w:rsidRPr="00813E9A">
        <w:rPr>
          <w:color w:val="212121"/>
          <w:shd w:val="clear" w:color="auto" w:fill="FFFFFF"/>
        </w:rPr>
        <w:t xml:space="preserve"> N (2010) Quantitative HPLC Analysis of Ascorbic Acid and Gallic Acid in </w:t>
      </w:r>
      <w:r w:rsidRPr="00813E9A">
        <w:rPr>
          <w:rStyle w:val="Emphasis"/>
          <w:color w:val="212121"/>
          <w:shd w:val="clear" w:color="auto" w:fill="FFFFFF"/>
        </w:rPr>
        <w:t xml:space="preserve">Phyllanthus </w:t>
      </w:r>
      <w:proofErr w:type="spellStart"/>
      <w:r w:rsidRPr="00813E9A">
        <w:rPr>
          <w:rStyle w:val="Emphasis"/>
          <w:color w:val="212121"/>
          <w:shd w:val="clear" w:color="auto" w:fill="FFFFFF"/>
        </w:rPr>
        <w:t>Emblica</w:t>
      </w:r>
      <w:proofErr w:type="spellEnd"/>
      <w:r w:rsidRPr="00813E9A">
        <w:rPr>
          <w:color w:val="212121"/>
          <w:shd w:val="clear" w:color="auto" w:fill="FFFFFF"/>
        </w:rPr>
        <w:t xml:space="preserve">. J Anal </w:t>
      </w:r>
      <w:proofErr w:type="spellStart"/>
      <w:r w:rsidRPr="00813E9A">
        <w:rPr>
          <w:color w:val="212121"/>
          <w:shd w:val="clear" w:color="auto" w:fill="FFFFFF"/>
        </w:rPr>
        <w:t>Bioanal</w:t>
      </w:r>
      <w:proofErr w:type="spellEnd"/>
      <w:r w:rsidRPr="00813E9A">
        <w:rPr>
          <w:color w:val="212121"/>
          <w:shd w:val="clear" w:color="auto" w:fill="FFFFFF"/>
        </w:rPr>
        <w:t xml:space="preserve"> Tech 1:111.</w:t>
      </w:r>
    </w:p>
    <w:p w14:paraId="245C0627" w14:textId="77777777" w:rsidR="00813E9A" w:rsidRPr="00813E9A" w:rsidRDefault="00813E9A" w:rsidP="00306013">
      <w:pPr>
        <w:pStyle w:val="NormalWeb"/>
        <w:numPr>
          <w:ilvl w:val="0"/>
          <w:numId w:val="10"/>
        </w:numPr>
        <w:spacing w:line="360" w:lineRule="auto"/>
        <w:ind w:left="-709"/>
        <w:jc w:val="both"/>
      </w:pPr>
      <w:r w:rsidRPr="00813E9A">
        <w:t xml:space="preserve">Sharma, R. K., Jha, A. K., </w:t>
      </w:r>
      <w:proofErr w:type="spellStart"/>
      <w:r w:rsidRPr="00813E9A">
        <w:t>Siddiquee</w:t>
      </w:r>
      <w:proofErr w:type="spellEnd"/>
      <w:r w:rsidRPr="00813E9A">
        <w:t xml:space="preserve">, A., &amp; Ahmad, M. S. (2023). </w:t>
      </w:r>
      <w:r w:rsidRPr="00813E9A">
        <w:rPr>
          <w:rStyle w:val="Emphasis"/>
        </w:rPr>
        <w:t xml:space="preserve">Assessment of </w:t>
      </w:r>
      <w:proofErr w:type="spellStart"/>
      <w:r w:rsidRPr="00813E9A">
        <w:rPr>
          <w:rStyle w:val="Emphasis"/>
        </w:rPr>
        <w:t>physico</w:t>
      </w:r>
      <w:proofErr w:type="spellEnd"/>
      <w:r w:rsidRPr="00813E9A">
        <w:rPr>
          <w:rStyle w:val="Emphasis"/>
        </w:rPr>
        <w:t>-chemical parameters of wetland soils in relation to agricultural productivity.</w:t>
      </w:r>
      <w:r w:rsidRPr="00813E9A">
        <w:t xml:space="preserve"> The </w:t>
      </w:r>
      <w:proofErr w:type="spellStart"/>
      <w:r w:rsidRPr="00813E9A">
        <w:t>Biobrio</w:t>
      </w:r>
      <w:proofErr w:type="spellEnd"/>
      <w:r w:rsidRPr="00813E9A">
        <w:t>, 10(3-4), 1017–1022.</w:t>
      </w:r>
    </w:p>
    <w:p w14:paraId="7964D1B1" w14:textId="77777777" w:rsidR="00813E9A" w:rsidRPr="00813E9A" w:rsidRDefault="00813E9A" w:rsidP="00940DA9">
      <w:pPr>
        <w:pStyle w:val="NormalWeb"/>
        <w:numPr>
          <w:ilvl w:val="0"/>
          <w:numId w:val="10"/>
        </w:numPr>
        <w:spacing w:line="360" w:lineRule="auto"/>
        <w:ind w:left="-709"/>
        <w:jc w:val="both"/>
      </w:pPr>
      <w:r w:rsidRPr="00813E9A">
        <w:rPr>
          <w:color w:val="222222"/>
          <w:shd w:val="clear" w:color="auto" w:fill="FFFFFF"/>
        </w:rPr>
        <w:t>Shea, I. M. K. (2024). EVALUATION OF THE MORINGA OLEIFERA LEAF MEAL EFFECTS ON. </w:t>
      </w:r>
      <w:r w:rsidRPr="00813E9A">
        <w:rPr>
          <w:i/>
          <w:iCs/>
          <w:color w:val="222222"/>
          <w:shd w:val="clear" w:color="auto" w:fill="FFFFFF"/>
        </w:rPr>
        <w:t>University of Namibia</w:t>
      </w:r>
      <w:r w:rsidRPr="00813E9A">
        <w:rPr>
          <w:color w:val="222222"/>
          <w:shd w:val="clear" w:color="auto" w:fill="FFFFFF"/>
        </w:rPr>
        <w:t>.</w:t>
      </w:r>
    </w:p>
    <w:p w14:paraId="2BCD771A" w14:textId="77777777" w:rsidR="00813E9A" w:rsidRPr="00813E9A" w:rsidRDefault="00813E9A" w:rsidP="00306013">
      <w:pPr>
        <w:pStyle w:val="NormalWeb"/>
        <w:numPr>
          <w:ilvl w:val="0"/>
          <w:numId w:val="10"/>
        </w:numPr>
        <w:spacing w:line="360" w:lineRule="auto"/>
        <w:ind w:left="-709"/>
        <w:jc w:val="both"/>
      </w:pPr>
      <w:proofErr w:type="spellStart"/>
      <w:r w:rsidRPr="00813E9A">
        <w:t>Siddiquee</w:t>
      </w:r>
      <w:proofErr w:type="spellEnd"/>
      <w:r w:rsidRPr="00813E9A">
        <w:t xml:space="preserve">, A., &amp; Ahmad, M. S. (2021). </w:t>
      </w:r>
      <w:r w:rsidRPr="00813E9A">
        <w:rPr>
          <w:rStyle w:val="Emphasis"/>
        </w:rPr>
        <w:t>Study of few exotic/alien plant species of dicot families and their economic importance.</w:t>
      </w:r>
      <w:r w:rsidRPr="00813E9A">
        <w:t xml:space="preserve"> The </w:t>
      </w:r>
      <w:proofErr w:type="spellStart"/>
      <w:r w:rsidRPr="00813E9A">
        <w:t>Biobrio</w:t>
      </w:r>
      <w:proofErr w:type="spellEnd"/>
      <w:r w:rsidRPr="00813E9A">
        <w:t>, 8(3–4), 676–687.</w:t>
      </w:r>
    </w:p>
    <w:p w14:paraId="045EE768" w14:textId="77777777" w:rsidR="00813E9A" w:rsidRPr="00813E9A" w:rsidRDefault="00813E9A" w:rsidP="00306013">
      <w:pPr>
        <w:pStyle w:val="NormalWeb"/>
        <w:numPr>
          <w:ilvl w:val="0"/>
          <w:numId w:val="10"/>
        </w:numPr>
        <w:spacing w:line="360" w:lineRule="auto"/>
        <w:ind w:left="-709"/>
        <w:jc w:val="both"/>
      </w:pPr>
      <w:r w:rsidRPr="00813E9A">
        <w:t xml:space="preserve">Sreelatha, S., &amp; Padma, P. R. (2009). Antioxidant activity and total phenolic content of </w:t>
      </w:r>
      <w:r w:rsidRPr="00813E9A">
        <w:rPr>
          <w:rStyle w:val="Emphasis"/>
        </w:rPr>
        <w:t>Moringa oleifera</w:t>
      </w:r>
      <w:r w:rsidRPr="00813E9A">
        <w:t xml:space="preserve"> leaves in two stages of maturity. </w:t>
      </w:r>
      <w:r w:rsidRPr="00813E9A">
        <w:rPr>
          <w:rStyle w:val="Strong"/>
          <w:b w:val="0"/>
        </w:rPr>
        <w:t>Plant Foods for Human Nutrition</w:t>
      </w:r>
      <w:r w:rsidRPr="00813E9A">
        <w:t>, 64(4), 303–311.</w:t>
      </w:r>
    </w:p>
    <w:p w14:paraId="47E034C8" w14:textId="77777777" w:rsidR="00813E9A" w:rsidRPr="00813E9A" w:rsidRDefault="00813E9A" w:rsidP="00306013">
      <w:pPr>
        <w:pStyle w:val="NormalWeb"/>
        <w:numPr>
          <w:ilvl w:val="0"/>
          <w:numId w:val="10"/>
        </w:numPr>
        <w:spacing w:line="360" w:lineRule="auto"/>
        <w:ind w:left="-709"/>
        <w:jc w:val="both"/>
      </w:pPr>
      <w:r w:rsidRPr="00813E9A">
        <w:rPr>
          <w:lang w:val="sv-SE"/>
        </w:rPr>
        <w:lastRenderedPageBreak/>
        <w:t xml:space="preserve">Srivastava, M. L., Siddiquee, A., Baitha, R. R., &amp; Ahmad, M. S. (2024). </w:t>
      </w:r>
      <w:r w:rsidRPr="00813E9A">
        <w:rPr>
          <w:rStyle w:val="Emphasis"/>
        </w:rPr>
        <w:t>Somatic embryogenesis and quantification of L-Dopa in Mucuna pruriens.</w:t>
      </w:r>
      <w:r w:rsidRPr="00813E9A">
        <w:t xml:space="preserve"> Indian Journal of Applied &amp; Pure Biology, 39(2), 1057–1064.</w:t>
      </w:r>
    </w:p>
    <w:p w14:paraId="7F55B8BD" w14:textId="77777777" w:rsidR="00813E9A" w:rsidRPr="00813E9A" w:rsidRDefault="00813E9A" w:rsidP="00306013">
      <w:pPr>
        <w:pStyle w:val="NormalWeb"/>
        <w:numPr>
          <w:ilvl w:val="0"/>
          <w:numId w:val="10"/>
        </w:numPr>
        <w:spacing w:line="360" w:lineRule="auto"/>
        <w:ind w:left="-709"/>
        <w:jc w:val="both"/>
      </w:pPr>
      <w:r w:rsidRPr="00813E9A">
        <w:rPr>
          <w:color w:val="222222"/>
          <w:shd w:val="clear" w:color="auto" w:fill="FFFFFF"/>
        </w:rPr>
        <w:t xml:space="preserve">Zhao, S., &amp; Zhang, D. (2013). Supercritical fluid extraction and </w:t>
      </w:r>
      <w:proofErr w:type="spellStart"/>
      <w:r w:rsidRPr="00813E9A">
        <w:rPr>
          <w:color w:val="222222"/>
          <w:shd w:val="clear" w:color="auto" w:fill="FFFFFF"/>
        </w:rPr>
        <w:t>characterisation</w:t>
      </w:r>
      <w:proofErr w:type="spellEnd"/>
      <w:r w:rsidRPr="00813E9A">
        <w:rPr>
          <w:color w:val="222222"/>
          <w:shd w:val="clear" w:color="auto" w:fill="FFFFFF"/>
        </w:rPr>
        <w:t xml:space="preserve"> of Moringa oleifera leaves oil. </w:t>
      </w:r>
      <w:r w:rsidRPr="00813E9A">
        <w:rPr>
          <w:i/>
          <w:iCs/>
          <w:color w:val="222222"/>
          <w:shd w:val="clear" w:color="auto" w:fill="FFFFFF"/>
        </w:rPr>
        <w:t>Separation and Purification Technology</w:t>
      </w:r>
      <w:r w:rsidRPr="00813E9A">
        <w:rPr>
          <w:color w:val="222222"/>
          <w:shd w:val="clear" w:color="auto" w:fill="FFFFFF"/>
        </w:rPr>
        <w:t>, </w:t>
      </w:r>
      <w:r w:rsidRPr="00813E9A">
        <w:rPr>
          <w:i/>
          <w:iCs/>
          <w:color w:val="222222"/>
          <w:shd w:val="clear" w:color="auto" w:fill="FFFFFF"/>
        </w:rPr>
        <w:t>118</w:t>
      </w:r>
      <w:r w:rsidRPr="00813E9A">
        <w:rPr>
          <w:color w:val="222222"/>
          <w:shd w:val="clear" w:color="auto" w:fill="FFFFFF"/>
        </w:rPr>
        <w:t>, 497-502.</w:t>
      </w:r>
    </w:p>
    <w:p w14:paraId="169D33EE" w14:textId="77777777" w:rsidR="00813E9A" w:rsidRPr="00813E9A" w:rsidRDefault="00813E9A" w:rsidP="00306013">
      <w:pPr>
        <w:pStyle w:val="NormalWeb"/>
        <w:numPr>
          <w:ilvl w:val="0"/>
          <w:numId w:val="10"/>
        </w:numPr>
        <w:spacing w:line="360" w:lineRule="auto"/>
        <w:ind w:left="-709"/>
        <w:jc w:val="both"/>
      </w:pPr>
      <w:r w:rsidRPr="00813E9A">
        <w:rPr>
          <w:color w:val="212121"/>
        </w:rPr>
        <w:t xml:space="preserve">Zou, C., Zhang, X., Xu, Y. and Yin, J., 2024. Recent advances regarding polyphenol oxidase in camellia </w:t>
      </w:r>
      <w:proofErr w:type="spellStart"/>
      <w:r w:rsidRPr="00813E9A">
        <w:rPr>
          <w:color w:val="212121"/>
        </w:rPr>
        <w:t>sinensis</w:t>
      </w:r>
      <w:proofErr w:type="spellEnd"/>
      <w:r w:rsidRPr="00813E9A">
        <w:rPr>
          <w:color w:val="212121"/>
        </w:rPr>
        <w:t xml:space="preserve">: Extraction, purification, characterization, and application. </w:t>
      </w:r>
      <w:r w:rsidRPr="00813E9A">
        <w:rPr>
          <w:i/>
          <w:iCs/>
          <w:color w:val="212121"/>
        </w:rPr>
        <w:t>Foods</w:t>
      </w:r>
      <w:r w:rsidRPr="00813E9A">
        <w:rPr>
          <w:color w:val="212121"/>
        </w:rPr>
        <w:t xml:space="preserve">, </w:t>
      </w:r>
      <w:r w:rsidRPr="00813E9A">
        <w:rPr>
          <w:i/>
          <w:iCs/>
          <w:color w:val="212121"/>
        </w:rPr>
        <w:t>13</w:t>
      </w:r>
      <w:r w:rsidRPr="00813E9A">
        <w:rPr>
          <w:color w:val="212121"/>
        </w:rPr>
        <w:t xml:space="preserve">(4), p.545. </w:t>
      </w:r>
    </w:p>
    <w:sectPr w:rsidR="00813E9A" w:rsidRPr="00813E9A" w:rsidSect="00610871">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216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831137A" w16cex:dateUtc="2026-02-10T07:50:00Z"/>
  <w16cex:commentExtensible w16cex:durableId="7033B4EE" w16cex:dateUtc="2026-02-10T07:51:00Z"/>
  <w16cex:commentExtensible w16cex:durableId="7665CB73" w16cex:dateUtc="2026-02-10T07:53:00Z"/>
  <w16cex:commentExtensible w16cex:durableId="1A26A793" w16cex:dateUtc="2026-02-10T07:54:00Z"/>
  <w16cex:commentExtensible w16cex:durableId="490ADAEB" w16cex:dateUtc="2026-02-10T07:55:00Z"/>
  <w16cex:commentExtensible w16cex:durableId="2521B953" w16cex:dateUtc="2026-02-10T07:57:00Z"/>
  <w16cex:commentExtensible w16cex:durableId="554BE758" w16cex:dateUtc="2026-02-10T07:58:00Z"/>
  <w16cex:commentExtensible w16cex:durableId="68C96F66" w16cex:dateUtc="2026-02-10T08:00:00Z"/>
  <w16cex:commentExtensible w16cex:durableId="4CA6B585" w16cex:dateUtc="2026-02-10T08:21:00Z"/>
  <w16cex:commentExtensible w16cex:durableId="3A7F2353" w16cex:dateUtc="2026-02-10T08:22:00Z"/>
  <w16cex:commentExtensible w16cex:durableId="3DCC646C" w16cex:dateUtc="2026-02-10T09:00:00Z"/>
  <w16cex:commentExtensible w16cex:durableId="0AB7961F" w16cex:dateUtc="2026-02-10T08:25:00Z"/>
  <w16cex:commentExtensible w16cex:durableId="396AE046" w16cex:dateUtc="2026-02-10T08:29:00Z"/>
  <w16cex:commentExtensible w16cex:durableId="5B38116B" w16cex:dateUtc="2026-02-10T08:53:00Z"/>
  <w16cex:commentExtensible w16cex:durableId="4A3F3935" w16cex:dateUtc="2026-02-10T08:36:00Z"/>
  <w16cex:commentExtensible w16cex:durableId="5C9DEE41" w16cex:dateUtc="2026-02-10T08:46:00Z"/>
  <w16cex:commentExtensible w16cex:durableId="1F9829EB" w16cex:dateUtc="2026-02-10T08:47:00Z"/>
  <w16cex:commentExtensible w16cex:durableId="6090C419" w16cex:dateUtc="2026-02-10T08:56:00Z"/>
  <w16cex:commentExtensible w16cex:durableId="61F95241" w16cex:dateUtc="2026-02-10T08:57:00Z"/>
  <w16cex:commentExtensible w16cex:durableId="7C330594" w16cex:dateUtc="2026-02-10T08:58:00Z"/>
  <w16cex:commentExtensible w16cex:durableId="72F75C19" w16cex:dateUtc="2026-02-10T08:58:00Z"/>
  <w16cex:commentExtensible w16cex:durableId="50123B4F" w16cex:dateUtc="2026-02-10T09:02:00Z"/>
  <w16cex:commentExtensible w16cex:durableId="7C3C9CFF" w16cex:dateUtc="2026-02-10T09:04:00Z"/>
  <w16cex:commentExtensible w16cex:durableId="17511D4D" w16cex:dateUtc="2026-02-10T09:0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0DA30E" w14:textId="77777777" w:rsidR="000641EB" w:rsidRDefault="000641EB" w:rsidP="00952759">
      <w:pPr>
        <w:spacing w:after="0" w:line="240" w:lineRule="auto"/>
      </w:pPr>
      <w:r>
        <w:separator/>
      </w:r>
    </w:p>
  </w:endnote>
  <w:endnote w:type="continuationSeparator" w:id="0">
    <w:p w14:paraId="697A811F" w14:textId="77777777" w:rsidR="000641EB" w:rsidRDefault="000641EB" w:rsidP="00952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5A329" w14:textId="77777777" w:rsidR="00730B51" w:rsidRDefault="00730B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8DF9D" w14:textId="77777777" w:rsidR="00730B51" w:rsidRDefault="00730B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C5565" w14:textId="77777777" w:rsidR="00730B51" w:rsidRDefault="00730B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051CFE" w14:textId="77777777" w:rsidR="000641EB" w:rsidRDefault="000641EB" w:rsidP="00952759">
      <w:pPr>
        <w:spacing w:after="0" w:line="240" w:lineRule="auto"/>
      </w:pPr>
      <w:r>
        <w:separator/>
      </w:r>
    </w:p>
  </w:footnote>
  <w:footnote w:type="continuationSeparator" w:id="0">
    <w:p w14:paraId="67D3EF13" w14:textId="77777777" w:rsidR="000641EB" w:rsidRDefault="000641EB" w:rsidP="009527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7AB21" w14:textId="0182DF48" w:rsidR="00730B51" w:rsidRDefault="000641EB">
    <w:pPr>
      <w:pStyle w:val="Header"/>
    </w:pPr>
    <w:r>
      <w:rPr>
        <w:noProof/>
      </w:rPr>
      <w:pict w14:anchorId="7F231F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40.35pt;height:68.7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DB7C7" w14:textId="4E27ADC1" w:rsidR="00730B51" w:rsidRDefault="000641EB">
    <w:pPr>
      <w:pStyle w:val="Header"/>
    </w:pPr>
    <w:r>
      <w:rPr>
        <w:noProof/>
      </w:rPr>
      <w:pict w14:anchorId="332C86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40.35pt;height:68.7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49743" w14:textId="265F0664" w:rsidR="00730B51" w:rsidRDefault="000641EB">
    <w:pPr>
      <w:pStyle w:val="Header"/>
    </w:pPr>
    <w:r>
      <w:rPr>
        <w:noProof/>
      </w:rPr>
      <w:pict w14:anchorId="5EB37A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40.35pt;height:68.7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BEF3346"/>
    <w:multiLevelType w:val="hybridMultilevel"/>
    <w:tmpl w:val="E64801FC"/>
    <w:lvl w:ilvl="0" w:tplc="9E0002DA">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00E2C"/>
    <w:rsid w:val="0003429E"/>
    <w:rsid w:val="00034616"/>
    <w:rsid w:val="00036A90"/>
    <w:rsid w:val="0006063C"/>
    <w:rsid w:val="00060EA5"/>
    <w:rsid w:val="00062F09"/>
    <w:rsid w:val="000641EB"/>
    <w:rsid w:val="00070456"/>
    <w:rsid w:val="000827BC"/>
    <w:rsid w:val="000A0D8B"/>
    <w:rsid w:val="000B6972"/>
    <w:rsid w:val="000D478C"/>
    <w:rsid w:val="000D614F"/>
    <w:rsid w:val="000E55D5"/>
    <w:rsid w:val="000F44D5"/>
    <w:rsid w:val="00141A7F"/>
    <w:rsid w:val="0015074B"/>
    <w:rsid w:val="001560B3"/>
    <w:rsid w:val="00156910"/>
    <w:rsid w:val="001858D4"/>
    <w:rsid w:val="001A6187"/>
    <w:rsid w:val="001A6E7D"/>
    <w:rsid w:val="001D20FA"/>
    <w:rsid w:val="001F0112"/>
    <w:rsid w:val="00225116"/>
    <w:rsid w:val="00242722"/>
    <w:rsid w:val="002744A6"/>
    <w:rsid w:val="00275403"/>
    <w:rsid w:val="0028393B"/>
    <w:rsid w:val="002869F1"/>
    <w:rsid w:val="002919B2"/>
    <w:rsid w:val="00292035"/>
    <w:rsid w:val="0029639D"/>
    <w:rsid w:val="002C2F35"/>
    <w:rsid w:val="002D465B"/>
    <w:rsid w:val="00306013"/>
    <w:rsid w:val="00312B79"/>
    <w:rsid w:val="0031501F"/>
    <w:rsid w:val="00322F7B"/>
    <w:rsid w:val="00326F90"/>
    <w:rsid w:val="003340AE"/>
    <w:rsid w:val="00365F95"/>
    <w:rsid w:val="00377FF6"/>
    <w:rsid w:val="003845D8"/>
    <w:rsid w:val="00387471"/>
    <w:rsid w:val="00391260"/>
    <w:rsid w:val="003C027A"/>
    <w:rsid w:val="003C20F2"/>
    <w:rsid w:val="003C5D29"/>
    <w:rsid w:val="003E26EA"/>
    <w:rsid w:val="003E54C4"/>
    <w:rsid w:val="003F2B58"/>
    <w:rsid w:val="003F4952"/>
    <w:rsid w:val="003F5650"/>
    <w:rsid w:val="004044E4"/>
    <w:rsid w:val="00411962"/>
    <w:rsid w:val="00443043"/>
    <w:rsid w:val="004448AB"/>
    <w:rsid w:val="0045745F"/>
    <w:rsid w:val="0049190A"/>
    <w:rsid w:val="00491EEE"/>
    <w:rsid w:val="004A04E3"/>
    <w:rsid w:val="004B651E"/>
    <w:rsid w:val="004F7235"/>
    <w:rsid w:val="00505E83"/>
    <w:rsid w:val="00530586"/>
    <w:rsid w:val="00535923"/>
    <w:rsid w:val="0055513A"/>
    <w:rsid w:val="005723F9"/>
    <w:rsid w:val="00581C92"/>
    <w:rsid w:val="00585579"/>
    <w:rsid w:val="00585CCE"/>
    <w:rsid w:val="00591514"/>
    <w:rsid w:val="00591C0F"/>
    <w:rsid w:val="005C2D2C"/>
    <w:rsid w:val="005C6E89"/>
    <w:rsid w:val="005E0F26"/>
    <w:rsid w:val="00600FFA"/>
    <w:rsid w:val="006056A1"/>
    <w:rsid w:val="00610871"/>
    <w:rsid w:val="0061349B"/>
    <w:rsid w:val="00620646"/>
    <w:rsid w:val="00640B92"/>
    <w:rsid w:val="0064391D"/>
    <w:rsid w:val="0064522F"/>
    <w:rsid w:val="00662DEE"/>
    <w:rsid w:val="00672FA2"/>
    <w:rsid w:val="00682C41"/>
    <w:rsid w:val="00683833"/>
    <w:rsid w:val="006A0E69"/>
    <w:rsid w:val="006A5887"/>
    <w:rsid w:val="006B404F"/>
    <w:rsid w:val="006B5D16"/>
    <w:rsid w:val="006D012B"/>
    <w:rsid w:val="006D151E"/>
    <w:rsid w:val="006D5384"/>
    <w:rsid w:val="006D538E"/>
    <w:rsid w:val="006D6251"/>
    <w:rsid w:val="006F14A5"/>
    <w:rsid w:val="00726109"/>
    <w:rsid w:val="00730B51"/>
    <w:rsid w:val="00735339"/>
    <w:rsid w:val="00760DCF"/>
    <w:rsid w:val="0078221C"/>
    <w:rsid w:val="00791650"/>
    <w:rsid w:val="007D333C"/>
    <w:rsid w:val="007D4ED1"/>
    <w:rsid w:val="007F260C"/>
    <w:rsid w:val="0080784D"/>
    <w:rsid w:val="008133A8"/>
    <w:rsid w:val="00813E9A"/>
    <w:rsid w:val="0082189E"/>
    <w:rsid w:val="00841BFD"/>
    <w:rsid w:val="00841C2D"/>
    <w:rsid w:val="008519A7"/>
    <w:rsid w:val="008631C1"/>
    <w:rsid w:val="00871940"/>
    <w:rsid w:val="00891450"/>
    <w:rsid w:val="008955CD"/>
    <w:rsid w:val="008D18EC"/>
    <w:rsid w:val="008F1D5E"/>
    <w:rsid w:val="009121AE"/>
    <w:rsid w:val="00913C7B"/>
    <w:rsid w:val="00926A5B"/>
    <w:rsid w:val="00940DA9"/>
    <w:rsid w:val="00952759"/>
    <w:rsid w:val="009551D4"/>
    <w:rsid w:val="009707A0"/>
    <w:rsid w:val="009729B1"/>
    <w:rsid w:val="0098165F"/>
    <w:rsid w:val="009A019F"/>
    <w:rsid w:val="009D033C"/>
    <w:rsid w:val="009E08CB"/>
    <w:rsid w:val="009E102D"/>
    <w:rsid w:val="009F44EA"/>
    <w:rsid w:val="00A13FA7"/>
    <w:rsid w:val="00A62B1A"/>
    <w:rsid w:val="00A65AE1"/>
    <w:rsid w:val="00A70620"/>
    <w:rsid w:val="00A76615"/>
    <w:rsid w:val="00A80AA4"/>
    <w:rsid w:val="00A840D7"/>
    <w:rsid w:val="00A93B84"/>
    <w:rsid w:val="00A93E6E"/>
    <w:rsid w:val="00AA033F"/>
    <w:rsid w:val="00AA1D8D"/>
    <w:rsid w:val="00AA2D09"/>
    <w:rsid w:val="00AB06F6"/>
    <w:rsid w:val="00AC29BA"/>
    <w:rsid w:val="00AE2F4A"/>
    <w:rsid w:val="00AE63B3"/>
    <w:rsid w:val="00AE6D3C"/>
    <w:rsid w:val="00B053BA"/>
    <w:rsid w:val="00B06DD5"/>
    <w:rsid w:val="00B4266A"/>
    <w:rsid w:val="00B47730"/>
    <w:rsid w:val="00B622B3"/>
    <w:rsid w:val="00B73699"/>
    <w:rsid w:val="00BA0CBA"/>
    <w:rsid w:val="00BA414A"/>
    <w:rsid w:val="00BB6EF1"/>
    <w:rsid w:val="00C015AC"/>
    <w:rsid w:val="00C54B7A"/>
    <w:rsid w:val="00C60C4A"/>
    <w:rsid w:val="00C617D6"/>
    <w:rsid w:val="00C9513A"/>
    <w:rsid w:val="00CA5C31"/>
    <w:rsid w:val="00CB0664"/>
    <w:rsid w:val="00CB3A5B"/>
    <w:rsid w:val="00CB6D4D"/>
    <w:rsid w:val="00CB74CA"/>
    <w:rsid w:val="00CC5D06"/>
    <w:rsid w:val="00CD3DE3"/>
    <w:rsid w:val="00D12CBD"/>
    <w:rsid w:val="00D12F9E"/>
    <w:rsid w:val="00D2214E"/>
    <w:rsid w:val="00D23441"/>
    <w:rsid w:val="00D26774"/>
    <w:rsid w:val="00D36CC3"/>
    <w:rsid w:val="00D42323"/>
    <w:rsid w:val="00D50968"/>
    <w:rsid w:val="00D73C40"/>
    <w:rsid w:val="00D84E9F"/>
    <w:rsid w:val="00D85AAA"/>
    <w:rsid w:val="00DC2343"/>
    <w:rsid w:val="00DD205C"/>
    <w:rsid w:val="00DD70F2"/>
    <w:rsid w:val="00DE7931"/>
    <w:rsid w:val="00DF7876"/>
    <w:rsid w:val="00E11B12"/>
    <w:rsid w:val="00E2219F"/>
    <w:rsid w:val="00E2277F"/>
    <w:rsid w:val="00E25053"/>
    <w:rsid w:val="00E4262B"/>
    <w:rsid w:val="00E44891"/>
    <w:rsid w:val="00E564C8"/>
    <w:rsid w:val="00E6699A"/>
    <w:rsid w:val="00E76418"/>
    <w:rsid w:val="00E9619B"/>
    <w:rsid w:val="00EB4AD6"/>
    <w:rsid w:val="00ED1A6C"/>
    <w:rsid w:val="00EE5287"/>
    <w:rsid w:val="00EE6894"/>
    <w:rsid w:val="00F00108"/>
    <w:rsid w:val="00F00B89"/>
    <w:rsid w:val="00F07D54"/>
    <w:rsid w:val="00F127E9"/>
    <w:rsid w:val="00F13F8B"/>
    <w:rsid w:val="00F52847"/>
    <w:rsid w:val="00F711E0"/>
    <w:rsid w:val="00F73463"/>
    <w:rsid w:val="00F75810"/>
    <w:rsid w:val="00F75C20"/>
    <w:rsid w:val="00FC693F"/>
    <w:rsid w:val="00FC6C50"/>
    <w:rsid w:val="00FD7F25"/>
    <w:rsid w:val="00FE7A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D36C2AC"/>
  <w14:defaultImageDpi w14:val="300"/>
  <w15:docId w15:val="{2167747F-3AAC-45B6-8955-3D0DA3982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260C"/>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6108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lative">
    <w:name w:val="relative"/>
    <w:basedOn w:val="DefaultParagraphFont"/>
    <w:rsid w:val="00610871"/>
  </w:style>
  <w:style w:type="paragraph" w:customStyle="1" w:styleId="not-prose">
    <w:name w:val="not-prose"/>
    <w:basedOn w:val="Normal"/>
    <w:rsid w:val="006108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atex-error">
    <w:name w:val="katex-error"/>
    <w:basedOn w:val="DefaultParagraphFont"/>
    <w:rsid w:val="009121AE"/>
  </w:style>
  <w:style w:type="paragraph" w:customStyle="1" w:styleId="Default">
    <w:name w:val="Default"/>
    <w:rsid w:val="00B622B3"/>
    <w:pPr>
      <w:autoSpaceDE w:val="0"/>
      <w:autoSpaceDN w:val="0"/>
      <w:adjustRightInd w:val="0"/>
      <w:spacing w:after="0" w:line="240" w:lineRule="auto"/>
    </w:pPr>
    <w:rPr>
      <w:rFonts w:ascii="Times New Roman" w:hAnsi="Times New Roman" w:cs="Times New Roman"/>
      <w:color w:val="000000"/>
      <w:sz w:val="24"/>
      <w:szCs w:val="24"/>
    </w:rPr>
  </w:style>
  <w:style w:type="table" w:styleId="PlainTable1">
    <w:name w:val="Plain Table 1"/>
    <w:basedOn w:val="TableNormal"/>
    <w:uiPriority w:val="99"/>
    <w:rsid w:val="00DC234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387471"/>
    <w:rPr>
      <w:color w:val="0000FF"/>
      <w:u w:val="single"/>
    </w:rPr>
  </w:style>
  <w:style w:type="character" w:customStyle="1" w:styleId="UnresolvedMention1">
    <w:name w:val="Unresolved Mention1"/>
    <w:basedOn w:val="DefaultParagraphFont"/>
    <w:uiPriority w:val="99"/>
    <w:semiHidden/>
    <w:unhideWhenUsed/>
    <w:rsid w:val="004044E4"/>
    <w:rPr>
      <w:color w:val="605E5C"/>
      <w:shd w:val="clear" w:color="auto" w:fill="E1DFDD"/>
    </w:rPr>
  </w:style>
  <w:style w:type="character" w:styleId="CommentReference">
    <w:name w:val="annotation reference"/>
    <w:basedOn w:val="DefaultParagraphFont"/>
    <w:uiPriority w:val="99"/>
    <w:semiHidden/>
    <w:unhideWhenUsed/>
    <w:rsid w:val="001D20FA"/>
    <w:rPr>
      <w:sz w:val="16"/>
      <w:szCs w:val="16"/>
    </w:rPr>
  </w:style>
  <w:style w:type="paragraph" w:styleId="CommentText">
    <w:name w:val="annotation text"/>
    <w:basedOn w:val="Normal"/>
    <w:link w:val="CommentTextChar"/>
    <w:uiPriority w:val="99"/>
    <w:semiHidden/>
    <w:unhideWhenUsed/>
    <w:rsid w:val="001D20FA"/>
    <w:pPr>
      <w:spacing w:line="240" w:lineRule="auto"/>
    </w:pPr>
    <w:rPr>
      <w:sz w:val="20"/>
      <w:szCs w:val="20"/>
    </w:rPr>
  </w:style>
  <w:style w:type="character" w:customStyle="1" w:styleId="CommentTextChar">
    <w:name w:val="Comment Text Char"/>
    <w:basedOn w:val="DefaultParagraphFont"/>
    <w:link w:val="CommentText"/>
    <w:uiPriority w:val="99"/>
    <w:semiHidden/>
    <w:rsid w:val="001D20FA"/>
    <w:rPr>
      <w:sz w:val="20"/>
      <w:szCs w:val="20"/>
    </w:rPr>
  </w:style>
  <w:style w:type="paragraph" w:styleId="CommentSubject">
    <w:name w:val="annotation subject"/>
    <w:basedOn w:val="CommentText"/>
    <w:next w:val="CommentText"/>
    <w:link w:val="CommentSubjectChar"/>
    <w:uiPriority w:val="99"/>
    <w:semiHidden/>
    <w:unhideWhenUsed/>
    <w:rsid w:val="001D20FA"/>
    <w:rPr>
      <w:b/>
      <w:bCs/>
    </w:rPr>
  </w:style>
  <w:style w:type="character" w:customStyle="1" w:styleId="CommentSubjectChar">
    <w:name w:val="Comment Subject Char"/>
    <w:basedOn w:val="CommentTextChar"/>
    <w:link w:val="CommentSubject"/>
    <w:uiPriority w:val="99"/>
    <w:semiHidden/>
    <w:rsid w:val="001D20FA"/>
    <w:rPr>
      <w:b/>
      <w:bCs/>
      <w:sz w:val="20"/>
      <w:szCs w:val="20"/>
    </w:rPr>
  </w:style>
  <w:style w:type="paragraph" w:styleId="BalloonText">
    <w:name w:val="Balloon Text"/>
    <w:basedOn w:val="Normal"/>
    <w:link w:val="BalloonTextChar"/>
    <w:uiPriority w:val="99"/>
    <w:semiHidden/>
    <w:unhideWhenUsed/>
    <w:rsid w:val="00E250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50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54517">
      <w:bodyDiv w:val="1"/>
      <w:marLeft w:val="0"/>
      <w:marRight w:val="0"/>
      <w:marTop w:val="0"/>
      <w:marBottom w:val="0"/>
      <w:divBdr>
        <w:top w:val="none" w:sz="0" w:space="0" w:color="auto"/>
        <w:left w:val="none" w:sz="0" w:space="0" w:color="auto"/>
        <w:bottom w:val="none" w:sz="0" w:space="0" w:color="auto"/>
        <w:right w:val="none" w:sz="0" w:space="0" w:color="auto"/>
      </w:divBdr>
    </w:div>
    <w:div w:id="63648812">
      <w:bodyDiv w:val="1"/>
      <w:marLeft w:val="0"/>
      <w:marRight w:val="0"/>
      <w:marTop w:val="0"/>
      <w:marBottom w:val="0"/>
      <w:divBdr>
        <w:top w:val="none" w:sz="0" w:space="0" w:color="auto"/>
        <w:left w:val="none" w:sz="0" w:space="0" w:color="auto"/>
        <w:bottom w:val="none" w:sz="0" w:space="0" w:color="auto"/>
        <w:right w:val="none" w:sz="0" w:space="0" w:color="auto"/>
      </w:divBdr>
      <w:divsChild>
        <w:div w:id="960496460">
          <w:marLeft w:val="0"/>
          <w:marRight w:val="0"/>
          <w:marTop w:val="0"/>
          <w:marBottom w:val="0"/>
          <w:divBdr>
            <w:top w:val="none" w:sz="0" w:space="0" w:color="auto"/>
            <w:left w:val="none" w:sz="0" w:space="0" w:color="auto"/>
            <w:bottom w:val="none" w:sz="0" w:space="0" w:color="auto"/>
            <w:right w:val="none" w:sz="0" w:space="0" w:color="auto"/>
          </w:divBdr>
          <w:divsChild>
            <w:div w:id="59220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72549">
      <w:bodyDiv w:val="1"/>
      <w:marLeft w:val="0"/>
      <w:marRight w:val="0"/>
      <w:marTop w:val="0"/>
      <w:marBottom w:val="0"/>
      <w:divBdr>
        <w:top w:val="none" w:sz="0" w:space="0" w:color="auto"/>
        <w:left w:val="none" w:sz="0" w:space="0" w:color="auto"/>
        <w:bottom w:val="none" w:sz="0" w:space="0" w:color="auto"/>
        <w:right w:val="none" w:sz="0" w:space="0" w:color="auto"/>
      </w:divBdr>
    </w:div>
    <w:div w:id="128981561">
      <w:bodyDiv w:val="1"/>
      <w:marLeft w:val="0"/>
      <w:marRight w:val="0"/>
      <w:marTop w:val="0"/>
      <w:marBottom w:val="0"/>
      <w:divBdr>
        <w:top w:val="none" w:sz="0" w:space="0" w:color="auto"/>
        <w:left w:val="none" w:sz="0" w:space="0" w:color="auto"/>
        <w:bottom w:val="none" w:sz="0" w:space="0" w:color="auto"/>
        <w:right w:val="none" w:sz="0" w:space="0" w:color="auto"/>
      </w:divBdr>
    </w:div>
    <w:div w:id="197671497">
      <w:bodyDiv w:val="1"/>
      <w:marLeft w:val="0"/>
      <w:marRight w:val="0"/>
      <w:marTop w:val="0"/>
      <w:marBottom w:val="0"/>
      <w:divBdr>
        <w:top w:val="none" w:sz="0" w:space="0" w:color="auto"/>
        <w:left w:val="none" w:sz="0" w:space="0" w:color="auto"/>
        <w:bottom w:val="none" w:sz="0" w:space="0" w:color="auto"/>
        <w:right w:val="none" w:sz="0" w:space="0" w:color="auto"/>
      </w:divBdr>
    </w:div>
    <w:div w:id="428426215">
      <w:bodyDiv w:val="1"/>
      <w:marLeft w:val="0"/>
      <w:marRight w:val="0"/>
      <w:marTop w:val="0"/>
      <w:marBottom w:val="0"/>
      <w:divBdr>
        <w:top w:val="none" w:sz="0" w:space="0" w:color="auto"/>
        <w:left w:val="none" w:sz="0" w:space="0" w:color="auto"/>
        <w:bottom w:val="none" w:sz="0" w:space="0" w:color="auto"/>
        <w:right w:val="none" w:sz="0" w:space="0" w:color="auto"/>
      </w:divBdr>
    </w:div>
    <w:div w:id="438329742">
      <w:bodyDiv w:val="1"/>
      <w:marLeft w:val="0"/>
      <w:marRight w:val="0"/>
      <w:marTop w:val="0"/>
      <w:marBottom w:val="0"/>
      <w:divBdr>
        <w:top w:val="none" w:sz="0" w:space="0" w:color="auto"/>
        <w:left w:val="none" w:sz="0" w:space="0" w:color="auto"/>
        <w:bottom w:val="none" w:sz="0" w:space="0" w:color="auto"/>
        <w:right w:val="none" w:sz="0" w:space="0" w:color="auto"/>
      </w:divBdr>
    </w:div>
    <w:div w:id="452944443">
      <w:bodyDiv w:val="1"/>
      <w:marLeft w:val="0"/>
      <w:marRight w:val="0"/>
      <w:marTop w:val="0"/>
      <w:marBottom w:val="0"/>
      <w:divBdr>
        <w:top w:val="none" w:sz="0" w:space="0" w:color="auto"/>
        <w:left w:val="none" w:sz="0" w:space="0" w:color="auto"/>
        <w:bottom w:val="none" w:sz="0" w:space="0" w:color="auto"/>
        <w:right w:val="none" w:sz="0" w:space="0" w:color="auto"/>
      </w:divBdr>
      <w:divsChild>
        <w:div w:id="2005428832">
          <w:marLeft w:val="0"/>
          <w:marRight w:val="0"/>
          <w:marTop w:val="0"/>
          <w:marBottom w:val="0"/>
          <w:divBdr>
            <w:top w:val="none" w:sz="0" w:space="0" w:color="auto"/>
            <w:left w:val="none" w:sz="0" w:space="0" w:color="auto"/>
            <w:bottom w:val="none" w:sz="0" w:space="0" w:color="auto"/>
            <w:right w:val="none" w:sz="0" w:space="0" w:color="auto"/>
          </w:divBdr>
          <w:divsChild>
            <w:div w:id="162846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71643">
      <w:bodyDiv w:val="1"/>
      <w:marLeft w:val="0"/>
      <w:marRight w:val="0"/>
      <w:marTop w:val="0"/>
      <w:marBottom w:val="0"/>
      <w:divBdr>
        <w:top w:val="none" w:sz="0" w:space="0" w:color="auto"/>
        <w:left w:val="none" w:sz="0" w:space="0" w:color="auto"/>
        <w:bottom w:val="none" w:sz="0" w:space="0" w:color="auto"/>
        <w:right w:val="none" w:sz="0" w:space="0" w:color="auto"/>
      </w:divBdr>
      <w:divsChild>
        <w:div w:id="1215004071">
          <w:marLeft w:val="0"/>
          <w:marRight w:val="0"/>
          <w:marTop w:val="0"/>
          <w:marBottom w:val="0"/>
          <w:divBdr>
            <w:top w:val="none" w:sz="0" w:space="0" w:color="auto"/>
            <w:left w:val="none" w:sz="0" w:space="0" w:color="auto"/>
            <w:bottom w:val="none" w:sz="0" w:space="0" w:color="auto"/>
            <w:right w:val="none" w:sz="0" w:space="0" w:color="auto"/>
          </w:divBdr>
          <w:divsChild>
            <w:div w:id="175462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271246">
      <w:bodyDiv w:val="1"/>
      <w:marLeft w:val="0"/>
      <w:marRight w:val="0"/>
      <w:marTop w:val="0"/>
      <w:marBottom w:val="0"/>
      <w:divBdr>
        <w:top w:val="none" w:sz="0" w:space="0" w:color="auto"/>
        <w:left w:val="none" w:sz="0" w:space="0" w:color="auto"/>
        <w:bottom w:val="none" w:sz="0" w:space="0" w:color="auto"/>
        <w:right w:val="none" w:sz="0" w:space="0" w:color="auto"/>
      </w:divBdr>
    </w:div>
    <w:div w:id="762841297">
      <w:bodyDiv w:val="1"/>
      <w:marLeft w:val="0"/>
      <w:marRight w:val="0"/>
      <w:marTop w:val="0"/>
      <w:marBottom w:val="0"/>
      <w:divBdr>
        <w:top w:val="none" w:sz="0" w:space="0" w:color="auto"/>
        <w:left w:val="none" w:sz="0" w:space="0" w:color="auto"/>
        <w:bottom w:val="none" w:sz="0" w:space="0" w:color="auto"/>
        <w:right w:val="none" w:sz="0" w:space="0" w:color="auto"/>
      </w:divBdr>
    </w:div>
    <w:div w:id="787511435">
      <w:bodyDiv w:val="1"/>
      <w:marLeft w:val="0"/>
      <w:marRight w:val="0"/>
      <w:marTop w:val="0"/>
      <w:marBottom w:val="0"/>
      <w:divBdr>
        <w:top w:val="none" w:sz="0" w:space="0" w:color="auto"/>
        <w:left w:val="none" w:sz="0" w:space="0" w:color="auto"/>
        <w:bottom w:val="none" w:sz="0" w:space="0" w:color="auto"/>
        <w:right w:val="none" w:sz="0" w:space="0" w:color="auto"/>
      </w:divBdr>
    </w:div>
    <w:div w:id="801506001">
      <w:bodyDiv w:val="1"/>
      <w:marLeft w:val="0"/>
      <w:marRight w:val="0"/>
      <w:marTop w:val="0"/>
      <w:marBottom w:val="0"/>
      <w:divBdr>
        <w:top w:val="none" w:sz="0" w:space="0" w:color="auto"/>
        <w:left w:val="none" w:sz="0" w:space="0" w:color="auto"/>
        <w:bottom w:val="none" w:sz="0" w:space="0" w:color="auto"/>
        <w:right w:val="none" w:sz="0" w:space="0" w:color="auto"/>
      </w:divBdr>
      <w:divsChild>
        <w:div w:id="1855068340">
          <w:marLeft w:val="0"/>
          <w:marRight w:val="0"/>
          <w:marTop w:val="0"/>
          <w:marBottom w:val="0"/>
          <w:divBdr>
            <w:top w:val="none" w:sz="0" w:space="0" w:color="auto"/>
            <w:left w:val="none" w:sz="0" w:space="0" w:color="auto"/>
            <w:bottom w:val="none" w:sz="0" w:space="0" w:color="auto"/>
            <w:right w:val="none" w:sz="0" w:space="0" w:color="auto"/>
          </w:divBdr>
          <w:divsChild>
            <w:div w:id="8032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80790">
      <w:bodyDiv w:val="1"/>
      <w:marLeft w:val="0"/>
      <w:marRight w:val="0"/>
      <w:marTop w:val="0"/>
      <w:marBottom w:val="0"/>
      <w:divBdr>
        <w:top w:val="none" w:sz="0" w:space="0" w:color="auto"/>
        <w:left w:val="none" w:sz="0" w:space="0" w:color="auto"/>
        <w:bottom w:val="none" w:sz="0" w:space="0" w:color="auto"/>
        <w:right w:val="none" w:sz="0" w:space="0" w:color="auto"/>
      </w:divBdr>
      <w:divsChild>
        <w:div w:id="2085761906">
          <w:marLeft w:val="0"/>
          <w:marRight w:val="0"/>
          <w:marTop w:val="0"/>
          <w:marBottom w:val="0"/>
          <w:divBdr>
            <w:top w:val="none" w:sz="0" w:space="0" w:color="auto"/>
            <w:left w:val="none" w:sz="0" w:space="0" w:color="auto"/>
            <w:bottom w:val="none" w:sz="0" w:space="0" w:color="auto"/>
            <w:right w:val="none" w:sz="0" w:space="0" w:color="auto"/>
          </w:divBdr>
          <w:divsChild>
            <w:div w:id="42862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70554">
      <w:bodyDiv w:val="1"/>
      <w:marLeft w:val="0"/>
      <w:marRight w:val="0"/>
      <w:marTop w:val="0"/>
      <w:marBottom w:val="0"/>
      <w:divBdr>
        <w:top w:val="none" w:sz="0" w:space="0" w:color="auto"/>
        <w:left w:val="none" w:sz="0" w:space="0" w:color="auto"/>
        <w:bottom w:val="none" w:sz="0" w:space="0" w:color="auto"/>
        <w:right w:val="none" w:sz="0" w:space="0" w:color="auto"/>
      </w:divBdr>
      <w:divsChild>
        <w:div w:id="1138765715">
          <w:marLeft w:val="0"/>
          <w:marRight w:val="0"/>
          <w:marTop w:val="0"/>
          <w:marBottom w:val="0"/>
          <w:divBdr>
            <w:top w:val="none" w:sz="0" w:space="0" w:color="auto"/>
            <w:left w:val="none" w:sz="0" w:space="0" w:color="auto"/>
            <w:bottom w:val="none" w:sz="0" w:space="0" w:color="auto"/>
            <w:right w:val="none" w:sz="0" w:space="0" w:color="auto"/>
          </w:divBdr>
          <w:divsChild>
            <w:div w:id="178942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09608">
      <w:bodyDiv w:val="1"/>
      <w:marLeft w:val="0"/>
      <w:marRight w:val="0"/>
      <w:marTop w:val="0"/>
      <w:marBottom w:val="0"/>
      <w:divBdr>
        <w:top w:val="none" w:sz="0" w:space="0" w:color="auto"/>
        <w:left w:val="none" w:sz="0" w:space="0" w:color="auto"/>
        <w:bottom w:val="none" w:sz="0" w:space="0" w:color="auto"/>
        <w:right w:val="none" w:sz="0" w:space="0" w:color="auto"/>
      </w:divBdr>
    </w:div>
    <w:div w:id="984510113">
      <w:bodyDiv w:val="1"/>
      <w:marLeft w:val="0"/>
      <w:marRight w:val="0"/>
      <w:marTop w:val="0"/>
      <w:marBottom w:val="0"/>
      <w:divBdr>
        <w:top w:val="none" w:sz="0" w:space="0" w:color="auto"/>
        <w:left w:val="none" w:sz="0" w:space="0" w:color="auto"/>
        <w:bottom w:val="none" w:sz="0" w:space="0" w:color="auto"/>
        <w:right w:val="none" w:sz="0" w:space="0" w:color="auto"/>
      </w:divBdr>
    </w:div>
    <w:div w:id="1063720698">
      <w:bodyDiv w:val="1"/>
      <w:marLeft w:val="0"/>
      <w:marRight w:val="0"/>
      <w:marTop w:val="0"/>
      <w:marBottom w:val="0"/>
      <w:divBdr>
        <w:top w:val="none" w:sz="0" w:space="0" w:color="auto"/>
        <w:left w:val="none" w:sz="0" w:space="0" w:color="auto"/>
        <w:bottom w:val="none" w:sz="0" w:space="0" w:color="auto"/>
        <w:right w:val="none" w:sz="0" w:space="0" w:color="auto"/>
      </w:divBdr>
    </w:div>
    <w:div w:id="1137263880">
      <w:bodyDiv w:val="1"/>
      <w:marLeft w:val="0"/>
      <w:marRight w:val="0"/>
      <w:marTop w:val="0"/>
      <w:marBottom w:val="0"/>
      <w:divBdr>
        <w:top w:val="none" w:sz="0" w:space="0" w:color="auto"/>
        <w:left w:val="none" w:sz="0" w:space="0" w:color="auto"/>
        <w:bottom w:val="none" w:sz="0" w:space="0" w:color="auto"/>
        <w:right w:val="none" w:sz="0" w:space="0" w:color="auto"/>
      </w:divBdr>
    </w:div>
    <w:div w:id="1164013505">
      <w:bodyDiv w:val="1"/>
      <w:marLeft w:val="0"/>
      <w:marRight w:val="0"/>
      <w:marTop w:val="0"/>
      <w:marBottom w:val="0"/>
      <w:divBdr>
        <w:top w:val="none" w:sz="0" w:space="0" w:color="auto"/>
        <w:left w:val="none" w:sz="0" w:space="0" w:color="auto"/>
        <w:bottom w:val="none" w:sz="0" w:space="0" w:color="auto"/>
        <w:right w:val="none" w:sz="0" w:space="0" w:color="auto"/>
      </w:divBdr>
    </w:div>
    <w:div w:id="1307395706">
      <w:bodyDiv w:val="1"/>
      <w:marLeft w:val="0"/>
      <w:marRight w:val="0"/>
      <w:marTop w:val="0"/>
      <w:marBottom w:val="0"/>
      <w:divBdr>
        <w:top w:val="none" w:sz="0" w:space="0" w:color="auto"/>
        <w:left w:val="none" w:sz="0" w:space="0" w:color="auto"/>
        <w:bottom w:val="none" w:sz="0" w:space="0" w:color="auto"/>
        <w:right w:val="none" w:sz="0" w:space="0" w:color="auto"/>
      </w:divBdr>
    </w:div>
    <w:div w:id="1523085370">
      <w:bodyDiv w:val="1"/>
      <w:marLeft w:val="0"/>
      <w:marRight w:val="0"/>
      <w:marTop w:val="0"/>
      <w:marBottom w:val="0"/>
      <w:divBdr>
        <w:top w:val="none" w:sz="0" w:space="0" w:color="auto"/>
        <w:left w:val="none" w:sz="0" w:space="0" w:color="auto"/>
        <w:bottom w:val="none" w:sz="0" w:space="0" w:color="auto"/>
        <w:right w:val="none" w:sz="0" w:space="0" w:color="auto"/>
      </w:divBdr>
    </w:div>
    <w:div w:id="1567953034">
      <w:bodyDiv w:val="1"/>
      <w:marLeft w:val="0"/>
      <w:marRight w:val="0"/>
      <w:marTop w:val="0"/>
      <w:marBottom w:val="0"/>
      <w:divBdr>
        <w:top w:val="none" w:sz="0" w:space="0" w:color="auto"/>
        <w:left w:val="none" w:sz="0" w:space="0" w:color="auto"/>
        <w:bottom w:val="none" w:sz="0" w:space="0" w:color="auto"/>
        <w:right w:val="none" w:sz="0" w:space="0" w:color="auto"/>
      </w:divBdr>
    </w:div>
    <w:div w:id="1665821211">
      <w:bodyDiv w:val="1"/>
      <w:marLeft w:val="0"/>
      <w:marRight w:val="0"/>
      <w:marTop w:val="0"/>
      <w:marBottom w:val="0"/>
      <w:divBdr>
        <w:top w:val="none" w:sz="0" w:space="0" w:color="auto"/>
        <w:left w:val="none" w:sz="0" w:space="0" w:color="auto"/>
        <w:bottom w:val="none" w:sz="0" w:space="0" w:color="auto"/>
        <w:right w:val="none" w:sz="0" w:space="0" w:color="auto"/>
      </w:divBdr>
    </w:div>
    <w:div w:id="1892183324">
      <w:bodyDiv w:val="1"/>
      <w:marLeft w:val="0"/>
      <w:marRight w:val="0"/>
      <w:marTop w:val="0"/>
      <w:marBottom w:val="0"/>
      <w:divBdr>
        <w:top w:val="none" w:sz="0" w:space="0" w:color="auto"/>
        <w:left w:val="none" w:sz="0" w:space="0" w:color="auto"/>
        <w:bottom w:val="none" w:sz="0" w:space="0" w:color="auto"/>
        <w:right w:val="none" w:sz="0" w:space="0" w:color="auto"/>
      </w:divBdr>
      <w:divsChild>
        <w:div w:id="2038463947">
          <w:marLeft w:val="0"/>
          <w:marRight w:val="0"/>
          <w:marTop w:val="0"/>
          <w:marBottom w:val="0"/>
          <w:divBdr>
            <w:top w:val="none" w:sz="0" w:space="0" w:color="auto"/>
            <w:left w:val="none" w:sz="0" w:space="0" w:color="auto"/>
            <w:bottom w:val="none" w:sz="0" w:space="0" w:color="auto"/>
            <w:right w:val="none" w:sz="0" w:space="0" w:color="auto"/>
          </w:divBdr>
          <w:divsChild>
            <w:div w:id="15709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834323">
      <w:bodyDiv w:val="1"/>
      <w:marLeft w:val="0"/>
      <w:marRight w:val="0"/>
      <w:marTop w:val="0"/>
      <w:marBottom w:val="0"/>
      <w:divBdr>
        <w:top w:val="none" w:sz="0" w:space="0" w:color="auto"/>
        <w:left w:val="none" w:sz="0" w:space="0" w:color="auto"/>
        <w:bottom w:val="none" w:sz="0" w:space="0" w:color="auto"/>
        <w:right w:val="none" w:sz="0" w:space="0" w:color="auto"/>
      </w:divBdr>
      <w:divsChild>
        <w:div w:id="1149665248">
          <w:marLeft w:val="0"/>
          <w:marRight w:val="0"/>
          <w:marTop w:val="0"/>
          <w:marBottom w:val="0"/>
          <w:divBdr>
            <w:top w:val="none" w:sz="0" w:space="0" w:color="auto"/>
            <w:left w:val="none" w:sz="0" w:space="0" w:color="auto"/>
            <w:bottom w:val="none" w:sz="0" w:space="0" w:color="auto"/>
            <w:right w:val="none" w:sz="0" w:space="0" w:color="auto"/>
          </w:divBdr>
          <w:divsChild>
            <w:div w:id="170918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660904">
      <w:bodyDiv w:val="1"/>
      <w:marLeft w:val="0"/>
      <w:marRight w:val="0"/>
      <w:marTop w:val="0"/>
      <w:marBottom w:val="0"/>
      <w:divBdr>
        <w:top w:val="none" w:sz="0" w:space="0" w:color="auto"/>
        <w:left w:val="none" w:sz="0" w:space="0" w:color="auto"/>
        <w:bottom w:val="none" w:sz="0" w:space="0" w:color="auto"/>
        <w:right w:val="none" w:sz="0" w:space="0" w:color="auto"/>
      </w:divBdr>
    </w:div>
    <w:div w:id="1988631854">
      <w:bodyDiv w:val="1"/>
      <w:marLeft w:val="0"/>
      <w:marRight w:val="0"/>
      <w:marTop w:val="0"/>
      <w:marBottom w:val="0"/>
      <w:divBdr>
        <w:top w:val="none" w:sz="0" w:space="0" w:color="auto"/>
        <w:left w:val="none" w:sz="0" w:space="0" w:color="auto"/>
        <w:bottom w:val="none" w:sz="0" w:space="0" w:color="auto"/>
        <w:right w:val="none" w:sz="0" w:space="0" w:color="auto"/>
      </w:divBdr>
    </w:div>
    <w:div w:id="2000185200">
      <w:bodyDiv w:val="1"/>
      <w:marLeft w:val="0"/>
      <w:marRight w:val="0"/>
      <w:marTop w:val="0"/>
      <w:marBottom w:val="0"/>
      <w:divBdr>
        <w:top w:val="none" w:sz="0" w:space="0" w:color="auto"/>
        <w:left w:val="none" w:sz="0" w:space="0" w:color="auto"/>
        <w:bottom w:val="none" w:sz="0" w:space="0" w:color="auto"/>
        <w:right w:val="none" w:sz="0" w:space="0" w:color="auto"/>
      </w:divBdr>
      <w:divsChild>
        <w:div w:id="1000741359">
          <w:marLeft w:val="0"/>
          <w:marRight w:val="0"/>
          <w:marTop w:val="0"/>
          <w:marBottom w:val="0"/>
          <w:divBdr>
            <w:top w:val="none" w:sz="0" w:space="0" w:color="auto"/>
            <w:left w:val="none" w:sz="0" w:space="0" w:color="auto"/>
            <w:bottom w:val="none" w:sz="0" w:space="0" w:color="auto"/>
            <w:right w:val="none" w:sz="0" w:space="0" w:color="auto"/>
          </w:divBdr>
          <w:divsChild>
            <w:div w:id="13693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C792F-9A94-4060-8D94-887F7EEBC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20</Pages>
  <Words>5046</Words>
  <Characters>28765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33744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Editor-1183</cp:lastModifiedBy>
  <cp:revision>39</cp:revision>
  <dcterms:created xsi:type="dcterms:W3CDTF">2025-11-27T06:21:00Z</dcterms:created>
  <dcterms:modified xsi:type="dcterms:W3CDTF">2026-02-27T09:33:00Z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7fe7437d-4bea-4fa0-b735-9fe81395c41e</vt:lpwstr>
  </property>
</Properties>
</file>