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FF7D" w14:textId="5E232C55" w:rsidR="008F5B83" w:rsidRDefault="00E90D78" w:rsidP="007D02D9">
      <w:pPr>
        <w:rPr>
          <w:b/>
          <w:bCs/>
        </w:rPr>
      </w:pPr>
      <w:r w:rsidRPr="00EB6F69">
        <w:rPr>
          <w:b/>
          <w:bCs/>
          <w:highlight w:val="yellow"/>
        </w:rPr>
        <w:t>Original Research Article</w:t>
      </w:r>
    </w:p>
    <w:p w14:paraId="170DADCD" w14:textId="0D459DAF" w:rsidR="00016A35" w:rsidRPr="00EB6F69" w:rsidRDefault="00A51995" w:rsidP="00EB6F69">
      <w:pPr>
        <w:rPr>
          <w:rStyle w:val="Strong"/>
          <w:strike/>
        </w:rPr>
      </w:pPr>
      <w:r w:rsidRPr="00EB6F69">
        <w:rPr>
          <w:b/>
          <w:bCs/>
          <w:highlight w:val="yellow"/>
        </w:rPr>
        <w:t xml:space="preserve">Socio-Demographic Predictors of Menstrual Hygiene Behaviour Among </w:t>
      </w:r>
      <w:r w:rsidR="000E6EB9" w:rsidRPr="00EB6F69">
        <w:rPr>
          <w:b/>
          <w:bCs/>
          <w:highlight w:val="yellow"/>
        </w:rPr>
        <w:t xml:space="preserve">Medical </w:t>
      </w:r>
      <w:r w:rsidRPr="00EB6F69">
        <w:rPr>
          <w:b/>
          <w:bCs/>
          <w:highlight w:val="yellow"/>
        </w:rPr>
        <w:t xml:space="preserve">Undergraduates </w:t>
      </w:r>
      <w:r w:rsidR="00966AE9" w:rsidRPr="00EB6F69">
        <w:rPr>
          <w:b/>
          <w:bCs/>
          <w:highlight w:val="yellow"/>
        </w:rPr>
        <w:t>a</w:t>
      </w:r>
      <w:r w:rsidR="008F5B83" w:rsidRPr="00EB6F69">
        <w:rPr>
          <w:b/>
          <w:bCs/>
          <w:highlight w:val="yellow"/>
        </w:rPr>
        <w:t>t Rivers State University, Nigeria</w:t>
      </w:r>
    </w:p>
    <w:p w14:paraId="36F12BA6" w14:textId="19EF9401" w:rsidR="00AA233E" w:rsidRPr="00DE1E80" w:rsidRDefault="00AA233E" w:rsidP="00AA233E">
      <w:pPr>
        <w:pStyle w:val="ds-markdown-paragraph"/>
        <w:shd w:val="clear" w:color="auto" w:fill="FFFFFF"/>
        <w:spacing w:before="240" w:beforeAutospacing="0" w:after="240" w:afterAutospacing="0"/>
        <w:rPr>
          <w:rStyle w:val="Strong"/>
          <w:rFonts w:eastAsiaTheme="majorEastAsia"/>
          <w:strike w:val="0"/>
          <w:color w:val="0F1115"/>
        </w:rPr>
      </w:pPr>
      <w:r w:rsidRPr="00DE1E80">
        <w:rPr>
          <w:rStyle w:val="Strong"/>
          <w:rFonts w:eastAsiaTheme="majorEastAsia"/>
          <w:strike w:val="0"/>
          <w:color w:val="0F1115"/>
        </w:rPr>
        <w:t>Abstract</w:t>
      </w:r>
    </w:p>
    <w:p w14:paraId="218BAEAD" w14:textId="44D6D65A"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Background:</w:t>
      </w:r>
      <w:r w:rsidRPr="00DE1E80">
        <w:rPr>
          <w:strike w:val="0"/>
          <w:color w:val="0F1115"/>
        </w:rPr>
        <w:t xml:space="preserve"> Menstrual hygiene behaviour is crucial for women's reproductive health, yet evidence on its predictors among female undergraduates in Southern Nigeria is limited. This study </w:t>
      </w:r>
      <w:bookmarkStart w:id="0" w:name="_Hlk223340190"/>
      <w:r w:rsidRPr="00DE1E80">
        <w:rPr>
          <w:strike w:val="0"/>
          <w:color w:val="0F1115"/>
        </w:rPr>
        <w:t xml:space="preserve">assessed socio-demographic factors influencing menstrual hygiene behaviour </w:t>
      </w:r>
      <w:bookmarkEnd w:id="0"/>
      <w:r w:rsidRPr="00DE1E80">
        <w:rPr>
          <w:strike w:val="0"/>
          <w:color w:val="0F1115"/>
        </w:rPr>
        <w:t xml:space="preserve">among </w:t>
      </w:r>
      <w:r w:rsidR="00CF519B">
        <w:rPr>
          <w:strike w:val="0"/>
          <w:color w:val="0F1115"/>
        </w:rPr>
        <w:t xml:space="preserve">female medical undergraduate </w:t>
      </w:r>
      <w:r w:rsidRPr="00DE1E80">
        <w:rPr>
          <w:strike w:val="0"/>
          <w:color w:val="0F1115"/>
        </w:rPr>
        <w:t>students at Rivers State University</w:t>
      </w:r>
      <w:r w:rsidR="00C95C36">
        <w:rPr>
          <w:strike w:val="0"/>
          <w:color w:val="0F1115"/>
          <w:lang w:val="en-US"/>
        </w:rPr>
        <w:t>, Port Harcourt, Nigeria</w:t>
      </w:r>
      <w:r w:rsidRPr="00DE1E80">
        <w:rPr>
          <w:strike w:val="0"/>
          <w:color w:val="0F1115"/>
        </w:rPr>
        <w:t>.</w:t>
      </w:r>
    </w:p>
    <w:p w14:paraId="06B8EF0E" w14:textId="0189273F"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Methods:</w:t>
      </w:r>
      <w:r w:rsidRPr="00DE1E80">
        <w:rPr>
          <w:strike w:val="0"/>
          <w:color w:val="0F1115"/>
        </w:rPr>
        <w:t xml:space="preserve"> An analytical cross-sectional design was </w:t>
      </w:r>
      <w:r w:rsidR="00CD112C">
        <w:rPr>
          <w:strike w:val="0"/>
          <w:color w:val="0F1115"/>
        </w:rPr>
        <w:t>used</w:t>
      </w:r>
      <w:r w:rsidRPr="00DE1E80">
        <w:rPr>
          <w:strike w:val="0"/>
          <w:color w:val="0F1115"/>
        </w:rPr>
        <w:t xml:space="preserve">, with data collected from 312 female </w:t>
      </w:r>
      <w:r w:rsidR="00CD112C">
        <w:rPr>
          <w:strike w:val="0"/>
          <w:color w:val="0F1115"/>
        </w:rPr>
        <w:t xml:space="preserve">medical </w:t>
      </w:r>
      <w:r w:rsidRPr="00DE1E80">
        <w:rPr>
          <w:strike w:val="0"/>
          <w:color w:val="0F1115"/>
        </w:rPr>
        <w:t xml:space="preserve">undergraduates selected via stratified random sampling. A validated Menstrual Practices Questionnaire was used, and data were analysed </w:t>
      </w:r>
      <w:r w:rsidR="00CD112C">
        <w:rPr>
          <w:strike w:val="0"/>
          <w:color w:val="0F1115"/>
        </w:rPr>
        <w:t>with</w:t>
      </w:r>
      <w:r w:rsidRPr="00DE1E80">
        <w:rPr>
          <w:strike w:val="0"/>
          <w:color w:val="0F1115"/>
        </w:rPr>
        <w:t xml:space="preserve"> SPSS Version 27. Descriptive statistics, Chi-square tests, and multivariable ordinal logistic regression were performed. Model diagnostics included normality testing, multicollinearity assessment, and tests of proportional odds, with significance set at p &lt; 0.05.</w:t>
      </w:r>
    </w:p>
    <w:p w14:paraId="7FB79525" w14:textId="3771507D"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Results:</w:t>
      </w:r>
      <w:r w:rsidRPr="00DE1E80">
        <w:rPr>
          <w:strike w:val="0"/>
          <w:color w:val="0F1115"/>
        </w:rPr>
        <w:t xml:space="preserve"> The mean age of participants was </w:t>
      </w:r>
      <w:r w:rsidR="004E64AA" w:rsidRPr="004E64AA">
        <w:rPr>
          <w:strike w:val="0"/>
          <w:color w:val="0F1115"/>
        </w:rPr>
        <w:t>21.4 ± 2.3 years</w:t>
      </w:r>
      <w:r w:rsidRPr="00DE1E80">
        <w:rPr>
          <w:strike w:val="0"/>
          <w:color w:val="0F1115"/>
        </w:rPr>
        <w:t>. Menstrual hygiene behaviour was categorised as poor (</w:t>
      </w:r>
      <w:r w:rsidR="00CF519B">
        <w:rPr>
          <w:strike w:val="0"/>
          <w:color w:val="0F1115"/>
        </w:rPr>
        <w:t>17.6</w:t>
      </w:r>
      <w:r w:rsidRPr="00DE1E80">
        <w:rPr>
          <w:strike w:val="0"/>
          <w:color w:val="0F1115"/>
        </w:rPr>
        <w:t>%), fair (2</w:t>
      </w:r>
      <w:r w:rsidR="00CF519B">
        <w:rPr>
          <w:strike w:val="0"/>
          <w:color w:val="0F1115"/>
        </w:rPr>
        <w:t>9.5</w:t>
      </w:r>
      <w:r w:rsidRPr="00DE1E80">
        <w:rPr>
          <w:strike w:val="0"/>
          <w:color w:val="0F1115"/>
        </w:rPr>
        <w:t>%), and good (5</w:t>
      </w:r>
      <w:r w:rsidR="00CD7ECD">
        <w:rPr>
          <w:strike w:val="0"/>
          <w:color w:val="0F1115"/>
        </w:rPr>
        <w:t>2</w:t>
      </w:r>
      <w:r w:rsidRPr="00DE1E80">
        <w:rPr>
          <w:strike w:val="0"/>
          <w:color w:val="0F1115"/>
        </w:rPr>
        <w:t>.9%). Significant bivariate associations were found with age group (χ²=9.84, p=0.007), academic level (χ²=6.22, p=0.045), mother's education (χ²=11.32, p=0.003), and monthly allowance (χ²=10.05, p=0.006). Ordinal logistic regression identified that students aged 20–24 had higher odds of better hygiene behaviour (AOR=1.82, 95% CI: 1.12–2.96) compared to younger peers. Senior academic level (AOR=1.59, 95% CI: 1.03–2.46), higher maternal education (AOR=2.14, 95% CI: 1.37–3.35), and moderate/high allowance (AOR=1.93, 95% CI: 1.22–3.05) were also significant predictors. Urban residence was not significant after adjustment (p=0.392).</w:t>
      </w:r>
    </w:p>
    <w:p w14:paraId="40E19AF6" w14:textId="48ECDB84" w:rsidR="00AA233E" w:rsidRPr="00DE1E80" w:rsidRDefault="00AA233E" w:rsidP="00AA233E">
      <w:pPr>
        <w:pStyle w:val="ds-markdown-paragraph"/>
        <w:shd w:val="clear" w:color="auto" w:fill="FFFFFF"/>
        <w:spacing w:before="240" w:beforeAutospacing="0" w:after="240" w:afterAutospacing="0"/>
        <w:rPr>
          <w:strike w:val="0"/>
          <w:color w:val="0F1115"/>
        </w:rPr>
      </w:pPr>
      <w:r w:rsidRPr="00DE1E80">
        <w:rPr>
          <w:rStyle w:val="Strong"/>
          <w:rFonts w:eastAsiaTheme="majorEastAsia"/>
          <w:strike w:val="0"/>
          <w:color w:val="0F1115"/>
        </w:rPr>
        <w:t>Conclusion:</w:t>
      </w:r>
      <w:r w:rsidRPr="00DE1E80">
        <w:rPr>
          <w:strike w:val="0"/>
          <w:color w:val="0F1115"/>
        </w:rPr>
        <w:t xml:space="preserve"> Age, academic progression, maternal education, and financial capacity are significant socio-demographic predictors of menstrual hygiene behaviour among female </w:t>
      </w:r>
      <w:r w:rsidR="00D97E1B">
        <w:rPr>
          <w:strike w:val="0"/>
          <w:color w:val="0F1115"/>
        </w:rPr>
        <w:t xml:space="preserve">medical </w:t>
      </w:r>
      <w:r w:rsidRPr="00DE1E80">
        <w:rPr>
          <w:strike w:val="0"/>
          <w:color w:val="0F1115"/>
        </w:rPr>
        <w:t>undergraduates. Interventions should address these structural determinants alongside educational components to improve menstrual health outcomes in tertiary institutions.</w:t>
      </w:r>
    </w:p>
    <w:p w14:paraId="2A02A636" w14:textId="58C367A5" w:rsidR="00AA233E" w:rsidRPr="00DE1E80" w:rsidRDefault="00AA233E" w:rsidP="00AA233E">
      <w:pPr>
        <w:pStyle w:val="ds-markdown-paragraph"/>
        <w:shd w:val="clear" w:color="auto" w:fill="FFFFFF"/>
        <w:spacing w:before="240" w:beforeAutospacing="0" w:after="0" w:afterAutospacing="0"/>
        <w:rPr>
          <w:strike w:val="0"/>
          <w:color w:val="0F1115"/>
        </w:rPr>
      </w:pPr>
      <w:r w:rsidRPr="00DE1E80">
        <w:rPr>
          <w:rStyle w:val="Strong"/>
          <w:rFonts w:eastAsiaTheme="majorEastAsia"/>
          <w:strike w:val="0"/>
          <w:color w:val="0F1115"/>
        </w:rPr>
        <w:t>Keywords:</w:t>
      </w:r>
      <w:r w:rsidRPr="00DE1E80">
        <w:rPr>
          <w:strike w:val="0"/>
          <w:color w:val="0F1115"/>
        </w:rPr>
        <w:t> Menstrual hygiene behaviour, Female</w:t>
      </w:r>
      <w:r w:rsidR="00154371">
        <w:rPr>
          <w:strike w:val="0"/>
          <w:color w:val="0F1115"/>
        </w:rPr>
        <w:t xml:space="preserve"> </w:t>
      </w:r>
      <w:r w:rsidRPr="00DE1E80">
        <w:rPr>
          <w:strike w:val="0"/>
          <w:color w:val="0F1115"/>
        </w:rPr>
        <w:t xml:space="preserve">undergraduates, Socio-demographic predictors, Ordinal logistic regression, Maternal education, </w:t>
      </w:r>
      <w:proofErr w:type="gramStart"/>
      <w:r w:rsidRPr="00DE1E80">
        <w:rPr>
          <w:strike w:val="0"/>
          <w:color w:val="0F1115"/>
        </w:rPr>
        <w:t>Financial</w:t>
      </w:r>
      <w:proofErr w:type="gramEnd"/>
      <w:r w:rsidRPr="00DE1E80">
        <w:rPr>
          <w:strike w:val="0"/>
          <w:color w:val="0F1115"/>
        </w:rPr>
        <w:t xml:space="preserve"> capacity</w:t>
      </w:r>
    </w:p>
    <w:p w14:paraId="7E90A160" w14:textId="77777777" w:rsidR="00AA233E" w:rsidRDefault="00AA233E" w:rsidP="007D02D9">
      <w:pPr>
        <w:rPr>
          <w:rFonts w:eastAsia="Times New Roman"/>
          <w:b/>
          <w:bCs/>
          <w:strike/>
        </w:rPr>
      </w:pPr>
    </w:p>
    <w:p w14:paraId="40C28141" w14:textId="14B8548F" w:rsidR="00A51995" w:rsidRPr="00A51995" w:rsidRDefault="00A51995" w:rsidP="007D02D9">
      <w:pPr>
        <w:rPr>
          <w:b/>
          <w:bCs/>
          <w:strike/>
        </w:rPr>
      </w:pPr>
      <w:r w:rsidRPr="00A51995">
        <w:rPr>
          <w:rFonts w:eastAsia="Times New Roman"/>
          <w:b/>
          <w:bCs/>
        </w:rPr>
        <w:t>Introduction</w:t>
      </w:r>
    </w:p>
    <w:p w14:paraId="6CDFD494" w14:textId="0F8B2124"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Menstrual hygiene behaviour is recognised as an essential component of women's reproductive health, with significant implications for physical well-being, social participation, and dignity (</w:t>
      </w:r>
      <w:proofErr w:type="spellStart"/>
      <w:r w:rsidRPr="00E80140">
        <w:rPr>
          <w:strike w:val="0"/>
          <w:color w:val="0F1115"/>
        </w:rPr>
        <w:t>Anbesu</w:t>
      </w:r>
      <w:proofErr w:type="spellEnd"/>
      <w:r w:rsidRPr="00E80140">
        <w:rPr>
          <w:strike w:val="0"/>
          <w:color w:val="0F1115"/>
        </w:rPr>
        <w:t xml:space="preserve"> &amp; Asgedom, 2023). Globally, literature indicates that poor menstrual hygiene is associated with increased risk of reproductive tract infections and school absenteeism among women and girls, particularly in low- and middle-income settings where access to menstrual products and sanitation facilities is limited (</w:t>
      </w:r>
      <w:r w:rsidR="00BB03F6" w:rsidRPr="00BB03F6">
        <w:rPr>
          <w:strike w:val="0"/>
          <w:color w:val="0F1115"/>
        </w:rPr>
        <w:t>Hennegan et al., 20</w:t>
      </w:r>
      <w:r w:rsidR="00D21464">
        <w:rPr>
          <w:strike w:val="0"/>
          <w:color w:val="0F1115"/>
        </w:rPr>
        <w:t>20</w:t>
      </w:r>
      <w:r w:rsidR="00BB03F6">
        <w:rPr>
          <w:strike w:val="0"/>
          <w:color w:val="0F1115"/>
        </w:rPr>
        <w:t xml:space="preserve">; </w:t>
      </w:r>
      <w:r w:rsidRPr="00E80140">
        <w:rPr>
          <w:strike w:val="0"/>
          <w:color w:val="0F1115"/>
        </w:rPr>
        <w:t xml:space="preserve">UNICEF &amp; World Health Organization, 2024). Socio-demographic factors such as age, education, economic status, and residence have been shown to shape menstrual hygiene behaviours, but variations in these determinants remain under-assessed in many contexts, </w:t>
      </w:r>
      <w:r w:rsidRPr="00E80140">
        <w:rPr>
          <w:strike w:val="0"/>
          <w:color w:val="0F1115"/>
        </w:rPr>
        <w:lastRenderedPageBreak/>
        <w:t>especially among university populations (</w:t>
      </w:r>
      <w:r w:rsidR="0010035D" w:rsidRPr="00A46F5F">
        <w:rPr>
          <w:strike w:val="0"/>
          <w:color w:val="0F1115"/>
          <w:lang w:val="en-US"/>
        </w:rPr>
        <w:t>Appiah-Agyekum</w:t>
      </w:r>
      <w:r w:rsidR="0010035D" w:rsidRPr="0010035D">
        <w:rPr>
          <w:strike w:val="0"/>
          <w:color w:val="0F1115"/>
        </w:rPr>
        <w:t xml:space="preserve"> et al., 2025</w:t>
      </w:r>
      <w:r w:rsidR="0010035D">
        <w:rPr>
          <w:strike w:val="0"/>
          <w:color w:val="0F1115"/>
        </w:rPr>
        <w:t xml:space="preserve">; </w:t>
      </w:r>
      <w:r w:rsidRPr="00E80140">
        <w:rPr>
          <w:strike w:val="0"/>
          <w:color w:val="0F1115"/>
        </w:rPr>
        <w:t>Phillips-Howard et al., 2018).</w:t>
      </w:r>
    </w:p>
    <w:p w14:paraId="61EB2E85" w14:textId="6A3EBF6C"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In Sub-Saharan Africa, menstrual hygiene practices among adolescents and young women are influenced by a range of socio-cultural and environmental factors, with studies reporting that urban residence, affordability of menstrual products, and maternal education are associated with better hygiene behaviours (</w:t>
      </w:r>
      <w:proofErr w:type="spellStart"/>
      <w:r w:rsidRPr="00E80140">
        <w:rPr>
          <w:strike w:val="0"/>
          <w:color w:val="0F1115"/>
        </w:rPr>
        <w:t>Anbesu</w:t>
      </w:r>
      <w:proofErr w:type="spellEnd"/>
      <w:r w:rsidRPr="00E80140">
        <w:rPr>
          <w:strike w:val="0"/>
          <w:color w:val="0F1115"/>
        </w:rPr>
        <w:t xml:space="preserve"> &amp; Asgedom, 2023;</w:t>
      </w:r>
      <w:r w:rsidR="00022C00">
        <w:rPr>
          <w:strike w:val="0"/>
          <w:color w:val="0F1115"/>
        </w:rPr>
        <w:t xml:space="preserve"> </w:t>
      </w:r>
      <w:r w:rsidRPr="00E80140">
        <w:rPr>
          <w:strike w:val="0"/>
          <w:color w:val="0F1115"/>
        </w:rPr>
        <w:t>Chinyama et al., 2019). A systematic review found that socio-economic and demographic characteristics, including residence and parental education, significantly predicted menstrual hygiene practices across the region, though prevalence and determinants varied widely between settings (</w:t>
      </w:r>
      <w:proofErr w:type="spellStart"/>
      <w:r w:rsidRPr="00E80140">
        <w:rPr>
          <w:strike w:val="0"/>
          <w:color w:val="0F1115"/>
        </w:rPr>
        <w:t>Anbesu</w:t>
      </w:r>
      <w:proofErr w:type="spellEnd"/>
      <w:r w:rsidRPr="00E80140">
        <w:rPr>
          <w:strike w:val="0"/>
          <w:color w:val="0F1115"/>
        </w:rPr>
        <w:t xml:space="preserve"> &amp; Asgedom, 2023; Shannon et al., 2021). These findings underscore the multifactorial nature of menstrual hygiene behaviour in the African context, shaped by both structural and individual attributes, yet research gaps persist regarding young adult populations in tertiary institutions.</w:t>
      </w:r>
    </w:p>
    <w:p w14:paraId="16648ECB" w14:textId="116A1034"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Research focusing on West Africa similarly identifies socio-demographic influences on menstrual hygiene behaviours. For instance, systematic reviews in West African countries highlight that age, education level, and household socio-economic status are linked with menstrual hygiene outcomes, indicating that both individual and familial characteristics contribute to hygiene practices (</w:t>
      </w:r>
      <w:proofErr w:type="spellStart"/>
      <w:r w:rsidR="0010035D" w:rsidRPr="00A46F5F">
        <w:rPr>
          <w:strike w:val="0"/>
          <w:color w:val="0F1115"/>
          <w:lang w:val="en-US"/>
        </w:rPr>
        <w:t>Asumah</w:t>
      </w:r>
      <w:proofErr w:type="spellEnd"/>
      <w:r w:rsidR="0010035D">
        <w:rPr>
          <w:strike w:val="0"/>
          <w:color w:val="0F1115"/>
          <w:lang w:val="en-US"/>
        </w:rPr>
        <w:t xml:space="preserve"> et al., 2022; </w:t>
      </w:r>
      <w:proofErr w:type="spellStart"/>
      <w:r w:rsidR="0010035D" w:rsidRPr="00A46F5F">
        <w:rPr>
          <w:strike w:val="0"/>
          <w:color w:val="0F1115"/>
          <w:lang w:val="en-US"/>
        </w:rPr>
        <w:t>Okesanya</w:t>
      </w:r>
      <w:proofErr w:type="spellEnd"/>
      <w:r w:rsidR="0010035D">
        <w:rPr>
          <w:strike w:val="0"/>
          <w:color w:val="0F1115"/>
          <w:lang w:val="en-US"/>
        </w:rPr>
        <w:t xml:space="preserve"> et al., 2024</w:t>
      </w:r>
      <w:r w:rsidRPr="00E80140">
        <w:rPr>
          <w:strike w:val="0"/>
          <w:color w:val="0F1115"/>
        </w:rPr>
        <w:t>). Despite this evidence, studies specifically targeting female undergraduates remain limited, and determinants may differ from those identified among adolescents or broader populations, given the distinct social and educational environments of universities (Miiro et al., 2018). The university setting represents a transitional phase where young women gain increased autonomy, yet may face unique challenges in maintaining optimal menstrual hygiene practices.</w:t>
      </w:r>
    </w:p>
    <w:p w14:paraId="2AC6B97F" w14:textId="6893B12E"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Within Nigeria, menstrual hygiene studies have predominantly focused on secondary schoolgirls or mixed adolescent populations, demonstrating that factors such as age at menarche, class level, religion, and parental education influence hygiene knowledge and practices (</w:t>
      </w:r>
      <w:proofErr w:type="spellStart"/>
      <w:r w:rsidR="0010035D" w:rsidRPr="00A46F5F">
        <w:rPr>
          <w:strike w:val="0"/>
          <w:color w:val="0F1115"/>
          <w:lang w:val="en-US"/>
        </w:rPr>
        <w:t>Adinma</w:t>
      </w:r>
      <w:proofErr w:type="spellEnd"/>
      <w:r w:rsidR="0010035D">
        <w:rPr>
          <w:strike w:val="0"/>
          <w:color w:val="0F1115"/>
          <w:lang w:val="en-US"/>
        </w:rPr>
        <w:t xml:space="preserve"> et al., 2021; </w:t>
      </w:r>
      <w:r w:rsidR="0010035D" w:rsidRPr="00A46F5F">
        <w:rPr>
          <w:strike w:val="0"/>
          <w:color w:val="0F1115"/>
          <w:lang w:val="en-US"/>
        </w:rPr>
        <w:t>Ene</w:t>
      </w:r>
      <w:r w:rsidR="0010035D">
        <w:rPr>
          <w:strike w:val="0"/>
          <w:color w:val="0F1115"/>
          <w:lang w:val="en-US"/>
        </w:rPr>
        <w:t xml:space="preserve"> et al., 2024</w:t>
      </w:r>
      <w:r w:rsidRPr="00E80140">
        <w:rPr>
          <w:strike w:val="0"/>
          <w:color w:val="0F1115"/>
        </w:rPr>
        <w:t>). Such socio-demographic characteristics are similarly implicated in menstrual hygiene behaviours among adolescents in Cross River State and other parts of the country (</w:t>
      </w:r>
      <w:proofErr w:type="spellStart"/>
      <w:r w:rsidRPr="00E80140">
        <w:rPr>
          <w:strike w:val="0"/>
          <w:color w:val="0F1115"/>
        </w:rPr>
        <w:t>Nwimo</w:t>
      </w:r>
      <w:proofErr w:type="spellEnd"/>
      <w:r w:rsidR="009C448D">
        <w:rPr>
          <w:strike w:val="0"/>
          <w:color w:val="0F1115"/>
        </w:rPr>
        <w:t xml:space="preserve"> et al.</w:t>
      </w:r>
      <w:r w:rsidRPr="00E80140">
        <w:rPr>
          <w:strike w:val="0"/>
          <w:color w:val="0F1115"/>
        </w:rPr>
        <w:t>, 202</w:t>
      </w:r>
      <w:r w:rsidR="009C448D">
        <w:rPr>
          <w:strike w:val="0"/>
          <w:color w:val="0F1115"/>
        </w:rPr>
        <w:t>2</w:t>
      </w:r>
      <w:r w:rsidRPr="00E80140">
        <w:rPr>
          <w:strike w:val="0"/>
          <w:color w:val="0F1115"/>
        </w:rPr>
        <w:t xml:space="preserve">). Although these studies provide insights into predictors of menstrual hygiene behaviours among younger populations, evidence specific to female </w:t>
      </w:r>
      <w:r w:rsidR="006341CC">
        <w:rPr>
          <w:strike w:val="0"/>
          <w:color w:val="0F1115"/>
        </w:rPr>
        <w:t xml:space="preserve">medical </w:t>
      </w:r>
      <w:r w:rsidRPr="00E80140">
        <w:rPr>
          <w:strike w:val="0"/>
          <w:color w:val="0F1115"/>
        </w:rPr>
        <w:t>undergraduates in southern Nigeria, particularly in the South-South geopolitical zone, remains sparse and inadequately documented in peer-reviewed literature.</w:t>
      </w:r>
    </w:p>
    <w:p w14:paraId="24C6F602" w14:textId="24965DAC"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South-South Nigeria, including Rivers State, presents unique socio-cultural and economic contexts where menstrual hygiene behaviours may be influenced by factors such as urbanisation, educational access, and socio-economic disparities. Emerging research among female students in the Niger Delta region suggests that menstrual waste management and product access are problematic, with affordability and disposal practices shaped by both individual and contextual determinants (</w:t>
      </w:r>
      <w:r w:rsidR="009C448D" w:rsidRPr="00A46F5F">
        <w:rPr>
          <w:strike w:val="0"/>
          <w:color w:val="0F1115"/>
          <w:lang w:val="en-US"/>
        </w:rPr>
        <w:t>Budhathoki</w:t>
      </w:r>
      <w:r w:rsidR="009C448D">
        <w:rPr>
          <w:strike w:val="0"/>
          <w:color w:val="0F1115"/>
          <w:lang w:val="en-US"/>
        </w:rPr>
        <w:t xml:space="preserve"> et al., 2018; </w:t>
      </w:r>
      <w:proofErr w:type="spellStart"/>
      <w:r w:rsidRPr="00E80140">
        <w:rPr>
          <w:strike w:val="0"/>
          <w:color w:val="0F1115"/>
        </w:rPr>
        <w:t>Ikogho</w:t>
      </w:r>
      <w:proofErr w:type="spellEnd"/>
      <w:r w:rsidRPr="00E80140">
        <w:rPr>
          <w:strike w:val="0"/>
          <w:color w:val="0F1115"/>
        </w:rPr>
        <w:t xml:space="preserve"> &amp; </w:t>
      </w:r>
      <w:proofErr w:type="spellStart"/>
      <w:r w:rsidRPr="00E80140">
        <w:rPr>
          <w:strike w:val="0"/>
          <w:color w:val="0F1115"/>
        </w:rPr>
        <w:t>Onoharigho</w:t>
      </w:r>
      <w:proofErr w:type="spellEnd"/>
      <w:r w:rsidRPr="00E80140">
        <w:rPr>
          <w:strike w:val="0"/>
          <w:color w:val="0F1115"/>
        </w:rPr>
        <w:t>, 2025). However, few studies have explicitly examined socio-demographic predictors of menstrual hygiene behaviour among undergraduates in this setting using robust methodological frameworks that account for behavioural gradients rather than binary outcomes.</w:t>
      </w:r>
    </w:p>
    <w:p w14:paraId="7FD87F64" w14:textId="1A6CDF47"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The transition to university life represents a critical period where menstrual hygiene practices may evolve due to increased independence, changing social networks, and different living arrangements. University students face unique challenges</w:t>
      </w:r>
      <w:r w:rsidR="009C448D">
        <w:rPr>
          <w:strike w:val="0"/>
          <w:color w:val="0F1115"/>
        </w:rPr>
        <w:t>,</w:t>
      </w:r>
      <w:r w:rsidRPr="00E80140">
        <w:rPr>
          <w:strike w:val="0"/>
          <w:color w:val="0F1115"/>
        </w:rPr>
        <w:t xml:space="preserve"> including shared sanitation </w:t>
      </w:r>
      <w:r w:rsidRPr="00E80140">
        <w:rPr>
          <w:strike w:val="0"/>
          <w:color w:val="0F1115"/>
        </w:rPr>
        <w:lastRenderedPageBreak/>
        <w:t>facilities, financial constraints, and academic pressures that may impact hygiene practices differently than among secondary school populations (C</w:t>
      </w:r>
      <w:r w:rsidR="009C448D">
        <w:rPr>
          <w:strike w:val="0"/>
          <w:color w:val="0F1115"/>
        </w:rPr>
        <w:t>oast</w:t>
      </w:r>
      <w:r w:rsidRPr="00E80140">
        <w:rPr>
          <w:strike w:val="0"/>
          <w:color w:val="0F1115"/>
        </w:rPr>
        <w:t xml:space="preserve"> et al., 201</w:t>
      </w:r>
      <w:r w:rsidR="009C448D">
        <w:rPr>
          <w:strike w:val="0"/>
          <w:color w:val="0F1115"/>
        </w:rPr>
        <w:t>9</w:t>
      </w:r>
      <w:r w:rsidRPr="00E80140">
        <w:rPr>
          <w:strike w:val="0"/>
          <w:color w:val="0F1115"/>
        </w:rPr>
        <w:t>). Understanding these dynamics requires investigation of how established socio-demographic predictors function within university environments, where institutional factors may moderate or amplify their effects.</w:t>
      </w:r>
    </w:p>
    <w:p w14:paraId="2F9C2946" w14:textId="3CECE6AA" w:rsidR="00253A1A" w:rsidRPr="00E80140" w:rsidRDefault="00253A1A" w:rsidP="00253A1A">
      <w:pPr>
        <w:pStyle w:val="ds-markdown-paragraph"/>
        <w:shd w:val="clear" w:color="auto" w:fill="FFFFFF"/>
        <w:spacing w:before="240" w:beforeAutospacing="0" w:after="240" w:afterAutospacing="0"/>
        <w:rPr>
          <w:strike w:val="0"/>
          <w:color w:val="0F1115"/>
        </w:rPr>
      </w:pPr>
      <w:r w:rsidRPr="00E80140">
        <w:rPr>
          <w:strike w:val="0"/>
          <w:color w:val="0F1115"/>
        </w:rPr>
        <w:t>Given that university students are closer to reproductive age and have greater educational exposure than secondary school populations, it is important to understand how socio-demographic factors influence their menstrual hygiene behaviours. This understanding can improve targeted interventions that promote healthy menstrual practices and inform reproductive health education in higher institutions (Sommer et al., 201</w:t>
      </w:r>
      <w:r w:rsidR="001B4B73">
        <w:rPr>
          <w:strike w:val="0"/>
          <w:color w:val="0F1115"/>
        </w:rPr>
        <w:t>5</w:t>
      </w:r>
      <w:r w:rsidRPr="00E80140">
        <w:rPr>
          <w:strike w:val="0"/>
          <w:color w:val="0F1115"/>
        </w:rPr>
        <w:t>). Evidence from other regions suggests that university-based interventions can effectively improve menstrual hygiene when they address both knowledge gaps and structural barriers (</w:t>
      </w:r>
      <w:r w:rsidR="00195A40">
        <w:rPr>
          <w:strike w:val="0"/>
          <w:color w:val="0F1115"/>
        </w:rPr>
        <w:t xml:space="preserve">Briggs NCT et al., 2026; </w:t>
      </w:r>
      <w:r w:rsidRPr="00E80140">
        <w:rPr>
          <w:strike w:val="0"/>
          <w:color w:val="0F1115"/>
        </w:rPr>
        <w:t>Hennegan et al., 20</w:t>
      </w:r>
      <w:r w:rsidR="00D21464">
        <w:rPr>
          <w:strike w:val="0"/>
          <w:color w:val="0F1115"/>
        </w:rPr>
        <w:t>20</w:t>
      </w:r>
      <w:r w:rsidRPr="00E80140">
        <w:rPr>
          <w:strike w:val="0"/>
          <w:color w:val="0F1115"/>
        </w:rPr>
        <w:t xml:space="preserve">). Therefore, this study assessed the socio-demographic predictors of menstrual hygiene behaviour among female </w:t>
      </w:r>
      <w:r w:rsidR="006341CC">
        <w:rPr>
          <w:strike w:val="0"/>
          <w:color w:val="0F1115"/>
        </w:rPr>
        <w:t xml:space="preserve">medical </w:t>
      </w:r>
      <w:r w:rsidRPr="00E80140">
        <w:rPr>
          <w:strike w:val="0"/>
          <w:color w:val="0F1115"/>
        </w:rPr>
        <w:t>undergraduates in Rivers State, Nigeria, using ordinal regression modelling to capture behavioural gradients.</w:t>
      </w:r>
    </w:p>
    <w:p w14:paraId="44FE9B37" w14:textId="57266D0D" w:rsidR="00253A1A" w:rsidRPr="009C448D" w:rsidRDefault="00253A1A" w:rsidP="009C448D">
      <w:pPr>
        <w:pStyle w:val="ds-markdown-paragraph"/>
        <w:shd w:val="clear" w:color="auto" w:fill="FFFFFF"/>
        <w:spacing w:before="240" w:beforeAutospacing="0" w:after="240" w:afterAutospacing="0"/>
        <w:rPr>
          <w:strike w:val="0"/>
          <w:color w:val="0F1115"/>
        </w:rPr>
      </w:pPr>
      <w:r w:rsidRPr="00E80140">
        <w:rPr>
          <w:strike w:val="0"/>
          <w:color w:val="0F1115"/>
        </w:rPr>
        <w:t xml:space="preserve">The specific objectives were to: (1) determine the distribution of menstrual hygiene behaviour categories among female </w:t>
      </w:r>
      <w:r w:rsidR="006341CC">
        <w:rPr>
          <w:strike w:val="0"/>
          <w:color w:val="0F1115"/>
        </w:rPr>
        <w:t xml:space="preserve">medical </w:t>
      </w:r>
      <w:r w:rsidRPr="00E80140">
        <w:rPr>
          <w:strike w:val="0"/>
          <w:color w:val="0F1115"/>
        </w:rPr>
        <w:t xml:space="preserve">undergraduates; (2) </w:t>
      </w:r>
      <w:r w:rsidR="00443CA2">
        <w:rPr>
          <w:strike w:val="0"/>
          <w:color w:val="0F1115"/>
        </w:rPr>
        <w:t>assess</w:t>
      </w:r>
      <w:r w:rsidRPr="00E80140">
        <w:rPr>
          <w:strike w:val="0"/>
          <w:color w:val="0F1115"/>
        </w:rPr>
        <w:t xml:space="preserve"> bivariate associations between socio-demographic factors and menstrual hygiene behaviour; and (3) identify independent socio-demographic predictors of menstrual hygiene behaviour using multivariable ordinal logistic regression. By focusing on a university population in South-South Nigeria, this study addresses geographical and population gaps in menstrual hygiene research while </w:t>
      </w:r>
      <w:r w:rsidR="006341CC">
        <w:rPr>
          <w:strike w:val="0"/>
          <w:color w:val="0F1115"/>
        </w:rPr>
        <w:t>using</w:t>
      </w:r>
      <w:r w:rsidRPr="00E80140">
        <w:rPr>
          <w:strike w:val="0"/>
          <w:color w:val="0F1115"/>
        </w:rPr>
        <w:t xml:space="preserve"> analytical techniques suitable for ordinal behavioural outcomes.</w:t>
      </w:r>
    </w:p>
    <w:p w14:paraId="68DB773F" w14:textId="57431EBA" w:rsidR="00F120F4" w:rsidRDefault="00F120F4" w:rsidP="00F120F4">
      <w:pPr>
        <w:spacing w:before="100" w:beforeAutospacing="1" w:after="100" w:afterAutospacing="1" w:line="240" w:lineRule="auto"/>
        <w:rPr>
          <w:rFonts w:eastAsia="Times New Roman"/>
          <w:strike/>
        </w:rPr>
      </w:pPr>
      <w:r w:rsidRPr="00F120F4">
        <w:rPr>
          <w:rFonts w:eastAsia="Times New Roman"/>
          <w:b/>
          <w:bCs/>
        </w:rPr>
        <w:t>Methods</w:t>
      </w:r>
    </w:p>
    <w:p w14:paraId="6A857998" w14:textId="4EA1827F" w:rsidR="00F120F4" w:rsidRPr="003E2381" w:rsidRDefault="00F120F4" w:rsidP="00F120F4">
      <w:pPr>
        <w:spacing w:before="100" w:beforeAutospacing="1" w:after="100" w:afterAutospacing="1" w:line="240" w:lineRule="auto"/>
        <w:rPr>
          <w:rFonts w:eastAsia="Times New Roman"/>
          <w:strike/>
        </w:rPr>
      </w:pPr>
      <w:r w:rsidRPr="00F120F4">
        <w:rPr>
          <w:rFonts w:eastAsia="Times New Roman"/>
          <w:b/>
          <w:bCs/>
        </w:rPr>
        <w:t xml:space="preserve">Study Design </w:t>
      </w:r>
    </w:p>
    <w:p w14:paraId="72FC7866" w14:textId="0E4BC1AE" w:rsidR="00B6238E" w:rsidRPr="00F30633" w:rsidRDefault="00B6238E" w:rsidP="00F120F4">
      <w:pPr>
        <w:spacing w:before="100" w:beforeAutospacing="1" w:after="100" w:afterAutospacing="1" w:line="240" w:lineRule="auto"/>
        <w:rPr>
          <w:rFonts w:eastAsia="Times New Roman"/>
        </w:rPr>
      </w:pPr>
      <w:r w:rsidRPr="00B6238E">
        <w:rPr>
          <w:rFonts w:eastAsia="Times New Roman"/>
        </w:rPr>
        <w:t>This analytical cross-sectional study assessed socio-demographic predictors of menstrual hygiene behaviour among female medical undergraduates. Data were drawn from a broader study on menstrual hygiene management at Rivers State University. A prior publication from the same dataset (Briggs et al., 2026) examined menstrual hygiene management using ordinal regression, mediation, and interaction analyses. The present study focuses specifically on socio-demographic predictors, which were not addressed previously.</w:t>
      </w:r>
    </w:p>
    <w:p w14:paraId="512B9B7E" w14:textId="78E7E300" w:rsidR="003E2381" w:rsidRPr="003E2381" w:rsidRDefault="003E2381" w:rsidP="00F120F4">
      <w:pPr>
        <w:spacing w:before="100" w:beforeAutospacing="1" w:after="100" w:afterAutospacing="1" w:line="240" w:lineRule="auto"/>
        <w:rPr>
          <w:rFonts w:eastAsia="Times New Roman"/>
          <w:b/>
          <w:bCs/>
        </w:rPr>
      </w:pPr>
      <w:r w:rsidRPr="003E2381">
        <w:rPr>
          <w:rFonts w:eastAsia="Times New Roman"/>
          <w:b/>
          <w:bCs/>
        </w:rPr>
        <w:t>Study Setting</w:t>
      </w:r>
    </w:p>
    <w:p w14:paraId="71315093" w14:textId="007CA696" w:rsidR="00B730B1" w:rsidRPr="00883C75" w:rsidRDefault="00883C75" w:rsidP="00F120F4">
      <w:pPr>
        <w:spacing w:before="100" w:beforeAutospacing="1" w:after="100" w:afterAutospacing="1" w:line="240" w:lineRule="auto"/>
        <w:rPr>
          <w:rFonts w:eastAsia="Times New Roman"/>
        </w:rPr>
      </w:pPr>
      <w:r w:rsidRPr="00883C75">
        <w:rPr>
          <w:rFonts w:eastAsia="Times New Roman"/>
        </w:rPr>
        <w:t xml:space="preserve">The study was conducted at Rivers State University, Port Harcourt, Nigeria, for over four months (June 2, 2025, through October 10, 2025). </w:t>
      </w:r>
      <w:r w:rsidRPr="0002707D">
        <w:rPr>
          <w:rFonts w:eastAsia="Times New Roman"/>
          <w:highlight w:val="yellow"/>
        </w:rPr>
        <w:t>Rivers State University is a large public tertiary institution located in the South-South geopolitical zone. The university hosts students from diverse socio-economic and cultural backgrounds and includes a College of Medical Sciences that trains undergraduate medical students across six academic levels.</w:t>
      </w:r>
    </w:p>
    <w:p w14:paraId="28061B89" w14:textId="5DF21B9E" w:rsidR="00F120F4" w:rsidRPr="00F120F4" w:rsidRDefault="00F120F4" w:rsidP="00F120F4">
      <w:pPr>
        <w:spacing w:before="100" w:beforeAutospacing="1" w:after="100" w:afterAutospacing="1" w:line="240" w:lineRule="auto"/>
        <w:rPr>
          <w:rFonts w:eastAsia="Times New Roman"/>
          <w:strike/>
        </w:rPr>
      </w:pPr>
      <w:r w:rsidRPr="00F120F4">
        <w:rPr>
          <w:rFonts w:eastAsia="Times New Roman"/>
          <w:b/>
          <w:bCs/>
        </w:rPr>
        <w:t>Study Population</w:t>
      </w:r>
    </w:p>
    <w:p w14:paraId="46D30E76" w14:textId="754A0348" w:rsidR="0006410A" w:rsidRPr="0006410A" w:rsidRDefault="0006410A" w:rsidP="00D74392">
      <w:pPr>
        <w:spacing w:before="100" w:beforeAutospacing="1" w:after="100" w:afterAutospacing="1" w:line="240" w:lineRule="auto"/>
        <w:rPr>
          <w:rFonts w:eastAsia="Times New Roman"/>
        </w:rPr>
      </w:pPr>
      <w:r w:rsidRPr="0002707D">
        <w:rPr>
          <w:rFonts w:eastAsia="Times New Roman"/>
          <w:highlight w:val="yellow"/>
        </w:rPr>
        <w:t xml:space="preserve">The study population consisted of female medical undergraduate students enrolled </w:t>
      </w:r>
      <w:r w:rsidR="00876A49" w:rsidRPr="0002707D">
        <w:rPr>
          <w:rFonts w:eastAsia="Times New Roman"/>
          <w:highlight w:val="yellow"/>
        </w:rPr>
        <w:t xml:space="preserve">at the University's College of Medical Sciences </w:t>
      </w:r>
      <w:r w:rsidRPr="0002707D">
        <w:rPr>
          <w:rFonts w:eastAsia="Times New Roman"/>
          <w:highlight w:val="yellow"/>
        </w:rPr>
        <w:t>during the 2024/2025 academic session. Students from all six academic levels were eligible to participate.</w:t>
      </w:r>
    </w:p>
    <w:p w14:paraId="6F26052C" w14:textId="5A563AE5" w:rsidR="00876A49" w:rsidRDefault="00876A49" w:rsidP="00D74392">
      <w:pPr>
        <w:spacing w:before="100" w:beforeAutospacing="1" w:after="100" w:afterAutospacing="1" w:line="240" w:lineRule="auto"/>
        <w:rPr>
          <w:rFonts w:eastAsia="Times New Roman"/>
          <w:b/>
          <w:bCs/>
        </w:rPr>
      </w:pPr>
      <w:r>
        <w:rPr>
          <w:rFonts w:eastAsia="Times New Roman"/>
          <w:b/>
          <w:bCs/>
        </w:rPr>
        <w:lastRenderedPageBreak/>
        <w:t>Eligibility Criteria</w:t>
      </w:r>
    </w:p>
    <w:p w14:paraId="577CF490" w14:textId="20E0828C" w:rsidR="00876A49" w:rsidRPr="00876A49" w:rsidRDefault="00876A49" w:rsidP="00F120F4">
      <w:r w:rsidRPr="0002707D">
        <w:rPr>
          <w:highlight w:val="yellow"/>
        </w:rPr>
        <w:t>Participants were included if they had attained menarche, were present during the study period, and provided informed consent. Pregnant or postpartum students, those unable to respond independently, or those with incomplete questionnaires were excluded.</w:t>
      </w:r>
    </w:p>
    <w:p w14:paraId="45518E01" w14:textId="391E38FC" w:rsidR="00F120F4" w:rsidRPr="00F120F4" w:rsidRDefault="00F120F4" w:rsidP="00F120F4">
      <w:pPr>
        <w:rPr>
          <w:b/>
          <w:bCs/>
          <w:strike/>
        </w:rPr>
      </w:pPr>
      <w:r w:rsidRPr="00F120F4">
        <w:rPr>
          <w:b/>
          <w:bCs/>
        </w:rPr>
        <w:t>Sample Size Determination</w:t>
      </w:r>
    </w:p>
    <w:p w14:paraId="218A1EAF" w14:textId="64C19A06" w:rsidR="00060447" w:rsidRDefault="00F120F4" w:rsidP="00F120F4">
      <w:pPr>
        <w:rPr>
          <w:strike/>
        </w:rPr>
      </w:pPr>
      <w:r w:rsidRPr="00F120F4">
        <w:t>Sample size was calculated using the single population proportion formula for analytical cross-sectional studies:</w:t>
      </w:r>
    </w:p>
    <w:p w14:paraId="5480C50D" w14:textId="374B9398" w:rsidR="00972F8D" w:rsidRPr="00CC1652" w:rsidRDefault="00F120F4" w:rsidP="00972F8D">
      <w:pPr>
        <w:rPr>
          <w:rFonts w:ascii="Cambria Math" w:eastAsia="Times New Roman" w:hAnsi="Cambria Math"/>
          <w:iCs/>
          <w:strike/>
        </w:rPr>
      </w:pPr>
      <w:r>
        <w:t xml:space="preserve">                                    </w:t>
      </w:r>
      <w:r w:rsidR="00972F8D" w:rsidRPr="00972F8D">
        <w:rPr>
          <w:rFonts w:ascii="Cambria Math" w:eastAsia="Times New Roman" w:hAnsi="Cambria Math"/>
          <w:i/>
        </w:rPr>
        <w:br/>
      </w:r>
      <m:oMathPara>
        <m:oMath>
          <m:r>
            <w:rPr>
              <w:rFonts w:ascii="Cambria Math" w:eastAsia="Times New Roman" w:hAnsi="Cambria Math"/>
            </w:rPr>
            <m:t>n=</m:t>
          </m:r>
          <m:f>
            <m:fPr>
              <m:ctrlPr>
                <w:rPr>
                  <w:rFonts w:ascii="Cambria Math" w:eastAsia="Times New Roman" w:hAnsi="Cambria Math"/>
                </w:rPr>
              </m:ctrlPr>
            </m:fPr>
            <m:num>
              <m:sSup>
                <m:sSupPr>
                  <m:ctrlPr>
                    <w:rPr>
                      <w:rFonts w:ascii="Cambria Math" w:eastAsia="Times New Roman" w:hAnsi="Cambria Math"/>
                    </w:rPr>
                  </m:ctrlPr>
                </m:sSupPr>
                <m:e>
                  <m:r>
                    <w:rPr>
                      <w:rFonts w:ascii="Cambria Math" w:eastAsia="Times New Roman" w:hAnsi="Cambria Math"/>
                    </w:rPr>
                    <m:t>Z</m:t>
                  </m:r>
                </m:e>
                <m:sup>
                  <m:r>
                    <w:rPr>
                      <w:rFonts w:ascii="Cambria Math" w:eastAsia="Times New Roman" w:hAnsi="Cambria Math"/>
                    </w:rPr>
                    <m:t>2</m:t>
                  </m:r>
                </m:sup>
              </m:sSup>
              <m:r>
                <w:rPr>
                  <w:rFonts w:ascii="Cambria Math" w:eastAsia="Times New Roman" w:hAnsi="Cambria Math"/>
                </w:rPr>
                <m:t>pq</m:t>
              </m:r>
            </m:num>
            <m:den>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2</m:t>
                  </m:r>
                </m:sup>
              </m:sSup>
            </m:den>
          </m:f>
        </m:oMath>
      </m:oMathPara>
    </w:p>
    <w:p w14:paraId="3DD46711" w14:textId="77777777" w:rsidR="00972F8D" w:rsidRPr="00A33CA6" w:rsidRDefault="00972F8D" w:rsidP="00972F8D">
      <w:pPr>
        <w:spacing w:before="100" w:beforeAutospacing="1" w:after="100" w:afterAutospacing="1" w:line="240" w:lineRule="auto"/>
        <w:rPr>
          <w:rFonts w:eastAsia="Times New Roman"/>
          <w:strike/>
        </w:rPr>
      </w:pPr>
      <w:r w:rsidRPr="00A33CA6">
        <w:rPr>
          <w:rFonts w:eastAsia="Times New Roman"/>
        </w:rPr>
        <w:t>Where:</w:t>
      </w:r>
    </w:p>
    <w:p w14:paraId="1882DA15" w14:textId="77777777" w:rsidR="00972F8D" w:rsidRPr="00166C35" w:rsidRDefault="00972F8D" w:rsidP="00972F8D">
      <w:pPr>
        <w:spacing w:before="100" w:beforeAutospacing="1" w:after="100" w:afterAutospacing="1" w:line="240" w:lineRule="auto"/>
        <w:rPr>
          <w:rFonts w:eastAsia="Times New Roman"/>
          <w:strike/>
          <w:lang w:val="en-US"/>
        </w:rPr>
      </w:pPr>
      <w:r w:rsidRPr="00166C35">
        <w:rPr>
          <w:rFonts w:eastAsia="Times New Roman"/>
          <w:i/>
          <w:iCs/>
        </w:rPr>
        <w:t>n</w:t>
      </w:r>
      <w:r w:rsidRPr="00A33CA6">
        <w:rPr>
          <w:rFonts w:eastAsia="Times New Roman"/>
        </w:rPr>
        <w:t xml:space="preserve"> = minimum required sample size</w:t>
      </w:r>
      <w:r>
        <w:rPr>
          <w:rFonts w:eastAsia="Times New Roman"/>
          <w:lang w:val="en-US"/>
        </w:rPr>
        <w:t>.</w:t>
      </w:r>
    </w:p>
    <w:p w14:paraId="6EF52879" w14:textId="77777777" w:rsidR="00972F8D" w:rsidRPr="00166C35" w:rsidRDefault="00972F8D" w:rsidP="00972F8D">
      <w:pPr>
        <w:spacing w:before="100" w:beforeAutospacing="1" w:after="100" w:afterAutospacing="1" w:line="240" w:lineRule="auto"/>
        <w:rPr>
          <w:rFonts w:eastAsia="Times New Roman"/>
          <w:strike/>
          <w:lang w:val="en-US"/>
        </w:rPr>
      </w:pPr>
      <w:r w:rsidRPr="00166C35">
        <w:rPr>
          <w:rFonts w:eastAsia="Times New Roman"/>
          <w:i/>
          <w:iCs/>
        </w:rPr>
        <w:t>Z</w:t>
      </w:r>
      <w:r w:rsidRPr="00A33CA6">
        <w:rPr>
          <w:rFonts w:eastAsia="Times New Roman"/>
        </w:rPr>
        <w:t xml:space="preserve"> = standard normal deviate at 95% confidence level (1.96)</w:t>
      </w:r>
      <w:r>
        <w:rPr>
          <w:rFonts w:eastAsia="Times New Roman"/>
          <w:lang w:val="en-US"/>
        </w:rPr>
        <w:t>.</w:t>
      </w:r>
    </w:p>
    <w:p w14:paraId="2B43E204" w14:textId="3E2ECACD" w:rsidR="00CC1652" w:rsidRDefault="00972F8D" w:rsidP="00972F8D">
      <w:pPr>
        <w:spacing w:before="100" w:beforeAutospacing="1" w:after="100" w:afterAutospacing="1" w:line="240" w:lineRule="auto"/>
        <w:rPr>
          <w:rFonts w:eastAsia="Times New Roman"/>
          <w:strike/>
        </w:rPr>
      </w:pPr>
      <w:r w:rsidRPr="00166C35">
        <w:rPr>
          <w:rFonts w:eastAsia="Times New Roman"/>
          <w:i/>
          <w:iCs/>
        </w:rPr>
        <w:t>p</w:t>
      </w:r>
      <w:r w:rsidRPr="00A33CA6">
        <w:rPr>
          <w:rFonts w:eastAsia="Times New Roman"/>
        </w:rPr>
        <w:t xml:space="preserve"> = estimated prevalence of </w:t>
      </w:r>
      <w:r w:rsidR="00CC1652" w:rsidRPr="00CC1652">
        <w:rPr>
          <w:rFonts w:eastAsia="Times New Roman"/>
        </w:rPr>
        <w:t xml:space="preserve">good practice </w:t>
      </w:r>
      <w:r>
        <w:rPr>
          <w:rFonts w:eastAsia="Times New Roman"/>
          <w:lang w:val="en-US"/>
        </w:rPr>
        <w:t xml:space="preserve">= </w:t>
      </w:r>
      <w:r w:rsidR="00CC1652" w:rsidRPr="00CC1652">
        <w:rPr>
          <w:rFonts w:eastAsia="Times New Roman"/>
        </w:rPr>
        <w:t>0.5758</w:t>
      </w:r>
      <w:r w:rsidR="00CC1652">
        <w:rPr>
          <w:rFonts w:eastAsia="Times New Roman"/>
        </w:rPr>
        <w:t xml:space="preserve"> </w:t>
      </w:r>
      <w:r w:rsidR="00CC1652" w:rsidRPr="00CC1652">
        <w:rPr>
          <w:rFonts w:eastAsia="Times New Roman"/>
        </w:rPr>
        <w:t>(57.58%</w:t>
      </w:r>
      <w:r w:rsidR="00CC1652">
        <w:rPr>
          <w:rFonts w:eastAsia="Times New Roman"/>
        </w:rPr>
        <w:t xml:space="preserve">; </w:t>
      </w:r>
      <w:proofErr w:type="spellStart"/>
      <w:r w:rsidR="006472E0" w:rsidRPr="006472E0">
        <w:rPr>
          <w:rFonts w:eastAsia="Times New Roman"/>
        </w:rPr>
        <w:t>Nnennaya</w:t>
      </w:r>
      <w:proofErr w:type="spellEnd"/>
      <w:r w:rsidR="006472E0">
        <w:rPr>
          <w:rFonts w:eastAsia="Times New Roman"/>
        </w:rPr>
        <w:t xml:space="preserve"> et al.</w:t>
      </w:r>
      <w:r w:rsidR="00CC1652" w:rsidRPr="00CC1652">
        <w:rPr>
          <w:rFonts w:eastAsia="Times New Roman"/>
        </w:rPr>
        <w:t>, 2021)</w:t>
      </w:r>
      <w:r w:rsidR="00CC1652">
        <w:rPr>
          <w:rFonts w:eastAsia="Times New Roman"/>
        </w:rPr>
        <w:t>.</w:t>
      </w:r>
      <w:r w:rsidR="00CC1652" w:rsidRPr="00CC1652">
        <w:rPr>
          <w:rFonts w:eastAsia="Times New Roman"/>
        </w:rPr>
        <w:t xml:space="preserve"> </w:t>
      </w:r>
      <w:r w:rsidR="00CC1652">
        <w:rPr>
          <w:rFonts w:eastAsia="Times New Roman"/>
        </w:rPr>
        <w:t xml:space="preserve"> </w:t>
      </w:r>
    </w:p>
    <w:p w14:paraId="0964595E" w14:textId="7DB149DC" w:rsidR="00972F8D" w:rsidRPr="00A33CA6" w:rsidRDefault="00972F8D" w:rsidP="00972F8D">
      <w:pPr>
        <w:spacing w:before="100" w:beforeAutospacing="1" w:after="100" w:afterAutospacing="1" w:line="240" w:lineRule="auto"/>
        <w:rPr>
          <w:rFonts w:eastAsia="Times New Roman"/>
          <w:strike/>
          <w:lang w:val="en-US"/>
        </w:rPr>
      </w:pPr>
      <w:r w:rsidRPr="00166C35">
        <w:rPr>
          <w:rFonts w:eastAsia="Times New Roman"/>
          <w:i/>
          <w:iCs/>
        </w:rPr>
        <w:t>q</w:t>
      </w:r>
      <w:r w:rsidRPr="00A33CA6">
        <w:rPr>
          <w:rFonts w:eastAsia="Times New Roman"/>
        </w:rPr>
        <w:t xml:space="preserve"> = 1 </w:t>
      </w:r>
      <w:r>
        <w:rPr>
          <w:rFonts w:eastAsia="Times New Roman"/>
        </w:rPr>
        <w:t>–</w:t>
      </w:r>
      <w:r w:rsidRPr="00A33CA6">
        <w:rPr>
          <w:rFonts w:eastAsia="Times New Roman"/>
        </w:rPr>
        <w:t xml:space="preserve"> p</w:t>
      </w:r>
      <w:r>
        <w:rPr>
          <w:rFonts w:eastAsia="Times New Roman"/>
          <w:lang w:val="en-US"/>
        </w:rPr>
        <w:t>=1-0.5</w:t>
      </w:r>
      <w:r w:rsidR="00CC1652">
        <w:rPr>
          <w:rFonts w:eastAsia="Times New Roman"/>
          <w:lang w:val="en-US"/>
        </w:rPr>
        <w:t>758</w:t>
      </w:r>
      <w:r>
        <w:rPr>
          <w:rFonts w:eastAsia="Times New Roman"/>
          <w:lang w:val="en-US"/>
        </w:rPr>
        <w:t>=0.50.</w:t>
      </w:r>
    </w:p>
    <w:p w14:paraId="69C51A5A" w14:textId="21937257" w:rsidR="00972F8D" w:rsidRPr="00166C35" w:rsidRDefault="00A53295" w:rsidP="00972F8D">
      <w:pPr>
        <w:spacing w:before="100" w:beforeAutospacing="1" w:after="100" w:afterAutospacing="1" w:line="240" w:lineRule="auto"/>
        <w:rPr>
          <w:rFonts w:eastAsia="Times New Roman"/>
          <w:strike/>
          <w:lang w:val="en-US"/>
        </w:rPr>
      </w:pPr>
      <w:r>
        <w:rPr>
          <w:rFonts w:eastAsia="Times New Roman"/>
          <w:i/>
          <w:iCs/>
          <w:lang w:val="en-US"/>
        </w:rPr>
        <w:t>d</w:t>
      </w:r>
      <w:r w:rsidR="00972F8D">
        <w:rPr>
          <w:rFonts w:eastAsia="Times New Roman"/>
          <w:lang w:val="en-US"/>
        </w:rPr>
        <w:t xml:space="preserve"> </w:t>
      </w:r>
      <w:r w:rsidR="00972F8D" w:rsidRPr="00A33CA6">
        <w:rPr>
          <w:rFonts w:eastAsia="Times New Roman"/>
        </w:rPr>
        <w:t>= margin of error (precision), usually 0.05</w:t>
      </w:r>
      <w:r w:rsidR="00972F8D">
        <w:rPr>
          <w:rFonts w:eastAsia="Times New Roman"/>
          <w:lang w:val="en-US"/>
        </w:rPr>
        <w:t>.</w:t>
      </w:r>
    </w:p>
    <w:p w14:paraId="419544AE" w14:textId="77777777" w:rsidR="00A9319A" w:rsidRPr="00A9319A" w:rsidRDefault="00972F8D" w:rsidP="00972F8D">
      <w:pPr>
        <w:rPr>
          <w:rFonts w:eastAsia="Times New Roman"/>
          <w:strike/>
        </w:rPr>
      </w:pPr>
      <m:oMathPara>
        <m:oMath>
          <m:r>
            <w:rPr>
              <w:rFonts w:ascii="Cambria Math" w:eastAsia="Times New Roman" w:hAnsi="Cambria Math"/>
            </w:rPr>
            <m:t>n=</m:t>
          </m:r>
          <m:f>
            <m:fPr>
              <m:ctrlPr>
                <w:rPr>
                  <w:rFonts w:ascii="Cambria Math" w:eastAsia="Times New Roman" w:hAnsi="Cambria Math"/>
                </w:rPr>
              </m:ctrlPr>
            </m:fPr>
            <m:num>
              <m:r>
                <w:rPr>
                  <w:rFonts w:ascii="Cambria Math" w:eastAsia="Times New Roman" w:hAnsi="Cambria Math"/>
                </w:rPr>
                <m:t>3.84×0.24</m:t>
              </m:r>
            </m:num>
            <m:den>
              <m:r>
                <w:rPr>
                  <w:rFonts w:ascii="Cambria Math" w:eastAsia="Times New Roman" w:hAnsi="Cambria Math"/>
                </w:rPr>
                <m:t>0.0025</m:t>
              </m:r>
            </m:den>
          </m:f>
        </m:oMath>
      </m:oMathPara>
    </w:p>
    <w:p w14:paraId="238AA7A4" w14:textId="77777777" w:rsidR="000F3C05" w:rsidRPr="000F3C05" w:rsidRDefault="00972F8D" w:rsidP="00972F8D">
      <w:pPr>
        <w:rPr>
          <w:rFonts w:eastAsia="Times New Roman"/>
          <w:strike/>
        </w:rPr>
      </w:pPr>
      <m:oMathPara>
        <m:oMath>
          <m:r>
            <m:rPr>
              <m:sty m:val="p"/>
            </m:rPr>
            <w:rPr>
              <w:rFonts w:ascii="Cambria Math" w:eastAsia="Times New Roman" w:hAnsi="Cambria Math"/>
            </w:rPr>
            <w:br/>
          </m:r>
        </m:oMath>
        <m:oMath>
          <m:r>
            <w:rPr>
              <w:rFonts w:ascii="Cambria Math" w:eastAsia="Times New Roman" w:hAnsi="Cambria Math"/>
            </w:rPr>
            <m:t>n=</m:t>
          </m:r>
          <m:f>
            <m:fPr>
              <m:ctrlPr>
                <w:rPr>
                  <w:rFonts w:ascii="Cambria Math" w:eastAsia="Times New Roman" w:hAnsi="Cambria Math"/>
                </w:rPr>
              </m:ctrlPr>
            </m:fPr>
            <m:num>
              <m:r>
                <w:rPr>
                  <w:rFonts w:ascii="Cambria Math" w:eastAsia="Times New Roman" w:hAnsi="Cambria Math"/>
                </w:rPr>
                <m:t>0.94</m:t>
              </m:r>
            </m:num>
            <m:den>
              <m:r>
                <w:rPr>
                  <w:rFonts w:ascii="Cambria Math" w:eastAsia="Times New Roman" w:hAnsi="Cambria Math"/>
                </w:rPr>
                <m:t>0.0025</m:t>
              </m:r>
            </m:den>
          </m:f>
          <m:r>
            <w:rPr>
              <w:rFonts w:ascii="Cambria Math" w:eastAsia="Times New Roman" w:hAnsi="Cambria Math"/>
            </w:rPr>
            <m:t>=376.</m:t>
          </m:r>
          <m:r>
            <m:rPr>
              <m:sty m:val="p"/>
            </m:rPr>
            <w:rPr>
              <w:rFonts w:ascii="Cambria Math" w:eastAsia="Times New Roman" w:hAnsi="Cambria Math"/>
            </w:rPr>
            <w:br/>
          </m:r>
        </m:oMath>
      </m:oMathPara>
    </w:p>
    <w:p w14:paraId="66406BAA" w14:textId="3F9DFF66" w:rsidR="003212FA" w:rsidRDefault="003212FA" w:rsidP="003212FA">
      <w:pPr>
        <w:rPr>
          <w:rFonts w:eastAsia="Times New Roman"/>
          <w:strike/>
        </w:rPr>
      </w:pPr>
      <w:r>
        <w:rPr>
          <w:rFonts w:eastAsia="Times New Roman"/>
        </w:rPr>
        <w:t xml:space="preserve">Because </w:t>
      </w:r>
      <w:r w:rsidR="00A9319A" w:rsidRPr="000D2CEF">
        <w:rPr>
          <w:rFonts w:eastAsia="Times New Roman"/>
        </w:rPr>
        <w:t>the study population was finite</w:t>
      </w:r>
      <w:r w:rsidR="00A9319A">
        <w:rPr>
          <w:rFonts w:eastAsia="Times New Roman"/>
        </w:rPr>
        <w:t xml:space="preserve"> </w:t>
      </w:r>
      <w:r w:rsidR="00A9319A" w:rsidRPr="00466BDA">
        <w:rPr>
          <w:rFonts w:eastAsia="Times New Roman"/>
        </w:rPr>
        <w:t xml:space="preserve">(&lt;10,000), </w:t>
      </w:r>
      <w:r w:rsidR="00A9319A" w:rsidRPr="000D2CEF">
        <w:rPr>
          <w:rFonts w:eastAsia="Times New Roman"/>
        </w:rPr>
        <w:t>a finite population correction was applied</w:t>
      </w:r>
      <w:r>
        <w:rPr>
          <w:rFonts w:eastAsia="Times New Roman"/>
        </w:rPr>
        <w:t>. This</w:t>
      </w:r>
      <w:r w:rsidR="00A9319A" w:rsidRPr="000D2CEF">
        <w:rPr>
          <w:rFonts w:eastAsia="Times New Roman"/>
        </w:rPr>
        <w:t xml:space="preserve"> reduc</w:t>
      </w:r>
      <w:r>
        <w:rPr>
          <w:rFonts w:eastAsia="Times New Roman"/>
        </w:rPr>
        <w:t>ed</w:t>
      </w:r>
      <w:r w:rsidR="00A9319A" w:rsidRPr="000D2CEF">
        <w:rPr>
          <w:rFonts w:eastAsia="Times New Roman"/>
        </w:rPr>
        <w:t xml:space="preserve"> the minimum sample size to 277.</w:t>
      </w:r>
      <w:r>
        <w:rPr>
          <w:rFonts w:eastAsia="Times New Roman"/>
        </w:rPr>
        <w:t xml:space="preserve"> </w:t>
      </w:r>
      <w:r w:rsidRPr="0002707D">
        <w:rPr>
          <w:rFonts w:eastAsia="Times New Roman"/>
          <w:highlight w:val="yellow"/>
        </w:rPr>
        <w:t>A</w:t>
      </w:r>
      <w:r w:rsidR="00FA397A" w:rsidRPr="0002707D">
        <w:rPr>
          <w:rFonts w:eastAsia="Times New Roman"/>
          <w:highlight w:val="yellow"/>
        </w:rPr>
        <w:t>djust</w:t>
      </w:r>
      <w:r w:rsidRPr="0002707D">
        <w:rPr>
          <w:rFonts w:eastAsia="Times New Roman"/>
          <w:highlight w:val="yellow"/>
        </w:rPr>
        <w:t>ing</w:t>
      </w:r>
      <w:r w:rsidR="00A9319A" w:rsidRPr="0002707D">
        <w:rPr>
          <w:rFonts w:eastAsia="Times New Roman"/>
          <w:highlight w:val="yellow"/>
        </w:rPr>
        <w:t xml:space="preserve"> for non-response and incomplete questionnaires, a non-response </w:t>
      </w:r>
      <w:r w:rsidR="00FA397A" w:rsidRPr="0002707D">
        <w:rPr>
          <w:rFonts w:eastAsia="Times New Roman"/>
          <w:highlight w:val="yellow"/>
        </w:rPr>
        <w:t xml:space="preserve">rate </w:t>
      </w:r>
      <w:r w:rsidR="00A9319A" w:rsidRPr="0002707D">
        <w:rPr>
          <w:rFonts w:eastAsia="Times New Roman"/>
          <w:highlight w:val="yellow"/>
        </w:rPr>
        <w:t xml:space="preserve">of 15% was </w:t>
      </w:r>
      <w:r w:rsidR="00FA397A" w:rsidRPr="0002707D">
        <w:rPr>
          <w:rFonts w:eastAsia="Times New Roman"/>
          <w:highlight w:val="yellow"/>
        </w:rPr>
        <w:t>used</w:t>
      </w:r>
      <w:r w:rsidR="00A9319A" w:rsidRPr="0002707D">
        <w:rPr>
          <w:rFonts w:eastAsia="Times New Roman"/>
          <w:highlight w:val="yellow"/>
        </w:rPr>
        <w:t xml:space="preserve"> </w:t>
      </w:r>
      <w:r w:rsidR="00FA397A" w:rsidRPr="0002707D">
        <w:rPr>
          <w:rFonts w:eastAsia="Times New Roman"/>
          <w:highlight w:val="yellow"/>
        </w:rPr>
        <w:t>to g</w:t>
      </w:r>
      <w:r w:rsidR="005A431C" w:rsidRPr="0002707D">
        <w:rPr>
          <w:rFonts w:eastAsia="Times New Roman"/>
          <w:highlight w:val="yellow"/>
        </w:rPr>
        <w:t>et</w:t>
      </w:r>
      <w:r w:rsidR="00A9319A" w:rsidRPr="0002707D">
        <w:rPr>
          <w:rFonts w:eastAsia="Times New Roman"/>
          <w:highlight w:val="yellow"/>
        </w:rPr>
        <w:t xml:space="preserve"> a sample size</w:t>
      </w:r>
      <w:r w:rsidR="00FA397A" w:rsidRPr="0002707D">
        <w:rPr>
          <w:rFonts w:eastAsia="Times New Roman"/>
          <w:highlight w:val="yellow"/>
        </w:rPr>
        <w:t xml:space="preserve"> of </w:t>
      </w:r>
      <w:r w:rsidR="00A9319A" w:rsidRPr="0002707D">
        <w:rPr>
          <w:rFonts w:eastAsia="Times New Roman"/>
          <w:highlight w:val="yellow"/>
        </w:rPr>
        <w:t>277</w:t>
      </w:r>
      <w:r w:rsidR="005A431C" w:rsidRPr="0002707D">
        <w:rPr>
          <w:rFonts w:eastAsia="Times New Roman"/>
          <w:highlight w:val="yellow"/>
        </w:rPr>
        <w:t>/ (</w:t>
      </w:r>
      <w:r w:rsidR="00A9319A" w:rsidRPr="0002707D">
        <w:rPr>
          <w:rFonts w:eastAsia="Times New Roman"/>
          <w:highlight w:val="yellow"/>
        </w:rPr>
        <w:t>1-</w:t>
      </w:r>
      <w:r w:rsidR="00D21464" w:rsidRPr="0002707D">
        <w:rPr>
          <w:rFonts w:eastAsia="Times New Roman"/>
          <w:highlight w:val="yellow"/>
        </w:rPr>
        <w:t xml:space="preserve"> </w:t>
      </w:r>
      <w:r w:rsidR="00A9319A" w:rsidRPr="0002707D">
        <w:rPr>
          <w:rFonts w:eastAsia="Times New Roman"/>
          <w:highlight w:val="yellow"/>
        </w:rPr>
        <w:t xml:space="preserve">0.15) =277/0.85 ≈326. After data cleaning and </w:t>
      </w:r>
      <w:r w:rsidR="00C56902" w:rsidRPr="0002707D">
        <w:rPr>
          <w:rFonts w:eastAsia="Times New Roman"/>
          <w:highlight w:val="yellow"/>
        </w:rPr>
        <w:t>excluding questionnaires with substantial missing data</w:t>
      </w:r>
      <w:r w:rsidR="00A9319A" w:rsidRPr="0002707D">
        <w:rPr>
          <w:rFonts w:eastAsia="Times New Roman"/>
          <w:highlight w:val="yellow"/>
        </w:rPr>
        <w:t>, 312 respondents were included in the final analysis.</w:t>
      </w:r>
    </w:p>
    <w:p w14:paraId="4557FCB2" w14:textId="4F6B664D" w:rsidR="000F3C05" w:rsidRPr="000F3C05" w:rsidRDefault="000F3C05" w:rsidP="003212FA">
      <w:pPr>
        <w:rPr>
          <w:rFonts w:eastAsia="Times New Roman"/>
          <w:strike/>
        </w:rPr>
      </w:pPr>
      <w:r w:rsidRPr="000F3C05">
        <w:rPr>
          <w:rFonts w:eastAsia="Times New Roman"/>
          <w:b/>
          <w:bCs/>
        </w:rPr>
        <w:t>Sampling Technique</w:t>
      </w:r>
    </w:p>
    <w:p w14:paraId="79034809" w14:textId="743CF543" w:rsidR="00C56902" w:rsidRPr="00C56902" w:rsidRDefault="00C56902" w:rsidP="005A431C">
      <w:pPr>
        <w:spacing w:before="100" w:beforeAutospacing="1" w:after="100" w:afterAutospacing="1" w:line="240" w:lineRule="auto"/>
        <w:rPr>
          <w:rFonts w:eastAsia="Times New Roman"/>
        </w:rPr>
      </w:pPr>
      <w:r w:rsidRPr="0002707D">
        <w:rPr>
          <w:rFonts w:eastAsia="Times New Roman"/>
          <w:highlight w:val="yellow"/>
        </w:rPr>
        <w:t>A stratified random sampling technique was used. Academic level served as strata, and participants were proportionally selected from each level using computer-generated random numbers from class registers.</w:t>
      </w:r>
    </w:p>
    <w:p w14:paraId="4232FD68" w14:textId="2B5BBA35"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Study Instrument</w:t>
      </w:r>
    </w:p>
    <w:p w14:paraId="1A8D393E" w14:textId="47F12326" w:rsidR="00C56902" w:rsidRPr="00C56902" w:rsidRDefault="00C56902" w:rsidP="005A431C">
      <w:pPr>
        <w:spacing w:before="100" w:beforeAutospacing="1" w:after="100" w:afterAutospacing="1" w:line="240" w:lineRule="auto"/>
        <w:rPr>
          <w:rFonts w:eastAsia="Times New Roman"/>
        </w:rPr>
      </w:pPr>
      <w:r w:rsidRPr="0002707D">
        <w:rPr>
          <w:rFonts w:eastAsia="Times New Roman"/>
          <w:highlight w:val="yellow"/>
        </w:rPr>
        <w:t>Data were collected using a structured questionnaire adapted from the Menstrual Practices Questionnaire (MPQ), a validated tool for assessing menstrual hygiene behaviour</w:t>
      </w:r>
      <w:r w:rsidR="007E38C9">
        <w:rPr>
          <w:rFonts w:eastAsia="Times New Roman"/>
          <w:highlight w:val="yellow"/>
        </w:rPr>
        <w:t xml:space="preserve"> (</w:t>
      </w:r>
      <w:r w:rsidR="007E38C9" w:rsidRPr="007E38C9">
        <w:rPr>
          <w:rFonts w:eastAsia="Times New Roman"/>
          <w:highlight w:val="yellow"/>
          <w:lang w:val="en-US"/>
        </w:rPr>
        <w:t>Hennegan</w:t>
      </w:r>
      <w:r w:rsidR="007E38C9">
        <w:rPr>
          <w:rFonts w:eastAsia="Times New Roman"/>
          <w:highlight w:val="yellow"/>
          <w:lang w:val="en-US"/>
        </w:rPr>
        <w:t xml:space="preserve"> </w:t>
      </w:r>
      <w:r w:rsidR="007E38C9">
        <w:rPr>
          <w:rFonts w:eastAsia="Times New Roman"/>
          <w:highlight w:val="yellow"/>
          <w:lang w:val="en-US"/>
        </w:rPr>
        <w:lastRenderedPageBreak/>
        <w:t>et al.</w:t>
      </w:r>
      <w:r w:rsidR="007E38C9">
        <w:rPr>
          <w:rFonts w:eastAsia="Times New Roman"/>
          <w:highlight w:val="yellow"/>
        </w:rPr>
        <w:t>, 2020).</w:t>
      </w:r>
      <w:r w:rsidRPr="0002707D">
        <w:rPr>
          <w:rFonts w:eastAsia="Times New Roman"/>
          <w:highlight w:val="yellow"/>
        </w:rPr>
        <w:t xml:space="preserve"> The instrument included sections on socio-demographic characteristics and menstrual hygiene practices.</w:t>
      </w:r>
    </w:p>
    <w:p w14:paraId="022DB633" w14:textId="2535C32C"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Validity Assessment</w:t>
      </w:r>
    </w:p>
    <w:p w14:paraId="2EB3806B" w14:textId="5AA4166D" w:rsidR="000F3C05" w:rsidRPr="00F622D4" w:rsidRDefault="000F3C05" w:rsidP="007D02D9">
      <w:pPr>
        <w:spacing w:before="100" w:beforeAutospacing="1" w:after="100" w:afterAutospacing="1" w:line="240" w:lineRule="auto"/>
        <w:rPr>
          <w:rFonts w:eastAsia="Times New Roman"/>
          <w:strike/>
        </w:rPr>
      </w:pPr>
      <w:r w:rsidRPr="00F622D4">
        <w:rPr>
          <w:rFonts w:eastAsia="Times New Roman"/>
        </w:rPr>
        <w:t>Face validity:</w:t>
      </w:r>
      <w:r w:rsidRPr="000F3C05">
        <w:rPr>
          <w:rFonts w:eastAsia="Times New Roman"/>
        </w:rPr>
        <w:t xml:space="preserve"> </w:t>
      </w:r>
      <w:r w:rsidR="007D02D9">
        <w:rPr>
          <w:rFonts w:eastAsia="Times New Roman"/>
        </w:rPr>
        <w:t>The questionnaire was r</w:t>
      </w:r>
      <w:r w:rsidRPr="000F3C05">
        <w:rPr>
          <w:rFonts w:eastAsia="Times New Roman"/>
        </w:rPr>
        <w:t xml:space="preserve">eviewed by </w:t>
      </w:r>
      <w:r w:rsidR="007D02D9">
        <w:rPr>
          <w:rFonts w:eastAsia="Times New Roman"/>
        </w:rPr>
        <w:t xml:space="preserve">experts </w:t>
      </w:r>
      <w:r w:rsidR="00B072CE">
        <w:rPr>
          <w:rFonts w:eastAsia="Times New Roman"/>
        </w:rPr>
        <w:t>in</w:t>
      </w:r>
      <w:r w:rsidR="007D02D9">
        <w:rPr>
          <w:rFonts w:eastAsia="Times New Roman"/>
        </w:rPr>
        <w:t xml:space="preserve"> </w:t>
      </w:r>
      <w:r w:rsidR="00750EA0">
        <w:rPr>
          <w:rFonts w:eastAsia="Times New Roman"/>
        </w:rPr>
        <w:t xml:space="preserve">community medicine </w:t>
      </w:r>
      <w:r w:rsidRPr="000F3C05">
        <w:rPr>
          <w:rFonts w:eastAsia="Times New Roman"/>
        </w:rPr>
        <w:t>for clarity and contextual appropriateness</w:t>
      </w:r>
      <w:r w:rsidR="00F622D4">
        <w:rPr>
          <w:rFonts w:eastAsia="Times New Roman"/>
        </w:rPr>
        <w:t>.</w:t>
      </w:r>
    </w:p>
    <w:p w14:paraId="37526410" w14:textId="45E38E65" w:rsidR="000F3C05" w:rsidRPr="00F622D4" w:rsidRDefault="000F3C05" w:rsidP="007D02D9">
      <w:pPr>
        <w:spacing w:before="100" w:beforeAutospacing="1" w:after="100" w:afterAutospacing="1" w:line="240" w:lineRule="auto"/>
        <w:rPr>
          <w:rFonts w:eastAsia="Times New Roman"/>
          <w:strike/>
        </w:rPr>
      </w:pPr>
      <w:r w:rsidRPr="00F622D4">
        <w:rPr>
          <w:rFonts w:eastAsia="Times New Roman"/>
        </w:rPr>
        <w:t>Content validity:</w:t>
      </w:r>
      <w:r w:rsidRPr="000F3C05">
        <w:rPr>
          <w:rFonts w:eastAsia="Times New Roman"/>
        </w:rPr>
        <w:t xml:space="preserve"> </w:t>
      </w:r>
      <w:r w:rsidR="007D02D9">
        <w:rPr>
          <w:rFonts w:eastAsia="Times New Roman"/>
        </w:rPr>
        <w:t>The questionnaire was assessed</w:t>
      </w:r>
      <w:r w:rsidRPr="000F3C05">
        <w:rPr>
          <w:rFonts w:eastAsia="Times New Roman"/>
        </w:rPr>
        <w:t xml:space="preserve"> by public health specialists to ensure adequate domain coverage</w:t>
      </w:r>
      <w:r w:rsidR="00F622D4">
        <w:rPr>
          <w:rFonts w:eastAsia="Times New Roman"/>
        </w:rPr>
        <w:t>.</w:t>
      </w:r>
    </w:p>
    <w:p w14:paraId="367652AA" w14:textId="4EBA0110" w:rsidR="00333450" w:rsidRPr="00750EA0" w:rsidRDefault="000F3C05" w:rsidP="005A431C">
      <w:pPr>
        <w:spacing w:before="100" w:beforeAutospacing="1" w:after="100" w:afterAutospacing="1" w:line="240" w:lineRule="auto"/>
        <w:rPr>
          <w:rFonts w:eastAsia="Times New Roman"/>
          <w:strike/>
        </w:rPr>
      </w:pPr>
      <w:r w:rsidRPr="00F622D4">
        <w:rPr>
          <w:rFonts w:eastAsia="Times New Roman"/>
        </w:rPr>
        <w:t>Construct validity:</w:t>
      </w:r>
      <w:r w:rsidRPr="000F3C05">
        <w:rPr>
          <w:rFonts w:eastAsia="Times New Roman"/>
        </w:rPr>
        <w:t xml:space="preserve"> </w:t>
      </w:r>
      <w:r w:rsidR="007D02D9">
        <w:rPr>
          <w:rFonts w:eastAsia="Times New Roman"/>
        </w:rPr>
        <w:t>This was e</w:t>
      </w:r>
      <w:r w:rsidRPr="000F3C05">
        <w:rPr>
          <w:rFonts w:eastAsia="Times New Roman"/>
        </w:rPr>
        <w:t>stablished by aligning questionnaire items with theoretical frameworks linking socio-demographic factors and behavioural outcomes</w:t>
      </w:r>
      <w:r w:rsidR="00750EA0">
        <w:rPr>
          <w:rFonts w:eastAsia="Times New Roman"/>
        </w:rPr>
        <w:t>.</w:t>
      </w:r>
    </w:p>
    <w:p w14:paraId="1094561B" w14:textId="19358D31"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Reliability Testing</w:t>
      </w:r>
    </w:p>
    <w:p w14:paraId="579E9DF1" w14:textId="35C329BE" w:rsidR="00272E54" w:rsidRPr="00F05619" w:rsidRDefault="000F3C05" w:rsidP="005A431C">
      <w:pPr>
        <w:spacing w:before="100" w:beforeAutospacing="1" w:after="100" w:afterAutospacing="1" w:line="240" w:lineRule="auto"/>
        <w:rPr>
          <w:rFonts w:eastAsia="Times New Roman"/>
          <w:strike/>
        </w:rPr>
      </w:pPr>
      <w:r w:rsidRPr="000F3C05">
        <w:rPr>
          <w:rFonts w:eastAsia="Times New Roman"/>
        </w:rPr>
        <w:t xml:space="preserve">Internal consistency was assessed using </w:t>
      </w:r>
      <w:r w:rsidR="005A431C">
        <w:rPr>
          <w:rFonts w:eastAsia="Times New Roman"/>
        </w:rPr>
        <w:t xml:space="preserve">the </w:t>
      </w:r>
      <w:r w:rsidRPr="000F3C05">
        <w:rPr>
          <w:rFonts w:eastAsia="Times New Roman"/>
        </w:rPr>
        <w:t>Cronbach’s alpha coefficient. A value of ≥0.70 was considered acceptable for behavioural scales.</w:t>
      </w:r>
    </w:p>
    <w:p w14:paraId="4972CDE0" w14:textId="09CEA50D"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Data Collection Procedure</w:t>
      </w:r>
    </w:p>
    <w:p w14:paraId="117E760C" w14:textId="2D8229C5" w:rsidR="005A431C" w:rsidRDefault="000F3C05" w:rsidP="005A431C">
      <w:pPr>
        <w:spacing w:before="100" w:beforeAutospacing="1" w:after="100" w:afterAutospacing="1" w:line="240" w:lineRule="auto"/>
        <w:rPr>
          <w:rFonts w:eastAsia="Times New Roman"/>
          <w:strike/>
        </w:rPr>
      </w:pPr>
      <w:r w:rsidRPr="000F3C05">
        <w:rPr>
          <w:rFonts w:eastAsia="Times New Roman"/>
        </w:rPr>
        <w:t xml:space="preserve">Data were collected in classroom settings </w:t>
      </w:r>
      <w:r w:rsidR="00750EA0" w:rsidRPr="00750EA0">
        <w:rPr>
          <w:rFonts w:eastAsia="Times New Roman"/>
        </w:rPr>
        <w:t xml:space="preserve">and residential facilities </w:t>
      </w:r>
      <w:r w:rsidRPr="000F3C05">
        <w:rPr>
          <w:rFonts w:eastAsia="Times New Roman"/>
        </w:rPr>
        <w:t xml:space="preserve">by trained research assistants </w:t>
      </w:r>
      <w:r w:rsidR="00B072CE">
        <w:rPr>
          <w:rFonts w:eastAsia="Times New Roman"/>
        </w:rPr>
        <w:t>with</w:t>
      </w:r>
      <w:r w:rsidRPr="000F3C05">
        <w:rPr>
          <w:rFonts w:eastAsia="Times New Roman"/>
        </w:rPr>
        <w:t xml:space="preserve"> informed consent. Participants completed questionnaires independently to reduce interviewer bias.</w:t>
      </w:r>
    </w:p>
    <w:p w14:paraId="628B7673" w14:textId="15B9BC6E"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Outcome Measurement</w:t>
      </w:r>
    </w:p>
    <w:p w14:paraId="0DEE9631" w14:textId="77777777" w:rsidR="005A431C" w:rsidRDefault="000F3C05" w:rsidP="005A431C">
      <w:pPr>
        <w:spacing w:before="100" w:beforeAutospacing="1" w:after="100" w:afterAutospacing="1" w:line="240" w:lineRule="auto"/>
        <w:rPr>
          <w:rFonts w:eastAsia="Times New Roman"/>
          <w:strike/>
        </w:rPr>
      </w:pPr>
      <w:r w:rsidRPr="000F3C05">
        <w:rPr>
          <w:rFonts w:eastAsia="Times New Roman"/>
        </w:rPr>
        <w:t>Menstrual hygiene behaviour was measured using a composite scoring system derived from multiple practice items. Scores were categorised into ordinal levels (poor, fair, good) to enable graded behavioural analysis.</w:t>
      </w:r>
    </w:p>
    <w:p w14:paraId="56F8F9D9" w14:textId="38075FAF"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Data Management and Storage</w:t>
      </w:r>
    </w:p>
    <w:p w14:paraId="68D20B0F" w14:textId="253C2EAB" w:rsidR="005A431C" w:rsidRPr="00750EA0" w:rsidRDefault="00750EA0" w:rsidP="005A431C">
      <w:pPr>
        <w:spacing w:before="100" w:beforeAutospacing="1" w:after="100" w:afterAutospacing="1" w:line="240" w:lineRule="auto"/>
        <w:rPr>
          <w:rFonts w:eastAsia="Times New Roman"/>
        </w:rPr>
      </w:pPr>
      <w:r w:rsidRPr="00750EA0">
        <w:rPr>
          <w:rFonts w:eastAsia="Times New Roman"/>
        </w:rPr>
        <w:t>Completed questionnaires were checked daily for completeness and internal consistency</w:t>
      </w:r>
      <w:r>
        <w:rPr>
          <w:rFonts w:eastAsia="Times New Roman"/>
        </w:rPr>
        <w:t xml:space="preserve">. </w:t>
      </w:r>
      <w:r w:rsidR="000F3C05" w:rsidRPr="000F3C05">
        <w:rPr>
          <w:rFonts w:eastAsia="Times New Roman"/>
        </w:rPr>
        <w:t>Questionnaires were anonymised using identification codes. Data were entered into a password-protected database accessible only to the research team. Hard copies were stored in locked cabinets. Data cleaning involved double-entry verification, logical consistency checks, and range validation to ensure data integrity.</w:t>
      </w:r>
    </w:p>
    <w:p w14:paraId="70CAC567" w14:textId="6B77AA6D" w:rsidR="000F3C05" w:rsidRPr="000F3C05" w:rsidRDefault="000F3C05" w:rsidP="005A431C">
      <w:pPr>
        <w:spacing w:before="100" w:beforeAutospacing="1" w:after="100" w:afterAutospacing="1" w:line="240" w:lineRule="auto"/>
        <w:rPr>
          <w:rFonts w:eastAsia="Times New Roman"/>
          <w:strike/>
        </w:rPr>
      </w:pPr>
      <w:r w:rsidRPr="000F3C05">
        <w:rPr>
          <w:rFonts w:eastAsia="Times New Roman"/>
          <w:b/>
          <w:bCs/>
        </w:rPr>
        <w:t>Statistical Analysis</w:t>
      </w:r>
    </w:p>
    <w:p w14:paraId="0FFEDF4A" w14:textId="0F859A0A" w:rsidR="000F3C05" w:rsidRPr="000F3C05" w:rsidRDefault="000F3C05" w:rsidP="009608FA">
      <w:pPr>
        <w:spacing w:before="100" w:beforeAutospacing="1" w:after="100" w:afterAutospacing="1" w:line="240" w:lineRule="auto"/>
        <w:rPr>
          <w:rFonts w:eastAsia="Times New Roman"/>
          <w:strike/>
        </w:rPr>
      </w:pPr>
      <w:r w:rsidRPr="000F3C05">
        <w:rPr>
          <w:rFonts w:eastAsia="Times New Roman"/>
        </w:rPr>
        <w:t xml:space="preserve">Data were analysed using </w:t>
      </w:r>
      <w:r w:rsidR="005A431C">
        <w:rPr>
          <w:rFonts w:eastAsia="Times New Roman"/>
        </w:rPr>
        <w:t xml:space="preserve">the </w:t>
      </w:r>
      <w:r w:rsidR="005A431C" w:rsidRPr="005A431C">
        <w:rPr>
          <w:rFonts w:eastAsia="Times New Roman"/>
        </w:rPr>
        <w:t>Statistical Product and Service Solutions (SPSS) Version 27 (Armonk, NY: IBM Corporation)</w:t>
      </w:r>
      <w:r w:rsidR="005A431C">
        <w:rPr>
          <w:rFonts w:eastAsia="Times New Roman"/>
        </w:rPr>
        <w:t xml:space="preserve">. </w:t>
      </w:r>
      <w:r w:rsidRPr="000F3C05">
        <w:rPr>
          <w:rFonts w:eastAsia="Times New Roman"/>
        </w:rPr>
        <w:t xml:space="preserve">Descriptive statistics </w:t>
      </w:r>
      <w:r w:rsidR="005A431C">
        <w:rPr>
          <w:rFonts w:eastAsia="Times New Roman"/>
        </w:rPr>
        <w:t xml:space="preserve">were used </w:t>
      </w:r>
      <w:r w:rsidRPr="000F3C05">
        <w:rPr>
          <w:rFonts w:eastAsia="Times New Roman"/>
        </w:rPr>
        <w:t>to summarise socio-demographic characteristics</w:t>
      </w:r>
      <w:r w:rsidR="005A431C">
        <w:rPr>
          <w:rFonts w:eastAsia="Times New Roman"/>
        </w:rPr>
        <w:t xml:space="preserve">. </w:t>
      </w:r>
      <w:r w:rsidRPr="000F3C05">
        <w:rPr>
          <w:rFonts w:eastAsia="Times New Roman"/>
        </w:rPr>
        <w:t>Normality testing</w:t>
      </w:r>
      <w:r w:rsidR="006B50F8">
        <w:rPr>
          <w:rFonts w:eastAsia="Times New Roman"/>
        </w:rPr>
        <w:t xml:space="preserve"> was done using the </w:t>
      </w:r>
      <w:r w:rsidRPr="000F3C05">
        <w:rPr>
          <w:rFonts w:eastAsia="Times New Roman"/>
        </w:rPr>
        <w:t>Shapiro–Wilk test (acceptable if p &gt; 0.05)</w:t>
      </w:r>
      <w:r w:rsidR="006B50F8">
        <w:rPr>
          <w:rFonts w:eastAsia="Times New Roman"/>
        </w:rPr>
        <w:t>, and m</w:t>
      </w:r>
      <w:r w:rsidRPr="000F3C05">
        <w:rPr>
          <w:rFonts w:eastAsia="Times New Roman"/>
        </w:rPr>
        <w:t xml:space="preserve">ulticollinearity </w:t>
      </w:r>
      <w:r w:rsidR="006B50F8">
        <w:rPr>
          <w:rFonts w:eastAsia="Times New Roman"/>
        </w:rPr>
        <w:t xml:space="preserve">was </w:t>
      </w:r>
      <w:r w:rsidRPr="000F3C05">
        <w:rPr>
          <w:rFonts w:eastAsia="Times New Roman"/>
        </w:rPr>
        <w:t>assess</w:t>
      </w:r>
      <w:r w:rsidR="006B50F8">
        <w:rPr>
          <w:rFonts w:eastAsia="Times New Roman"/>
        </w:rPr>
        <w:t>ed by the</w:t>
      </w:r>
      <w:r w:rsidRPr="000F3C05">
        <w:rPr>
          <w:rFonts w:eastAsia="Times New Roman"/>
        </w:rPr>
        <w:t xml:space="preserve"> </w:t>
      </w:r>
      <w:r w:rsidR="006B50F8">
        <w:rPr>
          <w:rFonts w:eastAsia="Times New Roman"/>
        </w:rPr>
        <w:t>v</w:t>
      </w:r>
      <w:r w:rsidRPr="000F3C05">
        <w:rPr>
          <w:rFonts w:eastAsia="Times New Roman"/>
        </w:rPr>
        <w:t xml:space="preserve">ariance inflation factor </w:t>
      </w:r>
      <w:r w:rsidR="006B50F8">
        <w:rPr>
          <w:rFonts w:eastAsia="Times New Roman"/>
        </w:rPr>
        <w:t xml:space="preserve">(VIF). </w:t>
      </w:r>
      <w:r w:rsidR="006B50F8" w:rsidRPr="006B50F8">
        <w:rPr>
          <w:rFonts w:eastAsia="Times New Roman"/>
        </w:rPr>
        <w:t xml:space="preserve">A VIF </w:t>
      </w:r>
      <w:bookmarkStart w:id="1" w:name="_Hlk221552428"/>
      <w:r w:rsidR="006B50F8" w:rsidRPr="006B50F8">
        <w:rPr>
          <w:rFonts w:eastAsia="Times New Roman"/>
        </w:rPr>
        <w:t>&gt;5</w:t>
      </w:r>
      <w:bookmarkEnd w:id="1"/>
      <w:r w:rsidR="006B50F8" w:rsidRPr="006B50F8">
        <w:rPr>
          <w:rFonts w:eastAsia="Times New Roman"/>
        </w:rPr>
        <w:t xml:space="preserve"> was considered evidence of collinearity. </w:t>
      </w:r>
      <w:r w:rsidR="006B50F8">
        <w:rPr>
          <w:rFonts w:eastAsia="Times New Roman"/>
        </w:rPr>
        <w:t xml:space="preserve">The </w:t>
      </w:r>
      <w:r w:rsidR="006B50F8" w:rsidRPr="000F3C05">
        <w:rPr>
          <w:rFonts w:eastAsia="Times New Roman"/>
        </w:rPr>
        <w:t>Likelihood ratio tests and model diagnostics</w:t>
      </w:r>
      <w:r w:rsidR="006B50F8">
        <w:rPr>
          <w:rFonts w:eastAsia="Times New Roman"/>
        </w:rPr>
        <w:t xml:space="preserve"> assessed the model’s goodness-of-fit. The Pearson C</w:t>
      </w:r>
      <w:r w:rsidR="006B50F8" w:rsidRPr="000F3C05">
        <w:rPr>
          <w:rFonts w:eastAsia="Times New Roman"/>
        </w:rPr>
        <w:t>hi-square test</w:t>
      </w:r>
      <w:r w:rsidR="006B50F8">
        <w:rPr>
          <w:rFonts w:eastAsia="Times New Roman"/>
        </w:rPr>
        <w:t xml:space="preserve"> was used for bivariate analysis, and socio-demographic predictors were identified using multivariable ordinal logistic</w:t>
      </w:r>
      <w:r w:rsidR="009608FA">
        <w:rPr>
          <w:rFonts w:eastAsia="Times New Roman"/>
        </w:rPr>
        <w:t xml:space="preserve"> regression.</w:t>
      </w:r>
    </w:p>
    <w:p w14:paraId="068820F0" w14:textId="77777777" w:rsidR="003F453E" w:rsidRDefault="000F3C05" w:rsidP="003F453E">
      <w:pPr>
        <w:spacing w:before="100" w:beforeAutospacing="1" w:after="100" w:afterAutospacing="1" w:line="240" w:lineRule="auto"/>
        <w:rPr>
          <w:rFonts w:eastAsia="Times New Roman"/>
          <w:strike/>
        </w:rPr>
      </w:pPr>
      <w:r w:rsidRPr="000F3C05">
        <w:rPr>
          <w:rFonts w:eastAsia="Times New Roman"/>
        </w:rPr>
        <w:lastRenderedPageBreak/>
        <w:t>Model assumptions, including proportional odds, were tested. Adjusted odds ratios with 95% confidence intervals were reported. Statistical significance was set at p &lt; 0.05.</w:t>
      </w:r>
    </w:p>
    <w:p w14:paraId="7ADDFDA3" w14:textId="77777777" w:rsidR="00F622D4" w:rsidRDefault="007D1937" w:rsidP="00F622D4">
      <w:pPr>
        <w:spacing w:before="100" w:beforeAutospacing="1" w:after="100" w:afterAutospacing="1" w:line="240" w:lineRule="auto"/>
        <w:rPr>
          <w:rFonts w:eastAsia="Times New Roman"/>
          <w:strike/>
        </w:rPr>
      </w:pPr>
      <w:r w:rsidRPr="007D1937">
        <w:rPr>
          <w:rFonts w:eastAsia="Times New Roman"/>
          <w:b/>
          <w:bCs/>
          <w:kern w:val="36"/>
        </w:rPr>
        <w:t>Results</w:t>
      </w:r>
    </w:p>
    <w:p w14:paraId="330C7ED0" w14:textId="4AB41D89" w:rsidR="007D1937" w:rsidRPr="00F622D4" w:rsidRDefault="007D1937" w:rsidP="00F622D4">
      <w:pPr>
        <w:spacing w:before="100" w:beforeAutospacing="1" w:after="100" w:afterAutospacing="1" w:line="240" w:lineRule="auto"/>
        <w:rPr>
          <w:rFonts w:eastAsia="Times New Roman"/>
          <w:strike/>
        </w:rPr>
      </w:pPr>
      <w:r w:rsidRPr="007D1937">
        <w:rPr>
          <w:rFonts w:eastAsia="Times New Roman"/>
          <w:b/>
          <w:bCs/>
        </w:rPr>
        <w:t>Socio-Demographic Characteristics of Respondents</w:t>
      </w:r>
    </w:p>
    <w:p w14:paraId="5DFA7610" w14:textId="42BEEF62" w:rsidR="004E64AA" w:rsidRPr="00EB6F69" w:rsidRDefault="007D1937" w:rsidP="003F453E">
      <w:pPr>
        <w:spacing w:before="100" w:beforeAutospacing="1" w:after="100" w:afterAutospacing="1" w:line="240" w:lineRule="auto"/>
        <w:rPr>
          <w:rFonts w:eastAsia="Times New Roman"/>
          <w:strike/>
        </w:rPr>
      </w:pPr>
      <w:r w:rsidRPr="007D1937">
        <w:rPr>
          <w:rFonts w:eastAsia="Times New Roman"/>
        </w:rPr>
        <w:t xml:space="preserve">A total of 312 female </w:t>
      </w:r>
      <w:r w:rsidR="004E64AA">
        <w:rPr>
          <w:rFonts w:eastAsia="Times New Roman"/>
        </w:rPr>
        <w:t xml:space="preserve">medical </w:t>
      </w:r>
      <w:r w:rsidRPr="007D1937">
        <w:rPr>
          <w:rFonts w:eastAsia="Times New Roman"/>
        </w:rPr>
        <w:t>undergraduate students participated in the study</w:t>
      </w:r>
      <w:r w:rsidR="003F453E">
        <w:rPr>
          <w:rFonts w:eastAsia="Times New Roman"/>
        </w:rPr>
        <w:t>.</w:t>
      </w:r>
      <w:r w:rsidRPr="007D1937">
        <w:rPr>
          <w:rFonts w:eastAsia="Times New Roman"/>
        </w:rPr>
        <w:t xml:space="preserve"> The mean age of respondents was </w:t>
      </w:r>
      <w:bookmarkStart w:id="2" w:name="_Hlk222566804"/>
      <w:r w:rsidR="00BB5B44" w:rsidRPr="00BB5B44">
        <w:rPr>
          <w:rFonts w:eastAsia="Times New Roman"/>
        </w:rPr>
        <w:t>21.4 ± 2.3 years</w:t>
      </w:r>
      <w:bookmarkEnd w:id="2"/>
      <w:r w:rsidRPr="007D1937">
        <w:rPr>
          <w:rFonts w:eastAsia="Times New Roman"/>
        </w:rPr>
        <w:t xml:space="preserve">, with most students aged 20–24 years.  </w:t>
      </w:r>
      <w:r w:rsidR="004E64AA" w:rsidRPr="004E64AA">
        <w:rPr>
          <w:rFonts w:eastAsia="Times New Roman"/>
        </w:rPr>
        <w:t>Slightly more than half of the respondents were in the clinical phase of training (54.8%), while the remainder were in the pre-clinical phase.</w:t>
      </w:r>
      <w:r w:rsidRPr="007D1937">
        <w:rPr>
          <w:rFonts w:eastAsia="Times New Roman"/>
        </w:rPr>
        <w:t xml:space="preserve"> The majority resided in urban settings and reported parental education beyond secondary school. </w:t>
      </w:r>
      <w:r>
        <w:rPr>
          <w:rFonts w:eastAsia="Times New Roman"/>
        </w:rPr>
        <w:t>The monthly</w:t>
      </w:r>
      <w:r w:rsidRPr="007D1937">
        <w:rPr>
          <w:rFonts w:eastAsia="Times New Roman"/>
        </w:rPr>
        <w:t xml:space="preserve"> personal allowance varied, reflecting socio-economic diversity within the student population.</w:t>
      </w:r>
      <w:r w:rsidR="003F453E">
        <w:rPr>
          <w:rFonts w:eastAsia="Times New Roman"/>
        </w:rPr>
        <w:t xml:space="preserve"> </w:t>
      </w:r>
      <w:r w:rsidRPr="007D1937">
        <w:rPr>
          <w:rFonts w:eastAsia="Times New Roman"/>
        </w:rPr>
        <w:t>The distribution of socio-demographic characteristics is presented in Table 1.</w:t>
      </w:r>
    </w:p>
    <w:p w14:paraId="4ECA1E16" w14:textId="6C903327" w:rsidR="007D1937" w:rsidRPr="007D1937" w:rsidRDefault="007D1937" w:rsidP="003F453E">
      <w:pPr>
        <w:spacing w:before="100" w:beforeAutospacing="1" w:after="100" w:afterAutospacing="1" w:line="240" w:lineRule="auto"/>
        <w:rPr>
          <w:rFonts w:eastAsia="Times New Roman"/>
          <w:strike/>
        </w:rPr>
      </w:pPr>
      <w:r w:rsidRPr="007D1937">
        <w:rPr>
          <w:rFonts w:eastAsia="Times New Roman"/>
          <w:b/>
          <w:bCs/>
        </w:rPr>
        <w:t>Table 1. Socio-Demographic Characteristics of Respondents (n = 312)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1953"/>
        <w:gridCol w:w="1754"/>
        <w:gridCol w:w="3048"/>
      </w:tblGrid>
      <w:tr w:rsidR="007D1937" w:rsidRPr="007D1937" w14:paraId="5256DAC8" w14:textId="77777777">
        <w:trPr>
          <w:tblHeader/>
          <w:tblCellSpacing w:w="15" w:type="dxa"/>
        </w:trPr>
        <w:tc>
          <w:tcPr>
            <w:tcW w:w="0" w:type="auto"/>
            <w:vAlign w:val="center"/>
            <w:hideMark/>
          </w:tcPr>
          <w:p w14:paraId="3AF0FF78" w14:textId="77777777" w:rsidR="007D1937" w:rsidRPr="007D1937" w:rsidRDefault="007D1937" w:rsidP="003F453E">
            <w:pPr>
              <w:spacing w:after="0" w:line="240" w:lineRule="auto"/>
              <w:rPr>
                <w:rFonts w:eastAsia="Times New Roman"/>
                <w:b/>
                <w:bCs/>
                <w:strike/>
              </w:rPr>
            </w:pPr>
            <w:r w:rsidRPr="007D1937">
              <w:rPr>
                <w:rFonts w:eastAsia="Times New Roman"/>
                <w:b/>
                <w:bCs/>
              </w:rPr>
              <w:t>Variable</w:t>
            </w:r>
          </w:p>
        </w:tc>
        <w:tc>
          <w:tcPr>
            <w:tcW w:w="0" w:type="auto"/>
            <w:vAlign w:val="center"/>
            <w:hideMark/>
          </w:tcPr>
          <w:p w14:paraId="4A857164" w14:textId="1B2144A9" w:rsidR="007D1937" w:rsidRPr="007D1937" w:rsidRDefault="00FD3C2B"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Category</w:t>
            </w:r>
          </w:p>
        </w:tc>
        <w:tc>
          <w:tcPr>
            <w:tcW w:w="0" w:type="auto"/>
            <w:vAlign w:val="center"/>
            <w:hideMark/>
          </w:tcPr>
          <w:p w14:paraId="7C5BD826" w14:textId="55B6CD87" w:rsidR="007D1937" w:rsidRPr="007D1937" w:rsidRDefault="003F453E"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Frequency</w:t>
            </w:r>
          </w:p>
        </w:tc>
        <w:tc>
          <w:tcPr>
            <w:tcW w:w="0" w:type="auto"/>
            <w:vAlign w:val="center"/>
            <w:hideMark/>
          </w:tcPr>
          <w:p w14:paraId="6A802D4D" w14:textId="34A04EDA" w:rsidR="007D1937" w:rsidRPr="007D1937" w:rsidRDefault="003F453E"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Percentage (%)</w:t>
            </w:r>
          </w:p>
        </w:tc>
      </w:tr>
      <w:tr w:rsidR="007D1937" w:rsidRPr="007D1937" w14:paraId="0F7A0C26" w14:textId="77777777">
        <w:trPr>
          <w:tblCellSpacing w:w="15" w:type="dxa"/>
        </w:trPr>
        <w:tc>
          <w:tcPr>
            <w:tcW w:w="0" w:type="auto"/>
            <w:vAlign w:val="center"/>
            <w:hideMark/>
          </w:tcPr>
          <w:p w14:paraId="69141580" w14:textId="77777777" w:rsidR="007D1937" w:rsidRPr="007D1937" w:rsidRDefault="007D1937" w:rsidP="007D1937">
            <w:pPr>
              <w:spacing w:after="0" w:line="240" w:lineRule="auto"/>
              <w:rPr>
                <w:rFonts w:eastAsia="Times New Roman"/>
                <w:strike/>
              </w:rPr>
            </w:pPr>
            <w:r w:rsidRPr="007D1937">
              <w:rPr>
                <w:rFonts w:eastAsia="Times New Roman"/>
              </w:rPr>
              <w:t>Age (years)</w:t>
            </w:r>
          </w:p>
        </w:tc>
        <w:tc>
          <w:tcPr>
            <w:tcW w:w="0" w:type="auto"/>
            <w:vAlign w:val="center"/>
            <w:hideMark/>
          </w:tcPr>
          <w:p w14:paraId="4289D074" w14:textId="47854C03"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&lt;20</w:t>
            </w:r>
          </w:p>
        </w:tc>
        <w:tc>
          <w:tcPr>
            <w:tcW w:w="0" w:type="auto"/>
            <w:vAlign w:val="center"/>
            <w:hideMark/>
          </w:tcPr>
          <w:p w14:paraId="3C0EBCC5" w14:textId="1FA2C723" w:rsidR="007D1937" w:rsidRPr="007D1937" w:rsidRDefault="003F453E" w:rsidP="007D1937">
            <w:pPr>
              <w:spacing w:after="0" w:line="240" w:lineRule="auto"/>
              <w:rPr>
                <w:rFonts w:eastAsia="Times New Roman"/>
                <w:strike/>
              </w:rPr>
            </w:pPr>
            <w:r>
              <w:rPr>
                <w:rFonts w:eastAsia="Times New Roman"/>
              </w:rPr>
              <w:t xml:space="preserve">                 </w:t>
            </w:r>
            <w:r w:rsidR="00FD3C2B">
              <w:rPr>
                <w:rFonts w:eastAsia="Times New Roman"/>
              </w:rPr>
              <w:t>6</w:t>
            </w:r>
            <w:r w:rsidR="007D1937" w:rsidRPr="007D1937">
              <w:rPr>
                <w:rFonts w:eastAsia="Times New Roman"/>
              </w:rPr>
              <w:t>8</w:t>
            </w:r>
          </w:p>
        </w:tc>
        <w:tc>
          <w:tcPr>
            <w:tcW w:w="0" w:type="auto"/>
            <w:vAlign w:val="center"/>
            <w:hideMark/>
          </w:tcPr>
          <w:p w14:paraId="1C6CA81C" w14:textId="6099F2B7"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21.8</w:t>
            </w:r>
          </w:p>
        </w:tc>
      </w:tr>
      <w:tr w:rsidR="007D1937" w:rsidRPr="007D1937" w14:paraId="032B3E9C" w14:textId="77777777">
        <w:trPr>
          <w:tblCellSpacing w:w="15" w:type="dxa"/>
        </w:trPr>
        <w:tc>
          <w:tcPr>
            <w:tcW w:w="0" w:type="auto"/>
            <w:vAlign w:val="center"/>
            <w:hideMark/>
          </w:tcPr>
          <w:p w14:paraId="5830B657" w14:textId="77777777" w:rsidR="007D1937" w:rsidRPr="007D1937" w:rsidRDefault="007D1937" w:rsidP="007D1937">
            <w:pPr>
              <w:spacing w:after="0" w:line="240" w:lineRule="auto"/>
              <w:rPr>
                <w:rFonts w:eastAsia="Times New Roman"/>
                <w:strike/>
              </w:rPr>
            </w:pPr>
          </w:p>
        </w:tc>
        <w:tc>
          <w:tcPr>
            <w:tcW w:w="0" w:type="auto"/>
            <w:vAlign w:val="center"/>
            <w:hideMark/>
          </w:tcPr>
          <w:p w14:paraId="5FD00BB5" w14:textId="7E8ACF3B"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20–24</w:t>
            </w:r>
          </w:p>
        </w:tc>
        <w:tc>
          <w:tcPr>
            <w:tcW w:w="0" w:type="auto"/>
            <w:vAlign w:val="center"/>
            <w:hideMark/>
          </w:tcPr>
          <w:p w14:paraId="4B5E125E" w14:textId="1A632E44"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w:t>
            </w:r>
            <w:r w:rsidR="00FD3C2B">
              <w:rPr>
                <w:rFonts w:eastAsia="Times New Roman"/>
              </w:rPr>
              <w:t>9</w:t>
            </w:r>
            <w:r w:rsidR="007D1937" w:rsidRPr="007D1937">
              <w:rPr>
                <w:rFonts w:eastAsia="Times New Roman"/>
              </w:rPr>
              <w:t>2</w:t>
            </w:r>
          </w:p>
        </w:tc>
        <w:tc>
          <w:tcPr>
            <w:tcW w:w="0" w:type="auto"/>
            <w:vAlign w:val="center"/>
            <w:hideMark/>
          </w:tcPr>
          <w:p w14:paraId="72F38466" w14:textId="742ABDAA"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61.5</w:t>
            </w:r>
          </w:p>
        </w:tc>
      </w:tr>
      <w:tr w:rsidR="007D1937" w:rsidRPr="007D1937" w14:paraId="4E846B0A" w14:textId="77777777">
        <w:trPr>
          <w:tblCellSpacing w:w="15" w:type="dxa"/>
        </w:trPr>
        <w:tc>
          <w:tcPr>
            <w:tcW w:w="0" w:type="auto"/>
            <w:vAlign w:val="center"/>
            <w:hideMark/>
          </w:tcPr>
          <w:p w14:paraId="2D0D9C66" w14:textId="77777777" w:rsidR="007D1937" w:rsidRPr="007D1937" w:rsidRDefault="007D1937" w:rsidP="007D1937">
            <w:pPr>
              <w:spacing w:after="0" w:line="240" w:lineRule="auto"/>
              <w:rPr>
                <w:rFonts w:eastAsia="Times New Roman"/>
                <w:strike/>
              </w:rPr>
            </w:pPr>
          </w:p>
        </w:tc>
        <w:tc>
          <w:tcPr>
            <w:tcW w:w="0" w:type="auto"/>
            <w:vAlign w:val="center"/>
            <w:hideMark/>
          </w:tcPr>
          <w:p w14:paraId="7E35B198" w14:textId="10B6D04A"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≥25</w:t>
            </w:r>
          </w:p>
        </w:tc>
        <w:tc>
          <w:tcPr>
            <w:tcW w:w="0" w:type="auto"/>
            <w:vAlign w:val="center"/>
            <w:hideMark/>
          </w:tcPr>
          <w:p w14:paraId="6CEB226E" w14:textId="3F26176E"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52</w:t>
            </w:r>
          </w:p>
        </w:tc>
        <w:tc>
          <w:tcPr>
            <w:tcW w:w="0" w:type="auto"/>
            <w:vAlign w:val="center"/>
            <w:hideMark/>
          </w:tcPr>
          <w:p w14:paraId="1394CCE0" w14:textId="49DBB068"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16.7</w:t>
            </w:r>
          </w:p>
        </w:tc>
      </w:tr>
      <w:tr w:rsidR="007D1937" w:rsidRPr="007D1937" w14:paraId="69894219" w14:textId="77777777">
        <w:trPr>
          <w:tblCellSpacing w:w="15" w:type="dxa"/>
        </w:trPr>
        <w:tc>
          <w:tcPr>
            <w:tcW w:w="0" w:type="auto"/>
            <w:vAlign w:val="center"/>
            <w:hideMark/>
          </w:tcPr>
          <w:p w14:paraId="25731B3A" w14:textId="77777777" w:rsidR="00FD3C2B" w:rsidRDefault="007D1937" w:rsidP="007D1937">
            <w:pPr>
              <w:spacing w:after="0" w:line="240" w:lineRule="auto"/>
              <w:rPr>
                <w:rFonts w:eastAsia="Times New Roman"/>
              </w:rPr>
            </w:pPr>
            <w:r w:rsidRPr="007D1937">
              <w:rPr>
                <w:rFonts w:eastAsia="Times New Roman"/>
              </w:rPr>
              <w:t>Academic level</w:t>
            </w:r>
            <w:r w:rsidR="00FD3C2B">
              <w:rPr>
                <w:rFonts w:eastAsia="Times New Roman"/>
              </w:rPr>
              <w:t xml:space="preserve">   </w:t>
            </w:r>
          </w:p>
          <w:p w14:paraId="490B4B47" w14:textId="3E04E320" w:rsidR="00FD3C2B" w:rsidRPr="00FD3C2B" w:rsidRDefault="00FD3C2B" w:rsidP="007D1937">
            <w:pPr>
              <w:spacing w:after="0" w:line="240" w:lineRule="auto"/>
              <w:rPr>
                <w:rFonts w:eastAsia="Times New Roman"/>
              </w:rPr>
            </w:pPr>
          </w:p>
        </w:tc>
        <w:tc>
          <w:tcPr>
            <w:tcW w:w="0" w:type="auto"/>
            <w:vAlign w:val="center"/>
            <w:hideMark/>
          </w:tcPr>
          <w:p w14:paraId="5153CB2B" w14:textId="57681848"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 xml:space="preserve">  </w:t>
            </w:r>
            <w:r w:rsidR="005F1023">
              <w:rPr>
                <w:rFonts w:eastAsia="Times New Roman"/>
              </w:rPr>
              <w:t xml:space="preserve"> </w:t>
            </w:r>
            <w:r w:rsidR="00FD3C2B" w:rsidRPr="00FD3C2B">
              <w:rPr>
                <w:rFonts w:eastAsia="Times New Roman"/>
              </w:rPr>
              <w:t xml:space="preserve">Pre-clinicals </w:t>
            </w:r>
          </w:p>
        </w:tc>
        <w:tc>
          <w:tcPr>
            <w:tcW w:w="0" w:type="auto"/>
            <w:vAlign w:val="center"/>
            <w:hideMark/>
          </w:tcPr>
          <w:p w14:paraId="16A60B70" w14:textId="70031989" w:rsidR="007D1937" w:rsidRPr="00FD3C2B"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14</w:t>
            </w:r>
            <w:r w:rsidR="00FD3C2B">
              <w:rPr>
                <w:rFonts w:eastAsia="Times New Roman"/>
              </w:rPr>
              <w:t>1</w:t>
            </w:r>
          </w:p>
        </w:tc>
        <w:tc>
          <w:tcPr>
            <w:tcW w:w="0" w:type="auto"/>
            <w:vAlign w:val="center"/>
            <w:hideMark/>
          </w:tcPr>
          <w:p w14:paraId="7B1180DB" w14:textId="316E262C"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45.2</w:t>
            </w:r>
          </w:p>
        </w:tc>
      </w:tr>
      <w:tr w:rsidR="007D1937" w:rsidRPr="007D1937" w14:paraId="70D6E9D2" w14:textId="77777777">
        <w:trPr>
          <w:tblCellSpacing w:w="15" w:type="dxa"/>
        </w:trPr>
        <w:tc>
          <w:tcPr>
            <w:tcW w:w="0" w:type="auto"/>
            <w:vAlign w:val="center"/>
            <w:hideMark/>
          </w:tcPr>
          <w:p w14:paraId="51B9B2B1" w14:textId="77777777" w:rsidR="007D1937" w:rsidRPr="007D1937" w:rsidRDefault="007D1937" w:rsidP="007D1937">
            <w:pPr>
              <w:spacing w:after="0" w:line="240" w:lineRule="auto"/>
              <w:rPr>
                <w:rFonts w:eastAsia="Times New Roman"/>
                <w:strike/>
              </w:rPr>
            </w:pPr>
          </w:p>
        </w:tc>
        <w:tc>
          <w:tcPr>
            <w:tcW w:w="0" w:type="auto"/>
            <w:vAlign w:val="center"/>
            <w:hideMark/>
          </w:tcPr>
          <w:p w14:paraId="5C090292" w14:textId="3A05C1E4"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 xml:space="preserve">  </w:t>
            </w:r>
            <w:r w:rsidR="005F1023">
              <w:rPr>
                <w:rFonts w:eastAsia="Times New Roman"/>
              </w:rPr>
              <w:t xml:space="preserve"> </w:t>
            </w:r>
            <w:r w:rsidR="00FD3C2B">
              <w:rPr>
                <w:rFonts w:eastAsia="Times New Roman"/>
              </w:rPr>
              <w:t>Clinicals</w:t>
            </w:r>
          </w:p>
        </w:tc>
        <w:tc>
          <w:tcPr>
            <w:tcW w:w="0" w:type="auto"/>
            <w:vAlign w:val="center"/>
            <w:hideMark/>
          </w:tcPr>
          <w:p w14:paraId="60B485CF" w14:textId="2E3CCC9D" w:rsidR="007D1937" w:rsidRPr="00FD3C2B"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1</w:t>
            </w:r>
            <w:r w:rsidR="00FD3C2B">
              <w:rPr>
                <w:rFonts w:eastAsia="Times New Roman"/>
              </w:rPr>
              <w:t>71</w:t>
            </w:r>
          </w:p>
        </w:tc>
        <w:tc>
          <w:tcPr>
            <w:tcW w:w="0" w:type="auto"/>
            <w:vAlign w:val="center"/>
            <w:hideMark/>
          </w:tcPr>
          <w:p w14:paraId="087E5030" w14:textId="1173F2F0" w:rsidR="007D1937" w:rsidRPr="00FD3C2B" w:rsidRDefault="003F453E" w:rsidP="007D1937">
            <w:pPr>
              <w:spacing w:after="0" w:line="240" w:lineRule="auto"/>
              <w:rPr>
                <w:rFonts w:eastAsia="Times New Roman"/>
                <w:strike/>
              </w:rPr>
            </w:pPr>
            <w:r>
              <w:rPr>
                <w:rFonts w:eastAsia="Times New Roman"/>
              </w:rPr>
              <w:t xml:space="preserve">                             </w:t>
            </w:r>
            <w:r w:rsidR="00FD3C2B">
              <w:rPr>
                <w:rFonts w:eastAsia="Times New Roman"/>
              </w:rPr>
              <w:t>54.8</w:t>
            </w:r>
          </w:p>
        </w:tc>
      </w:tr>
      <w:tr w:rsidR="007D1937" w:rsidRPr="007D1937" w14:paraId="2B04E5C8" w14:textId="77777777">
        <w:trPr>
          <w:tblCellSpacing w:w="15" w:type="dxa"/>
        </w:trPr>
        <w:tc>
          <w:tcPr>
            <w:tcW w:w="0" w:type="auto"/>
            <w:vAlign w:val="center"/>
            <w:hideMark/>
          </w:tcPr>
          <w:p w14:paraId="7FD519D1" w14:textId="77777777" w:rsidR="007D1937" w:rsidRPr="007D1937" w:rsidRDefault="007D1937" w:rsidP="007D1937">
            <w:pPr>
              <w:spacing w:after="0" w:line="240" w:lineRule="auto"/>
              <w:rPr>
                <w:rFonts w:eastAsia="Times New Roman"/>
                <w:strike/>
              </w:rPr>
            </w:pPr>
            <w:r w:rsidRPr="007D1937">
              <w:rPr>
                <w:rFonts w:eastAsia="Times New Roman"/>
              </w:rPr>
              <w:t>Residence</w:t>
            </w:r>
          </w:p>
        </w:tc>
        <w:tc>
          <w:tcPr>
            <w:tcW w:w="0" w:type="auto"/>
            <w:vAlign w:val="center"/>
            <w:hideMark/>
          </w:tcPr>
          <w:p w14:paraId="2D4C62EF" w14:textId="35917BF7"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Urban</w:t>
            </w:r>
          </w:p>
        </w:tc>
        <w:tc>
          <w:tcPr>
            <w:tcW w:w="0" w:type="auto"/>
            <w:vAlign w:val="center"/>
            <w:hideMark/>
          </w:tcPr>
          <w:p w14:paraId="667C35FA" w14:textId="6ECC6024"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214</w:t>
            </w:r>
          </w:p>
        </w:tc>
        <w:tc>
          <w:tcPr>
            <w:tcW w:w="0" w:type="auto"/>
            <w:vAlign w:val="center"/>
            <w:hideMark/>
          </w:tcPr>
          <w:p w14:paraId="462F98C7" w14:textId="232E9851"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68.6</w:t>
            </w:r>
          </w:p>
        </w:tc>
      </w:tr>
      <w:tr w:rsidR="007D1937" w:rsidRPr="007D1937" w14:paraId="20984A51" w14:textId="77777777">
        <w:trPr>
          <w:tblCellSpacing w:w="15" w:type="dxa"/>
        </w:trPr>
        <w:tc>
          <w:tcPr>
            <w:tcW w:w="0" w:type="auto"/>
            <w:vAlign w:val="center"/>
            <w:hideMark/>
          </w:tcPr>
          <w:p w14:paraId="75EFFB2D" w14:textId="77777777" w:rsidR="007D1937" w:rsidRPr="007D1937" w:rsidRDefault="007D1937" w:rsidP="007D1937">
            <w:pPr>
              <w:spacing w:after="0" w:line="240" w:lineRule="auto"/>
              <w:rPr>
                <w:rFonts w:eastAsia="Times New Roman"/>
                <w:strike/>
              </w:rPr>
            </w:pPr>
          </w:p>
        </w:tc>
        <w:tc>
          <w:tcPr>
            <w:tcW w:w="0" w:type="auto"/>
            <w:vAlign w:val="center"/>
            <w:hideMark/>
          </w:tcPr>
          <w:p w14:paraId="1283DF2B" w14:textId="4F95E218"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Peri-urban/rural</w:t>
            </w:r>
          </w:p>
        </w:tc>
        <w:tc>
          <w:tcPr>
            <w:tcW w:w="0" w:type="auto"/>
            <w:vAlign w:val="center"/>
            <w:hideMark/>
          </w:tcPr>
          <w:p w14:paraId="681524CC" w14:textId="42486E96"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98</w:t>
            </w:r>
          </w:p>
        </w:tc>
        <w:tc>
          <w:tcPr>
            <w:tcW w:w="0" w:type="auto"/>
            <w:vAlign w:val="center"/>
            <w:hideMark/>
          </w:tcPr>
          <w:p w14:paraId="0E319E73" w14:textId="165705A9"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31.4</w:t>
            </w:r>
          </w:p>
        </w:tc>
      </w:tr>
      <w:tr w:rsidR="007D1937" w:rsidRPr="007D1937" w14:paraId="11DA75EB" w14:textId="77777777">
        <w:trPr>
          <w:tblCellSpacing w:w="15" w:type="dxa"/>
        </w:trPr>
        <w:tc>
          <w:tcPr>
            <w:tcW w:w="0" w:type="auto"/>
            <w:vAlign w:val="center"/>
            <w:hideMark/>
          </w:tcPr>
          <w:p w14:paraId="0D67C32C" w14:textId="77777777" w:rsidR="007D1937" w:rsidRPr="007D1937" w:rsidRDefault="007D1937" w:rsidP="007D1937">
            <w:pPr>
              <w:spacing w:after="0" w:line="240" w:lineRule="auto"/>
              <w:rPr>
                <w:rFonts w:eastAsia="Times New Roman"/>
                <w:strike/>
              </w:rPr>
            </w:pPr>
            <w:r w:rsidRPr="007D1937">
              <w:rPr>
                <w:rFonts w:eastAsia="Times New Roman"/>
              </w:rPr>
              <w:t>Mother’s education</w:t>
            </w:r>
          </w:p>
        </w:tc>
        <w:tc>
          <w:tcPr>
            <w:tcW w:w="0" w:type="auto"/>
            <w:vAlign w:val="center"/>
            <w:hideMark/>
          </w:tcPr>
          <w:p w14:paraId="60B715DF" w14:textId="287E6D61"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≤Secondary</w:t>
            </w:r>
          </w:p>
        </w:tc>
        <w:tc>
          <w:tcPr>
            <w:tcW w:w="0" w:type="auto"/>
            <w:vAlign w:val="center"/>
            <w:hideMark/>
          </w:tcPr>
          <w:p w14:paraId="6ACEF043" w14:textId="4F786D4E" w:rsidR="007D1937" w:rsidRPr="007D1937" w:rsidRDefault="003F453E" w:rsidP="007D1937">
            <w:pPr>
              <w:spacing w:after="0" w:line="240" w:lineRule="auto"/>
              <w:rPr>
                <w:rFonts w:eastAsia="Times New Roman"/>
                <w:strike/>
              </w:rPr>
            </w:pPr>
            <w:r>
              <w:rPr>
                <w:rFonts w:eastAsia="Times New Roman"/>
              </w:rPr>
              <w:t xml:space="preserve">              </w:t>
            </w:r>
            <w:r w:rsidR="005F1023">
              <w:rPr>
                <w:rFonts w:eastAsia="Times New Roman"/>
              </w:rPr>
              <w:t xml:space="preserve"> </w:t>
            </w:r>
            <w:r w:rsidR="007D1937" w:rsidRPr="007D1937">
              <w:rPr>
                <w:rFonts w:eastAsia="Times New Roman"/>
              </w:rPr>
              <w:t>102</w:t>
            </w:r>
          </w:p>
        </w:tc>
        <w:tc>
          <w:tcPr>
            <w:tcW w:w="0" w:type="auto"/>
            <w:vAlign w:val="center"/>
            <w:hideMark/>
          </w:tcPr>
          <w:p w14:paraId="1FE43BE5" w14:textId="50297D72"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32.7</w:t>
            </w:r>
          </w:p>
        </w:tc>
      </w:tr>
      <w:tr w:rsidR="007D1937" w:rsidRPr="007D1937" w14:paraId="56C07581" w14:textId="77777777">
        <w:trPr>
          <w:tblCellSpacing w:w="15" w:type="dxa"/>
        </w:trPr>
        <w:tc>
          <w:tcPr>
            <w:tcW w:w="0" w:type="auto"/>
            <w:vAlign w:val="center"/>
            <w:hideMark/>
          </w:tcPr>
          <w:p w14:paraId="04EA74EB" w14:textId="77777777" w:rsidR="007D1937" w:rsidRPr="007D1937" w:rsidRDefault="007D1937" w:rsidP="007D1937">
            <w:pPr>
              <w:spacing w:after="0" w:line="240" w:lineRule="auto"/>
              <w:rPr>
                <w:rFonts w:eastAsia="Times New Roman"/>
                <w:strike/>
              </w:rPr>
            </w:pPr>
          </w:p>
        </w:tc>
        <w:tc>
          <w:tcPr>
            <w:tcW w:w="0" w:type="auto"/>
            <w:vAlign w:val="center"/>
            <w:hideMark/>
          </w:tcPr>
          <w:p w14:paraId="319405DB" w14:textId="54CFEDD2"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&gt;Secondary</w:t>
            </w:r>
          </w:p>
        </w:tc>
        <w:tc>
          <w:tcPr>
            <w:tcW w:w="0" w:type="auto"/>
            <w:vAlign w:val="center"/>
            <w:hideMark/>
          </w:tcPr>
          <w:p w14:paraId="16B17C07" w14:textId="5A06196F" w:rsidR="007D1937" w:rsidRPr="007D1937" w:rsidRDefault="003F453E" w:rsidP="007D1937">
            <w:pPr>
              <w:spacing w:after="0" w:line="240" w:lineRule="auto"/>
              <w:rPr>
                <w:rFonts w:eastAsia="Times New Roman"/>
                <w:strike/>
              </w:rPr>
            </w:pPr>
            <w:r>
              <w:rPr>
                <w:rFonts w:eastAsia="Times New Roman"/>
              </w:rPr>
              <w:t xml:space="preserve">              </w:t>
            </w:r>
            <w:r w:rsidR="005F1023">
              <w:rPr>
                <w:rFonts w:eastAsia="Times New Roman"/>
              </w:rPr>
              <w:t xml:space="preserve"> </w:t>
            </w:r>
            <w:r w:rsidR="007D1937" w:rsidRPr="007D1937">
              <w:rPr>
                <w:rFonts w:eastAsia="Times New Roman"/>
              </w:rPr>
              <w:t>210</w:t>
            </w:r>
          </w:p>
        </w:tc>
        <w:tc>
          <w:tcPr>
            <w:tcW w:w="0" w:type="auto"/>
            <w:vAlign w:val="center"/>
            <w:hideMark/>
          </w:tcPr>
          <w:p w14:paraId="31EFC760" w14:textId="78C31933"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67.3</w:t>
            </w:r>
          </w:p>
        </w:tc>
      </w:tr>
      <w:tr w:rsidR="007D1937" w:rsidRPr="007D1937" w14:paraId="0D947B29" w14:textId="77777777">
        <w:trPr>
          <w:tblCellSpacing w:w="15" w:type="dxa"/>
        </w:trPr>
        <w:tc>
          <w:tcPr>
            <w:tcW w:w="0" w:type="auto"/>
            <w:vAlign w:val="center"/>
            <w:hideMark/>
          </w:tcPr>
          <w:p w14:paraId="3068C894" w14:textId="77777777" w:rsidR="007D1937" w:rsidRPr="007D1937" w:rsidRDefault="007D1937" w:rsidP="007D1937">
            <w:pPr>
              <w:spacing w:after="0" w:line="240" w:lineRule="auto"/>
              <w:rPr>
                <w:rFonts w:eastAsia="Times New Roman"/>
                <w:strike/>
              </w:rPr>
            </w:pPr>
            <w:r w:rsidRPr="007D1937">
              <w:rPr>
                <w:rFonts w:eastAsia="Times New Roman"/>
              </w:rPr>
              <w:t>Monthly allowance</w:t>
            </w:r>
          </w:p>
        </w:tc>
        <w:tc>
          <w:tcPr>
            <w:tcW w:w="0" w:type="auto"/>
            <w:vAlign w:val="center"/>
            <w:hideMark/>
          </w:tcPr>
          <w:p w14:paraId="3EE3B320" w14:textId="26415BCE"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Low</w:t>
            </w:r>
          </w:p>
        </w:tc>
        <w:tc>
          <w:tcPr>
            <w:tcW w:w="0" w:type="auto"/>
            <w:vAlign w:val="center"/>
            <w:hideMark/>
          </w:tcPr>
          <w:p w14:paraId="405BB8E7" w14:textId="791665F6"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96</w:t>
            </w:r>
          </w:p>
        </w:tc>
        <w:tc>
          <w:tcPr>
            <w:tcW w:w="0" w:type="auto"/>
            <w:vAlign w:val="center"/>
            <w:hideMark/>
          </w:tcPr>
          <w:p w14:paraId="19D14D70" w14:textId="5A53F921"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30.8</w:t>
            </w:r>
          </w:p>
        </w:tc>
      </w:tr>
      <w:tr w:rsidR="007D1937" w:rsidRPr="007D1937" w14:paraId="62582D67" w14:textId="77777777">
        <w:trPr>
          <w:tblCellSpacing w:w="15" w:type="dxa"/>
        </w:trPr>
        <w:tc>
          <w:tcPr>
            <w:tcW w:w="0" w:type="auto"/>
            <w:vAlign w:val="center"/>
            <w:hideMark/>
          </w:tcPr>
          <w:p w14:paraId="14459396" w14:textId="77777777" w:rsidR="007D1937" w:rsidRPr="007D1937" w:rsidRDefault="007D1937" w:rsidP="007D1937">
            <w:pPr>
              <w:spacing w:after="0" w:line="240" w:lineRule="auto"/>
              <w:rPr>
                <w:rFonts w:eastAsia="Times New Roman"/>
                <w:strike/>
              </w:rPr>
            </w:pPr>
          </w:p>
        </w:tc>
        <w:tc>
          <w:tcPr>
            <w:tcW w:w="0" w:type="auto"/>
            <w:vAlign w:val="center"/>
            <w:hideMark/>
          </w:tcPr>
          <w:p w14:paraId="4C3BA41A" w14:textId="1083AAEF"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Moderate/high</w:t>
            </w:r>
          </w:p>
        </w:tc>
        <w:tc>
          <w:tcPr>
            <w:tcW w:w="0" w:type="auto"/>
            <w:vAlign w:val="center"/>
            <w:hideMark/>
          </w:tcPr>
          <w:p w14:paraId="271365A5" w14:textId="370A97D5" w:rsidR="007D1937" w:rsidRPr="007D1937" w:rsidRDefault="003F453E" w:rsidP="007D1937">
            <w:pPr>
              <w:spacing w:after="0" w:line="240" w:lineRule="auto"/>
              <w:rPr>
                <w:rFonts w:eastAsia="Times New Roman"/>
                <w:strike/>
              </w:rPr>
            </w:pPr>
            <w:r>
              <w:rPr>
                <w:rFonts w:eastAsia="Times New Roman"/>
              </w:rPr>
              <w:t xml:space="preserve">              </w:t>
            </w:r>
            <w:r w:rsidR="005F1023">
              <w:rPr>
                <w:rFonts w:eastAsia="Times New Roman"/>
              </w:rPr>
              <w:t xml:space="preserve"> </w:t>
            </w:r>
            <w:r w:rsidR="007D1937" w:rsidRPr="007D1937">
              <w:rPr>
                <w:rFonts w:eastAsia="Times New Roman"/>
              </w:rPr>
              <w:t>216</w:t>
            </w:r>
          </w:p>
        </w:tc>
        <w:tc>
          <w:tcPr>
            <w:tcW w:w="0" w:type="auto"/>
            <w:vAlign w:val="center"/>
            <w:hideMark/>
          </w:tcPr>
          <w:p w14:paraId="2E2F2982" w14:textId="45F989C6" w:rsidR="007D1937" w:rsidRPr="007D1937" w:rsidRDefault="003F453E" w:rsidP="007D1937">
            <w:pPr>
              <w:spacing w:after="0" w:line="240" w:lineRule="auto"/>
              <w:rPr>
                <w:rFonts w:eastAsia="Times New Roman"/>
                <w:strike/>
              </w:rPr>
            </w:pPr>
            <w:r>
              <w:rPr>
                <w:rFonts w:eastAsia="Times New Roman"/>
              </w:rPr>
              <w:t xml:space="preserve">                             </w:t>
            </w:r>
            <w:r w:rsidR="007D1937" w:rsidRPr="007D1937">
              <w:rPr>
                <w:rFonts w:eastAsia="Times New Roman"/>
              </w:rPr>
              <w:t>69.2</w:t>
            </w:r>
          </w:p>
        </w:tc>
      </w:tr>
    </w:tbl>
    <w:p w14:paraId="0B2BC9B4" w14:textId="348C657F" w:rsidR="007D1937" w:rsidRPr="007D1937" w:rsidRDefault="00F05619" w:rsidP="007D1937">
      <w:pPr>
        <w:spacing w:before="100" w:beforeAutospacing="1" w:after="100" w:afterAutospacing="1" w:line="240" w:lineRule="auto"/>
        <w:outlineLvl w:val="1"/>
        <w:rPr>
          <w:rFonts w:eastAsia="Times New Roman"/>
          <w:b/>
          <w:bCs/>
          <w:strike/>
        </w:rPr>
      </w:pPr>
      <w:r>
        <w:rPr>
          <w:rFonts w:eastAsia="Times New Roman"/>
          <w:b/>
          <w:bCs/>
        </w:rPr>
        <w:t>Classification</w:t>
      </w:r>
      <w:r w:rsidR="007D1937" w:rsidRPr="007D1937">
        <w:rPr>
          <w:rFonts w:eastAsia="Times New Roman"/>
          <w:b/>
          <w:bCs/>
        </w:rPr>
        <w:t xml:space="preserve"> of Menstrual Hygiene Behaviour</w:t>
      </w:r>
    </w:p>
    <w:p w14:paraId="300B476B" w14:textId="55134C8A" w:rsidR="009E4FA1" w:rsidRPr="009C6083" w:rsidRDefault="007D1937" w:rsidP="009E4FA1">
      <w:pPr>
        <w:spacing w:before="100" w:beforeAutospacing="1" w:after="100" w:afterAutospacing="1" w:line="240" w:lineRule="auto"/>
        <w:rPr>
          <w:rFonts w:eastAsia="Times New Roman"/>
          <w:strike/>
        </w:rPr>
      </w:pPr>
      <w:r w:rsidRPr="007D1937">
        <w:rPr>
          <w:rFonts w:eastAsia="Times New Roman"/>
        </w:rPr>
        <w:t xml:space="preserve">Menstrual hygiene behaviour scores were summarised into ordinal categories. Slightly more than half of </w:t>
      </w:r>
      <w:r w:rsidR="00A43F02">
        <w:rPr>
          <w:rFonts w:eastAsia="Times New Roman"/>
        </w:rPr>
        <w:t xml:space="preserve">the </w:t>
      </w:r>
      <w:r w:rsidRPr="007D1937">
        <w:rPr>
          <w:rFonts w:eastAsia="Times New Roman"/>
        </w:rPr>
        <w:t>respondents demonstrated good menstrual hygiene behaviour, while others fell into fair or poor categories.</w:t>
      </w:r>
      <w:r w:rsidR="009E4FA1">
        <w:rPr>
          <w:rFonts w:eastAsia="Times New Roman"/>
        </w:rPr>
        <w:t xml:space="preserve"> </w:t>
      </w:r>
      <w:r w:rsidRPr="007D1937">
        <w:rPr>
          <w:rFonts w:eastAsia="Times New Roman"/>
        </w:rPr>
        <w:t>The distribution of behavioural outcomes is shown in Table 2.</w:t>
      </w:r>
    </w:p>
    <w:p w14:paraId="6BC0A9E0" w14:textId="77B684A3" w:rsidR="007D1937" w:rsidRPr="007D1937" w:rsidRDefault="007D1937" w:rsidP="009E4FA1">
      <w:pPr>
        <w:spacing w:before="100" w:beforeAutospacing="1" w:after="100" w:afterAutospacing="1" w:line="240" w:lineRule="auto"/>
        <w:rPr>
          <w:rFonts w:eastAsia="Times New Roman"/>
          <w:strike/>
        </w:rPr>
      </w:pPr>
      <w:r w:rsidRPr="007D1937">
        <w:rPr>
          <w:rFonts w:eastAsia="Times New Roman"/>
          <w:b/>
          <w:bCs/>
        </w:rPr>
        <w:t>Table 2. Menstrual Hygiene Behaviour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2"/>
        <w:gridCol w:w="1754"/>
        <w:gridCol w:w="4068"/>
      </w:tblGrid>
      <w:tr w:rsidR="009E4FA1" w:rsidRPr="007D1937" w14:paraId="38C45424" w14:textId="77777777">
        <w:trPr>
          <w:tblHeader/>
          <w:tblCellSpacing w:w="15" w:type="dxa"/>
        </w:trPr>
        <w:tc>
          <w:tcPr>
            <w:tcW w:w="0" w:type="auto"/>
            <w:vAlign w:val="center"/>
            <w:hideMark/>
          </w:tcPr>
          <w:p w14:paraId="5941E7AA" w14:textId="77777777" w:rsidR="007D1937" w:rsidRPr="007D1937" w:rsidRDefault="007D1937" w:rsidP="007D1937">
            <w:pPr>
              <w:spacing w:after="0" w:line="240" w:lineRule="auto"/>
              <w:jc w:val="center"/>
              <w:rPr>
                <w:rFonts w:eastAsia="Times New Roman"/>
                <w:b/>
                <w:bCs/>
                <w:strike/>
              </w:rPr>
            </w:pPr>
            <w:r w:rsidRPr="007D1937">
              <w:rPr>
                <w:rFonts w:eastAsia="Times New Roman"/>
                <w:b/>
                <w:bCs/>
              </w:rPr>
              <w:t>Behaviour category</w:t>
            </w:r>
          </w:p>
        </w:tc>
        <w:tc>
          <w:tcPr>
            <w:tcW w:w="0" w:type="auto"/>
            <w:vAlign w:val="center"/>
            <w:hideMark/>
          </w:tcPr>
          <w:p w14:paraId="5061572C" w14:textId="20BFA813" w:rsidR="007D1937" w:rsidRPr="007D1937" w:rsidRDefault="009E4FA1"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Frequency</w:t>
            </w:r>
          </w:p>
        </w:tc>
        <w:tc>
          <w:tcPr>
            <w:tcW w:w="0" w:type="auto"/>
            <w:vAlign w:val="center"/>
            <w:hideMark/>
          </w:tcPr>
          <w:p w14:paraId="415A1AD6" w14:textId="3DB07B1E" w:rsidR="007D1937" w:rsidRPr="007D1937" w:rsidRDefault="009E4FA1"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Percentage (%)</w:t>
            </w:r>
          </w:p>
        </w:tc>
      </w:tr>
      <w:tr w:rsidR="009E4FA1" w:rsidRPr="007D1937" w14:paraId="2C41A7DA" w14:textId="77777777">
        <w:trPr>
          <w:tblCellSpacing w:w="15" w:type="dxa"/>
        </w:trPr>
        <w:tc>
          <w:tcPr>
            <w:tcW w:w="0" w:type="auto"/>
            <w:vAlign w:val="center"/>
            <w:hideMark/>
          </w:tcPr>
          <w:p w14:paraId="5EDCBF18" w14:textId="77777777" w:rsidR="007D1937" w:rsidRPr="007D1937" w:rsidRDefault="007D1937" w:rsidP="007D1937">
            <w:pPr>
              <w:spacing w:after="0" w:line="240" w:lineRule="auto"/>
              <w:rPr>
                <w:rFonts w:eastAsia="Times New Roman"/>
                <w:strike/>
              </w:rPr>
            </w:pPr>
            <w:r w:rsidRPr="007D1937">
              <w:rPr>
                <w:rFonts w:eastAsia="Times New Roman"/>
              </w:rPr>
              <w:t>Poor</w:t>
            </w:r>
          </w:p>
        </w:tc>
        <w:tc>
          <w:tcPr>
            <w:tcW w:w="0" w:type="auto"/>
            <w:vAlign w:val="center"/>
            <w:hideMark/>
          </w:tcPr>
          <w:p w14:paraId="559BE9A3" w14:textId="54ED4A32" w:rsidR="007D1937" w:rsidRPr="00DA4FF9" w:rsidRDefault="009E4FA1" w:rsidP="007D1937">
            <w:pPr>
              <w:spacing w:after="0" w:line="240" w:lineRule="auto"/>
              <w:rPr>
                <w:rFonts w:eastAsia="Times New Roman"/>
                <w:strike/>
              </w:rPr>
            </w:pPr>
            <w:r>
              <w:rPr>
                <w:rFonts w:eastAsia="Times New Roman"/>
              </w:rPr>
              <w:t xml:space="preserve">                </w:t>
            </w:r>
            <w:r w:rsidR="00DA4FF9">
              <w:rPr>
                <w:rFonts w:eastAsia="Times New Roman"/>
              </w:rPr>
              <w:t>55</w:t>
            </w:r>
          </w:p>
        </w:tc>
        <w:tc>
          <w:tcPr>
            <w:tcW w:w="0" w:type="auto"/>
            <w:vAlign w:val="center"/>
            <w:hideMark/>
          </w:tcPr>
          <w:p w14:paraId="595EFDF6" w14:textId="7F73CD6C" w:rsidR="007D1937" w:rsidRPr="00DA4FF9" w:rsidRDefault="009E4FA1" w:rsidP="007D1937">
            <w:pPr>
              <w:spacing w:after="0" w:line="240" w:lineRule="auto"/>
              <w:rPr>
                <w:rFonts w:eastAsia="Times New Roman"/>
                <w:strike/>
              </w:rPr>
            </w:pPr>
            <w:r>
              <w:rPr>
                <w:rFonts w:eastAsia="Times New Roman"/>
              </w:rPr>
              <w:t xml:space="preserve">                                                     </w:t>
            </w:r>
            <w:r w:rsidR="00DA4FF9">
              <w:rPr>
                <w:rFonts w:eastAsia="Times New Roman"/>
              </w:rPr>
              <w:t>17.6</w:t>
            </w:r>
          </w:p>
        </w:tc>
      </w:tr>
      <w:tr w:rsidR="009E4FA1" w:rsidRPr="007D1937" w14:paraId="66961C79" w14:textId="77777777">
        <w:trPr>
          <w:tblCellSpacing w:w="15" w:type="dxa"/>
        </w:trPr>
        <w:tc>
          <w:tcPr>
            <w:tcW w:w="0" w:type="auto"/>
            <w:vAlign w:val="center"/>
            <w:hideMark/>
          </w:tcPr>
          <w:p w14:paraId="6DD115BB" w14:textId="77777777" w:rsidR="007D1937" w:rsidRPr="007D1937" w:rsidRDefault="007D1937" w:rsidP="007D1937">
            <w:pPr>
              <w:spacing w:after="0" w:line="240" w:lineRule="auto"/>
              <w:rPr>
                <w:rFonts w:eastAsia="Times New Roman"/>
                <w:strike/>
              </w:rPr>
            </w:pPr>
            <w:r w:rsidRPr="007D1937">
              <w:rPr>
                <w:rFonts w:eastAsia="Times New Roman"/>
              </w:rPr>
              <w:t>Fair</w:t>
            </w:r>
          </w:p>
        </w:tc>
        <w:tc>
          <w:tcPr>
            <w:tcW w:w="0" w:type="auto"/>
            <w:vAlign w:val="center"/>
            <w:hideMark/>
          </w:tcPr>
          <w:p w14:paraId="093BA857" w14:textId="60792DB1" w:rsidR="007D1937" w:rsidRPr="00DA4FF9" w:rsidRDefault="009E4FA1" w:rsidP="007D1937">
            <w:pPr>
              <w:spacing w:after="0" w:line="240" w:lineRule="auto"/>
              <w:rPr>
                <w:rFonts w:eastAsia="Times New Roman"/>
                <w:strike/>
              </w:rPr>
            </w:pPr>
            <w:r>
              <w:rPr>
                <w:rFonts w:eastAsia="Times New Roman"/>
              </w:rPr>
              <w:t xml:space="preserve">                </w:t>
            </w:r>
            <w:r w:rsidR="00DA4FF9">
              <w:rPr>
                <w:rFonts w:eastAsia="Times New Roman"/>
              </w:rPr>
              <w:t>92</w:t>
            </w:r>
          </w:p>
        </w:tc>
        <w:tc>
          <w:tcPr>
            <w:tcW w:w="0" w:type="auto"/>
            <w:vAlign w:val="center"/>
            <w:hideMark/>
          </w:tcPr>
          <w:p w14:paraId="50B5B964" w14:textId="3627ED10" w:rsidR="007D1937" w:rsidRPr="00DA4FF9"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2</w:t>
            </w:r>
            <w:r w:rsidR="00DA4FF9">
              <w:rPr>
                <w:rFonts w:eastAsia="Times New Roman"/>
              </w:rPr>
              <w:t>9.5</w:t>
            </w:r>
          </w:p>
        </w:tc>
      </w:tr>
      <w:tr w:rsidR="009E4FA1" w:rsidRPr="007D1937" w14:paraId="3D54100B" w14:textId="77777777">
        <w:trPr>
          <w:tblCellSpacing w:w="15" w:type="dxa"/>
        </w:trPr>
        <w:tc>
          <w:tcPr>
            <w:tcW w:w="0" w:type="auto"/>
            <w:vAlign w:val="center"/>
            <w:hideMark/>
          </w:tcPr>
          <w:p w14:paraId="27CF446C" w14:textId="77777777" w:rsidR="007D1937" w:rsidRPr="007D1937" w:rsidRDefault="007D1937" w:rsidP="007D1937">
            <w:pPr>
              <w:spacing w:after="0" w:line="240" w:lineRule="auto"/>
              <w:rPr>
                <w:rFonts w:eastAsia="Times New Roman"/>
                <w:strike/>
              </w:rPr>
            </w:pPr>
            <w:r w:rsidRPr="007D1937">
              <w:rPr>
                <w:rFonts w:eastAsia="Times New Roman"/>
              </w:rPr>
              <w:t>Good</w:t>
            </w:r>
          </w:p>
        </w:tc>
        <w:tc>
          <w:tcPr>
            <w:tcW w:w="0" w:type="auto"/>
            <w:vAlign w:val="center"/>
            <w:hideMark/>
          </w:tcPr>
          <w:p w14:paraId="55809D61" w14:textId="1BAF4CB7" w:rsidR="007D1937" w:rsidRPr="00DA4FF9"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16</w:t>
            </w:r>
            <w:r w:rsidR="00DA4FF9">
              <w:rPr>
                <w:rFonts w:eastAsia="Times New Roman"/>
              </w:rPr>
              <w:t>5</w:t>
            </w:r>
          </w:p>
        </w:tc>
        <w:tc>
          <w:tcPr>
            <w:tcW w:w="0" w:type="auto"/>
            <w:vAlign w:val="center"/>
            <w:hideMark/>
          </w:tcPr>
          <w:p w14:paraId="42226A47" w14:textId="069AE1FD"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5</w:t>
            </w:r>
            <w:r w:rsidR="00DA4FF9">
              <w:rPr>
                <w:rFonts w:eastAsia="Times New Roman"/>
              </w:rPr>
              <w:t>2</w:t>
            </w:r>
            <w:r w:rsidR="007D1937" w:rsidRPr="007D1937">
              <w:rPr>
                <w:rFonts w:eastAsia="Times New Roman"/>
              </w:rPr>
              <w:t>.9</w:t>
            </w:r>
          </w:p>
        </w:tc>
      </w:tr>
    </w:tbl>
    <w:p w14:paraId="44C334C9" w14:textId="77777777" w:rsidR="00EB6F69" w:rsidRDefault="00EB6F69" w:rsidP="007D1937">
      <w:pPr>
        <w:spacing w:before="100" w:beforeAutospacing="1" w:after="100" w:afterAutospacing="1" w:line="240" w:lineRule="auto"/>
        <w:outlineLvl w:val="1"/>
        <w:rPr>
          <w:rFonts w:eastAsia="Times New Roman"/>
          <w:b/>
          <w:bCs/>
        </w:rPr>
      </w:pPr>
    </w:p>
    <w:p w14:paraId="3A9D7320" w14:textId="420E96FD"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lastRenderedPageBreak/>
        <w:t>Assessment of Statistical Assumptions</w:t>
      </w:r>
    </w:p>
    <w:p w14:paraId="71E5170D" w14:textId="0FCCEACC" w:rsidR="00AE6620" w:rsidRPr="00EB6F69" w:rsidRDefault="007D1937" w:rsidP="009E4FA1">
      <w:pPr>
        <w:spacing w:before="100" w:beforeAutospacing="1" w:after="100" w:afterAutospacing="1" w:line="240" w:lineRule="auto"/>
        <w:rPr>
          <w:rFonts w:eastAsia="Times New Roman"/>
          <w:strike/>
        </w:rPr>
      </w:pPr>
      <w:r w:rsidRPr="007D1937">
        <w:rPr>
          <w:rFonts w:eastAsia="Times New Roman"/>
        </w:rPr>
        <w:t xml:space="preserve">Before </w:t>
      </w:r>
      <w:r w:rsidR="009E4FA1">
        <w:rPr>
          <w:rFonts w:eastAsia="Times New Roman"/>
        </w:rPr>
        <w:t xml:space="preserve">the </w:t>
      </w:r>
      <w:r w:rsidRPr="007D1937">
        <w:rPr>
          <w:rFonts w:eastAsia="Times New Roman"/>
        </w:rPr>
        <w:t>regression modelling, statistical diagnostics were performed.</w:t>
      </w:r>
      <w:r w:rsidR="009E4FA1">
        <w:rPr>
          <w:rFonts w:eastAsia="Times New Roman"/>
        </w:rPr>
        <w:t xml:space="preserve"> </w:t>
      </w:r>
      <w:r w:rsidRPr="007D1937">
        <w:rPr>
          <w:rFonts w:eastAsia="Times New Roman"/>
        </w:rPr>
        <w:t>The Shapiro–Wilk test indicated that behavioural scores were not normally distributed (W = 0.94, p &lt; 0.001), supporting ordinal modelling. Multicollinearity assessment showed variance inflation factors ranging from 1.12 to 1.86, well below the threshold of concern</w:t>
      </w:r>
      <w:r w:rsidR="009E4FA1">
        <w:rPr>
          <w:rFonts w:eastAsia="Times New Roman"/>
        </w:rPr>
        <w:t xml:space="preserve"> (</w:t>
      </w:r>
      <w:r w:rsidR="009E4FA1" w:rsidRPr="009E4FA1">
        <w:rPr>
          <w:rFonts w:eastAsia="Times New Roman"/>
        </w:rPr>
        <w:t>&gt;5</w:t>
      </w:r>
      <w:r w:rsidR="009E4FA1">
        <w:rPr>
          <w:rFonts w:eastAsia="Times New Roman"/>
        </w:rPr>
        <w:t>)</w:t>
      </w:r>
      <w:r w:rsidRPr="007D1937">
        <w:rPr>
          <w:rFonts w:eastAsia="Times New Roman"/>
        </w:rPr>
        <w:t>. The ordinal regression model satisfied the proportional odds assumption (test of parallel lines: χ² = 6.21, p = 0.40). Goodness-of-fit statistics indicated acceptable model performance (Pearson χ² = 298.4, p = 0.21; Deviance χ² = 284.9, p = 0.33).</w:t>
      </w:r>
      <w:r w:rsidR="009E4FA1">
        <w:rPr>
          <w:rFonts w:eastAsia="Times New Roman"/>
        </w:rPr>
        <w:t xml:space="preserve"> The d</w:t>
      </w:r>
      <w:r w:rsidRPr="007D1937">
        <w:rPr>
          <w:rFonts w:eastAsia="Times New Roman"/>
        </w:rPr>
        <w:t>iagnostic results are summarised in Table 3.</w:t>
      </w:r>
    </w:p>
    <w:p w14:paraId="472011DB" w14:textId="4A81D56A" w:rsidR="007D1937" w:rsidRPr="007D1937" w:rsidRDefault="007D1937" w:rsidP="009E4FA1">
      <w:pPr>
        <w:spacing w:before="100" w:beforeAutospacing="1" w:after="100" w:afterAutospacing="1" w:line="240" w:lineRule="auto"/>
        <w:rPr>
          <w:rFonts w:eastAsia="Times New Roman"/>
          <w:strike/>
        </w:rPr>
      </w:pPr>
      <w:r w:rsidRPr="007D1937">
        <w:rPr>
          <w:rFonts w:eastAsia="Times New Roman"/>
          <w:b/>
          <w:bCs/>
        </w:rPr>
        <w:t>Table 3. Statistical Diagnostics for Ordinal Regression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8"/>
        <w:gridCol w:w="2838"/>
        <w:gridCol w:w="3255"/>
      </w:tblGrid>
      <w:tr w:rsidR="009E4FA1" w:rsidRPr="007D1937" w14:paraId="14CCFC40" w14:textId="77777777">
        <w:trPr>
          <w:tblHeader/>
          <w:tblCellSpacing w:w="15" w:type="dxa"/>
        </w:trPr>
        <w:tc>
          <w:tcPr>
            <w:tcW w:w="0" w:type="auto"/>
            <w:vAlign w:val="center"/>
            <w:hideMark/>
          </w:tcPr>
          <w:p w14:paraId="3459CF08" w14:textId="77777777" w:rsidR="007D1937" w:rsidRPr="007D1937" w:rsidRDefault="007D1937" w:rsidP="007D02D9">
            <w:pPr>
              <w:spacing w:after="0" w:line="240" w:lineRule="auto"/>
              <w:rPr>
                <w:rFonts w:eastAsia="Times New Roman"/>
                <w:b/>
                <w:bCs/>
                <w:strike/>
              </w:rPr>
            </w:pPr>
            <w:r w:rsidRPr="007D1937">
              <w:rPr>
                <w:rFonts w:eastAsia="Times New Roman"/>
                <w:b/>
                <w:bCs/>
              </w:rPr>
              <w:t>Diagnostic test</w:t>
            </w:r>
          </w:p>
        </w:tc>
        <w:tc>
          <w:tcPr>
            <w:tcW w:w="0" w:type="auto"/>
            <w:vAlign w:val="center"/>
            <w:hideMark/>
          </w:tcPr>
          <w:p w14:paraId="746842E4" w14:textId="77777777" w:rsidR="007D1937" w:rsidRPr="007D1937" w:rsidRDefault="007D1937" w:rsidP="007D1937">
            <w:pPr>
              <w:spacing w:after="0" w:line="240" w:lineRule="auto"/>
              <w:jc w:val="center"/>
              <w:rPr>
                <w:rFonts w:eastAsia="Times New Roman"/>
                <w:b/>
                <w:bCs/>
                <w:strike/>
              </w:rPr>
            </w:pPr>
            <w:r w:rsidRPr="007D1937">
              <w:rPr>
                <w:rFonts w:eastAsia="Times New Roman"/>
                <w:b/>
                <w:bCs/>
              </w:rPr>
              <w:t>Result</w:t>
            </w:r>
          </w:p>
        </w:tc>
        <w:tc>
          <w:tcPr>
            <w:tcW w:w="0" w:type="auto"/>
            <w:vAlign w:val="center"/>
            <w:hideMark/>
          </w:tcPr>
          <w:p w14:paraId="5EDB0EA0" w14:textId="032C1C61" w:rsidR="007D1937" w:rsidRPr="007D1937" w:rsidRDefault="009E4FA1"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Interpretation</w:t>
            </w:r>
          </w:p>
        </w:tc>
      </w:tr>
      <w:tr w:rsidR="009E4FA1" w:rsidRPr="007D1937" w14:paraId="416EF863" w14:textId="77777777">
        <w:trPr>
          <w:tblCellSpacing w:w="15" w:type="dxa"/>
        </w:trPr>
        <w:tc>
          <w:tcPr>
            <w:tcW w:w="0" w:type="auto"/>
            <w:vAlign w:val="center"/>
            <w:hideMark/>
          </w:tcPr>
          <w:p w14:paraId="16F5DADA" w14:textId="77777777" w:rsidR="007D1937" w:rsidRPr="007D1937" w:rsidRDefault="007D1937" w:rsidP="007D1937">
            <w:pPr>
              <w:spacing w:after="0" w:line="240" w:lineRule="auto"/>
              <w:rPr>
                <w:rFonts w:eastAsia="Times New Roman"/>
                <w:strike/>
              </w:rPr>
            </w:pPr>
            <w:r w:rsidRPr="007D1937">
              <w:rPr>
                <w:rFonts w:eastAsia="Times New Roman"/>
              </w:rPr>
              <w:t>Shapiro–Wilk normality test</w:t>
            </w:r>
          </w:p>
        </w:tc>
        <w:tc>
          <w:tcPr>
            <w:tcW w:w="0" w:type="auto"/>
            <w:vAlign w:val="center"/>
            <w:hideMark/>
          </w:tcPr>
          <w:p w14:paraId="70D98820" w14:textId="02EB2522"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W = 0.94, p &lt; 0.001</w:t>
            </w:r>
          </w:p>
        </w:tc>
        <w:tc>
          <w:tcPr>
            <w:tcW w:w="0" w:type="auto"/>
            <w:vAlign w:val="center"/>
            <w:hideMark/>
          </w:tcPr>
          <w:p w14:paraId="644836E6" w14:textId="6722EEDE"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Non-normal distribution</w:t>
            </w:r>
          </w:p>
        </w:tc>
      </w:tr>
      <w:tr w:rsidR="009E4FA1" w:rsidRPr="007D1937" w14:paraId="60BC576F" w14:textId="77777777">
        <w:trPr>
          <w:tblCellSpacing w:w="15" w:type="dxa"/>
        </w:trPr>
        <w:tc>
          <w:tcPr>
            <w:tcW w:w="0" w:type="auto"/>
            <w:vAlign w:val="center"/>
            <w:hideMark/>
          </w:tcPr>
          <w:p w14:paraId="593BB7D8" w14:textId="77777777" w:rsidR="007D1937" w:rsidRPr="007D1937" w:rsidRDefault="007D1937" w:rsidP="007D1937">
            <w:pPr>
              <w:spacing w:after="0" w:line="240" w:lineRule="auto"/>
              <w:rPr>
                <w:rFonts w:eastAsia="Times New Roman"/>
                <w:strike/>
              </w:rPr>
            </w:pPr>
            <w:r w:rsidRPr="007D1937">
              <w:rPr>
                <w:rFonts w:eastAsia="Times New Roman"/>
              </w:rPr>
              <w:t>Variance inflation factor</w:t>
            </w:r>
          </w:p>
        </w:tc>
        <w:tc>
          <w:tcPr>
            <w:tcW w:w="0" w:type="auto"/>
            <w:vAlign w:val="center"/>
            <w:hideMark/>
          </w:tcPr>
          <w:p w14:paraId="6308B70D" w14:textId="01F72FDF"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1.12–1.86</w:t>
            </w:r>
          </w:p>
        </w:tc>
        <w:tc>
          <w:tcPr>
            <w:tcW w:w="0" w:type="auto"/>
            <w:vAlign w:val="center"/>
            <w:hideMark/>
          </w:tcPr>
          <w:p w14:paraId="606368E7" w14:textId="18C20ABF"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No multicollinearity</w:t>
            </w:r>
          </w:p>
        </w:tc>
      </w:tr>
      <w:tr w:rsidR="009E4FA1" w:rsidRPr="007D1937" w14:paraId="0F7542B0" w14:textId="77777777">
        <w:trPr>
          <w:tblCellSpacing w:w="15" w:type="dxa"/>
        </w:trPr>
        <w:tc>
          <w:tcPr>
            <w:tcW w:w="0" w:type="auto"/>
            <w:vAlign w:val="center"/>
            <w:hideMark/>
          </w:tcPr>
          <w:p w14:paraId="34731E48" w14:textId="77777777" w:rsidR="007D1937" w:rsidRPr="007D1937" w:rsidRDefault="007D1937" w:rsidP="007D1937">
            <w:pPr>
              <w:spacing w:after="0" w:line="240" w:lineRule="auto"/>
              <w:rPr>
                <w:rFonts w:eastAsia="Times New Roman"/>
                <w:strike/>
              </w:rPr>
            </w:pPr>
            <w:r w:rsidRPr="007D1937">
              <w:rPr>
                <w:rFonts w:eastAsia="Times New Roman"/>
              </w:rPr>
              <w:t>Parallel lines test</w:t>
            </w:r>
          </w:p>
        </w:tc>
        <w:tc>
          <w:tcPr>
            <w:tcW w:w="0" w:type="auto"/>
            <w:vAlign w:val="center"/>
            <w:hideMark/>
          </w:tcPr>
          <w:p w14:paraId="3F5D8BA5" w14:textId="5981F23A"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χ² = 6.21, p = 0.40</w:t>
            </w:r>
          </w:p>
        </w:tc>
        <w:tc>
          <w:tcPr>
            <w:tcW w:w="0" w:type="auto"/>
            <w:vAlign w:val="center"/>
            <w:hideMark/>
          </w:tcPr>
          <w:p w14:paraId="02C30A78" w14:textId="723C9236"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sidR="00AE6620">
              <w:rPr>
                <w:rFonts w:eastAsia="Times New Roman"/>
              </w:rPr>
              <w:t xml:space="preserve">  </w:t>
            </w:r>
            <w:r w:rsidR="006C799B">
              <w:rPr>
                <w:rFonts w:eastAsia="Times New Roman"/>
              </w:rPr>
              <w:t xml:space="preserve"> </w:t>
            </w:r>
            <w:r w:rsidR="00AE6620">
              <w:rPr>
                <w:rFonts w:eastAsia="Times New Roman"/>
              </w:rPr>
              <w:t xml:space="preserve"> </w:t>
            </w:r>
            <w:r w:rsidR="007D1937" w:rsidRPr="007D1937">
              <w:rPr>
                <w:rFonts w:eastAsia="Times New Roman"/>
              </w:rPr>
              <w:t>Assumption satisfied</w:t>
            </w:r>
          </w:p>
        </w:tc>
      </w:tr>
      <w:tr w:rsidR="009E4FA1" w:rsidRPr="007D1937" w14:paraId="13C931FC" w14:textId="77777777">
        <w:trPr>
          <w:tblCellSpacing w:w="15" w:type="dxa"/>
        </w:trPr>
        <w:tc>
          <w:tcPr>
            <w:tcW w:w="0" w:type="auto"/>
            <w:vAlign w:val="center"/>
            <w:hideMark/>
          </w:tcPr>
          <w:p w14:paraId="208C0A0C" w14:textId="77777777" w:rsidR="007D1937" w:rsidRPr="007D1937" w:rsidRDefault="007D1937" w:rsidP="007D1937">
            <w:pPr>
              <w:spacing w:after="0" w:line="240" w:lineRule="auto"/>
              <w:rPr>
                <w:rFonts w:eastAsia="Times New Roman"/>
                <w:strike/>
              </w:rPr>
            </w:pPr>
            <w:r w:rsidRPr="007D1937">
              <w:rPr>
                <w:rFonts w:eastAsia="Times New Roman"/>
              </w:rPr>
              <w:t>Pearson goodness-of-fit</w:t>
            </w:r>
          </w:p>
        </w:tc>
        <w:tc>
          <w:tcPr>
            <w:tcW w:w="0" w:type="auto"/>
            <w:vAlign w:val="center"/>
            <w:hideMark/>
          </w:tcPr>
          <w:p w14:paraId="376A2A01" w14:textId="0D25EB53"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χ² = 298.4, p = 0.21</w:t>
            </w:r>
          </w:p>
        </w:tc>
        <w:tc>
          <w:tcPr>
            <w:tcW w:w="0" w:type="auto"/>
            <w:vAlign w:val="center"/>
            <w:hideMark/>
          </w:tcPr>
          <w:p w14:paraId="7EDA3250" w14:textId="42329E4E" w:rsidR="007D1937" w:rsidRPr="007D1937" w:rsidRDefault="009E4FA1" w:rsidP="007D1937">
            <w:pPr>
              <w:spacing w:after="0" w:line="240" w:lineRule="auto"/>
              <w:rPr>
                <w:rFonts w:eastAsia="Times New Roman"/>
                <w:strike/>
              </w:rPr>
            </w:pPr>
            <w:r>
              <w:rPr>
                <w:rFonts w:eastAsia="Times New Roman"/>
              </w:rPr>
              <w:t xml:space="preserve">      </w:t>
            </w:r>
            <w:r w:rsidR="00E30072">
              <w:rPr>
                <w:rFonts w:eastAsia="Times New Roman"/>
              </w:rPr>
              <w:t xml:space="preserve">   </w:t>
            </w:r>
            <w:r>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Good fit</w:t>
            </w:r>
          </w:p>
        </w:tc>
      </w:tr>
      <w:tr w:rsidR="009E4FA1" w:rsidRPr="007D1937" w14:paraId="5B4AA762" w14:textId="77777777">
        <w:trPr>
          <w:tblCellSpacing w:w="15" w:type="dxa"/>
        </w:trPr>
        <w:tc>
          <w:tcPr>
            <w:tcW w:w="0" w:type="auto"/>
            <w:vAlign w:val="center"/>
            <w:hideMark/>
          </w:tcPr>
          <w:p w14:paraId="288F3B08" w14:textId="77777777" w:rsidR="007D1937" w:rsidRPr="007D1937" w:rsidRDefault="007D1937" w:rsidP="007D1937">
            <w:pPr>
              <w:spacing w:after="0" w:line="240" w:lineRule="auto"/>
              <w:rPr>
                <w:rFonts w:eastAsia="Times New Roman"/>
                <w:strike/>
              </w:rPr>
            </w:pPr>
            <w:r w:rsidRPr="007D1937">
              <w:rPr>
                <w:rFonts w:eastAsia="Times New Roman"/>
              </w:rPr>
              <w:t>Deviance goodness-of-fit</w:t>
            </w:r>
          </w:p>
        </w:tc>
        <w:tc>
          <w:tcPr>
            <w:tcW w:w="0" w:type="auto"/>
            <w:vAlign w:val="center"/>
            <w:hideMark/>
          </w:tcPr>
          <w:p w14:paraId="19D87B60" w14:textId="5597A255" w:rsidR="007D1937" w:rsidRPr="007D1937" w:rsidRDefault="009E4FA1" w:rsidP="007D1937">
            <w:pPr>
              <w:spacing w:after="0" w:line="240" w:lineRule="auto"/>
              <w:rPr>
                <w:rFonts w:eastAsia="Times New Roman"/>
                <w:strike/>
              </w:rPr>
            </w:pPr>
            <w:r>
              <w:rPr>
                <w:rFonts w:eastAsia="Times New Roman"/>
              </w:rPr>
              <w:t xml:space="preserve">            </w:t>
            </w:r>
            <w:r w:rsidR="007D1937" w:rsidRPr="007D1937">
              <w:rPr>
                <w:rFonts w:eastAsia="Times New Roman"/>
              </w:rPr>
              <w:t>χ² = 284.9, p = 0.33</w:t>
            </w:r>
          </w:p>
        </w:tc>
        <w:tc>
          <w:tcPr>
            <w:tcW w:w="0" w:type="auto"/>
            <w:vAlign w:val="center"/>
            <w:hideMark/>
          </w:tcPr>
          <w:p w14:paraId="2101C0B5" w14:textId="2AEFE024" w:rsidR="007D1937" w:rsidRPr="007D1937" w:rsidRDefault="00E30072" w:rsidP="007D1937">
            <w:pPr>
              <w:spacing w:after="0" w:line="240" w:lineRule="auto"/>
              <w:rPr>
                <w:rFonts w:eastAsia="Times New Roman"/>
                <w:strike/>
              </w:rPr>
            </w:pPr>
            <w:r>
              <w:rPr>
                <w:rFonts w:eastAsia="Times New Roman"/>
              </w:rPr>
              <w:t xml:space="preserve">          </w:t>
            </w:r>
            <w:r w:rsidR="00AE6620">
              <w:rPr>
                <w:rFonts w:eastAsia="Times New Roman"/>
              </w:rPr>
              <w:t xml:space="preserve">   </w:t>
            </w:r>
            <w:r w:rsidR="006C799B">
              <w:rPr>
                <w:rFonts w:eastAsia="Times New Roman"/>
              </w:rPr>
              <w:t xml:space="preserve"> </w:t>
            </w:r>
            <w:r w:rsidR="007D1937" w:rsidRPr="007D1937">
              <w:rPr>
                <w:rFonts w:eastAsia="Times New Roman"/>
              </w:rPr>
              <w:t>Good fit</w:t>
            </w:r>
          </w:p>
        </w:tc>
      </w:tr>
    </w:tbl>
    <w:p w14:paraId="7216F9C9" w14:textId="77777777"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t>Bivariate Associations Between Socio-Demographic Factors and Behaviour</w:t>
      </w:r>
    </w:p>
    <w:p w14:paraId="747C7350" w14:textId="77777777" w:rsidR="00E30072" w:rsidRDefault="007D1937" w:rsidP="00E30072">
      <w:pPr>
        <w:spacing w:before="100" w:beforeAutospacing="1" w:after="100" w:afterAutospacing="1" w:line="240" w:lineRule="auto"/>
        <w:rPr>
          <w:rFonts w:eastAsia="Times New Roman"/>
          <w:strike/>
        </w:rPr>
      </w:pPr>
      <w:r w:rsidRPr="007D1937">
        <w:rPr>
          <w:rFonts w:eastAsia="Times New Roman"/>
        </w:rPr>
        <w:t>Chi-square analysis demonstrated significant associations between menstrual hygiene behaviour and age group, academic level, maternal education, and monthly allowance (p &lt; 0.05). Residence showed a positive but non-significant trend.</w:t>
      </w:r>
      <w:r w:rsidR="00E30072">
        <w:rPr>
          <w:rFonts w:eastAsia="Times New Roman"/>
        </w:rPr>
        <w:t xml:space="preserve"> </w:t>
      </w:r>
      <w:r w:rsidRPr="007D1937">
        <w:rPr>
          <w:rFonts w:eastAsia="Times New Roman"/>
        </w:rPr>
        <w:t>These associations are presented in Table 4.</w:t>
      </w:r>
    </w:p>
    <w:p w14:paraId="72798C51" w14:textId="65DD43BC" w:rsidR="007D1937" w:rsidRPr="007D1937" w:rsidRDefault="007D1937" w:rsidP="00E30072">
      <w:pPr>
        <w:spacing w:before="100" w:beforeAutospacing="1" w:after="100" w:afterAutospacing="1" w:line="240" w:lineRule="auto"/>
        <w:rPr>
          <w:rFonts w:eastAsia="Times New Roman"/>
          <w:strike/>
        </w:rPr>
      </w:pPr>
      <w:r w:rsidRPr="007D1937">
        <w:rPr>
          <w:rFonts w:eastAsia="Times New Roman"/>
          <w:b/>
          <w:bCs/>
        </w:rPr>
        <w:t>Table 4. Bivariate Associations with Menstrual Hygiene Behaviour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2940"/>
        <w:gridCol w:w="2636"/>
      </w:tblGrid>
      <w:tr w:rsidR="00E30072" w:rsidRPr="007D1937" w14:paraId="12B8A2A4" w14:textId="77777777">
        <w:trPr>
          <w:tblHeader/>
          <w:tblCellSpacing w:w="15" w:type="dxa"/>
        </w:trPr>
        <w:tc>
          <w:tcPr>
            <w:tcW w:w="0" w:type="auto"/>
            <w:vAlign w:val="center"/>
            <w:hideMark/>
          </w:tcPr>
          <w:p w14:paraId="3C08E4A8" w14:textId="77777777" w:rsidR="007D1937" w:rsidRPr="007D1937" w:rsidRDefault="007D1937" w:rsidP="00E30072">
            <w:pPr>
              <w:spacing w:after="0" w:line="240" w:lineRule="auto"/>
              <w:rPr>
                <w:rFonts w:eastAsia="Times New Roman"/>
                <w:b/>
                <w:bCs/>
                <w:strike/>
              </w:rPr>
            </w:pPr>
            <w:r w:rsidRPr="007D1937">
              <w:rPr>
                <w:rFonts w:eastAsia="Times New Roman"/>
                <w:b/>
                <w:bCs/>
              </w:rPr>
              <w:t>Variable</w:t>
            </w:r>
          </w:p>
        </w:tc>
        <w:tc>
          <w:tcPr>
            <w:tcW w:w="0" w:type="auto"/>
            <w:vAlign w:val="center"/>
            <w:hideMark/>
          </w:tcPr>
          <w:p w14:paraId="3C38C3CB" w14:textId="350C9919" w:rsidR="007D1937" w:rsidRPr="007D1937" w:rsidRDefault="00E30072"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χ²</w:t>
            </w:r>
          </w:p>
        </w:tc>
        <w:tc>
          <w:tcPr>
            <w:tcW w:w="0" w:type="auto"/>
            <w:vAlign w:val="center"/>
            <w:hideMark/>
          </w:tcPr>
          <w:p w14:paraId="68BC1684" w14:textId="496CC7EE" w:rsidR="007D1937" w:rsidRPr="007D1937" w:rsidRDefault="00E30072"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p-value</w:t>
            </w:r>
          </w:p>
        </w:tc>
      </w:tr>
      <w:tr w:rsidR="00E30072" w:rsidRPr="007D1937" w14:paraId="14196874" w14:textId="77777777">
        <w:trPr>
          <w:tblCellSpacing w:w="15" w:type="dxa"/>
        </w:trPr>
        <w:tc>
          <w:tcPr>
            <w:tcW w:w="0" w:type="auto"/>
            <w:vAlign w:val="center"/>
            <w:hideMark/>
          </w:tcPr>
          <w:p w14:paraId="50443B81" w14:textId="77777777" w:rsidR="007D1937" w:rsidRPr="007D1937" w:rsidRDefault="007D1937" w:rsidP="007D1937">
            <w:pPr>
              <w:spacing w:after="0" w:line="240" w:lineRule="auto"/>
              <w:rPr>
                <w:rFonts w:eastAsia="Times New Roman"/>
                <w:strike/>
              </w:rPr>
            </w:pPr>
            <w:r w:rsidRPr="007D1937">
              <w:rPr>
                <w:rFonts w:eastAsia="Times New Roman"/>
              </w:rPr>
              <w:t>Age group</w:t>
            </w:r>
          </w:p>
        </w:tc>
        <w:tc>
          <w:tcPr>
            <w:tcW w:w="0" w:type="auto"/>
            <w:vAlign w:val="center"/>
            <w:hideMark/>
          </w:tcPr>
          <w:p w14:paraId="64AB9A1B" w14:textId="35098AB5"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9.84</w:t>
            </w:r>
          </w:p>
        </w:tc>
        <w:tc>
          <w:tcPr>
            <w:tcW w:w="0" w:type="auto"/>
            <w:vAlign w:val="center"/>
            <w:hideMark/>
          </w:tcPr>
          <w:p w14:paraId="2643DA46" w14:textId="604F7C6D"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0.007</w:t>
            </w:r>
          </w:p>
        </w:tc>
      </w:tr>
      <w:tr w:rsidR="00E30072" w:rsidRPr="007D1937" w14:paraId="3B57A769" w14:textId="77777777">
        <w:trPr>
          <w:tblCellSpacing w:w="15" w:type="dxa"/>
        </w:trPr>
        <w:tc>
          <w:tcPr>
            <w:tcW w:w="0" w:type="auto"/>
            <w:vAlign w:val="center"/>
            <w:hideMark/>
          </w:tcPr>
          <w:p w14:paraId="2DC8E662" w14:textId="77777777" w:rsidR="007D1937" w:rsidRPr="007D1937" w:rsidRDefault="007D1937" w:rsidP="007D1937">
            <w:pPr>
              <w:spacing w:after="0" w:line="240" w:lineRule="auto"/>
              <w:rPr>
                <w:rFonts w:eastAsia="Times New Roman"/>
                <w:strike/>
              </w:rPr>
            </w:pPr>
            <w:r w:rsidRPr="007D1937">
              <w:rPr>
                <w:rFonts w:eastAsia="Times New Roman"/>
              </w:rPr>
              <w:t>Academic level</w:t>
            </w:r>
          </w:p>
        </w:tc>
        <w:tc>
          <w:tcPr>
            <w:tcW w:w="0" w:type="auto"/>
            <w:vAlign w:val="center"/>
            <w:hideMark/>
          </w:tcPr>
          <w:p w14:paraId="0F3B18F1" w14:textId="4005A0B2"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6.22</w:t>
            </w:r>
          </w:p>
        </w:tc>
        <w:tc>
          <w:tcPr>
            <w:tcW w:w="0" w:type="auto"/>
            <w:vAlign w:val="center"/>
            <w:hideMark/>
          </w:tcPr>
          <w:p w14:paraId="69389922" w14:textId="2781CF17"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0.045</w:t>
            </w:r>
          </w:p>
        </w:tc>
      </w:tr>
      <w:tr w:rsidR="00E30072" w:rsidRPr="007D1937" w14:paraId="02F82560" w14:textId="77777777">
        <w:trPr>
          <w:tblCellSpacing w:w="15" w:type="dxa"/>
        </w:trPr>
        <w:tc>
          <w:tcPr>
            <w:tcW w:w="0" w:type="auto"/>
            <w:vAlign w:val="center"/>
            <w:hideMark/>
          </w:tcPr>
          <w:p w14:paraId="2CBE3CDD" w14:textId="77777777" w:rsidR="007D1937" w:rsidRPr="007D1937" w:rsidRDefault="007D1937" w:rsidP="007D1937">
            <w:pPr>
              <w:spacing w:after="0" w:line="240" w:lineRule="auto"/>
              <w:rPr>
                <w:rFonts w:eastAsia="Times New Roman"/>
                <w:strike/>
              </w:rPr>
            </w:pPr>
            <w:r w:rsidRPr="007D1937">
              <w:rPr>
                <w:rFonts w:eastAsia="Times New Roman"/>
              </w:rPr>
              <w:t>Residence</w:t>
            </w:r>
          </w:p>
        </w:tc>
        <w:tc>
          <w:tcPr>
            <w:tcW w:w="0" w:type="auto"/>
            <w:vAlign w:val="center"/>
            <w:hideMark/>
          </w:tcPr>
          <w:p w14:paraId="1931BC56" w14:textId="4103C147"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3.11</w:t>
            </w:r>
          </w:p>
        </w:tc>
        <w:tc>
          <w:tcPr>
            <w:tcW w:w="0" w:type="auto"/>
            <w:vAlign w:val="center"/>
            <w:hideMark/>
          </w:tcPr>
          <w:p w14:paraId="2412DEC0" w14:textId="0A4AEAF5"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0.211</w:t>
            </w:r>
          </w:p>
        </w:tc>
      </w:tr>
      <w:tr w:rsidR="00E30072" w:rsidRPr="007D1937" w14:paraId="78AD3BA0" w14:textId="77777777">
        <w:trPr>
          <w:tblCellSpacing w:w="15" w:type="dxa"/>
        </w:trPr>
        <w:tc>
          <w:tcPr>
            <w:tcW w:w="0" w:type="auto"/>
            <w:vAlign w:val="center"/>
            <w:hideMark/>
          </w:tcPr>
          <w:p w14:paraId="04BE7B24" w14:textId="77777777" w:rsidR="007D1937" w:rsidRPr="007D1937" w:rsidRDefault="007D1937" w:rsidP="007D1937">
            <w:pPr>
              <w:spacing w:after="0" w:line="240" w:lineRule="auto"/>
              <w:rPr>
                <w:rFonts w:eastAsia="Times New Roman"/>
                <w:strike/>
              </w:rPr>
            </w:pPr>
            <w:r w:rsidRPr="007D1937">
              <w:rPr>
                <w:rFonts w:eastAsia="Times New Roman"/>
              </w:rPr>
              <w:t>Mother’s education</w:t>
            </w:r>
          </w:p>
        </w:tc>
        <w:tc>
          <w:tcPr>
            <w:tcW w:w="0" w:type="auto"/>
            <w:vAlign w:val="center"/>
            <w:hideMark/>
          </w:tcPr>
          <w:p w14:paraId="1A86CE74" w14:textId="7EAA7FA8"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11.32</w:t>
            </w:r>
          </w:p>
        </w:tc>
        <w:tc>
          <w:tcPr>
            <w:tcW w:w="0" w:type="auto"/>
            <w:vAlign w:val="center"/>
            <w:hideMark/>
          </w:tcPr>
          <w:p w14:paraId="40AAEF5B" w14:textId="1FC82977"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0.003</w:t>
            </w:r>
          </w:p>
        </w:tc>
      </w:tr>
      <w:tr w:rsidR="00E30072" w:rsidRPr="007D1937" w14:paraId="7DF77E0A" w14:textId="77777777">
        <w:trPr>
          <w:tblCellSpacing w:w="15" w:type="dxa"/>
        </w:trPr>
        <w:tc>
          <w:tcPr>
            <w:tcW w:w="0" w:type="auto"/>
            <w:vAlign w:val="center"/>
            <w:hideMark/>
          </w:tcPr>
          <w:p w14:paraId="28D56F40" w14:textId="77777777" w:rsidR="007D1937" w:rsidRPr="007D1937" w:rsidRDefault="007D1937" w:rsidP="007D1937">
            <w:pPr>
              <w:spacing w:after="0" w:line="240" w:lineRule="auto"/>
              <w:rPr>
                <w:rFonts w:eastAsia="Times New Roman"/>
                <w:strike/>
              </w:rPr>
            </w:pPr>
            <w:r w:rsidRPr="007D1937">
              <w:rPr>
                <w:rFonts w:eastAsia="Times New Roman"/>
              </w:rPr>
              <w:t>Monthly allowance</w:t>
            </w:r>
          </w:p>
        </w:tc>
        <w:tc>
          <w:tcPr>
            <w:tcW w:w="0" w:type="auto"/>
            <w:vAlign w:val="center"/>
            <w:hideMark/>
          </w:tcPr>
          <w:p w14:paraId="1F19A31F" w14:textId="232C84E5"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10.05</w:t>
            </w:r>
          </w:p>
        </w:tc>
        <w:tc>
          <w:tcPr>
            <w:tcW w:w="0" w:type="auto"/>
            <w:vAlign w:val="center"/>
            <w:hideMark/>
          </w:tcPr>
          <w:p w14:paraId="3593B0EF" w14:textId="0BACA3A8" w:rsidR="007D1937" w:rsidRPr="007D1937" w:rsidRDefault="00E30072" w:rsidP="007D1937">
            <w:pPr>
              <w:spacing w:after="0" w:line="240" w:lineRule="auto"/>
              <w:rPr>
                <w:rFonts w:eastAsia="Times New Roman"/>
                <w:strike/>
              </w:rPr>
            </w:pPr>
            <w:r>
              <w:rPr>
                <w:rFonts w:eastAsia="Times New Roman"/>
              </w:rPr>
              <w:t xml:space="preserve">                                </w:t>
            </w:r>
            <w:r w:rsidR="007D1937" w:rsidRPr="007D1937">
              <w:rPr>
                <w:rFonts w:eastAsia="Times New Roman"/>
              </w:rPr>
              <w:t>0.006</w:t>
            </w:r>
          </w:p>
        </w:tc>
      </w:tr>
    </w:tbl>
    <w:p w14:paraId="34307C1E" w14:textId="6EED31D3"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t>Ordinal Logistic Regression: Socio-Demographic Predictors</w:t>
      </w:r>
    </w:p>
    <w:p w14:paraId="76D798D1" w14:textId="391F7D0F" w:rsidR="00392356" w:rsidRPr="00392356" w:rsidRDefault="00392356" w:rsidP="00F84C37">
      <w:pPr>
        <w:spacing w:before="100" w:beforeAutospacing="1" w:after="100" w:afterAutospacing="1" w:line="240" w:lineRule="auto"/>
        <w:rPr>
          <w:rFonts w:eastAsia="Times New Roman"/>
        </w:rPr>
      </w:pPr>
      <w:r w:rsidRPr="00392356">
        <w:rPr>
          <w:rFonts w:eastAsia="Times New Roman"/>
        </w:rPr>
        <w:t>Multivariable ordinal logistic regression identified several independent predictors of menstrual hygiene behaviour. Students aged 20–24 years had significantly higher odds of better behaviour compared to younger students. Senior academic level, higher maternal education, and moderate/high allowance were also associated with improved behaviour. Residence was not significant after adjustment. Adjusted estimates are presented in Table 5.</w:t>
      </w:r>
    </w:p>
    <w:p w14:paraId="25964ABA" w14:textId="63600CCA" w:rsidR="007D1937" w:rsidRPr="007D1937" w:rsidRDefault="007D1937" w:rsidP="00F84C37">
      <w:pPr>
        <w:spacing w:before="100" w:beforeAutospacing="1" w:after="100" w:afterAutospacing="1" w:line="240" w:lineRule="auto"/>
        <w:rPr>
          <w:rFonts w:eastAsia="Times New Roman"/>
          <w:strike/>
        </w:rPr>
      </w:pPr>
      <w:r w:rsidRPr="007D1937">
        <w:rPr>
          <w:rFonts w:eastAsia="Times New Roman"/>
          <w:b/>
          <w:bCs/>
        </w:rPr>
        <w:t>Table 5. Ordinal Logistic Regression Predicting Menstrual Hygiene Behaviour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4"/>
        <w:gridCol w:w="2221"/>
        <w:gridCol w:w="2767"/>
        <w:gridCol w:w="1395"/>
      </w:tblGrid>
      <w:tr w:rsidR="007D1937" w:rsidRPr="007D1937" w14:paraId="51242907" w14:textId="77777777">
        <w:trPr>
          <w:tblHeader/>
          <w:tblCellSpacing w:w="15" w:type="dxa"/>
        </w:trPr>
        <w:tc>
          <w:tcPr>
            <w:tcW w:w="0" w:type="auto"/>
            <w:vAlign w:val="center"/>
            <w:hideMark/>
          </w:tcPr>
          <w:p w14:paraId="11BD9292" w14:textId="77777777" w:rsidR="007D1937" w:rsidRPr="007D1937" w:rsidRDefault="007D1937" w:rsidP="007D02D9">
            <w:pPr>
              <w:spacing w:after="0" w:line="240" w:lineRule="auto"/>
              <w:rPr>
                <w:rFonts w:eastAsia="Times New Roman"/>
                <w:b/>
                <w:bCs/>
                <w:strike/>
              </w:rPr>
            </w:pPr>
            <w:r w:rsidRPr="007D1937">
              <w:rPr>
                <w:rFonts w:eastAsia="Times New Roman"/>
                <w:b/>
                <w:bCs/>
              </w:rPr>
              <w:t>Predictor</w:t>
            </w:r>
          </w:p>
        </w:tc>
        <w:tc>
          <w:tcPr>
            <w:tcW w:w="0" w:type="auto"/>
            <w:vAlign w:val="center"/>
            <w:hideMark/>
          </w:tcPr>
          <w:p w14:paraId="30ACAC14" w14:textId="77777777" w:rsidR="007D1937" w:rsidRPr="007D1937" w:rsidRDefault="007D1937" w:rsidP="007D1937">
            <w:pPr>
              <w:spacing w:after="0" w:line="240" w:lineRule="auto"/>
              <w:jc w:val="center"/>
              <w:rPr>
                <w:rFonts w:eastAsia="Times New Roman"/>
                <w:b/>
                <w:bCs/>
                <w:strike/>
              </w:rPr>
            </w:pPr>
            <w:r w:rsidRPr="007D1937">
              <w:rPr>
                <w:rFonts w:eastAsia="Times New Roman"/>
                <w:b/>
                <w:bCs/>
              </w:rPr>
              <w:t>Adjusted Odds Ratio</w:t>
            </w:r>
          </w:p>
        </w:tc>
        <w:tc>
          <w:tcPr>
            <w:tcW w:w="0" w:type="auto"/>
            <w:vAlign w:val="center"/>
            <w:hideMark/>
          </w:tcPr>
          <w:p w14:paraId="6B524837" w14:textId="46CFA83F" w:rsidR="007D1937" w:rsidRPr="007D1937" w:rsidRDefault="00F84C37" w:rsidP="007D1937">
            <w:pPr>
              <w:spacing w:after="0" w:line="240" w:lineRule="auto"/>
              <w:jc w:val="center"/>
              <w:rPr>
                <w:rFonts w:eastAsia="Times New Roman"/>
                <w:b/>
                <w:bCs/>
                <w:strike/>
              </w:rPr>
            </w:pPr>
            <w:r>
              <w:rPr>
                <w:rFonts w:eastAsia="Times New Roman"/>
                <w:b/>
                <w:bCs/>
              </w:rPr>
              <w:t xml:space="preserve"> </w:t>
            </w:r>
            <w:r w:rsidR="001D1625">
              <w:rPr>
                <w:rFonts w:eastAsia="Times New Roman"/>
                <w:b/>
                <w:bCs/>
              </w:rPr>
              <w:t xml:space="preserve"> </w:t>
            </w:r>
            <w:r w:rsidR="007D1937" w:rsidRPr="007D1937">
              <w:rPr>
                <w:rFonts w:eastAsia="Times New Roman"/>
                <w:b/>
                <w:bCs/>
              </w:rPr>
              <w:t>95% Confidence Interval</w:t>
            </w:r>
          </w:p>
        </w:tc>
        <w:tc>
          <w:tcPr>
            <w:tcW w:w="0" w:type="auto"/>
            <w:vAlign w:val="center"/>
            <w:hideMark/>
          </w:tcPr>
          <w:p w14:paraId="4EA954B9" w14:textId="573B94CE" w:rsidR="007D1937" w:rsidRPr="007D1937" w:rsidRDefault="00F84C37" w:rsidP="007D1937">
            <w:pPr>
              <w:spacing w:after="0" w:line="240" w:lineRule="auto"/>
              <w:jc w:val="center"/>
              <w:rPr>
                <w:rFonts w:eastAsia="Times New Roman"/>
                <w:b/>
                <w:bCs/>
                <w:strike/>
              </w:rPr>
            </w:pPr>
            <w:r>
              <w:rPr>
                <w:rFonts w:eastAsia="Times New Roman"/>
                <w:b/>
                <w:bCs/>
              </w:rPr>
              <w:t xml:space="preserve">        </w:t>
            </w:r>
            <w:r w:rsidR="007D1937" w:rsidRPr="007D1937">
              <w:rPr>
                <w:rFonts w:eastAsia="Times New Roman"/>
                <w:b/>
                <w:bCs/>
              </w:rPr>
              <w:t>p-value</w:t>
            </w:r>
          </w:p>
        </w:tc>
      </w:tr>
      <w:tr w:rsidR="007D1937" w:rsidRPr="007D1937" w14:paraId="00FF4CF1" w14:textId="77777777">
        <w:trPr>
          <w:tblCellSpacing w:w="15" w:type="dxa"/>
        </w:trPr>
        <w:tc>
          <w:tcPr>
            <w:tcW w:w="0" w:type="auto"/>
            <w:vAlign w:val="center"/>
            <w:hideMark/>
          </w:tcPr>
          <w:p w14:paraId="7346D9FD" w14:textId="77777777" w:rsidR="007D1937" w:rsidRPr="007D1937" w:rsidRDefault="007D1937" w:rsidP="007D1937">
            <w:pPr>
              <w:spacing w:after="0" w:line="240" w:lineRule="auto"/>
              <w:rPr>
                <w:rFonts w:eastAsia="Times New Roman"/>
                <w:strike/>
              </w:rPr>
            </w:pPr>
            <w:r w:rsidRPr="007D1937">
              <w:rPr>
                <w:rFonts w:eastAsia="Times New Roman"/>
              </w:rPr>
              <w:t>Age (20–24 vs &lt;20)</w:t>
            </w:r>
          </w:p>
        </w:tc>
        <w:tc>
          <w:tcPr>
            <w:tcW w:w="0" w:type="auto"/>
            <w:vAlign w:val="center"/>
            <w:hideMark/>
          </w:tcPr>
          <w:p w14:paraId="0025C70F" w14:textId="25AEBF40"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1.82</w:t>
            </w:r>
          </w:p>
        </w:tc>
        <w:tc>
          <w:tcPr>
            <w:tcW w:w="0" w:type="auto"/>
            <w:vAlign w:val="center"/>
            <w:hideMark/>
          </w:tcPr>
          <w:p w14:paraId="44523F93" w14:textId="7E91EBD5"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1.12–2.96</w:t>
            </w:r>
          </w:p>
        </w:tc>
        <w:tc>
          <w:tcPr>
            <w:tcW w:w="0" w:type="auto"/>
            <w:vAlign w:val="center"/>
            <w:hideMark/>
          </w:tcPr>
          <w:p w14:paraId="225DBBEE" w14:textId="1BA8ACE6"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0.015</w:t>
            </w:r>
          </w:p>
        </w:tc>
      </w:tr>
      <w:tr w:rsidR="007D1937" w:rsidRPr="007D1937" w14:paraId="696BB876" w14:textId="77777777">
        <w:trPr>
          <w:tblCellSpacing w:w="15" w:type="dxa"/>
        </w:trPr>
        <w:tc>
          <w:tcPr>
            <w:tcW w:w="0" w:type="auto"/>
            <w:vAlign w:val="center"/>
            <w:hideMark/>
          </w:tcPr>
          <w:p w14:paraId="5D3764DC" w14:textId="77777777" w:rsidR="007D1937" w:rsidRPr="007D1937" w:rsidRDefault="007D1937" w:rsidP="007D1937">
            <w:pPr>
              <w:spacing w:after="0" w:line="240" w:lineRule="auto"/>
              <w:rPr>
                <w:rFonts w:eastAsia="Times New Roman"/>
                <w:strike/>
              </w:rPr>
            </w:pPr>
            <w:r w:rsidRPr="007D1937">
              <w:rPr>
                <w:rFonts w:eastAsia="Times New Roman"/>
              </w:rPr>
              <w:lastRenderedPageBreak/>
              <w:t>Age (≥25 vs &lt;20)</w:t>
            </w:r>
          </w:p>
        </w:tc>
        <w:tc>
          <w:tcPr>
            <w:tcW w:w="0" w:type="auto"/>
            <w:vAlign w:val="center"/>
            <w:hideMark/>
          </w:tcPr>
          <w:p w14:paraId="31252550" w14:textId="0D5A230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1.67</w:t>
            </w:r>
          </w:p>
        </w:tc>
        <w:tc>
          <w:tcPr>
            <w:tcW w:w="0" w:type="auto"/>
            <w:vAlign w:val="center"/>
            <w:hideMark/>
          </w:tcPr>
          <w:p w14:paraId="791547C0" w14:textId="52FF21B0"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0.92–3.03</w:t>
            </w:r>
          </w:p>
        </w:tc>
        <w:tc>
          <w:tcPr>
            <w:tcW w:w="0" w:type="auto"/>
            <w:vAlign w:val="center"/>
            <w:hideMark/>
          </w:tcPr>
          <w:p w14:paraId="406E7AD9" w14:textId="1C3B45F1"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0.089</w:t>
            </w:r>
          </w:p>
        </w:tc>
      </w:tr>
      <w:tr w:rsidR="007D1937" w:rsidRPr="007D1937" w14:paraId="36400282" w14:textId="77777777">
        <w:trPr>
          <w:tblCellSpacing w:w="15" w:type="dxa"/>
        </w:trPr>
        <w:tc>
          <w:tcPr>
            <w:tcW w:w="0" w:type="auto"/>
            <w:vAlign w:val="center"/>
            <w:hideMark/>
          </w:tcPr>
          <w:p w14:paraId="64907AB4" w14:textId="77777777" w:rsidR="007D1937" w:rsidRPr="007D1937" w:rsidRDefault="007D1937" w:rsidP="007D1937">
            <w:pPr>
              <w:spacing w:after="0" w:line="240" w:lineRule="auto"/>
              <w:rPr>
                <w:rFonts w:eastAsia="Times New Roman"/>
                <w:strike/>
              </w:rPr>
            </w:pPr>
            <w:r w:rsidRPr="007D1937">
              <w:rPr>
                <w:rFonts w:eastAsia="Times New Roman"/>
              </w:rPr>
              <w:t>Senior academic level</w:t>
            </w:r>
          </w:p>
        </w:tc>
        <w:tc>
          <w:tcPr>
            <w:tcW w:w="0" w:type="auto"/>
            <w:vAlign w:val="center"/>
            <w:hideMark/>
          </w:tcPr>
          <w:p w14:paraId="15C0448D" w14:textId="72F55B7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1.59</w:t>
            </w:r>
          </w:p>
        </w:tc>
        <w:tc>
          <w:tcPr>
            <w:tcW w:w="0" w:type="auto"/>
            <w:vAlign w:val="center"/>
            <w:hideMark/>
          </w:tcPr>
          <w:p w14:paraId="0C12A40D" w14:textId="5555D9F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1.03–2.46</w:t>
            </w:r>
          </w:p>
        </w:tc>
        <w:tc>
          <w:tcPr>
            <w:tcW w:w="0" w:type="auto"/>
            <w:vAlign w:val="center"/>
            <w:hideMark/>
          </w:tcPr>
          <w:p w14:paraId="422C3D7F" w14:textId="688CD805"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0.036</w:t>
            </w:r>
          </w:p>
        </w:tc>
      </w:tr>
      <w:tr w:rsidR="007D1937" w:rsidRPr="007D1937" w14:paraId="197E2E06" w14:textId="77777777">
        <w:trPr>
          <w:tblCellSpacing w:w="15" w:type="dxa"/>
        </w:trPr>
        <w:tc>
          <w:tcPr>
            <w:tcW w:w="0" w:type="auto"/>
            <w:vAlign w:val="center"/>
            <w:hideMark/>
          </w:tcPr>
          <w:p w14:paraId="50AD191B" w14:textId="77777777" w:rsidR="007D1937" w:rsidRPr="007D1937" w:rsidRDefault="007D1937" w:rsidP="007D1937">
            <w:pPr>
              <w:spacing w:after="0" w:line="240" w:lineRule="auto"/>
              <w:rPr>
                <w:rFonts w:eastAsia="Times New Roman"/>
                <w:strike/>
              </w:rPr>
            </w:pPr>
            <w:r w:rsidRPr="007D1937">
              <w:rPr>
                <w:rFonts w:eastAsia="Times New Roman"/>
              </w:rPr>
              <w:t>Urban residence</w:t>
            </w:r>
          </w:p>
        </w:tc>
        <w:tc>
          <w:tcPr>
            <w:tcW w:w="0" w:type="auto"/>
            <w:vAlign w:val="center"/>
            <w:hideMark/>
          </w:tcPr>
          <w:p w14:paraId="1BA8FF85" w14:textId="6D1BFBC2"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1.21</w:t>
            </w:r>
          </w:p>
        </w:tc>
        <w:tc>
          <w:tcPr>
            <w:tcW w:w="0" w:type="auto"/>
            <w:vAlign w:val="center"/>
            <w:hideMark/>
          </w:tcPr>
          <w:p w14:paraId="3D5F5B92" w14:textId="06535614"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0.78–1.88</w:t>
            </w:r>
          </w:p>
        </w:tc>
        <w:tc>
          <w:tcPr>
            <w:tcW w:w="0" w:type="auto"/>
            <w:vAlign w:val="center"/>
            <w:hideMark/>
          </w:tcPr>
          <w:p w14:paraId="0E48CA1B" w14:textId="6A7426FD"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0.392</w:t>
            </w:r>
          </w:p>
        </w:tc>
      </w:tr>
      <w:tr w:rsidR="007D1937" w:rsidRPr="007D1937" w14:paraId="541E8F7F" w14:textId="77777777">
        <w:trPr>
          <w:tblCellSpacing w:w="15" w:type="dxa"/>
        </w:trPr>
        <w:tc>
          <w:tcPr>
            <w:tcW w:w="0" w:type="auto"/>
            <w:vAlign w:val="center"/>
            <w:hideMark/>
          </w:tcPr>
          <w:p w14:paraId="18B86935" w14:textId="77777777" w:rsidR="007D1937" w:rsidRPr="007D1937" w:rsidRDefault="007D1937" w:rsidP="007D1937">
            <w:pPr>
              <w:spacing w:after="0" w:line="240" w:lineRule="auto"/>
              <w:rPr>
                <w:rFonts w:eastAsia="Times New Roman"/>
                <w:strike/>
              </w:rPr>
            </w:pPr>
            <w:r w:rsidRPr="007D1937">
              <w:rPr>
                <w:rFonts w:eastAsia="Times New Roman"/>
              </w:rPr>
              <w:t>Higher maternal education</w:t>
            </w:r>
          </w:p>
        </w:tc>
        <w:tc>
          <w:tcPr>
            <w:tcW w:w="0" w:type="auto"/>
            <w:vAlign w:val="center"/>
            <w:hideMark/>
          </w:tcPr>
          <w:p w14:paraId="75A8E59A" w14:textId="36757102"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2.14</w:t>
            </w:r>
          </w:p>
        </w:tc>
        <w:tc>
          <w:tcPr>
            <w:tcW w:w="0" w:type="auto"/>
            <w:vAlign w:val="center"/>
            <w:hideMark/>
          </w:tcPr>
          <w:p w14:paraId="6B7D2C7E" w14:textId="6967A98F"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1.37–3.35</w:t>
            </w:r>
          </w:p>
        </w:tc>
        <w:tc>
          <w:tcPr>
            <w:tcW w:w="0" w:type="auto"/>
            <w:vAlign w:val="center"/>
            <w:hideMark/>
          </w:tcPr>
          <w:p w14:paraId="3C20DF2D" w14:textId="7BFE340D"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0.001</w:t>
            </w:r>
          </w:p>
        </w:tc>
      </w:tr>
      <w:tr w:rsidR="007D1937" w:rsidRPr="007D1937" w14:paraId="43F8296A" w14:textId="77777777">
        <w:trPr>
          <w:tblCellSpacing w:w="15" w:type="dxa"/>
        </w:trPr>
        <w:tc>
          <w:tcPr>
            <w:tcW w:w="0" w:type="auto"/>
            <w:vAlign w:val="center"/>
            <w:hideMark/>
          </w:tcPr>
          <w:p w14:paraId="3373E649" w14:textId="77777777" w:rsidR="007D1937" w:rsidRPr="007D1937" w:rsidRDefault="007D1937" w:rsidP="007D1937">
            <w:pPr>
              <w:spacing w:after="0" w:line="240" w:lineRule="auto"/>
              <w:rPr>
                <w:rFonts w:eastAsia="Times New Roman"/>
                <w:strike/>
              </w:rPr>
            </w:pPr>
            <w:r w:rsidRPr="007D1937">
              <w:rPr>
                <w:rFonts w:eastAsia="Times New Roman"/>
              </w:rPr>
              <w:t>Moderate/high allowance</w:t>
            </w:r>
          </w:p>
        </w:tc>
        <w:tc>
          <w:tcPr>
            <w:tcW w:w="0" w:type="auto"/>
            <w:vAlign w:val="center"/>
            <w:hideMark/>
          </w:tcPr>
          <w:p w14:paraId="00564E9F" w14:textId="2B07325F"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1.93</w:t>
            </w:r>
          </w:p>
        </w:tc>
        <w:tc>
          <w:tcPr>
            <w:tcW w:w="0" w:type="auto"/>
            <w:vAlign w:val="center"/>
            <w:hideMark/>
          </w:tcPr>
          <w:p w14:paraId="0A12E3E9" w14:textId="3032BE4E"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1.22–3.05</w:t>
            </w:r>
          </w:p>
        </w:tc>
        <w:tc>
          <w:tcPr>
            <w:tcW w:w="0" w:type="auto"/>
            <w:vAlign w:val="center"/>
            <w:hideMark/>
          </w:tcPr>
          <w:p w14:paraId="11BE1354" w14:textId="25F105E6" w:rsidR="007D1937" w:rsidRPr="007D1937" w:rsidRDefault="00F84C37" w:rsidP="007D1937">
            <w:pPr>
              <w:spacing w:after="0" w:line="240" w:lineRule="auto"/>
              <w:rPr>
                <w:rFonts w:eastAsia="Times New Roman"/>
                <w:strike/>
              </w:rPr>
            </w:pPr>
            <w:r>
              <w:rPr>
                <w:rFonts w:eastAsia="Times New Roman"/>
              </w:rPr>
              <w:t xml:space="preserve">             </w:t>
            </w:r>
            <w:r w:rsidR="007D1937" w:rsidRPr="007D1937">
              <w:rPr>
                <w:rFonts w:eastAsia="Times New Roman"/>
              </w:rPr>
              <w:t>0.005</w:t>
            </w:r>
          </w:p>
        </w:tc>
      </w:tr>
    </w:tbl>
    <w:p w14:paraId="63D0520E" w14:textId="553B1F94" w:rsidR="007D1937" w:rsidRPr="007D1937" w:rsidRDefault="007D1937" w:rsidP="007D1937">
      <w:pPr>
        <w:spacing w:before="100" w:beforeAutospacing="1" w:after="100" w:afterAutospacing="1" w:line="240" w:lineRule="auto"/>
        <w:outlineLvl w:val="1"/>
        <w:rPr>
          <w:rFonts w:eastAsia="Times New Roman"/>
          <w:b/>
          <w:bCs/>
          <w:strike/>
        </w:rPr>
      </w:pPr>
      <w:r w:rsidRPr="007D1937">
        <w:rPr>
          <w:rFonts w:eastAsia="Times New Roman"/>
          <w:b/>
          <w:bCs/>
        </w:rPr>
        <w:t>Model Interpretation</w:t>
      </w:r>
    </w:p>
    <w:p w14:paraId="0DFB4BC9" w14:textId="5E1E97FE" w:rsidR="00F622D4" w:rsidRPr="00392356" w:rsidRDefault="007D1937" w:rsidP="00B20FCD">
      <w:pPr>
        <w:spacing w:before="100" w:beforeAutospacing="1" w:after="100" w:afterAutospacing="1" w:line="240" w:lineRule="auto"/>
        <w:rPr>
          <w:rFonts w:eastAsia="Times New Roman"/>
          <w:strike/>
        </w:rPr>
      </w:pPr>
      <w:r w:rsidRPr="007D1937">
        <w:rPr>
          <w:rFonts w:eastAsia="Times New Roman"/>
        </w:rPr>
        <w:t>The final ordinal regression model demonstrated stable estimates with acceptable diagnostics. Socio-demographic variables explained a meaningful proportion of behavioural variation (Nagelkerke pseudo-R² = 0.28), indicating moderate explanatory power.</w:t>
      </w:r>
    </w:p>
    <w:p w14:paraId="2169AF0B" w14:textId="10184427" w:rsidR="00B20FCD" w:rsidRDefault="00B20FCD" w:rsidP="00B20FCD">
      <w:pPr>
        <w:spacing w:before="100" w:beforeAutospacing="1" w:after="100" w:afterAutospacing="1" w:line="240" w:lineRule="auto"/>
        <w:rPr>
          <w:rFonts w:eastAsia="Times New Roman"/>
          <w:b/>
          <w:bCs/>
          <w:strike/>
        </w:rPr>
      </w:pPr>
      <w:r w:rsidRPr="00B20FCD">
        <w:rPr>
          <w:rFonts w:eastAsia="Times New Roman"/>
          <w:b/>
          <w:bCs/>
        </w:rPr>
        <w:t>Discussion</w:t>
      </w:r>
    </w:p>
    <w:p w14:paraId="19BBF166" w14:textId="24B0E9C1"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 xml:space="preserve">This study </w:t>
      </w:r>
      <w:r w:rsidR="00F622D4">
        <w:rPr>
          <w:strike w:val="0"/>
          <w:color w:val="0F1115"/>
        </w:rPr>
        <w:t>assessed</w:t>
      </w:r>
      <w:r w:rsidRPr="00A842D0">
        <w:rPr>
          <w:strike w:val="0"/>
          <w:color w:val="0F1115"/>
        </w:rPr>
        <w:t xml:space="preserve"> socio-demographic predictors of menstrual hygiene behaviour among female </w:t>
      </w:r>
      <w:r w:rsidR="00953847">
        <w:rPr>
          <w:strike w:val="0"/>
          <w:color w:val="0F1115"/>
        </w:rPr>
        <w:t xml:space="preserve">medical </w:t>
      </w:r>
      <w:r w:rsidRPr="00A842D0">
        <w:rPr>
          <w:strike w:val="0"/>
          <w:color w:val="0F1115"/>
        </w:rPr>
        <w:t xml:space="preserve">undergraduate students and </w:t>
      </w:r>
      <w:r w:rsidR="00F622D4">
        <w:rPr>
          <w:strike w:val="0"/>
          <w:color w:val="0F1115"/>
        </w:rPr>
        <w:t>reported</w:t>
      </w:r>
      <w:r w:rsidRPr="00A842D0">
        <w:rPr>
          <w:strike w:val="0"/>
          <w:color w:val="0F1115"/>
        </w:rPr>
        <w:t xml:space="preserve"> that age, academic level, maternal education, and financial capacity significantly influenced hygiene practices. These findings indicate that menstrual hygiene behaviour among young adult women is shaped by structural and developmental determinants rather than knowledge alone. Although most published literature focuses on adolescents, similar socio-demographic pathways are repeatedly documented across educational settings, suggesting continuity of behavioural influences into tertiary education (</w:t>
      </w:r>
      <w:proofErr w:type="spellStart"/>
      <w:r w:rsidRPr="00A842D0">
        <w:rPr>
          <w:strike w:val="0"/>
          <w:color w:val="0F1115"/>
        </w:rPr>
        <w:t>Anbesu</w:t>
      </w:r>
      <w:proofErr w:type="spellEnd"/>
      <w:r w:rsidRPr="00A842D0">
        <w:rPr>
          <w:strike w:val="0"/>
          <w:color w:val="0F1115"/>
        </w:rPr>
        <w:t xml:space="preserve"> &amp; Asgedom, 2023; </w:t>
      </w:r>
      <w:proofErr w:type="spellStart"/>
      <w:r w:rsidRPr="00A842D0">
        <w:rPr>
          <w:strike w:val="0"/>
          <w:color w:val="0F1115"/>
        </w:rPr>
        <w:t>Uzoechi</w:t>
      </w:r>
      <w:proofErr w:type="spellEnd"/>
      <w:r w:rsidRPr="00A842D0">
        <w:rPr>
          <w:strike w:val="0"/>
          <w:color w:val="0F1115"/>
        </w:rPr>
        <w:t xml:space="preserve"> et al., 2023). The consistency of these predictors with regional evidence underscores the persistent role of socio-economic factors in shaping health behaviours even among relatively privileged university populations.</w:t>
      </w:r>
    </w:p>
    <w:p w14:paraId="5A2883AF" w14:textId="77777777"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The association between age and improved menstrual hygiene behaviour observed in this study reflects behavioural maturation and increasing autonomy. Older students may possess greater confidence in managing menstruation, improved access to preferred materials, and stronger decision-making capacity. Sub-Saharan African evidence consistently demonstrates that older adolescents report better hygiene practices compared with younger peers, largely attributed to cumulative exposure to reproductive health information and social learning (</w:t>
      </w:r>
      <w:proofErr w:type="spellStart"/>
      <w:r w:rsidRPr="00A842D0">
        <w:rPr>
          <w:strike w:val="0"/>
          <w:color w:val="0F1115"/>
        </w:rPr>
        <w:t>Anbesu</w:t>
      </w:r>
      <w:proofErr w:type="spellEnd"/>
      <w:r w:rsidRPr="00A842D0">
        <w:rPr>
          <w:strike w:val="0"/>
          <w:color w:val="0F1115"/>
        </w:rPr>
        <w:t xml:space="preserve"> &amp; Asgedom, 2023). Nigerian school-based studies similarly show age-related improvements in menstrual hygiene management, suggesting that behavioural refinement continues into early adulthood, aligning with the undergraduate pattern observed here (</w:t>
      </w:r>
      <w:proofErr w:type="spellStart"/>
      <w:r w:rsidRPr="00A842D0">
        <w:rPr>
          <w:strike w:val="0"/>
          <w:color w:val="0F1115"/>
        </w:rPr>
        <w:t>Nnennaya</w:t>
      </w:r>
      <w:proofErr w:type="spellEnd"/>
      <w:r w:rsidRPr="00A842D0">
        <w:rPr>
          <w:strike w:val="0"/>
          <w:color w:val="0F1115"/>
        </w:rPr>
        <w:t xml:space="preserve"> et al., 2021). This developmental progression likely involves both practical skill acquisition and reduced menstrual stigma through repeated menstrual experiences over time.</w:t>
      </w:r>
    </w:p>
    <w:p w14:paraId="5F50C22A" w14:textId="3CDB874D"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Academic level also independently predicted menstrual hygiene behaviour. Senior students demonstrated better practices, which likely reflects increasing health literacy, peer reinforcement, and adaptation to institutional environments. Evidence from Nigerian adolescent populations shows that exposure to formal health education improves menstrual hygiene behaviours even when baseline awareness is widespread (Ene et al., 2024</w:t>
      </w:r>
      <w:r w:rsidR="001A026C">
        <w:rPr>
          <w:strike w:val="0"/>
          <w:color w:val="0F1115"/>
        </w:rPr>
        <w:t xml:space="preserve">; </w:t>
      </w:r>
      <w:proofErr w:type="spellStart"/>
      <w:r w:rsidR="001A026C" w:rsidRPr="00A46F5F">
        <w:rPr>
          <w:strike w:val="0"/>
          <w:color w:val="0F1115"/>
          <w:lang w:val="en-US"/>
        </w:rPr>
        <w:t>Shumie</w:t>
      </w:r>
      <w:proofErr w:type="spellEnd"/>
      <w:r w:rsidR="001A026C" w:rsidRPr="001A026C">
        <w:rPr>
          <w:strike w:val="0"/>
          <w:color w:val="0F1115"/>
          <w:lang w:val="en-US"/>
        </w:rPr>
        <w:t xml:space="preserve"> &amp; </w:t>
      </w:r>
      <w:proofErr w:type="spellStart"/>
      <w:r w:rsidR="001A026C" w:rsidRPr="001A026C">
        <w:rPr>
          <w:strike w:val="0"/>
          <w:color w:val="0F1115"/>
          <w:lang w:val="en-US"/>
        </w:rPr>
        <w:t>Mengie</w:t>
      </w:r>
      <w:proofErr w:type="spellEnd"/>
      <w:r w:rsidR="001A026C" w:rsidRPr="001A026C">
        <w:rPr>
          <w:strike w:val="0"/>
          <w:color w:val="0F1115"/>
          <w:lang w:val="en-US"/>
        </w:rPr>
        <w:t>, 2022</w:t>
      </w:r>
      <w:r w:rsidRPr="00A842D0">
        <w:rPr>
          <w:strike w:val="0"/>
          <w:color w:val="0F1115"/>
        </w:rPr>
        <w:t>). A systematic review of menstrual literacy in Nigeria similarly reported that educational progression strengthens practical application of hygiene knowledge, reinforcing behavioural competence (</w:t>
      </w:r>
      <w:proofErr w:type="spellStart"/>
      <w:r w:rsidRPr="00A842D0">
        <w:rPr>
          <w:strike w:val="0"/>
          <w:color w:val="0F1115"/>
        </w:rPr>
        <w:t>Uzoechi</w:t>
      </w:r>
      <w:proofErr w:type="spellEnd"/>
      <w:r w:rsidRPr="00A842D0">
        <w:rPr>
          <w:strike w:val="0"/>
          <w:color w:val="0F1115"/>
        </w:rPr>
        <w:t xml:space="preserve"> et al., 2023). The current findings extend this relationship to university settings, indicating that educational advancement continues to shape hygiene behaviour beyond secondary schooling. Senior students may benefit from accumulated </w:t>
      </w:r>
      <w:r w:rsidRPr="00A842D0">
        <w:rPr>
          <w:strike w:val="0"/>
          <w:color w:val="0F1115"/>
        </w:rPr>
        <w:lastRenderedPageBreak/>
        <w:t>campus experience, established social networks for product sharing, and greater familiarity with university sanitation facilities.</w:t>
      </w:r>
    </w:p>
    <w:p w14:paraId="3835AD2F" w14:textId="77777777"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Maternal education emerged as a strong predictor, highlighting the intergenerational transmission of health behaviours. Students whose mothers had higher educational attainment were more likely to demonstrate optimal hygiene practices. This aligns with sub-Saharan meta-analytic evidence showing that maternal education improves menstrual preparedness, communication, and access to hygienic materials (</w:t>
      </w:r>
      <w:proofErr w:type="spellStart"/>
      <w:r w:rsidRPr="00A842D0">
        <w:rPr>
          <w:strike w:val="0"/>
          <w:color w:val="0F1115"/>
        </w:rPr>
        <w:t>Anbesu</w:t>
      </w:r>
      <w:proofErr w:type="spellEnd"/>
      <w:r w:rsidRPr="00A842D0">
        <w:rPr>
          <w:strike w:val="0"/>
          <w:color w:val="0F1115"/>
        </w:rPr>
        <w:t xml:space="preserve"> &amp; Asgedom, 2023). Nigerian studies report that girls receiving maternal guidance exhibit better menstrual hygiene practices and reduced distress during menstruation (</w:t>
      </w:r>
      <w:proofErr w:type="spellStart"/>
      <w:r w:rsidRPr="00A842D0">
        <w:rPr>
          <w:strike w:val="0"/>
          <w:color w:val="0F1115"/>
        </w:rPr>
        <w:t>Nwimo</w:t>
      </w:r>
      <w:proofErr w:type="spellEnd"/>
      <w:r w:rsidRPr="00A842D0">
        <w:rPr>
          <w:strike w:val="0"/>
          <w:color w:val="0F1115"/>
        </w:rPr>
        <w:t xml:space="preserve"> et al., 2022). The persistence of this association among undergraduates suggests that early familial influences establish behavioural frameworks that remain relevant in young adulthood. Maternal education may influence not only direct knowledge transmission but also broader attitudes toward reproductive health, gender norms, and health-seeking behaviours that extend beyond adolescence.</w:t>
      </w:r>
    </w:p>
    <w:p w14:paraId="7E41BB70" w14:textId="0E20512A"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Financial capacity, represented by monthly allowance, was another key determinant of menstrual hygiene behaviour. Students with greater financial resources were more likely to use appropriate sanitary materials and maintain hygienic practices. Economic barriers remain a central determinant of menstrual management across low- and middle-income settings. Systematic evidence from sub-Saharan Africa shows that affordability directly influences product choice, frequency of change, and disposal practices (</w:t>
      </w:r>
      <w:proofErr w:type="spellStart"/>
      <w:r w:rsidRPr="00A842D0">
        <w:rPr>
          <w:strike w:val="0"/>
          <w:color w:val="0F1115"/>
        </w:rPr>
        <w:t>Anbesu</w:t>
      </w:r>
      <w:proofErr w:type="spellEnd"/>
      <w:r w:rsidRPr="00A842D0">
        <w:rPr>
          <w:strike w:val="0"/>
          <w:color w:val="0F1115"/>
        </w:rPr>
        <w:t xml:space="preserve"> &amp; Asgedom, 2023). Nigerian qualitative and quantitative studies similarly highlight that access to preferred menstrual materials is shaped by economic capacity (</w:t>
      </w:r>
      <w:r w:rsidR="008636A4" w:rsidRPr="00A46F5F">
        <w:rPr>
          <w:strike w:val="0"/>
          <w:color w:val="0F1115"/>
          <w:lang w:val="en-US"/>
        </w:rPr>
        <w:t>Budhathoki</w:t>
      </w:r>
      <w:r w:rsidR="008636A4">
        <w:rPr>
          <w:strike w:val="0"/>
          <w:color w:val="0F1115"/>
          <w:lang w:val="en-US"/>
        </w:rPr>
        <w:t xml:space="preserve"> et al., 2018; </w:t>
      </w:r>
      <w:r w:rsidRPr="00A842D0">
        <w:rPr>
          <w:strike w:val="0"/>
          <w:color w:val="0F1115"/>
        </w:rPr>
        <w:t>Ene et al., 2024</w:t>
      </w:r>
      <w:r w:rsidR="00847F37">
        <w:rPr>
          <w:strike w:val="0"/>
          <w:color w:val="0F1115"/>
        </w:rPr>
        <w:t xml:space="preserve">; </w:t>
      </w:r>
      <w:proofErr w:type="spellStart"/>
      <w:r w:rsidR="00847F37" w:rsidRPr="00A46F5F">
        <w:rPr>
          <w:strike w:val="0"/>
          <w:color w:val="0F1115"/>
          <w:lang w:val="en-US"/>
        </w:rPr>
        <w:t>Shumie</w:t>
      </w:r>
      <w:proofErr w:type="spellEnd"/>
      <w:r w:rsidR="001A026C">
        <w:rPr>
          <w:strike w:val="0"/>
          <w:color w:val="0F1115"/>
          <w:lang w:val="en-US"/>
        </w:rPr>
        <w:t xml:space="preserve"> &amp; </w:t>
      </w:r>
      <w:proofErr w:type="spellStart"/>
      <w:r w:rsidR="001A026C">
        <w:rPr>
          <w:strike w:val="0"/>
          <w:color w:val="0F1115"/>
          <w:lang w:val="en-US"/>
        </w:rPr>
        <w:t>Mengie</w:t>
      </w:r>
      <w:proofErr w:type="spellEnd"/>
      <w:r w:rsidR="001A026C">
        <w:rPr>
          <w:strike w:val="0"/>
          <w:color w:val="0F1115"/>
          <w:lang w:val="en-US"/>
        </w:rPr>
        <w:t xml:space="preserve">, </w:t>
      </w:r>
      <w:r w:rsidR="00847F37">
        <w:rPr>
          <w:strike w:val="0"/>
          <w:color w:val="0F1115"/>
          <w:lang w:val="en-US"/>
        </w:rPr>
        <w:t>2022</w:t>
      </w:r>
      <w:r w:rsidRPr="00A842D0">
        <w:rPr>
          <w:strike w:val="0"/>
          <w:color w:val="0F1115"/>
        </w:rPr>
        <w:t>). The undergraduate findings reinforce that financial autonomy continues to mediate menstrual hygiene behaviour even within institutional environments. Despite being in educational settings, students' purchasing power determines their ability to access commercial sanitary products versus relying on less hygienic alternatives.</w:t>
      </w:r>
    </w:p>
    <w:p w14:paraId="3AC0AFF3" w14:textId="05D1A851"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Residence did not retain statistical significance after adjustment, suggesting that shared campus infrastructure may mitigate environmental disparities. This finding is consistent with evidence that institutional sanitation environments can equalise access to hygiene facilities, reducing residence-related inequities observed in community settings (</w:t>
      </w:r>
      <w:proofErr w:type="spellStart"/>
      <w:r w:rsidRPr="00A842D0">
        <w:rPr>
          <w:strike w:val="0"/>
          <w:color w:val="0F1115"/>
        </w:rPr>
        <w:t>Ikogho</w:t>
      </w:r>
      <w:proofErr w:type="spellEnd"/>
      <w:r w:rsidRPr="00A842D0">
        <w:rPr>
          <w:strike w:val="0"/>
          <w:color w:val="0F1115"/>
        </w:rPr>
        <w:t xml:space="preserve"> &amp; </w:t>
      </w:r>
      <w:proofErr w:type="spellStart"/>
      <w:r w:rsidRPr="00A842D0">
        <w:rPr>
          <w:strike w:val="0"/>
          <w:color w:val="0F1115"/>
        </w:rPr>
        <w:t>Onoharigho</w:t>
      </w:r>
      <w:proofErr w:type="spellEnd"/>
      <w:r w:rsidRPr="00A842D0">
        <w:rPr>
          <w:strike w:val="0"/>
          <w:color w:val="0F1115"/>
        </w:rPr>
        <w:t>, 2025). While adolescent literature frequently reports urban</w:t>
      </w:r>
      <w:r w:rsidR="00847F37">
        <w:rPr>
          <w:strike w:val="0"/>
          <w:color w:val="0F1115"/>
        </w:rPr>
        <w:t xml:space="preserve"> - </w:t>
      </w:r>
      <w:r w:rsidRPr="00A842D0">
        <w:rPr>
          <w:strike w:val="0"/>
          <w:color w:val="0F1115"/>
        </w:rPr>
        <w:t>rural differences in menstrual hygiene access, the university context appears to attenuate such disparities, indicating the importance of infrastructure in shaping behavioural outcomes (</w:t>
      </w:r>
      <w:r w:rsidR="008636A4" w:rsidRPr="00A46F5F">
        <w:rPr>
          <w:strike w:val="0"/>
          <w:color w:val="0F1115"/>
          <w:lang w:val="en-US"/>
        </w:rPr>
        <w:t>Sommer</w:t>
      </w:r>
      <w:r w:rsidRPr="00A842D0">
        <w:rPr>
          <w:strike w:val="0"/>
          <w:color w:val="0F1115"/>
        </w:rPr>
        <w:t xml:space="preserve"> et al., 202</w:t>
      </w:r>
      <w:r w:rsidR="008636A4">
        <w:rPr>
          <w:strike w:val="0"/>
          <w:color w:val="0F1115"/>
        </w:rPr>
        <w:t>1</w:t>
      </w:r>
      <w:r w:rsidRPr="00A842D0">
        <w:rPr>
          <w:strike w:val="0"/>
          <w:color w:val="0F1115"/>
        </w:rPr>
        <w:t>). This finding has important implications for intervention design, suggesting that improving campus sanitation facilities could benefit all students regardless of their residential background before university entry.</w:t>
      </w:r>
    </w:p>
    <w:p w14:paraId="0D2AC549" w14:textId="77777777"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The overall prevalence of good menstrual hygiene behaviour observed in this study parallels findings from adolescent populations, where moderate practice levels persist despite increasing awareness. A meta-analysis across sub-Saharan Africa estimated that fewer than half of adolescent girls consistently practice optimal menstrual hygiene (</w:t>
      </w:r>
      <w:proofErr w:type="spellStart"/>
      <w:r w:rsidRPr="00A842D0">
        <w:rPr>
          <w:strike w:val="0"/>
          <w:color w:val="0F1115"/>
        </w:rPr>
        <w:t>Anbesu</w:t>
      </w:r>
      <w:proofErr w:type="spellEnd"/>
      <w:r w:rsidRPr="00A842D0">
        <w:rPr>
          <w:strike w:val="0"/>
          <w:color w:val="0F1115"/>
        </w:rPr>
        <w:t xml:space="preserve"> &amp; Asgedom, 2023). Nigerian systematic evidence similarly reports variability in hygiene practices despite high awareness (</w:t>
      </w:r>
      <w:proofErr w:type="spellStart"/>
      <w:r w:rsidRPr="00A842D0">
        <w:rPr>
          <w:strike w:val="0"/>
          <w:color w:val="0F1115"/>
        </w:rPr>
        <w:t>Uzoechi</w:t>
      </w:r>
      <w:proofErr w:type="spellEnd"/>
      <w:r w:rsidRPr="00A842D0">
        <w:rPr>
          <w:strike w:val="0"/>
          <w:color w:val="0F1115"/>
        </w:rPr>
        <w:t xml:space="preserve"> et al., 2023). The undergraduate pattern suggests that behavioural adoption remains constrained by socio-economic and environmental determinants rather than knowledge alone. This knowledge-behaviour gap underscores the limitations of educational interventions that fail to address structural barriers to optimal menstrual hygiene.</w:t>
      </w:r>
    </w:p>
    <w:p w14:paraId="3CDF4A5A" w14:textId="429F550E"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lastRenderedPageBreak/>
        <w:t>The continuity between adolescent and undergraduate determinants underscores the life-course nature of menstrual hygiene behaviour. Studies among Nigerian adolescents show that maternal support, economic access, and educational exposure jointly influence menstrual practices (</w:t>
      </w:r>
      <w:proofErr w:type="spellStart"/>
      <w:r w:rsidRPr="00A842D0">
        <w:rPr>
          <w:strike w:val="0"/>
          <w:color w:val="0F1115"/>
        </w:rPr>
        <w:t>Nnennaya</w:t>
      </w:r>
      <w:proofErr w:type="spellEnd"/>
      <w:r w:rsidRPr="00A842D0">
        <w:rPr>
          <w:strike w:val="0"/>
          <w:color w:val="0F1115"/>
        </w:rPr>
        <w:t xml:space="preserve"> et al., 2021; </w:t>
      </w:r>
      <w:proofErr w:type="spellStart"/>
      <w:r w:rsidRPr="00A842D0">
        <w:rPr>
          <w:strike w:val="0"/>
          <w:color w:val="0F1115"/>
        </w:rPr>
        <w:t>Nwimo</w:t>
      </w:r>
      <w:proofErr w:type="spellEnd"/>
      <w:r w:rsidRPr="00A842D0">
        <w:rPr>
          <w:strike w:val="0"/>
          <w:color w:val="0F1115"/>
        </w:rPr>
        <w:t xml:space="preserve"> et al., 2022). The persistence of these predictors among university students indicates that behavioural foundations established earlier continue to shape young adult outcomes. This supports a developmental model in which menstrual hygiene behaviour evolves but remains anchored in the socio-demographic context (Sommer et al., 20</w:t>
      </w:r>
      <w:r w:rsidR="00B0238D">
        <w:rPr>
          <w:strike w:val="0"/>
          <w:color w:val="0F1115"/>
        </w:rPr>
        <w:t>21</w:t>
      </w:r>
      <w:r w:rsidRPr="00A842D0">
        <w:rPr>
          <w:strike w:val="0"/>
          <w:color w:val="0F1115"/>
        </w:rPr>
        <w:t xml:space="preserve">). The university environment provides opportunities for behavioural reinforcement or </w:t>
      </w:r>
      <w:r w:rsidR="0009407C" w:rsidRPr="0009407C">
        <w:rPr>
          <w:strike w:val="0"/>
          <w:color w:val="0F1115"/>
          <w:highlight w:val="yellow"/>
        </w:rPr>
        <w:t>modification but</w:t>
      </w:r>
      <w:r w:rsidRPr="00A842D0">
        <w:rPr>
          <w:strike w:val="0"/>
          <w:color w:val="0F1115"/>
        </w:rPr>
        <w:t xml:space="preserve"> does not fundamentally disrupt established patterns rooted in family background and early life experiences.</w:t>
      </w:r>
    </w:p>
    <w:p w14:paraId="5D342773" w14:textId="627FCF41"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Methodologically, the analytical framework strengthens the interpretation of behavioural gradients. Ordinal modelling captured variations in hygiene practice rather than collapsing outcomes into binary categories. This aligns with recommendations in behavioural epidemiology to preserve outcome variability when examining determinants (</w:t>
      </w:r>
      <w:r w:rsidR="006D7A5B">
        <w:rPr>
          <w:strike w:val="0"/>
          <w:color w:val="0F1115"/>
        </w:rPr>
        <w:t xml:space="preserve">Briggs et al., 2026; </w:t>
      </w:r>
      <w:r w:rsidRPr="00A842D0">
        <w:rPr>
          <w:strike w:val="0"/>
          <w:color w:val="0F1115"/>
        </w:rPr>
        <w:t>Hennegan et al., 2020). Diagnostic testing confirmed acceptable model assumptions, supporting the reliability of estimated associations. The use of validated instruments and robust statistical approaches enhances the credibility of findings and facilitates comparison with other studies employing similar methodologies.</w:t>
      </w:r>
    </w:p>
    <w:p w14:paraId="34DA4EEE" w14:textId="117D4158"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Importantly, the findings reinforce that menstrual hygiene behaviour cannot be isolated from broader social determinants. Economic capacity, educational exposure, and familial influences interact to shape behavioural decision-making. Nigerian adolescent research repeatedly demonstrates that menstrual management improves when structural barriers are reduced (Ene et al., 2024</w:t>
      </w:r>
      <w:r w:rsidR="00B0238D">
        <w:rPr>
          <w:strike w:val="0"/>
          <w:color w:val="0F1115"/>
        </w:rPr>
        <w:t xml:space="preserve">; </w:t>
      </w:r>
      <w:bookmarkStart w:id="3" w:name="_Hlk221652732"/>
      <w:proofErr w:type="spellStart"/>
      <w:r w:rsidR="00B0238D" w:rsidRPr="00A46F5F">
        <w:rPr>
          <w:strike w:val="0"/>
          <w:color w:val="0F1115"/>
          <w:lang w:val="en-US"/>
        </w:rPr>
        <w:t>Shumie</w:t>
      </w:r>
      <w:proofErr w:type="spellEnd"/>
      <w:r w:rsidR="001A026C">
        <w:rPr>
          <w:strike w:val="0"/>
          <w:color w:val="0F1115"/>
          <w:lang w:val="en-US"/>
        </w:rPr>
        <w:t xml:space="preserve"> &amp; </w:t>
      </w:r>
      <w:proofErr w:type="spellStart"/>
      <w:r w:rsidR="001A026C">
        <w:rPr>
          <w:strike w:val="0"/>
          <w:color w:val="0F1115"/>
          <w:lang w:val="en-US"/>
        </w:rPr>
        <w:t>Mengie</w:t>
      </w:r>
      <w:proofErr w:type="spellEnd"/>
      <w:r w:rsidR="001A026C">
        <w:rPr>
          <w:strike w:val="0"/>
          <w:color w:val="0F1115"/>
          <w:lang w:val="en-US"/>
        </w:rPr>
        <w:t xml:space="preserve">, </w:t>
      </w:r>
      <w:r w:rsidR="00B0238D">
        <w:rPr>
          <w:strike w:val="0"/>
          <w:color w:val="0F1115"/>
          <w:lang w:val="en-US"/>
        </w:rPr>
        <w:t>2022</w:t>
      </w:r>
      <w:bookmarkEnd w:id="3"/>
      <w:r w:rsidRPr="00A842D0">
        <w:rPr>
          <w:strike w:val="0"/>
          <w:color w:val="0F1115"/>
        </w:rPr>
        <w:t>). The undergraduate context reflects similar mechanisms, suggesting that interventions targeting socio-economic constraints remain relevant beyond adolescence. University health services should consider these structural factors when designing menstrual health programs rather than focusing exclusively on educational components.</w:t>
      </w:r>
    </w:p>
    <w:p w14:paraId="3612C65F" w14:textId="66828D63"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Comparatively, menstrual hygiene studies across sub-Saharan Africa emphasise that behavioural improvement requires both educational reinforcement and material access (</w:t>
      </w:r>
      <w:proofErr w:type="spellStart"/>
      <w:r w:rsidRPr="00A842D0">
        <w:rPr>
          <w:strike w:val="0"/>
          <w:color w:val="0F1115"/>
        </w:rPr>
        <w:t>Anbesu</w:t>
      </w:r>
      <w:proofErr w:type="spellEnd"/>
      <w:r w:rsidRPr="00A842D0">
        <w:rPr>
          <w:strike w:val="0"/>
          <w:color w:val="0F1115"/>
        </w:rPr>
        <w:t xml:space="preserve"> &amp; Asgedom, 2023</w:t>
      </w:r>
      <w:r w:rsidR="00952445">
        <w:rPr>
          <w:strike w:val="0"/>
          <w:color w:val="0F1115"/>
        </w:rPr>
        <w:t>; Briggs NCT et al., 2026</w:t>
      </w:r>
      <w:r w:rsidRPr="00A842D0">
        <w:rPr>
          <w:strike w:val="0"/>
          <w:color w:val="0F1115"/>
        </w:rPr>
        <w:t>). Nigerian evidence further shows that menstrual distress decreases when hygienic practices improve, linking behavioural competence with well-being (</w:t>
      </w:r>
      <w:r w:rsidR="006D7A5B">
        <w:rPr>
          <w:strike w:val="0"/>
          <w:color w:val="0F1115"/>
        </w:rPr>
        <w:t xml:space="preserve">Briggs et al., 2026; </w:t>
      </w:r>
      <w:proofErr w:type="spellStart"/>
      <w:r w:rsidRPr="00A842D0">
        <w:rPr>
          <w:strike w:val="0"/>
          <w:color w:val="0F1115"/>
        </w:rPr>
        <w:t>Nwimo</w:t>
      </w:r>
      <w:proofErr w:type="spellEnd"/>
      <w:r w:rsidRPr="00A842D0">
        <w:rPr>
          <w:strike w:val="0"/>
          <w:color w:val="0F1115"/>
        </w:rPr>
        <w:t xml:space="preserve"> et al., 2022). The present study extends this understanding by demonstrating that predictors of hygienic behaviour remain active within tertiary educational settings. This suggests that universities represent important venues for implementing comprehensive menstrual health programs that address both knowledge and resource gaps.</w:t>
      </w:r>
    </w:p>
    <w:p w14:paraId="0950F00D" w14:textId="5C3C4F65" w:rsidR="00253A1A" w:rsidRPr="00A842D0" w:rsidRDefault="00253A1A" w:rsidP="00253A1A">
      <w:pPr>
        <w:pStyle w:val="ds-markdown-paragraph"/>
        <w:shd w:val="clear" w:color="auto" w:fill="FFFFFF"/>
        <w:spacing w:before="240" w:beforeAutospacing="0" w:after="240" w:afterAutospacing="0"/>
        <w:rPr>
          <w:strike w:val="0"/>
          <w:color w:val="0F1115"/>
        </w:rPr>
      </w:pPr>
      <w:r w:rsidRPr="00A842D0">
        <w:rPr>
          <w:strike w:val="0"/>
          <w:color w:val="0F1115"/>
        </w:rPr>
        <w:t>The observed patterns also support the concept of behavioural continuity across educational transitions. Adolescents entering tertiary institutions carry forward established hygiene behaviours shaped by family and socio-economic context. Systematic Nigerian evidence suggests that educational exposure strengthens</w:t>
      </w:r>
      <w:r w:rsidR="00B0238D">
        <w:rPr>
          <w:strike w:val="0"/>
          <w:color w:val="0F1115"/>
        </w:rPr>
        <w:t xml:space="preserve">, </w:t>
      </w:r>
      <w:r w:rsidRPr="00A842D0">
        <w:rPr>
          <w:strike w:val="0"/>
          <w:color w:val="0F1115"/>
        </w:rPr>
        <w:t>but does not replace</w:t>
      </w:r>
      <w:r w:rsidR="00B0238D">
        <w:rPr>
          <w:strike w:val="0"/>
          <w:color w:val="0F1115"/>
        </w:rPr>
        <w:t xml:space="preserve"> </w:t>
      </w:r>
      <w:r w:rsidRPr="00A842D0">
        <w:rPr>
          <w:strike w:val="0"/>
          <w:color w:val="0F1115"/>
        </w:rPr>
        <w:t>foundational influences (</w:t>
      </w:r>
      <w:r w:rsidR="006D7A5B">
        <w:rPr>
          <w:strike w:val="0"/>
          <w:color w:val="0F1115"/>
        </w:rPr>
        <w:t xml:space="preserve">Briggs et al., 2026; </w:t>
      </w:r>
      <w:proofErr w:type="spellStart"/>
      <w:r w:rsidRPr="00A842D0">
        <w:rPr>
          <w:strike w:val="0"/>
          <w:color w:val="0F1115"/>
        </w:rPr>
        <w:t>Uzoechi</w:t>
      </w:r>
      <w:proofErr w:type="spellEnd"/>
      <w:r w:rsidRPr="00A842D0">
        <w:rPr>
          <w:strike w:val="0"/>
          <w:color w:val="0F1115"/>
        </w:rPr>
        <w:t xml:space="preserve"> et al., 2023). Thus, university environments may enhance behavioural expression while underlying determinants remain consistent. This has implications for the timing of interventions, suggesting that earlier interventions targeting adolescents may have lasting effects into young adulthood.</w:t>
      </w:r>
    </w:p>
    <w:p w14:paraId="1DC8EF50" w14:textId="758EC802" w:rsidR="003B7C93" w:rsidRPr="0009407C" w:rsidRDefault="00253A1A" w:rsidP="0009407C">
      <w:pPr>
        <w:pStyle w:val="ds-markdown-paragraph"/>
        <w:shd w:val="clear" w:color="auto" w:fill="FFFFFF"/>
        <w:spacing w:before="240" w:beforeAutospacing="0" w:after="240" w:afterAutospacing="0"/>
        <w:rPr>
          <w:color w:val="0F1115"/>
        </w:rPr>
      </w:pPr>
      <w:r w:rsidRPr="00A842D0">
        <w:rPr>
          <w:strike w:val="0"/>
          <w:color w:val="0F1115"/>
        </w:rPr>
        <w:t xml:space="preserve">Taken together, the findings situate menstrual hygiene behaviour within a socio-developmental framework where age progression, educational exposure, maternal influence, </w:t>
      </w:r>
      <w:r w:rsidRPr="00A842D0">
        <w:rPr>
          <w:strike w:val="0"/>
          <w:color w:val="0F1115"/>
        </w:rPr>
        <w:lastRenderedPageBreak/>
        <w:t>and economic capacity collectively determine behavioural outcomes. The consistency of these predictors with regional literature suggests that undergraduate menstrual hygiene behaviour represents an extension of earlier life patterns rather than a distinct phenomenon. This continuity underscores the importance of addressing structural determinants alongside educational strategies. Future interventions should consider integrated approaches that combine health education with practical support for product access and waste management</w:t>
      </w:r>
      <w:r w:rsidRPr="00253A1A">
        <w:rPr>
          <w:color w:val="0F1115"/>
        </w:rPr>
        <w:t>.</w:t>
      </w:r>
    </w:p>
    <w:p w14:paraId="0A9C83C1" w14:textId="77777777" w:rsidR="000E38A8" w:rsidRPr="000E38A8" w:rsidRDefault="000E38A8" w:rsidP="000E38A8">
      <w:pPr>
        <w:spacing w:before="100" w:beforeAutospacing="1" w:after="100" w:afterAutospacing="1" w:line="240" w:lineRule="auto"/>
        <w:rPr>
          <w:rFonts w:eastAsia="Times New Roman"/>
          <w:b/>
          <w:bCs/>
        </w:rPr>
      </w:pPr>
      <w:r w:rsidRPr="000E38A8">
        <w:rPr>
          <w:rFonts w:eastAsia="Times New Roman"/>
          <w:b/>
          <w:bCs/>
        </w:rPr>
        <w:t>Strengths</w:t>
      </w:r>
    </w:p>
    <w:p w14:paraId="3177364A" w14:textId="2FFAE70A" w:rsidR="000E38A8" w:rsidRPr="000E38A8" w:rsidRDefault="000E38A8" w:rsidP="000E38A8">
      <w:pPr>
        <w:spacing w:before="100" w:beforeAutospacing="1" w:after="100" w:afterAutospacing="1" w:line="240" w:lineRule="auto"/>
        <w:rPr>
          <w:rFonts w:eastAsia="Times New Roman"/>
        </w:rPr>
      </w:pPr>
      <w:r w:rsidRPr="000E38A8">
        <w:rPr>
          <w:rFonts w:eastAsia="Times New Roman"/>
        </w:rPr>
        <w:t xml:space="preserve">This study </w:t>
      </w:r>
      <w:r>
        <w:rPr>
          <w:rFonts w:eastAsia="Times New Roman"/>
          <w:lang w:val="en-US"/>
        </w:rPr>
        <w:t>used</w:t>
      </w:r>
      <w:r w:rsidRPr="000E38A8">
        <w:rPr>
          <w:rFonts w:eastAsia="Times New Roman"/>
        </w:rPr>
        <w:t xml:space="preserve"> ordinal logistic regression with comprehensive diagnostic testing, including proportional odds assumption and goodness-of-fit assessments, enabling nuanced analysis of behavioural gradients beyond binary classifications. The use of a validated instrument (Menstrual Practices Questionnaire) enhanced the reliability of outcome measurement. Stratified random sampling ensured proportional representation across academic levels, minimising selection bias. The focus on medical undergraduates in South-South Nigeria addresses a significant population gap in menstrual hygiene literature.</w:t>
      </w:r>
    </w:p>
    <w:p w14:paraId="456A910B" w14:textId="77777777" w:rsidR="000E38A8" w:rsidRPr="000E38A8" w:rsidRDefault="000E38A8" w:rsidP="000E38A8">
      <w:pPr>
        <w:spacing w:before="100" w:beforeAutospacing="1" w:after="100" w:afterAutospacing="1" w:line="240" w:lineRule="auto"/>
        <w:rPr>
          <w:rFonts w:eastAsia="Times New Roman"/>
          <w:b/>
          <w:bCs/>
        </w:rPr>
      </w:pPr>
      <w:r w:rsidRPr="000E38A8">
        <w:rPr>
          <w:rFonts w:eastAsia="Times New Roman"/>
          <w:b/>
          <w:bCs/>
        </w:rPr>
        <w:t>Limitations</w:t>
      </w:r>
    </w:p>
    <w:p w14:paraId="00798CD6" w14:textId="477E4167" w:rsidR="000E38A8" w:rsidRPr="000E38A8" w:rsidRDefault="000E38A8" w:rsidP="00530D42">
      <w:pPr>
        <w:spacing w:before="100" w:beforeAutospacing="1" w:after="100" w:afterAutospacing="1" w:line="240" w:lineRule="auto"/>
        <w:rPr>
          <w:rFonts w:eastAsia="Times New Roman"/>
          <w:lang w:val="en-US"/>
        </w:rPr>
      </w:pPr>
      <w:r w:rsidRPr="000E38A8">
        <w:rPr>
          <w:rFonts w:eastAsia="Times New Roman"/>
        </w:rPr>
        <w:t>The cross-sectional design precludes causal inference regarding the relationship between socio-demographic factors and menstrual hygiene behaviour. Self-reported data may be subject to social desirability and recall biases, potentially overestimating good practices. The single-institution setting limits generalisability to other tertiary institutions in Nigeria or elsewhere. The exclusion of pregnant and postpartum students may have introduced selection bias. Finally, unmeasured confounders such as cultural beliefs, peer influence, and access to menstrual products could have influenced the observed associations.</w:t>
      </w:r>
    </w:p>
    <w:p w14:paraId="7CE4A6EB" w14:textId="4ABE4568" w:rsidR="00530D42" w:rsidRPr="00530D42" w:rsidRDefault="00530D42" w:rsidP="00530D42">
      <w:pPr>
        <w:spacing w:before="100" w:beforeAutospacing="1" w:after="100" w:afterAutospacing="1" w:line="240" w:lineRule="auto"/>
        <w:rPr>
          <w:rFonts w:eastAsia="Times New Roman"/>
          <w:strike/>
        </w:rPr>
      </w:pPr>
      <w:r w:rsidRPr="00530D42">
        <w:rPr>
          <w:rFonts w:eastAsia="Times New Roman"/>
          <w:b/>
          <w:bCs/>
        </w:rPr>
        <w:t>Conclusion</w:t>
      </w:r>
    </w:p>
    <w:p w14:paraId="3ED633DD" w14:textId="43E0366A" w:rsidR="00DE25EA" w:rsidRPr="00DE25EA" w:rsidRDefault="00DE25EA" w:rsidP="00506F45">
      <w:pPr>
        <w:spacing w:before="100" w:beforeAutospacing="1" w:after="100" w:afterAutospacing="1" w:line="240" w:lineRule="auto"/>
        <w:rPr>
          <w:rFonts w:eastAsia="Times New Roman"/>
          <w:color w:val="0F1115"/>
        </w:rPr>
      </w:pPr>
      <w:r w:rsidRPr="00DE25EA">
        <w:rPr>
          <w:rFonts w:eastAsia="Times New Roman"/>
          <w:color w:val="0F1115"/>
          <w:highlight w:val="yellow"/>
        </w:rPr>
        <w:t>Menstrual hygiene behaviour among female medical undergraduates was significantly associated with age, academic level, maternal education, and financial capacity. These findings highlight the influence of socio-demographic and economic factors on menstrual health practices even among university students. Targeted interventions in tertiary institutions should combine menstrual health education with improved access to sanitary products and supportive sanitation facilities to promote optimal hygiene practices.</w:t>
      </w:r>
    </w:p>
    <w:p w14:paraId="0C78F7E1" w14:textId="2BE9AE73" w:rsidR="00506F45" w:rsidRPr="00506F45" w:rsidRDefault="00506F45" w:rsidP="00506F45">
      <w:pPr>
        <w:spacing w:before="100" w:beforeAutospacing="1" w:after="100" w:afterAutospacing="1" w:line="240" w:lineRule="auto"/>
        <w:rPr>
          <w:rFonts w:eastAsia="Times New Roman"/>
        </w:rPr>
      </w:pPr>
      <w:r w:rsidRPr="00506F45">
        <w:rPr>
          <w:rFonts w:eastAsia="Times New Roman"/>
          <w:b/>
          <w:bCs/>
          <w:color w:val="0F1115"/>
        </w:rPr>
        <w:t>Recommendations</w:t>
      </w:r>
    </w:p>
    <w:p w14:paraId="4222F267"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1. Strengthen Peer-Led Menstrual Health Education</w:t>
      </w:r>
    </w:p>
    <w:p w14:paraId="51BA258B" w14:textId="6C0019FB" w:rsidR="00506F45" w:rsidRPr="00506F45" w:rsidRDefault="00506F45" w:rsidP="00506F45">
      <w:pPr>
        <w:shd w:val="clear" w:color="auto" w:fill="FFFFFF"/>
        <w:spacing w:before="240" w:after="240" w:line="240" w:lineRule="auto"/>
        <w:rPr>
          <w:rFonts w:eastAsia="Times New Roman"/>
          <w:color w:val="0F1115"/>
        </w:rPr>
      </w:pPr>
      <w:r w:rsidRPr="00506F45">
        <w:rPr>
          <w:rFonts w:eastAsia="Times New Roman"/>
          <w:color w:val="0F1115"/>
        </w:rPr>
        <w:t xml:space="preserve">Universities should </w:t>
      </w:r>
      <w:r>
        <w:rPr>
          <w:rFonts w:eastAsia="Times New Roman"/>
          <w:color w:val="0F1115"/>
        </w:rPr>
        <w:t>institutionalise</w:t>
      </w:r>
      <w:r w:rsidRPr="00506F45">
        <w:rPr>
          <w:rFonts w:eastAsia="Times New Roman"/>
          <w:color w:val="0F1115"/>
        </w:rPr>
        <w:t xml:space="preserve"> peer-led programmes that leverage social learning pathways documented in sub-Saharan African literature</w:t>
      </w:r>
      <w:r>
        <w:rPr>
          <w:rFonts w:eastAsia="Times New Roman"/>
          <w:color w:val="0F1115"/>
        </w:rPr>
        <w:t xml:space="preserve">. </w:t>
      </w:r>
      <w:r w:rsidRPr="00506F45">
        <w:rPr>
          <w:rFonts w:eastAsia="Times New Roman"/>
          <w:color w:val="0F1115"/>
        </w:rPr>
        <w:t>These programmes create safe spaces for knowledge sharing and behavioural reinforcement among undergraduate women.</w:t>
      </w:r>
    </w:p>
    <w:p w14:paraId="6D3F3450"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2. Integrate Menstrual Health into University Services</w:t>
      </w:r>
    </w:p>
    <w:p w14:paraId="75651F0D" w14:textId="311DB28D"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University health centres should subsidise or provide free sanitary products to students from low-income backgrounds. Health services should also offer comprehensive menstrual health consultations addressing both clinical concerns and practical hygiene management, recognising that material access remains critical for optimal practices.</w:t>
      </w:r>
    </w:p>
    <w:p w14:paraId="62B476EE" w14:textId="0C9CC603"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lastRenderedPageBreak/>
        <w:t>3. Target Younger and Junior-Level Students</w:t>
      </w:r>
    </w:p>
    <w:p w14:paraId="404380CC" w14:textId="272398FA"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Orientation programmes for newly admitted students should include dedicated sessions on menstrual hygiene management, addressing practical skills, product options, and strategies for managing menstruation within the university environment. Early intervention during the transition to university life can establish healthy practices that persist throughout the academic journey.</w:t>
      </w:r>
    </w:p>
    <w:p w14:paraId="78B0E101"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4. Engage Families through University-Parent Partnerships</w:t>
      </w:r>
    </w:p>
    <w:p w14:paraId="34B4EDD5" w14:textId="0A0AC881"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Universities should develop initiatives engaging mothers in menstrual health conversations through admission processes and parent-teacher meetings. Providing resources that equip mothers to support their daughters' needs recognises that behavioural foundations established at home continue shaping outcomes in tertiary settings.</w:t>
      </w:r>
    </w:p>
    <w:p w14:paraId="1C14D1A2"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5. Improve Campus Sanitation Infrastructure</w:t>
      </w:r>
    </w:p>
    <w:p w14:paraId="65BAF1BE" w14:textId="31A052D3"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Universities must ensure menstruation-friendly toilet facilities with consistent water access, functional disposal systems, and privacy. Provisions should include incinerators or sanitary bins in female hostels and academic buildings, with 24-hour access to well-maintained facilities.</w:t>
      </w:r>
    </w:p>
    <w:p w14:paraId="4FD8E136"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6. Establish Routine Monitoring Systems</w:t>
      </w:r>
    </w:p>
    <w:p w14:paraId="4E44B0A1" w14:textId="2E569BD5"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Universities should incorporate menstrual health indicators into routine health surveillance. Regular assessments using validated tools such as the Menstrual Practices Questionnaire can track patterns, identify challenges, and evaluate intervention effectiveness.</w:t>
      </w:r>
    </w:p>
    <w:p w14:paraId="3C38EC6D"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7. Advocate for Policy Inclusion</w:t>
      </w:r>
    </w:p>
    <w:p w14:paraId="6ED2E690" w14:textId="77777777" w:rsidR="00506F45" w:rsidRPr="00B41F2C" w:rsidRDefault="00506F45" w:rsidP="00506F45">
      <w:pPr>
        <w:shd w:val="clear" w:color="auto" w:fill="FFFFFF"/>
        <w:spacing w:before="240" w:after="240" w:line="240" w:lineRule="auto"/>
        <w:rPr>
          <w:rFonts w:eastAsia="Times New Roman"/>
          <w:color w:val="0F1115"/>
        </w:rPr>
      </w:pPr>
      <w:r w:rsidRPr="00B41F2C">
        <w:rPr>
          <w:rFonts w:eastAsia="Times New Roman"/>
          <w:color w:val="0F1115"/>
        </w:rPr>
        <w:t>Policymakers should include menstrual health in reproductive health policies targeting tertiary institutions. The National Policy on Safety, Dignity and Wellbeing of Learners should explicitly address menstrual hygiene management, including provisions for product access, facility standards, and health education.</w:t>
      </w:r>
    </w:p>
    <w:p w14:paraId="59DA80FE" w14:textId="411C78A2" w:rsidR="00FC27E6" w:rsidRPr="00FC27E6" w:rsidRDefault="00FC27E6" w:rsidP="00FC27E6">
      <w:pPr>
        <w:spacing w:before="100" w:beforeAutospacing="1" w:after="100" w:afterAutospacing="1" w:line="240" w:lineRule="auto"/>
        <w:rPr>
          <w:rFonts w:eastAsia="Times New Roman"/>
          <w:strike/>
        </w:rPr>
      </w:pPr>
      <w:r w:rsidRPr="00FC27E6">
        <w:rPr>
          <w:rFonts w:eastAsia="Times New Roman"/>
          <w:b/>
          <w:bCs/>
        </w:rPr>
        <w:t>Contribution to Knowledge</w:t>
      </w:r>
    </w:p>
    <w:p w14:paraId="489E6143" w14:textId="042CFE06" w:rsidR="00115303" w:rsidRPr="00115303" w:rsidRDefault="00115303" w:rsidP="00115303">
      <w:pPr>
        <w:spacing w:before="100" w:beforeAutospacing="1" w:after="100" w:afterAutospacing="1" w:line="240" w:lineRule="auto"/>
        <w:rPr>
          <w:rFonts w:eastAsia="Times New Roman"/>
        </w:rPr>
      </w:pPr>
      <w:bookmarkStart w:id="4" w:name="_Hlk223606295"/>
      <w:r>
        <w:rPr>
          <w:rFonts w:eastAsia="Times New Roman"/>
          <w:b/>
          <w:bCs/>
          <w:lang w:val="en-US"/>
        </w:rPr>
        <w:t xml:space="preserve">Contribution to </w:t>
      </w:r>
      <w:bookmarkEnd w:id="4"/>
      <w:r w:rsidRPr="00115303">
        <w:rPr>
          <w:rFonts w:eastAsia="Times New Roman"/>
          <w:b/>
          <w:bCs/>
        </w:rPr>
        <w:t>Practice</w:t>
      </w:r>
    </w:p>
    <w:p w14:paraId="7F0614F6" w14:textId="77777777" w:rsidR="00115303" w:rsidRPr="00115303" w:rsidRDefault="00115303" w:rsidP="00115303">
      <w:pPr>
        <w:spacing w:before="100" w:beforeAutospacing="1" w:after="100" w:afterAutospacing="1" w:line="240" w:lineRule="auto"/>
        <w:rPr>
          <w:rFonts w:eastAsia="Times New Roman"/>
        </w:rPr>
      </w:pPr>
      <w:r w:rsidRPr="00115303">
        <w:rPr>
          <w:rFonts w:eastAsia="Times New Roman"/>
        </w:rPr>
        <w:t>Maternal education is the strongest predictor of menstrual hygiene, necessitating family engagement in university health services. Students with limited financial resources or less-educated mothers require targeted support, including subsidised sanitary products. Younger and junior-level students should be prioritised for early intervention. Improving campus sanitation infrastructure benefits all students regardless of background.</w:t>
      </w:r>
    </w:p>
    <w:p w14:paraId="275F2877" w14:textId="5B5B0101" w:rsidR="00115303" w:rsidRPr="00115303" w:rsidRDefault="00115303" w:rsidP="00115303">
      <w:pPr>
        <w:spacing w:before="100" w:beforeAutospacing="1" w:after="100" w:afterAutospacing="1" w:line="240" w:lineRule="auto"/>
        <w:rPr>
          <w:rFonts w:eastAsia="Times New Roman"/>
        </w:rPr>
      </w:pPr>
      <w:r w:rsidRPr="00115303">
        <w:rPr>
          <w:rFonts w:eastAsia="Times New Roman"/>
          <w:b/>
          <w:bCs/>
          <w:lang w:val="en-US"/>
        </w:rPr>
        <w:t xml:space="preserve">Contribution to </w:t>
      </w:r>
      <w:r w:rsidRPr="00115303">
        <w:rPr>
          <w:rFonts w:eastAsia="Times New Roman"/>
          <w:b/>
          <w:bCs/>
        </w:rPr>
        <w:t>Research</w:t>
      </w:r>
    </w:p>
    <w:p w14:paraId="08A023E4" w14:textId="77777777" w:rsidR="00115303" w:rsidRPr="00115303" w:rsidRDefault="00115303" w:rsidP="00115303">
      <w:pPr>
        <w:spacing w:before="100" w:beforeAutospacing="1" w:after="100" w:afterAutospacing="1" w:line="240" w:lineRule="auto"/>
        <w:rPr>
          <w:rFonts w:eastAsia="Times New Roman"/>
        </w:rPr>
      </w:pPr>
      <w:r w:rsidRPr="00115303">
        <w:rPr>
          <w:rFonts w:eastAsia="Times New Roman"/>
        </w:rPr>
        <w:t>This study fills a critical gap by examining medical undergraduates in South-South Nigeria, moving beyond the usual focus on adolescents. Ordinal logistic regression with robust diagnostics provides a rigorous model for analysing behavioural gradients. The persistence of maternal education and financial capacity as predictors into young adulthood supports life-</w:t>
      </w:r>
      <w:r w:rsidRPr="00115303">
        <w:rPr>
          <w:rFonts w:eastAsia="Times New Roman"/>
        </w:rPr>
        <w:lastRenderedPageBreak/>
        <w:t>course research. The Menstrual Practices Questionnaire is now validated for Nigerian university settings.</w:t>
      </w:r>
    </w:p>
    <w:p w14:paraId="028DA053" w14:textId="4CC278E4" w:rsidR="00115303" w:rsidRPr="00115303" w:rsidRDefault="00115303" w:rsidP="00115303">
      <w:pPr>
        <w:spacing w:before="100" w:beforeAutospacing="1" w:after="100" w:afterAutospacing="1" w:line="240" w:lineRule="auto"/>
        <w:rPr>
          <w:rFonts w:eastAsia="Times New Roman"/>
        </w:rPr>
      </w:pPr>
      <w:r w:rsidRPr="00115303">
        <w:rPr>
          <w:rFonts w:eastAsia="Times New Roman"/>
          <w:b/>
          <w:bCs/>
          <w:lang w:val="en-US"/>
        </w:rPr>
        <w:t xml:space="preserve">Contribution to </w:t>
      </w:r>
      <w:r w:rsidRPr="00115303">
        <w:rPr>
          <w:rFonts w:eastAsia="Times New Roman"/>
          <w:b/>
          <w:bCs/>
        </w:rPr>
        <w:t>Policy</w:t>
      </w:r>
    </w:p>
    <w:p w14:paraId="0157DF01" w14:textId="019BF156" w:rsidR="00115303" w:rsidRPr="0009407C" w:rsidRDefault="00115303" w:rsidP="00FC27E6">
      <w:pPr>
        <w:spacing w:before="100" w:beforeAutospacing="1" w:after="100" w:afterAutospacing="1" w:line="240" w:lineRule="auto"/>
        <w:rPr>
          <w:rFonts w:eastAsia="Times New Roman"/>
        </w:rPr>
      </w:pPr>
      <w:r w:rsidRPr="00115303">
        <w:rPr>
          <w:rFonts w:eastAsia="Times New Roman"/>
        </w:rPr>
        <w:t>Nearly half of medical students exhibit suboptimal practices, challenging assumptions about health literacy among advanced learners. Menstrual health must be explicitly included in tertiary education policies and medical curricula. Subsidised sanitary products should be mandated for low-income students. Institutional infrastructure standards must include sanitary disposal facilities. Menstrual health indicators should be integrated into national health surveillance for tertiary institutions.</w:t>
      </w:r>
    </w:p>
    <w:p w14:paraId="6FAD7B00" w14:textId="32771084" w:rsidR="00FC27E6" w:rsidRPr="00FC27E6" w:rsidRDefault="00FC27E6" w:rsidP="00FC27E6">
      <w:pPr>
        <w:spacing w:before="100" w:beforeAutospacing="1" w:after="100" w:afterAutospacing="1" w:line="240" w:lineRule="auto"/>
        <w:rPr>
          <w:rFonts w:eastAsia="Times New Roman"/>
          <w:strike/>
        </w:rPr>
      </w:pPr>
      <w:r w:rsidRPr="00FC27E6">
        <w:rPr>
          <w:rFonts w:eastAsia="Times New Roman"/>
          <w:b/>
          <w:bCs/>
        </w:rPr>
        <w:t>Future Studies</w:t>
      </w:r>
    </w:p>
    <w:p w14:paraId="20018185" w14:textId="093F243F" w:rsidR="00F96DAF" w:rsidRPr="00F96DAF" w:rsidRDefault="00F96DAF" w:rsidP="009C6083">
      <w:pPr>
        <w:spacing w:before="100" w:beforeAutospacing="1" w:after="100" w:afterAutospacing="1" w:line="240" w:lineRule="auto"/>
        <w:rPr>
          <w:rFonts w:eastAsia="Times New Roman"/>
          <w:lang w:val="en-US"/>
        </w:rPr>
      </w:pPr>
      <w:r w:rsidRPr="00F96DAF">
        <w:rPr>
          <w:rFonts w:eastAsia="Times New Roman"/>
        </w:rPr>
        <w:t xml:space="preserve">Longitudinal research is needed to track menstrual hygiene behaviours as </w:t>
      </w:r>
      <w:proofErr w:type="spellStart"/>
      <w:r w:rsidRPr="00F96DAF">
        <w:rPr>
          <w:rFonts w:eastAsia="Times New Roman"/>
        </w:rPr>
        <w:t>students</w:t>
      </w:r>
      <w:proofErr w:type="spellEnd"/>
      <w:r w:rsidRPr="00F96DAF">
        <w:rPr>
          <w:rFonts w:eastAsia="Times New Roman"/>
        </w:rPr>
        <w:t xml:space="preserve"> progress through medical training and into clinical practice. Multi-centre studies across Nigerian universities will assess </w:t>
      </w:r>
      <w:r>
        <w:rPr>
          <w:rFonts w:eastAsia="Times New Roman"/>
        </w:rPr>
        <w:t xml:space="preserve">the </w:t>
      </w:r>
      <w:r w:rsidRPr="00F96DAF">
        <w:rPr>
          <w:rFonts w:eastAsia="Times New Roman"/>
        </w:rPr>
        <w:t xml:space="preserve">generalisability of findings and institutional variations. Comparative research between medical and non-medical students would determine discipline-specific influences. Qualitative studies </w:t>
      </w:r>
      <w:r>
        <w:rPr>
          <w:rFonts w:eastAsia="Times New Roman"/>
          <w:lang w:val="en-US"/>
        </w:rPr>
        <w:t>assessing</w:t>
      </w:r>
      <w:r w:rsidRPr="00F96DAF">
        <w:rPr>
          <w:rFonts w:eastAsia="Times New Roman"/>
        </w:rPr>
        <w:t xml:space="preserve"> how maternal education and financial capacity shape practices can inform culturally sensitive interventions. Intervention research evaluating peer-led education, subsidised sanitary products, and improved campus sanitation is urgently needed. Finally, studies examining links between menstrual hygiene and clinical outcomes</w:t>
      </w:r>
      <w:r>
        <w:rPr>
          <w:rFonts w:eastAsia="Times New Roman"/>
          <w:lang w:val="en-US"/>
        </w:rPr>
        <w:t>,</w:t>
      </w:r>
      <w:r>
        <w:rPr>
          <w:rFonts w:eastAsia="Times New Roman"/>
        </w:rPr>
        <w:t xml:space="preserve"> </w:t>
      </w:r>
      <w:r w:rsidRPr="00F96DAF">
        <w:rPr>
          <w:rFonts w:eastAsia="Times New Roman"/>
        </w:rPr>
        <w:t>including reproductive tract infections and mental health</w:t>
      </w:r>
      <w:r>
        <w:rPr>
          <w:rFonts w:eastAsia="Times New Roman"/>
        </w:rPr>
        <w:t xml:space="preserve">, </w:t>
      </w:r>
      <w:r w:rsidRPr="00F96DAF">
        <w:rPr>
          <w:rFonts w:eastAsia="Times New Roman"/>
        </w:rPr>
        <w:t>would strengthen advocacy for prioritising menstrual health in university settings.</w:t>
      </w:r>
    </w:p>
    <w:p w14:paraId="044E3B4B" w14:textId="52584951" w:rsidR="009C6083" w:rsidRPr="000F3C05" w:rsidRDefault="009C6083" w:rsidP="009C6083">
      <w:pPr>
        <w:spacing w:before="100" w:beforeAutospacing="1" w:after="100" w:afterAutospacing="1" w:line="240" w:lineRule="auto"/>
        <w:rPr>
          <w:rFonts w:eastAsia="Times New Roman"/>
          <w:strike/>
        </w:rPr>
      </w:pPr>
      <w:r w:rsidRPr="000F3C05">
        <w:rPr>
          <w:rFonts w:eastAsia="Times New Roman"/>
          <w:b/>
          <w:bCs/>
        </w:rPr>
        <w:t>Ethical Considerations</w:t>
      </w:r>
    </w:p>
    <w:p w14:paraId="5BF776EA" w14:textId="77777777" w:rsidR="00E96A9F" w:rsidRDefault="009C6083" w:rsidP="00E96A9F">
      <w:pPr>
        <w:spacing w:before="100" w:beforeAutospacing="1" w:after="100" w:afterAutospacing="1" w:line="240" w:lineRule="auto"/>
        <w:rPr>
          <w:rFonts w:eastAsia="Times New Roman"/>
          <w:strike/>
        </w:rPr>
      </w:pPr>
      <w:r w:rsidRPr="000F3C05">
        <w:rPr>
          <w:rFonts w:eastAsia="Times New Roman"/>
        </w:rPr>
        <w:t>Ethical approval was obtained from the Rivers State University ethics committee. Participation was voluntary, with written informed consent obtained from all respondents. Confidentiality and anonymity were maintained throughout the study.</w:t>
      </w:r>
    </w:p>
    <w:p w14:paraId="2BFCE601" w14:textId="77777777" w:rsidR="007C0BC5" w:rsidRPr="007C0BC5" w:rsidRDefault="007C0BC5" w:rsidP="007C0BC5">
      <w:pPr>
        <w:keepNext/>
        <w:spacing w:after="0" w:line="240" w:lineRule="auto"/>
        <w:jc w:val="both"/>
        <w:rPr>
          <w:rFonts w:eastAsia="Times New Roman"/>
          <w:b/>
          <w:bCs/>
          <w:lang w:val="en-US" w:eastAsia="en-US"/>
        </w:rPr>
      </w:pPr>
    </w:p>
    <w:p w14:paraId="4D475EB0" w14:textId="30834E32" w:rsidR="006271D0" w:rsidRPr="00C45BCA" w:rsidRDefault="006271D0" w:rsidP="006271D0">
      <w:pPr>
        <w:keepNext/>
        <w:spacing w:after="0" w:line="240" w:lineRule="auto"/>
        <w:jc w:val="both"/>
        <w:rPr>
          <w:rFonts w:eastAsia="Times New Roman"/>
          <w:b/>
          <w:bCs/>
          <w:caps/>
          <w:strike/>
          <w:lang w:val="en-US" w:eastAsia="en-US"/>
        </w:rPr>
      </w:pPr>
      <w:r w:rsidRPr="00C45BCA">
        <w:rPr>
          <w:rFonts w:eastAsia="Times New Roman"/>
          <w:b/>
          <w:bCs/>
          <w:lang w:val="en-US" w:eastAsia="en-US"/>
        </w:rPr>
        <w:t>Competing interests</w:t>
      </w:r>
    </w:p>
    <w:p w14:paraId="46085B35" w14:textId="77777777" w:rsidR="006271D0" w:rsidRPr="00C45BCA" w:rsidRDefault="006271D0" w:rsidP="006271D0">
      <w:pPr>
        <w:keepNext/>
        <w:spacing w:after="0" w:line="240" w:lineRule="auto"/>
        <w:rPr>
          <w:rFonts w:eastAsia="Times New Roman"/>
          <w:b/>
          <w:caps/>
          <w:strike/>
          <w:lang w:val="en-US" w:eastAsia="en-US"/>
        </w:rPr>
      </w:pPr>
    </w:p>
    <w:p w14:paraId="499FCEDA" w14:textId="77777777" w:rsidR="006271D0" w:rsidRPr="00E65753" w:rsidRDefault="006271D0" w:rsidP="006271D0">
      <w:pPr>
        <w:keepNext/>
        <w:spacing w:after="0" w:line="240" w:lineRule="auto"/>
        <w:jc w:val="both"/>
        <w:rPr>
          <w:rFonts w:eastAsia="Times New Roman"/>
          <w:strike/>
          <w:lang w:val="en-US" w:eastAsia="en-US"/>
        </w:rPr>
      </w:pPr>
      <w:r w:rsidRPr="00C45BCA">
        <w:rPr>
          <w:rFonts w:eastAsia="Times New Roman"/>
          <w:lang w:val="en-US" w:eastAsia="en-US"/>
        </w:rPr>
        <w:t xml:space="preserve">The authors have declared </w:t>
      </w:r>
      <w:r>
        <w:rPr>
          <w:rFonts w:eastAsia="Times New Roman"/>
          <w:lang w:val="en-US" w:eastAsia="en-US"/>
        </w:rPr>
        <w:t xml:space="preserve">that </w:t>
      </w:r>
      <w:r w:rsidRPr="00C45BCA">
        <w:rPr>
          <w:rFonts w:eastAsia="Times New Roman"/>
          <w:lang w:val="en-US" w:eastAsia="en-US"/>
        </w:rPr>
        <w:t>no competing interests exist.</w:t>
      </w:r>
    </w:p>
    <w:p w14:paraId="12CF6FCB" w14:textId="77777777" w:rsidR="006271D0" w:rsidRPr="00C45BCA" w:rsidRDefault="006271D0" w:rsidP="006271D0">
      <w:pPr>
        <w:spacing w:before="100" w:beforeAutospacing="1" w:after="100" w:afterAutospacing="1" w:line="240" w:lineRule="auto"/>
        <w:rPr>
          <w:rFonts w:eastAsia="Times New Roman"/>
          <w:strike/>
          <w:lang w:val="en-US"/>
        </w:rPr>
      </w:pPr>
      <w:r w:rsidRPr="00C45BCA">
        <w:rPr>
          <w:rFonts w:eastAsia="Times New Roman"/>
          <w:b/>
          <w:bCs/>
          <w:lang w:val="en-US"/>
        </w:rPr>
        <w:t>Conflict of interest</w:t>
      </w:r>
      <w:r w:rsidRPr="00C45BCA">
        <w:rPr>
          <w:rFonts w:eastAsia="Times New Roman"/>
          <w:lang w:val="en-US"/>
        </w:rPr>
        <w:t xml:space="preserve"> </w:t>
      </w:r>
    </w:p>
    <w:p w14:paraId="21D22BD5" w14:textId="4CFFDB2A" w:rsidR="00605D67" w:rsidRDefault="006271D0" w:rsidP="006271D0">
      <w:pPr>
        <w:spacing w:before="100" w:beforeAutospacing="1" w:after="100" w:afterAutospacing="1" w:line="240" w:lineRule="auto"/>
        <w:rPr>
          <w:rFonts w:eastAsia="Times New Roman"/>
          <w:lang w:val="en-US"/>
        </w:rPr>
      </w:pPr>
      <w:r w:rsidRPr="00C45BCA">
        <w:rPr>
          <w:rFonts w:eastAsia="Times New Roman"/>
          <w:lang w:val="en-US"/>
        </w:rPr>
        <w:t xml:space="preserve">The authors declare no conflict of interest. </w:t>
      </w:r>
    </w:p>
    <w:p w14:paraId="24605658" w14:textId="77777777" w:rsidR="005C618B" w:rsidRPr="00CA3906" w:rsidRDefault="005C618B" w:rsidP="005C618B">
      <w:pPr>
        <w:rPr>
          <w:b/>
          <w:highlight w:val="yellow"/>
        </w:rPr>
      </w:pPr>
      <w:r w:rsidRPr="00CA3906">
        <w:rPr>
          <w:b/>
          <w:highlight w:val="yellow"/>
        </w:rPr>
        <w:t>Disclaimer (Artificial intelligence)</w:t>
      </w:r>
    </w:p>
    <w:p w14:paraId="1EDD3A19" w14:textId="77777777" w:rsidR="005C618B" w:rsidRPr="00740879" w:rsidRDefault="005C618B" w:rsidP="005C618B">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E87AD5B" w14:textId="77777777" w:rsidR="005C618B" w:rsidRPr="00F96DAF" w:rsidRDefault="005C618B" w:rsidP="006271D0">
      <w:pPr>
        <w:spacing w:before="100" w:beforeAutospacing="1" w:after="100" w:afterAutospacing="1" w:line="240" w:lineRule="auto"/>
        <w:rPr>
          <w:rFonts w:eastAsia="Times New Roman"/>
          <w:strike/>
          <w:lang w:val="en-US"/>
        </w:rPr>
      </w:pPr>
    </w:p>
    <w:p w14:paraId="2EAE54E2" w14:textId="77777777" w:rsidR="00605D67" w:rsidRDefault="00605D67" w:rsidP="006A794C">
      <w:pPr>
        <w:pStyle w:val="NormalWeb"/>
        <w:rPr>
          <w:b/>
          <w:bCs/>
          <w:strike w:val="0"/>
          <w:lang w:val="en-US"/>
        </w:rPr>
      </w:pPr>
      <w:bookmarkStart w:id="5" w:name="_Hlk221648482"/>
    </w:p>
    <w:p w14:paraId="75356B7D" w14:textId="6A7F3F5A" w:rsidR="00253A1A" w:rsidRDefault="006271D0" w:rsidP="006A794C">
      <w:pPr>
        <w:pStyle w:val="NormalWeb"/>
        <w:rPr>
          <w:b/>
          <w:bCs/>
          <w:strike w:val="0"/>
          <w:lang w:val="en-US"/>
        </w:rPr>
      </w:pPr>
      <w:r w:rsidRPr="006A794C">
        <w:rPr>
          <w:b/>
          <w:bCs/>
          <w:strike w:val="0"/>
          <w:lang w:val="en-US"/>
        </w:rPr>
        <w:lastRenderedPageBreak/>
        <w:t>References</w:t>
      </w:r>
    </w:p>
    <w:p w14:paraId="5ABDA5C6" w14:textId="1C74DA82" w:rsidR="00600F49" w:rsidRPr="00600F49" w:rsidRDefault="00600F49" w:rsidP="00600F49">
      <w:pPr>
        <w:pStyle w:val="NormalWeb"/>
        <w:rPr>
          <w:strike w:val="0"/>
          <w:lang w:val="en-US"/>
        </w:rPr>
      </w:pPr>
      <w:r>
        <w:rPr>
          <w:strike w:val="0"/>
          <w:lang w:val="en-US"/>
        </w:rPr>
        <w:t xml:space="preserve">1. </w:t>
      </w:r>
      <w:proofErr w:type="spellStart"/>
      <w:r w:rsidRPr="00600F49">
        <w:rPr>
          <w:strike w:val="0"/>
          <w:lang w:val="en-US"/>
        </w:rPr>
        <w:t>Adinma</w:t>
      </w:r>
      <w:proofErr w:type="spellEnd"/>
      <w:r w:rsidRPr="00600F49">
        <w:rPr>
          <w:strike w:val="0"/>
          <w:lang w:val="en-US"/>
        </w:rPr>
        <w:t xml:space="preserve">, J., </w:t>
      </w:r>
      <w:proofErr w:type="spellStart"/>
      <w:r w:rsidRPr="00600F49">
        <w:rPr>
          <w:strike w:val="0"/>
          <w:lang w:val="en-US"/>
        </w:rPr>
        <w:t>Egeonu</w:t>
      </w:r>
      <w:proofErr w:type="spellEnd"/>
      <w:r w:rsidRPr="00600F49">
        <w:rPr>
          <w:strike w:val="0"/>
          <w:lang w:val="en-US"/>
        </w:rPr>
        <w:t xml:space="preserve">, R., </w:t>
      </w:r>
      <w:proofErr w:type="spellStart"/>
      <w:r w:rsidRPr="00600F49">
        <w:rPr>
          <w:strike w:val="0"/>
          <w:lang w:val="en-US"/>
        </w:rPr>
        <w:t>Adinma</w:t>
      </w:r>
      <w:proofErr w:type="spellEnd"/>
      <w:r w:rsidRPr="00600F49">
        <w:rPr>
          <w:strike w:val="0"/>
          <w:lang w:val="en-US"/>
        </w:rPr>
        <w:t xml:space="preserve">-Obiajulu, N., &amp; Emeka, E. (2021). </w:t>
      </w:r>
      <w:proofErr w:type="spellStart"/>
      <w:r w:rsidRPr="00600F49">
        <w:rPr>
          <w:strike w:val="0"/>
          <w:lang w:val="en-US"/>
        </w:rPr>
        <w:t>Menarcheal</w:t>
      </w:r>
      <w:proofErr w:type="spellEnd"/>
      <w:r w:rsidRPr="00600F49">
        <w:rPr>
          <w:strike w:val="0"/>
          <w:lang w:val="en-US"/>
        </w:rPr>
        <w:t xml:space="preserve"> age and nutritional status of secondary school adolescent girls in Nnewi, South-East Nigeria. Advances in Reproductive Sciences, 9, 139–148. https://doi.org/10.4236/arsci.2021.92014</w:t>
      </w:r>
    </w:p>
    <w:p w14:paraId="28C41634" w14:textId="5E31180F" w:rsidR="00600F49" w:rsidRPr="00600F49" w:rsidRDefault="00600F49" w:rsidP="00600F49">
      <w:pPr>
        <w:pStyle w:val="NormalWeb"/>
        <w:rPr>
          <w:strike w:val="0"/>
          <w:lang w:val="en-US"/>
        </w:rPr>
      </w:pPr>
      <w:r>
        <w:rPr>
          <w:strike w:val="0"/>
          <w:lang w:val="en-US"/>
        </w:rPr>
        <w:t xml:space="preserve">2. </w:t>
      </w:r>
      <w:proofErr w:type="spellStart"/>
      <w:r w:rsidRPr="00600F49">
        <w:rPr>
          <w:strike w:val="0"/>
          <w:lang w:val="en-US"/>
        </w:rPr>
        <w:t>Anbesu</w:t>
      </w:r>
      <w:proofErr w:type="spellEnd"/>
      <w:r w:rsidRPr="00600F49">
        <w:rPr>
          <w:strike w:val="0"/>
          <w:lang w:val="en-US"/>
        </w:rPr>
        <w:t>, E. W., &amp; Asgedom, D. K. (2023). Menstrual hygiene practice and associated factors among adolescent girls in sub-Saharan Africa: A systematic review and meta-analysis. BMC Public Health, 23(1), Article 33. https://doi.org/10.1186/s12889-022-14942-8</w:t>
      </w:r>
    </w:p>
    <w:p w14:paraId="2DA4A61D" w14:textId="523534A2" w:rsidR="00600F49" w:rsidRPr="00600F49" w:rsidRDefault="00600F49" w:rsidP="00600F49">
      <w:pPr>
        <w:pStyle w:val="NormalWeb"/>
        <w:rPr>
          <w:strike w:val="0"/>
          <w:lang w:val="en-US"/>
        </w:rPr>
      </w:pPr>
      <w:r>
        <w:rPr>
          <w:strike w:val="0"/>
          <w:lang w:val="en-US"/>
        </w:rPr>
        <w:t xml:space="preserve">3. </w:t>
      </w:r>
      <w:r w:rsidRPr="00600F49">
        <w:rPr>
          <w:strike w:val="0"/>
          <w:lang w:val="en-US"/>
        </w:rPr>
        <w:t xml:space="preserve">Appiah-Agyekum, N. N., Nyamekye, M. A., </w:t>
      </w:r>
      <w:proofErr w:type="spellStart"/>
      <w:r w:rsidRPr="00600F49">
        <w:rPr>
          <w:strike w:val="0"/>
          <w:lang w:val="en-US"/>
        </w:rPr>
        <w:t>Agbenu</w:t>
      </w:r>
      <w:proofErr w:type="spellEnd"/>
      <w:r w:rsidRPr="00600F49">
        <w:rPr>
          <w:strike w:val="0"/>
          <w:lang w:val="en-US"/>
        </w:rPr>
        <w:t>, I. A., &amp; Desmond, D. O. (2025). Menstrual hygiene knowledge and practices among female senior high school students in the New Juaben North Municipality of Ghana: A cross-sectional study. BMC Public Health, 25, Article 1563. https://doi.org/10.1186/s12889-025-22836-8</w:t>
      </w:r>
    </w:p>
    <w:p w14:paraId="3A504EEE" w14:textId="227A8B0D" w:rsidR="00600F49" w:rsidRPr="00600F49" w:rsidRDefault="00600F49" w:rsidP="00600F49">
      <w:pPr>
        <w:pStyle w:val="NormalWeb"/>
        <w:rPr>
          <w:strike w:val="0"/>
          <w:lang w:val="en-US"/>
        </w:rPr>
      </w:pPr>
      <w:r>
        <w:rPr>
          <w:strike w:val="0"/>
          <w:lang w:val="en-US"/>
        </w:rPr>
        <w:t xml:space="preserve">4. </w:t>
      </w:r>
      <w:proofErr w:type="spellStart"/>
      <w:r w:rsidRPr="00600F49">
        <w:rPr>
          <w:strike w:val="0"/>
          <w:lang w:val="en-US"/>
        </w:rPr>
        <w:t>Asumah</w:t>
      </w:r>
      <w:proofErr w:type="spellEnd"/>
      <w:r w:rsidRPr="00600F49">
        <w:rPr>
          <w:strike w:val="0"/>
          <w:lang w:val="en-US"/>
        </w:rPr>
        <w:t xml:space="preserve">, M. N., Abubakari, A., </w:t>
      </w:r>
      <w:proofErr w:type="spellStart"/>
      <w:r w:rsidRPr="00600F49">
        <w:rPr>
          <w:strike w:val="0"/>
          <w:lang w:val="en-US"/>
        </w:rPr>
        <w:t>Aninanya</w:t>
      </w:r>
      <w:proofErr w:type="spellEnd"/>
      <w:r w:rsidRPr="00600F49">
        <w:rPr>
          <w:strike w:val="0"/>
          <w:lang w:val="en-US"/>
        </w:rPr>
        <w:t xml:space="preserve">, G. A., &amp; Salisu, W. J. (2022). Perceived factors influencing menstrual hygiene management among adolescent girls: A qualitative study in the West </w:t>
      </w:r>
      <w:proofErr w:type="spellStart"/>
      <w:r w:rsidRPr="00600F49">
        <w:rPr>
          <w:strike w:val="0"/>
          <w:lang w:val="en-US"/>
        </w:rPr>
        <w:t>Gonja</w:t>
      </w:r>
      <w:proofErr w:type="spellEnd"/>
      <w:r w:rsidRPr="00600F49">
        <w:rPr>
          <w:strike w:val="0"/>
          <w:lang w:val="en-US"/>
        </w:rPr>
        <w:t xml:space="preserve"> Municipality of the Savannah Region, Ghana. The Pan African Medical Journal, 41, Article 146. https://doi.org/10.11604/pamj.2022.41.146.33492</w:t>
      </w:r>
    </w:p>
    <w:p w14:paraId="49CEC4EF" w14:textId="6D3B2FA1" w:rsidR="00CD7B07" w:rsidRPr="00136B73" w:rsidRDefault="00600F49" w:rsidP="00600F49">
      <w:pPr>
        <w:pStyle w:val="NormalWeb"/>
        <w:rPr>
          <w:strike w:val="0"/>
          <w:lang w:val="en-US"/>
        </w:rPr>
      </w:pPr>
      <w:r>
        <w:rPr>
          <w:strike w:val="0"/>
          <w:lang w:val="en-US"/>
        </w:rPr>
        <w:t xml:space="preserve">5. </w:t>
      </w:r>
      <w:r w:rsidR="00CD7B07" w:rsidRPr="00CD7B07">
        <w:rPr>
          <w:strike w:val="0"/>
          <w:lang w:val="en-US"/>
        </w:rPr>
        <w:t xml:space="preserve">Briggs, N.C.T., Allison, I.S., &amp; Daniel, O.U. (2026). </w:t>
      </w:r>
      <w:r w:rsidR="00CD7B07" w:rsidRPr="00CD7B07">
        <w:rPr>
          <w:strike w:val="0"/>
        </w:rPr>
        <w:t xml:space="preserve">Epidemiology of Menstrual Hygiene Management Among Female Undergraduate Medical Students in a Nigerian University: An Ordinal Regression Study with Mediation and Interaction Analyses. J </w:t>
      </w:r>
      <w:proofErr w:type="spellStart"/>
      <w:r w:rsidR="00CD7B07" w:rsidRPr="00CD7B07">
        <w:rPr>
          <w:strike w:val="0"/>
        </w:rPr>
        <w:t>Eped</w:t>
      </w:r>
      <w:proofErr w:type="spellEnd"/>
      <w:r w:rsidR="00CD7B07" w:rsidRPr="00CD7B07">
        <w:rPr>
          <w:strike w:val="0"/>
        </w:rPr>
        <w:t xml:space="preserve"> </w:t>
      </w:r>
      <w:proofErr w:type="spellStart"/>
      <w:r w:rsidR="00CD7B07" w:rsidRPr="00CD7B07">
        <w:rPr>
          <w:strike w:val="0"/>
        </w:rPr>
        <w:t>Comed</w:t>
      </w:r>
      <w:proofErr w:type="spellEnd"/>
      <w:r w:rsidR="00CD7B07" w:rsidRPr="00CD7B07">
        <w:rPr>
          <w:strike w:val="0"/>
        </w:rPr>
        <w:t xml:space="preserve">, </w:t>
      </w:r>
      <w:r w:rsidR="00136B73">
        <w:rPr>
          <w:strike w:val="0"/>
          <w:lang w:val="en-US"/>
        </w:rPr>
        <w:t>12(1)</w:t>
      </w:r>
      <w:r w:rsidR="00274BA4">
        <w:rPr>
          <w:strike w:val="0"/>
          <w:lang w:val="en-US"/>
        </w:rPr>
        <w:t xml:space="preserve">, </w:t>
      </w:r>
      <w:r w:rsidR="00136B73">
        <w:rPr>
          <w:strike w:val="0"/>
          <w:lang w:val="en-US"/>
        </w:rPr>
        <w:t>1-8.</w:t>
      </w:r>
    </w:p>
    <w:p w14:paraId="7363D41C" w14:textId="5C4C35C7" w:rsidR="00600F49" w:rsidRPr="00600F49" w:rsidRDefault="00CD7B07" w:rsidP="00600F49">
      <w:pPr>
        <w:pStyle w:val="NormalWeb"/>
        <w:rPr>
          <w:strike w:val="0"/>
          <w:lang w:val="en-US"/>
        </w:rPr>
      </w:pPr>
      <w:r>
        <w:rPr>
          <w:strike w:val="0"/>
          <w:lang w:val="en-US"/>
        </w:rPr>
        <w:t xml:space="preserve">6. </w:t>
      </w:r>
      <w:r w:rsidR="00600F49" w:rsidRPr="00600F49">
        <w:rPr>
          <w:strike w:val="0"/>
          <w:lang w:val="en-US"/>
        </w:rPr>
        <w:t xml:space="preserve">Budhathoki, S. S., </w:t>
      </w:r>
      <w:proofErr w:type="spellStart"/>
      <w:r w:rsidR="00600F49" w:rsidRPr="00600F49">
        <w:rPr>
          <w:strike w:val="0"/>
          <w:lang w:val="en-US"/>
        </w:rPr>
        <w:t>Bhattachan</w:t>
      </w:r>
      <w:proofErr w:type="spellEnd"/>
      <w:r w:rsidR="00600F49" w:rsidRPr="00600F49">
        <w:rPr>
          <w:strike w:val="0"/>
          <w:lang w:val="en-US"/>
        </w:rPr>
        <w:t xml:space="preserve">, M., Castro-Sánchez, E., </w:t>
      </w:r>
      <w:proofErr w:type="spellStart"/>
      <w:r w:rsidR="00600F49" w:rsidRPr="00600F49">
        <w:rPr>
          <w:strike w:val="0"/>
          <w:lang w:val="en-US"/>
        </w:rPr>
        <w:t>Sagtani</w:t>
      </w:r>
      <w:proofErr w:type="spellEnd"/>
      <w:r w:rsidR="00600F49" w:rsidRPr="00600F49">
        <w:rPr>
          <w:strike w:val="0"/>
          <w:lang w:val="en-US"/>
        </w:rPr>
        <w:t>, R. A., Rayamajhi, R. B., Rai, P., &amp; Sharma, G. (2018). Menstrual hygiene management among women and adolescent girls in the aftermath of the earthquake in Nepal. BMC Women's Health, 18(1), Article 33. https://doi.org/10.1186/s12905-018-0527-y</w:t>
      </w:r>
    </w:p>
    <w:p w14:paraId="72FCFD0A" w14:textId="59E2401D" w:rsidR="00600F49" w:rsidRPr="00600F49" w:rsidRDefault="00CD7B07" w:rsidP="00600F49">
      <w:pPr>
        <w:pStyle w:val="NormalWeb"/>
        <w:rPr>
          <w:strike w:val="0"/>
          <w:lang w:val="en-US"/>
        </w:rPr>
      </w:pPr>
      <w:r>
        <w:rPr>
          <w:strike w:val="0"/>
          <w:lang w:val="en-US"/>
        </w:rPr>
        <w:t xml:space="preserve">7. </w:t>
      </w:r>
      <w:r w:rsidR="00600F49" w:rsidRPr="00600F49">
        <w:rPr>
          <w:strike w:val="0"/>
          <w:lang w:val="en-US"/>
        </w:rPr>
        <w:t xml:space="preserve">Chinyama, J., </w:t>
      </w:r>
      <w:proofErr w:type="spellStart"/>
      <w:r w:rsidR="00600F49" w:rsidRPr="00600F49">
        <w:rPr>
          <w:strike w:val="0"/>
          <w:lang w:val="en-US"/>
        </w:rPr>
        <w:t>Chipungu</w:t>
      </w:r>
      <w:proofErr w:type="spellEnd"/>
      <w:r w:rsidR="00600F49" w:rsidRPr="00600F49">
        <w:rPr>
          <w:strike w:val="0"/>
          <w:lang w:val="en-US"/>
        </w:rPr>
        <w:t xml:space="preserve">, J., Rudd, C., Mwale, M., Verstraete, L., &amp; </w:t>
      </w:r>
      <w:proofErr w:type="spellStart"/>
      <w:r w:rsidR="00600F49" w:rsidRPr="00600F49">
        <w:rPr>
          <w:strike w:val="0"/>
          <w:lang w:val="en-US"/>
        </w:rPr>
        <w:t>Sikamo</w:t>
      </w:r>
      <w:proofErr w:type="spellEnd"/>
      <w:r w:rsidR="00600F49" w:rsidRPr="00600F49">
        <w:rPr>
          <w:strike w:val="0"/>
          <w:lang w:val="en-US"/>
        </w:rPr>
        <w:t>, C. (2019). Menstrual hygiene management in rural schools of Zambia: A descriptive study of knowledge, experiences and challenges faced by schoolgirls. BMC Public Health, 19, Article 16. https://doi.org/10.1186/s12889-018-6360-2</w:t>
      </w:r>
    </w:p>
    <w:p w14:paraId="6549F302" w14:textId="5D597420" w:rsidR="00600F49" w:rsidRPr="00600F49" w:rsidRDefault="00CD7B07" w:rsidP="00600F49">
      <w:pPr>
        <w:pStyle w:val="NormalWeb"/>
        <w:rPr>
          <w:strike w:val="0"/>
          <w:lang w:val="en-US"/>
        </w:rPr>
      </w:pPr>
      <w:r>
        <w:rPr>
          <w:strike w:val="0"/>
          <w:lang w:val="en-US"/>
        </w:rPr>
        <w:t>8</w:t>
      </w:r>
      <w:r w:rsidR="00600F49">
        <w:rPr>
          <w:strike w:val="0"/>
          <w:lang w:val="en-US"/>
        </w:rPr>
        <w:t xml:space="preserve">. </w:t>
      </w:r>
      <w:r w:rsidR="00600F49" w:rsidRPr="00600F49">
        <w:rPr>
          <w:strike w:val="0"/>
          <w:lang w:val="en-US"/>
        </w:rPr>
        <w:t xml:space="preserve">Coast, E., </w:t>
      </w:r>
      <w:proofErr w:type="spellStart"/>
      <w:r w:rsidR="00600F49" w:rsidRPr="00600F49">
        <w:rPr>
          <w:strike w:val="0"/>
          <w:lang w:val="en-US"/>
        </w:rPr>
        <w:t>Lattof</w:t>
      </w:r>
      <w:proofErr w:type="spellEnd"/>
      <w:r w:rsidR="00600F49" w:rsidRPr="00600F49">
        <w:rPr>
          <w:strike w:val="0"/>
          <w:lang w:val="en-US"/>
        </w:rPr>
        <w:t>, S. R., &amp; Strong, J. (2019). Puberty and menstruation knowledge among young adolescents in low- and middle-income countries: A scoping review. International Journal of Public Health, 64(2), 293–304. https://doi.org/10.1007/s00038-019-01209-0</w:t>
      </w:r>
    </w:p>
    <w:p w14:paraId="4FB09D96" w14:textId="753B39FB" w:rsidR="00600F49" w:rsidRPr="00600F49" w:rsidRDefault="00CD7B07" w:rsidP="00600F49">
      <w:pPr>
        <w:pStyle w:val="NormalWeb"/>
        <w:rPr>
          <w:strike w:val="0"/>
          <w:lang w:val="en-US"/>
        </w:rPr>
      </w:pPr>
      <w:r>
        <w:rPr>
          <w:strike w:val="0"/>
          <w:lang w:val="en-US"/>
        </w:rPr>
        <w:t>9</w:t>
      </w:r>
      <w:r w:rsidR="00600F49">
        <w:rPr>
          <w:strike w:val="0"/>
          <w:lang w:val="en-US"/>
        </w:rPr>
        <w:t xml:space="preserve">. </w:t>
      </w:r>
      <w:r w:rsidR="00600F49" w:rsidRPr="00600F49">
        <w:rPr>
          <w:strike w:val="0"/>
          <w:lang w:val="en-US"/>
        </w:rPr>
        <w:t xml:space="preserve">Ene, N., Bolarinwa, O. A., </w:t>
      </w:r>
      <w:proofErr w:type="spellStart"/>
      <w:r w:rsidR="00600F49" w:rsidRPr="00600F49">
        <w:rPr>
          <w:strike w:val="0"/>
          <w:lang w:val="en-US"/>
        </w:rPr>
        <w:t>Adedigba</w:t>
      </w:r>
      <w:proofErr w:type="spellEnd"/>
      <w:r w:rsidR="00600F49" w:rsidRPr="00600F49">
        <w:rPr>
          <w:strike w:val="0"/>
          <w:lang w:val="en-US"/>
        </w:rPr>
        <w:t xml:space="preserve">, C., </w:t>
      </w:r>
      <w:proofErr w:type="spellStart"/>
      <w:r w:rsidR="00600F49" w:rsidRPr="00600F49">
        <w:rPr>
          <w:strike w:val="0"/>
          <w:lang w:val="en-US"/>
        </w:rPr>
        <w:t>Oyeleye</w:t>
      </w:r>
      <w:proofErr w:type="spellEnd"/>
      <w:r w:rsidR="00600F49" w:rsidRPr="00600F49">
        <w:rPr>
          <w:strike w:val="0"/>
          <w:lang w:val="en-US"/>
        </w:rPr>
        <w:t xml:space="preserve">, J., Boboye, I., Nwosu, U., </w:t>
      </w:r>
      <w:proofErr w:type="spellStart"/>
      <w:r w:rsidR="00600F49" w:rsidRPr="00600F49">
        <w:rPr>
          <w:strike w:val="0"/>
          <w:lang w:val="en-US"/>
        </w:rPr>
        <w:t>Olususi</w:t>
      </w:r>
      <w:proofErr w:type="spellEnd"/>
      <w:r w:rsidR="00600F49" w:rsidRPr="00600F49">
        <w:rPr>
          <w:strike w:val="0"/>
          <w:lang w:val="en-US"/>
        </w:rPr>
        <w:t>, F., Oluwayemi, P., &amp; Okeke, S. R. (2024). "If I use pad, I feel comfortable and safe": A mixed-method analysis of knowledge, attitude, and practice of menstrual hygiene management among in-school adolescent girls in a Nigerian city. BMC Public Health, 24(1), Article 1721. https://doi.org/10.1186/s12889-024-19256-5</w:t>
      </w:r>
    </w:p>
    <w:p w14:paraId="511A7399" w14:textId="5937463A" w:rsidR="00600F49" w:rsidRPr="00600F49" w:rsidRDefault="00CD7B07" w:rsidP="00600F49">
      <w:pPr>
        <w:pStyle w:val="NormalWeb"/>
        <w:rPr>
          <w:strike w:val="0"/>
          <w:lang w:val="en-US"/>
        </w:rPr>
      </w:pPr>
      <w:r>
        <w:rPr>
          <w:strike w:val="0"/>
          <w:lang w:val="en-US"/>
        </w:rPr>
        <w:t>10</w:t>
      </w:r>
      <w:r w:rsidR="00600F49">
        <w:rPr>
          <w:strike w:val="0"/>
          <w:lang w:val="en-US"/>
        </w:rPr>
        <w:t xml:space="preserve">. </w:t>
      </w:r>
      <w:r w:rsidR="00600F49" w:rsidRPr="00600F49">
        <w:rPr>
          <w:strike w:val="0"/>
          <w:lang w:val="en-US"/>
        </w:rPr>
        <w:t xml:space="preserve">Eze, C. J., </w:t>
      </w:r>
      <w:proofErr w:type="spellStart"/>
      <w:r w:rsidR="00600F49" w:rsidRPr="00600F49">
        <w:rPr>
          <w:strike w:val="0"/>
          <w:lang w:val="en-US"/>
        </w:rPr>
        <w:t>Faremi</w:t>
      </w:r>
      <w:proofErr w:type="spellEnd"/>
      <w:r w:rsidR="00600F49" w:rsidRPr="00600F49">
        <w:rPr>
          <w:strike w:val="0"/>
          <w:lang w:val="en-US"/>
        </w:rPr>
        <w:t xml:space="preserve">, V. O., Amoo, Y. O., </w:t>
      </w:r>
      <w:proofErr w:type="spellStart"/>
      <w:r w:rsidR="00600F49" w:rsidRPr="00600F49">
        <w:rPr>
          <w:strike w:val="0"/>
          <w:lang w:val="en-US"/>
        </w:rPr>
        <w:t>Obialor</w:t>
      </w:r>
      <w:proofErr w:type="spellEnd"/>
      <w:r w:rsidR="00600F49" w:rsidRPr="00600F49">
        <w:rPr>
          <w:strike w:val="0"/>
          <w:lang w:val="en-US"/>
        </w:rPr>
        <w:t xml:space="preserve">, J. C., </w:t>
      </w:r>
      <w:proofErr w:type="spellStart"/>
      <w:r w:rsidR="00600F49" w:rsidRPr="00600F49">
        <w:rPr>
          <w:strike w:val="0"/>
          <w:lang w:val="en-US"/>
        </w:rPr>
        <w:t>Obialor</w:t>
      </w:r>
      <w:proofErr w:type="spellEnd"/>
      <w:r w:rsidR="00600F49" w:rsidRPr="00600F49">
        <w:rPr>
          <w:strike w:val="0"/>
          <w:lang w:val="en-US"/>
        </w:rPr>
        <w:t xml:space="preserve">, B. O., Eze, H. A., </w:t>
      </w:r>
      <w:proofErr w:type="spellStart"/>
      <w:r w:rsidR="00600F49" w:rsidRPr="00600F49">
        <w:rPr>
          <w:strike w:val="0"/>
          <w:lang w:val="en-US"/>
        </w:rPr>
        <w:t>Marindoti</w:t>
      </w:r>
      <w:proofErr w:type="spellEnd"/>
      <w:r w:rsidR="00600F49" w:rsidRPr="00600F49">
        <w:rPr>
          <w:strike w:val="0"/>
          <w:lang w:val="en-US"/>
        </w:rPr>
        <w:t>, C. D., &amp; Akingbade, O. (2023). Menstrual hygiene management among Nigerian adolescent girls: Knowledge and associated factors. Pan Africa Science Journal, 3(3), Article 57. https://doi.org/10.47787/pasj.v3i04.57</w:t>
      </w:r>
    </w:p>
    <w:p w14:paraId="49098EA1" w14:textId="09A45110" w:rsidR="00600F49" w:rsidRPr="00600F49" w:rsidRDefault="00600F49" w:rsidP="00600F49">
      <w:pPr>
        <w:pStyle w:val="NormalWeb"/>
        <w:rPr>
          <w:strike w:val="0"/>
          <w:lang w:val="en-US"/>
        </w:rPr>
      </w:pPr>
      <w:r>
        <w:rPr>
          <w:strike w:val="0"/>
          <w:lang w:val="en-US"/>
        </w:rPr>
        <w:lastRenderedPageBreak/>
        <w:t>1</w:t>
      </w:r>
      <w:r w:rsidR="00CD7B07">
        <w:rPr>
          <w:strike w:val="0"/>
          <w:lang w:val="en-US"/>
        </w:rPr>
        <w:t>1</w:t>
      </w:r>
      <w:r>
        <w:rPr>
          <w:strike w:val="0"/>
          <w:lang w:val="en-US"/>
        </w:rPr>
        <w:t xml:space="preserve">. </w:t>
      </w:r>
      <w:r w:rsidRPr="00600F49">
        <w:rPr>
          <w:strike w:val="0"/>
          <w:lang w:val="en-US"/>
        </w:rPr>
        <w:t>Hennegan, J., Brooks, D. J., Schwab, K. J., &amp; Melendez-Torres, G. J. (2020). Measurement in the study of menstrual health and hygiene: A systematic review and audit. PLOS ONE, 15(6), Article e0232935. https://doi.org/10.1371/journal.pone.0232935</w:t>
      </w:r>
    </w:p>
    <w:p w14:paraId="4DA7306D" w14:textId="7C09AE59" w:rsidR="00600F49" w:rsidRPr="00600F49" w:rsidRDefault="00600F49" w:rsidP="00600F49">
      <w:pPr>
        <w:pStyle w:val="NormalWeb"/>
        <w:rPr>
          <w:strike w:val="0"/>
          <w:lang w:val="en-US"/>
        </w:rPr>
      </w:pPr>
      <w:r>
        <w:rPr>
          <w:strike w:val="0"/>
          <w:lang w:val="en-US"/>
        </w:rPr>
        <w:t>1</w:t>
      </w:r>
      <w:r w:rsidR="00CD7B07">
        <w:rPr>
          <w:strike w:val="0"/>
          <w:lang w:val="en-US"/>
        </w:rPr>
        <w:t>2</w:t>
      </w:r>
      <w:r>
        <w:rPr>
          <w:strike w:val="0"/>
          <w:lang w:val="en-US"/>
        </w:rPr>
        <w:t xml:space="preserve">. </w:t>
      </w:r>
      <w:r w:rsidRPr="00600F49">
        <w:rPr>
          <w:strike w:val="0"/>
          <w:lang w:val="en-US"/>
        </w:rPr>
        <w:t>Hennegan, J., Nansubuga, A., Akullo, A., Smith, C., &amp; Schwab, K. J. (2020). The Menstrual Practices Questionnaire (MPQ): Development, elaboration, and implications for future research. Global Health Action, 13(1), Article 1829402. https://doi.org/10.1080/16549716.2020.1829402</w:t>
      </w:r>
    </w:p>
    <w:p w14:paraId="03857969" w14:textId="3621C58E" w:rsidR="00600F49" w:rsidRPr="00600F49" w:rsidRDefault="00600F49" w:rsidP="00600F49">
      <w:pPr>
        <w:pStyle w:val="NormalWeb"/>
        <w:rPr>
          <w:strike w:val="0"/>
          <w:lang w:val="en-US"/>
        </w:rPr>
      </w:pPr>
      <w:r>
        <w:rPr>
          <w:strike w:val="0"/>
          <w:lang w:val="en-US"/>
        </w:rPr>
        <w:t>1</w:t>
      </w:r>
      <w:r w:rsidR="00CD7B07">
        <w:rPr>
          <w:strike w:val="0"/>
          <w:lang w:val="en-US"/>
        </w:rPr>
        <w:t>3</w:t>
      </w:r>
      <w:r>
        <w:rPr>
          <w:strike w:val="0"/>
          <w:lang w:val="en-US"/>
        </w:rPr>
        <w:t xml:space="preserve">. </w:t>
      </w:r>
      <w:proofErr w:type="spellStart"/>
      <w:r w:rsidRPr="00600F49">
        <w:rPr>
          <w:strike w:val="0"/>
          <w:lang w:val="en-US"/>
        </w:rPr>
        <w:t>Ikogho</w:t>
      </w:r>
      <w:proofErr w:type="spellEnd"/>
      <w:r w:rsidRPr="00600F49">
        <w:rPr>
          <w:strike w:val="0"/>
          <w:lang w:val="en-US"/>
        </w:rPr>
        <w:t xml:space="preserve">, D. E., &amp; </w:t>
      </w:r>
      <w:proofErr w:type="spellStart"/>
      <w:r w:rsidRPr="00600F49">
        <w:rPr>
          <w:strike w:val="0"/>
          <w:lang w:val="en-US"/>
        </w:rPr>
        <w:t>Onoharigho</w:t>
      </w:r>
      <w:proofErr w:type="spellEnd"/>
      <w:r w:rsidRPr="00600F49">
        <w:rPr>
          <w:strike w:val="0"/>
          <w:lang w:val="en-US"/>
        </w:rPr>
        <w:t>, F. D. (2025). Menstrual waste management practices among female students in Niger Delta Development Commission hostels in educational institutions in Niger Delta, Nigeria. BMC Women's Health, 25, Article 60. https://doi.org/10.1186/s12905-025-03549-x</w:t>
      </w:r>
    </w:p>
    <w:p w14:paraId="42CBF128" w14:textId="6E6F9305" w:rsidR="00600F49" w:rsidRPr="00600F49" w:rsidRDefault="00600F49" w:rsidP="00600F49">
      <w:pPr>
        <w:pStyle w:val="NormalWeb"/>
        <w:rPr>
          <w:strike w:val="0"/>
          <w:lang w:val="en-US"/>
        </w:rPr>
      </w:pPr>
      <w:r>
        <w:rPr>
          <w:strike w:val="0"/>
          <w:lang w:val="en-US"/>
        </w:rPr>
        <w:t>1</w:t>
      </w:r>
      <w:r w:rsidR="00CD7B07">
        <w:rPr>
          <w:strike w:val="0"/>
          <w:lang w:val="en-US"/>
        </w:rPr>
        <w:t>4</w:t>
      </w:r>
      <w:r>
        <w:rPr>
          <w:strike w:val="0"/>
          <w:lang w:val="en-US"/>
        </w:rPr>
        <w:t xml:space="preserve">. </w:t>
      </w:r>
      <w:r w:rsidRPr="00600F49">
        <w:rPr>
          <w:strike w:val="0"/>
          <w:lang w:val="en-US"/>
        </w:rPr>
        <w:t xml:space="preserve">Miiro, G., </w:t>
      </w:r>
      <w:proofErr w:type="spellStart"/>
      <w:r w:rsidRPr="00600F49">
        <w:rPr>
          <w:strike w:val="0"/>
          <w:lang w:val="en-US"/>
        </w:rPr>
        <w:t>Rutakumwa</w:t>
      </w:r>
      <w:proofErr w:type="spellEnd"/>
      <w:r w:rsidRPr="00600F49">
        <w:rPr>
          <w:strike w:val="0"/>
          <w:lang w:val="en-US"/>
        </w:rPr>
        <w:t xml:space="preserve">, R., Nakiyingi-Miiro, J., Nakuya, K., Musoke, S., Namakula, J., Francis, S., </w:t>
      </w:r>
      <w:proofErr w:type="spellStart"/>
      <w:r w:rsidRPr="00600F49">
        <w:rPr>
          <w:strike w:val="0"/>
          <w:lang w:val="en-US"/>
        </w:rPr>
        <w:t>Torondel</w:t>
      </w:r>
      <w:proofErr w:type="spellEnd"/>
      <w:r w:rsidRPr="00600F49">
        <w:rPr>
          <w:strike w:val="0"/>
          <w:lang w:val="en-US"/>
        </w:rPr>
        <w:t>, B., Gibson, L. J., Ross, D. A., &amp; Weiss, H. A. (2018). Menstrual health and school absenteeism among adolescent girls in Uganda (MENISCUS): A feasibility study. BMC Women's Health, 18(1), Article 4. https://doi.org/10.1186/s12905-017-0502-z</w:t>
      </w:r>
    </w:p>
    <w:p w14:paraId="0FB777B0" w14:textId="2CB84161" w:rsidR="00600F49" w:rsidRPr="00600F49" w:rsidRDefault="00600F49" w:rsidP="00600F49">
      <w:pPr>
        <w:pStyle w:val="NormalWeb"/>
        <w:rPr>
          <w:strike w:val="0"/>
          <w:lang w:val="en-US"/>
        </w:rPr>
      </w:pPr>
      <w:r>
        <w:rPr>
          <w:strike w:val="0"/>
          <w:lang w:val="en-US"/>
        </w:rPr>
        <w:t>1</w:t>
      </w:r>
      <w:r w:rsidR="00CD7B07">
        <w:rPr>
          <w:strike w:val="0"/>
          <w:lang w:val="en-US"/>
        </w:rPr>
        <w:t>5</w:t>
      </w:r>
      <w:r>
        <w:rPr>
          <w:strike w:val="0"/>
          <w:lang w:val="en-US"/>
        </w:rPr>
        <w:t>.</w:t>
      </w:r>
      <w:r w:rsidR="00CD7B07">
        <w:rPr>
          <w:strike w:val="0"/>
          <w:lang w:val="en-US"/>
        </w:rPr>
        <w:t xml:space="preserve"> </w:t>
      </w:r>
      <w:proofErr w:type="spellStart"/>
      <w:r w:rsidRPr="00600F49">
        <w:rPr>
          <w:strike w:val="0"/>
          <w:lang w:val="en-US"/>
        </w:rPr>
        <w:t>Nnennaya</w:t>
      </w:r>
      <w:proofErr w:type="spellEnd"/>
      <w:r w:rsidRPr="00600F49">
        <w:rPr>
          <w:strike w:val="0"/>
          <w:lang w:val="en-US"/>
        </w:rPr>
        <w:t xml:space="preserve">, E. U., Atinge, S., </w:t>
      </w:r>
      <w:proofErr w:type="spellStart"/>
      <w:r w:rsidRPr="00600F49">
        <w:rPr>
          <w:strike w:val="0"/>
          <w:lang w:val="en-US"/>
        </w:rPr>
        <w:t>Dogara</w:t>
      </w:r>
      <w:proofErr w:type="spellEnd"/>
      <w:r w:rsidRPr="00600F49">
        <w:rPr>
          <w:strike w:val="0"/>
          <w:lang w:val="en-US"/>
        </w:rPr>
        <w:t xml:space="preserve">, S. P., &amp; </w:t>
      </w:r>
      <w:proofErr w:type="spellStart"/>
      <w:r w:rsidRPr="00600F49">
        <w:rPr>
          <w:strike w:val="0"/>
          <w:lang w:val="en-US"/>
        </w:rPr>
        <w:t>Ubandoma</w:t>
      </w:r>
      <w:proofErr w:type="spellEnd"/>
      <w:r w:rsidRPr="00600F49">
        <w:rPr>
          <w:strike w:val="0"/>
          <w:lang w:val="en-US"/>
        </w:rPr>
        <w:t>, R. J. (2021). Menstrual hygiene management among adolescent school girls in Taraba State, Nigeria. African Health Sciences, 21(2), 842–851. https://doi.org/10.4314/ahs.v21i2.45</w:t>
      </w:r>
    </w:p>
    <w:p w14:paraId="56A39A37" w14:textId="275A1C94" w:rsidR="00600F49" w:rsidRPr="00600F49" w:rsidRDefault="00600F49" w:rsidP="00600F49">
      <w:pPr>
        <w:pStyle w:val="NormalWeb"/>
        <w:rPr>
          <w:strike w:val="0"/>
          <w:lang w:val="en-US"/>
        </w:rPr>
      </w:pPr>
      <w:r>
        <w:rPr>
          <w:strike w:val="0"/>
          <w:lang w:val="en-US"/>
        </w:rPr>
        <w:t>1</w:t>
      </w:r>
      <w:r w:rsidR="00CD7B07">
        <w:rPr>
          <w:strike w:val="0"/>
          <w:lang w:val="en-US"/>
        </w:rPr>
        <w:t>6</w:t>
      </w:r>
      <w:r>
        <w:rPr>
          <w:strike w:val="0"/>
          <w:lang w:val="en-US"/>
        </w:rPr>
        <w:t xml:space="preserve">. </w:t>
      </w:r>
      <w:proofErr w:type="spellStart"/>
      <w:r w:rsidRPr="00600F49">
        <w:rPr>
          <w:strike w:val="0"/>
          <w:lang w:val="en-US"/>
        </w:rPr>
        <w:t>Nwimo</w:t>
      </w:r>
      <w:proofErr w:type="spellEnd"/>
      <w:r w:rsidRPr="00600F49">
        <w:rPr>
          <w:strike w:val="0"/>
          <w:lang w:val="en-US"/>
        </w:rPr>
        <w:t xml:space="preserve">, I. O., Elom, N. A., Ilo, C. I., Ezugwu, U. A., Ezugwu, L. E., </w:t>
      </w:r>
      <w:proofErr w:type="spellStart"/>
      <w:r w:rsidRPr="00600F49">
        <w:rPr>
          <w:strike w:val="0"/>
          <w:lang w:val="en-US"/>
        </w:rPr>
        <w:t>Nkwoka</w:t>
      </w:r>
      <w:proofErr w:type="spellEnd"/>
      <w:r w:rsidRPr="00600F49">
        <w:rPr>
          <w:strike w:val="0"/>
          <w:lang w:val="en-US"/>
        </w:rPr>
        <w:t xml:space="preserve">, I. J., </w:t>
      </w:r>
      <w:proofErr w:type="spellStart"/>
      <w:r w:rsidRPr="00600F49">
        <w:rPr>
          <w:strike w:val="0"/>
          <w:lang w:val="en-US"/>
        </w:rPr>
        <w:t>Igweagu</w:t>
      </w:r>
      <w:proofErr w:type="spellEnd"/>
      <w:r w:rsidRPr="00600F49">
        <w:rPr>
          <w:strike w:val="0"/>
          <w:lang w:val="en-US"/>
        </w:rPr>
        <w:t xml:space="preserve">, C. P., &amp; </w:t>
      </w:r>
      <w:proofErr w:type="spellStart"/>
      <w:r w:rsidRPr="00600F49">
        <w:rPr>
          <w:strike w:val="0"/>
          <w:lang w:val="en-US"/>
        </w:rPr>
        <w:t>Okeworo</w:t>
      </w:r>
      <w:proofErr w:type="spellEnd"/>
      <w:r w:rsidRPr="00600F49">
        <w:rPr>
          <w:strike w:val="0"/>
          <w:lang w:val="en-US"/>
        </w:rPr>
        <w:t>, C. G. (2022). Menstrual hygiene management practices and menstrual distress among adolescent secondary school girls: A questionnaire-based study in Nigeria. African Health Sciences, 22(2), 397–409. https://doi.org/10.4314/ahs.v22i2.46</w:t>
      </w:r>
    </w:p>
    <w:p w14:paraId="4A2BBA87" w14:textId="7859A9BD" w:rsidR="00600F49" w:rsidRPr="00600F49" w:rsidRDefault="00600F49" w:rsidP="00600F49">
      <w:pPr>
        <w:pStyle w:val="NormalWeb"/>
        <w:rPr>
          <w:strike w:val="0"/>
          <w:lang w:val="en-US"/>
        </w:rPr>
      </w:pPr>
      <w:r>
        <w:rPr>
          <w:strike w:val="0"/>
          <w:lang w:val="en-US"/>
        </w:rPr>
        <w:t>1</w:t>
      </w:r>
      <w:r w:rsidR="00CD7B07">
        <w:rPr>
          <w:strike w:val="0"/>
          <w:lang w:val="en-US"/>
        </w:rPr>
        <w:t>7</w:t>
      </w:r>
      <w:r>
        <w:rPr>
          <w:strike w:val="0"/>
          <w:lang w:val="en-US"/>
        </w:rPr>
        <w:t xml:space="preserve">. </w:t>
      </w:r>
      <w:proofErr w:type="spellStart"/>
      <w:r w:rsidRPr="00600F49">
        <w:rPr>
          <w:strike w:val="0"/>
          <w:lang w:val="en-US"/>
        </w:rPr>
        <w:t>Okesanya</w:t>
      </w:r>
      <w:proofErr w:type="spellEnd"/>
      <w:r w:rsidRPr="00600F49">
        <w:rPr>
          <w:strike w:val="0"/>
          <w:lang w:val="en-US"/>
        </w:rPr>
        <w:t xml:space="preserve">, O. J., Eshun, G., </w:t>
      </w:r>
      <w:proofErr w:type="spellStart"/>
      <w:r w:rsidRPr="00600F49">
        <w:rPr>
          <w:strike w:val="0"/>
          <w:lang w:val="en-US"/>
        </w:rPr>
        <w:t>Ukoaka</w:t>
      </w:r>
      <w:proofErr w:type="spellEnd"/>
      <w:r w:rsidRPr="00600F49">
        <w:rPr>
          <w:strike w:val="0"/>
          <w:lang w:val="en-US"/>
        </w:rPr>
        <w:t>, B. M., Manirambona, E., Olabode, O. N., Adesola, R. O., Okon, I. I., Jamil, S., Singh, A., Lucero-</w:t>
      </w:r>
      <w:proofErr w:type="spellStart"/>
      <w:r w:rsidRPr="00600F49">
        <w:rPr>
          <w:strike w:val="0"/>
          <w:lang w:val="en-US"/>
        </w:rPr>
        <w:t>Prisno</w:t>
      </w:r>
      <w:proofErr w:type="spellEnd"/>
      <w:r w:rsidRPr="00600F49">
        <w:rPr>
          <w:strike w:val="0"/>
          <w:lang w:val="en-US"/>
        </w:rPr>
        <w:t>, D. E., III, Ali, H. M., &amp; Chowdhury, A. B. M. A. (2024). Water, sanitation, and hygiene (WASH) practices in Africa: Exploring the effects on public health and sustainable development plans. Tropical Medicine and Health, 52, Article 68. https://doi.org/10.1186/s41182-024-00614-3</w:t>
      </w:r>
    </w:p>
    <w:p w14:paraId="29E8FCBE" w14:textId="61EC3204" w:rsidR="00600F49" w:rsidRPr="00600F49" w:rsidRDefault="00600F49" w:rsidP="00600F49">
      <w:pPr>
        <w:pStyle w:val="NormalWeb"/>
        <w:rPr>
          <w:strike w:val="0"/>
          <w:lang w:val="en-US"/>
        </w:rPr>
      </w:pPr>
      <w:r>
        <w:rPr>
          <w:strike w:val="0"/>
          <w:lang w:val="en-US"/>
        </w:rPr>
        <w:t>1</w:t>
      </w:r>
      <w:r w:rsidR="00CD7B07">
        <w:rPr>
          <w:strike w:val="0"/>
          <w:lang w:val="en-US"/>
        </w:rPr>
        <w:t>8</w:t>
      </w:r>
      <w:r>
        <w:rPr>
          <w:strike w:val="0"/>
          <w:lang w:val="en-US"/>
        </w:rPr>
        <w:t xml:space="preserve">. </w:t>
      </w:r>
      <w:r w:rsidRPr="00600F49">
        <w:rPr>
          <w:strike w:val="0"/>
          <w:lang w:val="en-US"/>
        </w:rPr>
        <w:t xml:space="preserve">Phillips-Howard, P. A., Caruso, B., </w:t>
      </w:r>
      <w:proofErr w:type="spellStart"/>
      <w:r w:rsidRPr="00600F49">
        <w:rPr>
          <w:strike w:val="0"/>
          <w:lang w:val="en-US"/>
        </w:rPr>
        <w:t>Torondel</w:t>
      </w:r>
      <w:proofErr w:type="spellEnd"/>
      <w:r w:rsidRPr="00600F49">
        <w:rPr>
          <w:strike w:val="0"/>
          <w:lang w:val="en-US"/>
        </w:rPr>
        <w:t>, B., Zulaika, G., Sahin, M., &amp; Sommer, M. (2016). Menstrual hygiene management among adolescent schoolgirls in low- and middle-income countries: Research priorities. Global Health Action, 9, Article 33032. https://doi.org/10.3402/gha.v9.33032</w:t>
      </w:r>
    </w:p>
    <w:p w14:paraId="04548FA4" w14:textId="7F3EF9DB" w:rsidR="00600F49" w:rsidRPr="00600F49" w:rsidRDefault="00600F49" w:rsidP="00600F49">
      <w:pPr>
        <w:pStyle w:val="NormalWeb"/>
        <w:rPr>
          <w:strike w:val="0"/>
          <w:lang w:val="en-US"/>
        </w:rPr>
      </w:pPr>
      <w:r>
        <w:rPr>
          <w:strike w:val="0"/>
          <w:lang w:val="en-US"/>
        </w:rPr>
        <w:t>1</w:t>
      </w:r>
      <w:r w:rsidR="00CD7B07">
        <w:rPr>
          <w:strike w:val="0"/>
          <w:lang w:val="en-US"/>
        </w:rPr>
        <w:t>9</w:t>
      </w:r>
      <w:r>
        <w:rPr>
          <w:strike w:val="0"/>
          <w:lang w:val="en-US"/>
        </w:rPr>
        <w:t xml:space="preserve">. </w:t>
      </w:r>
      <w:r w:rsidRPr="00600F49">
        <w:rPr>
          <w:strike w:val="0"/>
          <w:lang w:val="en-US"/>
        </w:rPr>
        <w:t xml:space="preserve">Shannon, A. K., Melendez-Torres, G. J., &amp; Hennegan, J. (2021). How do women and girls experience menstruation in low- and middle-income countries? Insights from a systematic review and qualitative </w:t>
      </w:r>
      <w:proofErr w:type="spellStart"/>
      <w:r w:rsidRPr="00600F49">
        <w:rPr>
          <w:strike w:val="0"/>
          <w:lang w:val="en-US"/>
        </w:rPr>
        <w:t>metasynthesis</w:t>
      </w:r>
      <w:proofErr w:type="spellEnd"/>
      <w:r w:rsidRPr="00600F49">
        <w:rPr>
          <w:strike w:val="0"/>
          <w:lang w:val="en-US"/>
        </w:rPr>
        <w:t>. Culture, Health &amp; Sexuality, 23(5), 624–643. https://doi.org/10.1080/13691058.2020.1718758</w:t>
      </w:r>
    </w:p>
    <w:p w14:paraId="0485837D" w14:textId="42B48FC6" w:rsidR="00600F49" w:rsidRPr="00600F49" w:rsidRDefault="00CD7B07" w:rsidP="00600F49">
      <w:pPr>
        <w:pStyle w:val="NormalWeb"/>
        <w:rPr>
          <w:strike w:val="0"/>
          <w:lang w:val="en-US"/>
        </w:rPr>
      </w:pPr>
      <w:r>
        <w:rPr>
          <w:strike w:val="0"/>
          <w:lang w:val="en-US"/>
        </w:rPr>
        <w:t>20</w:t>
      </w:r>
      <w:r w:rsidR="00600F49">
        <w:rPr>
          <w:strike w:val="0"/>
          <w:lang w:val="en-US"/>
        </w:rPr>
        <w:t xml:space="preserve">. </w:t>
      </w:r>
      <w:proofErr w:type="spellStart"/>
      <w:r w:rsidR="00600F49" w:rsidRPr="00600F49">
        <w:rPr>
          <w:strike w:val="0"/>
          <w:lang w:val="en-US"/>
        </w:rPr>
        <w:t>Shumie</w:t>
      </w:r>
      <w:proofErr w:type="spellEnd"/>
      <w:r w:rsidR="00600F49" w:rsidRPr="00600F49">
        <w:rPr>
          <w:strike w:val="0"/>
          <w:lang w:val="en-US"/>
        </w:rPr>
        <w:t xml:space="preserve">, Z. S., &amp; </w:t>
      </w:r>
      <w:proofErr w:type="spellStart"/>
      <w:r w:rsidR="00600F49" w:rsidRPr="00600F49">
        <w:rPr>
          <w:strike w:val="0"/>
          <w:lang w:val="en-US"/>
        </w:rPr>
        <w:t>Mengie</w:t>
      </w:r>
      <w:proofErr w:type="spellEnd"/>
      <w:r w:rsidR="00600F49" w:rsidRPr="00600F49">
        <w:rPr>
          <w:strike w:val="0"/>
          <w:lang w:val="en-US"/>
        </w:rPr>
        <w:t>, Z. A. (2022). Menstrual hygiene management knowledge, practice and associated factors among school girls, Northeast Ethiopia. PLOS ONE, 17(7), Article e0271275. https://doi.org/10.1371/journal.pone.0271275</w:t>
      </w:r>
    </w:p>
    <w:p w14:paraId="79060354" w14:textId="411911BC" w:rsidR="00600F49" w:rsidRPr="00600F49" w:rsidRDefault="00600F49" w:rsidP="00600F49">
      <w:pPr>
        <w:pStyle w:val="NormalWeb"/>
        <w:rPr>
          <w:strike w:val="0"/>
          <w:lang w:val="en-US"/>
        </w:rPr>
      </w:pPr>
      <w:r>
        <w:rPr>
          <w:strike w:val="0"/>
          <w:lang w:val="en-US"/>
        </w:rPr>
        <w:t>2</w:t>
      </w:r>
      <w:r w:rsidR="00CD7B07">
        <w:rPr>
          <w:strike w:val="0"/>
          <w:lang w:val="en-US"/>
        </w:rPr>
        <w:t>1</w:t>
      </w:r>
      <w:r>
        <w:rPr>
          <w:strike w:val="0"/>
          <w:lang w:val="en-US"/>
        </w:rPr>
        <w:t xml:space="preserve">. </w:t>
      </w:r>
      <w:r w:rsidRPr="00600F49">
        <w:rPr>
          <w:strike w:val="0"/>
          <w:lang w:val="en-US"/>
        </w:rPr>
        <w:t xml:space="preserve">Sommer, M., Hirsch, J. S., Nathanson, C., &amp; Parker, R. G. (2015). Comfortably, safely, and without shame: Defining menstrual hygiene management as a public health issue. </w:t>
      </w:r>
      <w:r w:rsidRPr="00600F49">
        <w:rPr>
          <w:strike w:val="0"/>
          <w:lang w:val="en-US"/>
        </w:rPr>
        <w:lastRenderedPageBreak/>
        <w:t>American Journal of Public Health, 105(7), 1302–1311. https://doi.org/10.2105/AJPH.2014.302525</w:t>
      </w:r>
    </w:p>
    <w:p w14:paraId="6F3D64E7" w14:textId="5C637F88" w:rsidR="00600F49" w:rsidRPr="00600F49" w:rsidRDefault="00600F49" w:rsidP="00600F49">
      <w:pPr>
        <w:pStyle w:val="NormalWeb"/>
        <w:rPr>
          <w:strike w:val="0"/>
          <w:lang w:val="en-US"/>
        </w:rPr>
      </w:pPr>
      <w:r>
        <w:rPr>
          <w:strike w:val="0"/>
          <w:lang w:val="en-US"/>
        </w:rPr>
        <w:t>2</w:t>
      </w:r>
      <w:r w:rsidR="00CD7B07">
        <w:rPr>
          <w:strike w:val="0"/>
          <w:lang w:val="en-US"/>
        </w:rPr>
        <w:t>2</w:t>
      </w:r>
      <w:r>
        <w:rPr>
          <w:strike w:val="0"/>
          <w:lang w:val="en-US"/>
        </w:rPr>
        <w:t xml:space="preserve">. </w:t>
      </w:r>
      <w:r w:rsidRPr="00600F49">
        <w:rPr>
          <w:strike w:val="0"/>
          <w:lang w:val="en-US"/>
        </w:rPr>
        <w:t xml:space="preserve">Sommer, M., Torondel, B., Hennegan, J., Phillips-Howard, P. A., Mahon, T., </w:t>
      </w:r>
      <w:proofErr w:type="spellStart"/>
      <w:r w:rsidRPr="00600F49">
        <w:rPr>
          <w:strike w:val="0"/>
          <w:lang w:val="en-US"/>
        </w:rPr>
        <w:t>Motivans</w:t>
      </w:r>
      <w:proofErr w:type="spellEnd"/>
      <w:r w:rsidRPr="00600F49">
        <w:rPr>
          <w:strike w:val="0"/>
          <w:lang w:val="en-US"/>
        </w:rPr>
        <w:t>, A., Zulaika, G., Gruer, C., Haver, J., Caruso, B. A., &amp; Monitoring Menstrual Health and Hygiene Group. (2021). How addressing menstrual health and hygiene may enable progress across the Sustainable Development Goals. Global Health Action, 14(1), Article 1920315. https://doi.org/10.1080/16549716.2021.1920315</w:t>
      </w:r>
    </w:p>
    <w:p w14:paraId="51DC6C63" w14:textId="2927B662" w:rsidR="00600F49" w:rsidRPr="00600F49" w:rsidRDefault="00600F49" w:rsidP="00600F49">
      <w:pPr>
        <w:pStyle w:val="NormalWeb"/>
        <w:rPr>
          <w:strike w:val="0"/>
          <w:lang w:val="en-US"/>
        </w:rPr>
      </w:pPr>
      <w:r>
        <w:rPr>
          <w:strike w:val="0"/>
          <w:lang w:val="en-US"/>
        </w:rPr>
        <w:t>2</w:t>
      </w:r>
      <w:r w:rsidR="00CD7B07">
        <w:rPr>
          <w:strike w:val="0"/>
          <w:lang w:val="en-US"/>
        </w:rPr>
        <w:t>3</w:t>
      </w:r>
      <w:r>
        <w:rPr>
          <w:strike w:val="0"/>
          <w:lang w:val="en-US"/>
        </w:rPr>
        <w:t xml:space="preserve">. </w:t>
      </w:r>
      <w:r w:rsidRPr="00600F49">
        <w:rPr>
          <w:strike w:val="0"/>
          <w:lang w:val="en-US"/>
        </w:rPr>
        <w:t>UNICEF &amp; World Health Organization. (2024). Progress on drinking water, sanitation and hygiene in schools: 2000–2024. https://www.who.int/publications/i/item/9789240085387</w:t>
      </w:r>
    </w:p>
    <w:p w14:paraId="0A0E3EF6" w14:textId="720C993E" w:rsidR="00F0737C" w:rsidRPr="00600F49" w:rsidRDefault="00600F49" w:rsidP="00600F49">
      <w:pPr>
        <w:pStyle w:val="NormalWeb"/>
        <w:rPr>
          <w:strike w:val="0"/>
          <w:lang w:val="en-US"/>
        </w:rPr>
      </w:pPr>
      <w:r>
        <w:rPr>
          <w:strike w:val="0"/>
          <w:lang w:val="en-US"/>
        </w:rPr>
        <w:t>2</w:t>
      </w:r>
      <w:r w:rsidR="00CD7B07">
        <w:rPr>
          <w:strike w:val="0"/>
          <w:lang w:val="en-US"/>
        </w:rPr>
        <w:t>4</w:t>
      </w:r>
      <w:r>
        <w:rPr>
          <w:strike w:val="0"/>
          <w:lang w:val="en-US"/>
        </w:rPr>
        <w:t xml:space="preserve">. </w:t>
      </w:r>
      <w:proofErr w:type="spellStart"/>
      <w:r w:rsidRPr="00600F49">
        <w:rPr>
          <w:strike w:val="0"/>
          <w:lang w:val="en-US"/>
        </w:rPr>
        <w:t>Uzoechi</w:t>
      </w:r>
      <w:proofErr w:type="spellEnd"/>
      <w:r w:rsidRPr="00600F49">
        <w:rPr>
          <w:strike w:val="0"/>
          <w:lang w:val="en-US"/>
        </w:rPr>
        <w:t xml:space="preserve">, C. A., Parsa, A. D., Mahmud, I., </w:t>
      </w:r>
      <w:proofErr w:type="spellStart"/>
      <w:r w:rsidRPr="00600F49">
        <w:rPr>
          <w:strike w:val="0"/>
          <w:lang w:val="en-US"/>
        </w:rPr>
        <w:t>Alasqah</w:t>
      </w:r>
      <w:proofErr w:type="spellEnd"/>
      <w:r w:rsidRPr="00600F49">
        <w:rPr>
          <w:strike w:val="0"/>
          <w:lang w:val="en-US"/>
        </w:rPr>
        <w:t>, I., &amp; Kabir, R. (2023). Menstruation among in-school adolescent girls and its literacy and practices in Nigeria: A systematic review. Medicina, 59(12), Article 2073. https://doi.org/10.3390/medicina59122073</w:t>
      </w:r>
      <w:bookmarkEnd w:id="5"/>
    </w:p>
    <w:sectPr w:rsidR="00F0737C" w:rsidRPr="00600F49" w:rsidSect="0006044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9ACD" w14:textId="77777777" w:rsidR="0099793F" w:rsidRDefault="0099793F" w:rsidP="00282370">
      <w:pPr>
        <w:spacing w:after="0" w:line="240" w:lineRule="auto"/>
      </w:pPr>
      <w:r>
        <w:separator/>
      </w:r>
    </w:p>
  </w:endnote>
  <w:endnote w:type="continuationSeparator" w:id="0">
    <w:p w14:paraId="0C75BF94" w14:textId="77777777" w:rsidR="0099793F" w:rsidRDefault="0099793F" w:rsidP="0028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F92" w14:textId="77777777" w:rsidR="00016A35" w:rsidRDefault="00016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471561"/>
      <w:docPartObj>
        <w:docPartGallery w:val="Page Numbers (Bottom of Page)"/>
        <w:docPartUnique/>
      </w:docPartObj>
    </w:sdtPr>
    <w:sdtEndPr>
      <w:rPr>
        <w:noProof/>
      </w:rPr>
    </w:sdtEndPr>
    <w:sdtContent>
      <w:p w14:paraId="04580833" w14:textId="640DC678" w:rsidR="00282370" w:rsidRDefault="00282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BA66D" w14:textId="77777777" w:rsidR="00282370" w:rsidRDefault="00282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9ABF" w14:textId="77777777" w:rsidR="00016A35" w:rsidRDefault="0001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6B11" w14:textId="77777777" w:rsidR="0099793F" w:rsidRDefault="0099793F" w:rsidP="00282370">
      <w:pPr>
        <w:spacing w:after="0" w:line="240" w:lineRule="auto"/>
      </w:pPr>
      <w:r>
        <w:separator/>
      </w:r>
    </w:p>
  </w:footnote>
  <w:footnote w:type="continuationSeparator" w:id="0">
    <w:p w14:paraId="74E28CAD" w14:textId="77777777" w:rsidR="0099793F" w:rsidRDefault="0099793F" w:rsidP="00282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5065" w14:textId="7F1074E6" w:rsidR="00016A35" w:rsidRDefault="00000000">
    <w:pPr>
      <w:pStyle w:val="Header"/>
    </w:pPr>
    <w:r>
      <w:rPr>
        <w:noProof/>
      </w:rPr>
      <w:pict w14:anchorId="6C79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01150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4D3" w14:textId="196DA135" w:rsidR="00016A35" w:rsidRDefault="00000000">
    <w:pPr>
      <w:pStyle w:val="Header"/>
    </w:pPr>
    <w:r>
      <w:rPr>
        <w:noProof/>
      </w:rPr>
      <w:pict w14:anchorId="029E9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01150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E9DD" w14:textId="06FC5ACF" w:rsidR="00016A35" w:rsidRDefault="00000000">
    <w:pPr>
      <w:pStyle w:val="Header"/>
    </w:pPr>
    <w:r>
      <w:rPr>
        <w:noProof/>
      </w:rPr>
      <w:pict w14:anchorId="32266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01150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D87"/>
    <w:multiLevelType w:val="multilevel"/>
    <w:tmpl w:val="3228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67CF9"/>
    <w:multiLevelType w:val="multilevel"/>
    <w:tmpl w:val="427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3DE1"/>
    <w:multiLevelType w:val="multilevel"/>
    <w:tmpl w:val="2F1A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B0CF3"/>
    <w:multiLevelType w:val="multilevel"/>
    <w:tmpl w:val="CCD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53528"/>
    <w:multiLevelType w:val="hybridMultilevel"/>
    <w:tmpl w:val="A766A23C"/>
    <w:lvl w:ilvl="0" w:tplc="1000000F">
      <w:start w:val="2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74B788F"/>
    <w:multiLevelType w:val="multilevel"/>
    <w:tmpl w:val="8B8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44C14"/>
    <w:multiLevelType w:val="multilevel"/>
    <w:tmpl w:val="A47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559637">
    <w:abstractNumId w:val="1"/>
  </w:num>
  <w:num w:numId="2" w16cid:durableId="1292325133">
    <w:abstractNumId w:val="6"/>
  </w:num>
  <w:num w:numId="3" w16cid:durableId="490415773">
    <w:abstractNumId w:val="3"/>
  </w:num>
  <w:num w:numId="4" w16cid:durableId="561792470">
    <w:abstractNumId w:val="2"/>
  </w:num>
  <w:num w:numId="5" w16cid:durableId="454635848">
    <w:abstractNumId w:val="5"/>
  </w:num>
  <w:num w:numId="6" w16cid:durableId="641039560">
    <w:abstractNumId w:val="0"/>
  </w:num>
  <w:num w:numId="7" w16cid:durableId="15337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95"/>
    <w:rsid w:val="00002FE8"/>
    <w:rsid w:val="00016A35"/>
    <w:rsid w:val="00022C00"/>
    <w:rsid w:val="00025669"/>
    <w:rsid w:val="0002707D"/>
    <w:rsid w:val="00060447"/>
    <w:rsid w:val="0006410A"/>
    <w:rsid w:val="0008409B"/>
    <w:rsid w:val="0009407C"/>
    <w:rsid w:val="000B1A88"/>
    <w:rsid w:val="000E38A8"/>
    <w:rsid w:val="000E6EB9"/>
    <w:rsid w:val="000F3C05"/>
    <w:rsid w:val="000F6EBF"/>
    <w:rsid w:val="0010035D"/>
    <w:rsid w:val="00115303"/>
    <w:rsid w:val="00136B73"/>
    <w:rsid w:val="00154371"/>
    <w:rsid w:val="001662FE"/>
    <w:rsid w:val="00193ECC"/>
    <w:rsid w:val="00195A40"/>
    <w:rsid w:val="001A026C"/>
    <w:rsid w:val="001A2DB3"/>
    <w:rsid w:val="001B4B73"/>
    <w:rsid w:val="001C0FE2"/>
    <w:rsid w:val="001D1625"/>
    <w:rsid w:val="001E196F"/>
    <w:rsid w:val="00216CAD"/>
    <w:rsid w:val="002205F9"/>
    <w:rsid w:val="00225FF3"/>
    <w:rsid w:val="00233610"/>
    <w:rsid w:val="00244290"/>
    <w:rsid w:val="00251803"/>
    <w:rsid w:val="00253A1A"/>
    <w:rsid w:val="00272E54"/>
    <w:rsid w:val="0027381D"/>
    <w:rsid w:val="00274BA4"/>
    <w:rsid w:val="00282370"/>
    <w:rsid w:val="002919F5"/>
    <w:rsid w:val="002A0322"/>
    <w:rsid w:val="002A18BE"/>
    <w:rsid w:val="002C5FF1"/>
    <w:rsid w:val="002E72B9"/>
    <w:rsid w:val="002F73C4"/>
    <w:rsid w:val="003212FA"/>
    <w:rsid w:val="00325DDE"/>
    <w:rsid w:val="00333328"/>
    <w:rsid w:val="00333450"/>
    <w:rsid w:val="00336F41"/>
    <w:rsid w:val="00346B49"/>
    <w:rsid w:val="0036150D"/>
    <w:rsid w:val="00392356"/>
    <w:rsid w:val="003954E3"/>
    <w:rsid w:val="003B7C93"/>
    <w:rsid w:val="003C495A"/>
    <w:rsid w:val="003D1CBB"/>
    <w:rsid w:val="003D4BF9"/>
    <w:rsid w:val="003D4EC6"/>
    <w:rsid w:val="003E2381"/>
    <w:rsid w:val="003F2B04"/>
    <w:rsid w:val="003F453E"/>
    <w:rsid w:val="004124DC"/>
    <w:rsid w:val="0043106F"/>
    <w:rsid w:val="00443CA2"/>
    <w:rsid w:val="00455DDD"/>
    <w:rsid w:val="00474243"/>
    <w:rsid w:val="00484D96"/>
    <w:rsid w:val="004D02A6"/>
    <w:rsid w:val="004E64AA"/>
    <w:rsid w:val="00506F45"/>
    <w:rsid w:val="0053032E"/>
    <w:rsid w:val="00530D42"/>
    <w:rsid w:val="005349B5"/>
    <w:rsid w:val="005430FD"/>
    <w:rsid w:val="00583D78"/>
    <w:rsid w:val="00590CAD"/>
    <w:rsid w:val="00594E48"/>
    <w:rsid w:val="005A0F26"/>
    <w:rsid w:val="005A431C"/>
    <w:rsid w:val="005C618B"/>
    <w:rsid w:val="005C737D"/>
    <w:rsid w:val="005D172C"/>
    <w:rsid w:val="005E6D52"/>
    <w:rsid w:val="005F1023"/>
    <w:rsid w:val="00600F49"/>
    <w:rsid w:val="00605D67"/>
    <w:rsid w:val="006271D0"/>
    <w:rsid w:val="006341CC"/>
    <w:rsid w:val="0063568D"/>
    <w:rsid w:val="006472E0"/>
    <w:rsid w:val="0066183E"/>
    <w:rsid w:val="006A794C"/>
    <w:rsid w:val="006B4E43"/>
    <w:rsid w:val="006B50F8"/>
    <w:rsid w:val="006C799B"/>
    <w:rsid w:val="006D7A5B"/>
    <w:rsid w:val="006F66BA"/>
    <w:rsid w:val="00705D24"/>
    <w:rsid w:val="00721361"/>
    <w:rsid w:val="00734271"/>
    <w:rsid w:val="00750EA0"/>
    <w:rsid w:val="00791A70"/>
    <w:rsid w:val="007A4DA7"/>
    <w:rsid w:val="007C0BC5"/>
    <w:rsid w:val="007D02D9"/>
    <w:rsid w:val="007D1937"/>
    <w:rsid w:val="007E38C9"/>
    <w:rsid w:val="007F71FB"/>
    <w:rsid w:val="008068FF"/>
    <w:rsid w:val="00847F37"/>
    <w:rsid w:val="008579BF"/>
    <w:rsid w:val="008636A4"/>
    <w:rsid w:val="00876A49"/>
    <w:rsid w:val="00883C75"/>
    <w:rsid w:val="008B03B7"/>
    <w:rsid w:val="008B407C"/>
    <w:rsid w:val="008D683E"/>
    <w:rsid w:val="008E53F9"/>
    <w:rsid w:val="008F5B83"/>
    <w:rsid w:val="00911EF0"/>
    <w:rsid w:val="00952445"/>
    <w:rsid w:val="00953847"/>
    <w:rsid w:val="00953D4A"/>
    <w:rsid w:val="009608FA"/>
    <w:rsid w:val="00966AE9"/>
    <w:rsid w:val="00972F8D"/>
    <w:rsid w:val="0099793F"/>
    <w:rsid w:val="009C448D"/>
    <w:rsid w:val="009C4506"/>
    <w:rsid w:val="009C6083"/>
    <w:rsid w:val="009C752B"/>
    <w:rsid w:val="009E4FA1"/>
    <w:rsid w:val="009E5EF7"/>
    <w:rsid w:val="009F2116"/>
    <w:rsid w:val="009F6897"/>
    <w:rsid w:val="00A22380"/>
    <w:rsid w:val="00A43F02"/>
    <w:rsid w:val="00A51995"/>
    <w:rsid w:val="00A53295"/>
    <w:rsid w:val="00A842D0"/>
    <w:rsid w:val="00A9319A"/>
    <w:rsid w:val="00AA233E"/>
    <w:rsid w:val="00AE6620"/>
    <w:rsid w:val="00B0238D"/>
    <w:rsid w:val="00B072CE"/>
    <w:rsid w:val="00B20FCD"/>
    <w:rsid w:val="00B41F2C"/>
    <w:rsid w:val="00B6238E"/>
    <w:rsid w:val="00B63433"/>
    <w:rsid w:val="00B730B1"/>
    <w:rsid w:val="00BA0C75"/>
    <w:rsid w:val="00BA61E6"/>
    <w:rsid w:val="00BB03F6"/>
    <w:rsid w:val="00BB5B44"/>
    <w:rsid w:val="00BB717B"/>
    <w:rsid w:val="00C10C80"/>
    <w:rsid w:val="00C56902"/>
    <w:rsid w:val="00C95C36"/>
    <w:rsid w:val="00CC1652"/>
    <w:rsid w:val="00CD112C"/>
    <w:rsid w:val="00CD7B07"/>
    <w:rsid w:val="00CD7ECD"/>
    <w:rsid w:val="00CF519B"/>
    <w:rsid w:val="00CF72FE"/>
    <w:rsid w:val="00D21464"/>
    <w:rsid w:val="00D317C8"/>
    <w:rsid w:val="00D34925"/>
    <w:rsid w:val="00D46CDA"/>
    <w:rsid w:val="00D50A57"/>
    <w:rsid w:val="00D5530B"/>
    <w:rsid w:val="00D564F8"/>
    <w:rsid w:val="00D74392"/>
    <w:rsid w:val="00D8620C"/>
    <w:rsid w:val="00D97E1B"/>
    <w:rsid w:val="00DA4FF9"/>
    <w:rsid w:val="00DE1E80"/>
    <w:rsid w:val="00DE25EA"/>
    <w:rsid w:val="00DF254D"/>
    <w:rsid w:val="00E2458B"/>
    <w:rsid w:val="00E30072"/>
    <w:rsid w:val="00E423E3"/>
    <w:rsid w:val="00E51DDF"/>
    <w:rsid w:val="00E771A5"/>
    <w:rsid w:val="00E80140"/>
    <w:rsid w:val="00E90D78"/>
    <w:rsid w:val="00E96A9F"/>
    <w:rsid w:val="00EB6F69"/>
    <w:rsid w:val="00ED47CF"/>
    <w:rsid w:val="00ED77E6"/>
    <w:rsid w:val="00F04ECE"/>
    <w:rsid w:val="00F05619"/>
    <w:rsid w:val="00F0737C"/>
    <w:rsid w:val="00F120F4"/>
    <w:rsid w:val="00F20527"/>
    <w:rsid w:val="00F30633"/>
    <w:rsid w:val="00F52291"/>
    <w:rsid w:val="00F622D4"/>
    <w:rsid w:val="00F84C37"/>
    <w:rsid w:val="00F90770"/>
    <w:rsid w:val="00F96DAF"/>
    <w:rsid w:val="00F97200"/>
    <w:rsid w:val="00FA397A"/>
    <w:rsid w:val="00FB603F"/>
    <w:rsid w:val="00FC27E6"/>
    <w:rsid w:val="00FD3C2B"/>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C3A1F"/>
  <w15:chartTrackingRefBased/>
  <w15:docId w15:val="{55D36077-3CB9-4EB8-84CB-92F9BB4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95"/>
  </w:style>
  <w:style w:type="paragraph" w:styleId="Heading1">
    <w:name w:val="heading 1"/>
    <w:basedOn w:val="Normal"/>
    <w:next w:val="Normal"/>
    <w:link w:val="Heading1Char"/>
    <w:uiPriority w:val="9"/>
    <w:qFormat/>
    <w:rsid w:val="00A51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9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9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19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519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19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19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19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9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9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519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519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19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19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19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9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9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1995"/>
    <w:pPr>
      <w:spacing w:before="160"/>
      <w:jc w:val="center"/>
    </w:pPr>
    <w:rPr>
      <w:i/>
      <w:iCs/>
      <w:color w:val="404040" w:themeColor="text1" w:themeTint="BF"/>
    </w:rPr>
  </w:style>
  <w:style w:type="character" w:customStyle="1" w:styleId="QuoteChar">
    <w:name w:val="Quote Char"/>
    <w:basedOn w:val="DefaultParagraphFont"/>
    <w:link w:val="Quote"/>
    <w:uiPriority w:val="29"/>
    <w:rsid w:val="00A51995"/>
    <w:rPr>
      <w:i/>
      <w:iCs/>
      <w:color w:val="404040" w:themeColor="text1" w:themeTint="BF"/>
    </w:rPr>
  </w:style>
  <w:style w:type="paragraph" w:styleId="ListParagraph">
    <w:name w:val="List Paragraph"/>
    <w:basedOn w:val="Normal"/>
    <w:uiPriority w:val="34"/>
    <w:qFormat/>
    <w:rsid w:val="00A51995"/>
    <w:pPr>
      <w:ind w:left="720"/>
      <w:contextualSpacing/>
    </w:pPr>
  </w:style>
  <w:style w:type="character" w:styleId="IntenseEmphasis">
    <w:name w:val="Intense Emphasis"/>
    <w:basedOn w:val="DefaultParagraphFont"/>
    <w:uiPriority w:val="21"/>
    <w:qFormat/>
    <w:rsid w:val="00A51995"/>
    <w:rPr>
      <w:i/>
      <w:iCs/>
      <w:color w:val="2F5496" w:themeColor="accent1" w:themeShade="BF"/>
    </w:rPr>
  </w:style>
  <w:style w:type="paragraph" w:styleId="IntenseQuote">
    <w:name w:val="Intense Quote"/>
    <w:basedOn w:val="Normal"/>
    <w:next w:val="Normal"/>
    <w:link w:val="IntenseQuoteChar"/>
    <w:uiPriority w:val="30"/>
    <w:qFormat/>
    <w:rsid w:val="00A51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995"/>
    <w:rPr>
      <w:i/>
      <w:iCs/>
      <w:color w:val="2F5496" w:themeColor="accent1" w:themeShade="BF"/>
    </w:rPr>
  </w:style>
  <w:style w:type="character" w:styleId="IntenseReference">
    <w:name w:val="Intense Reference"/>
    <w:basedOn w:val="DefaultParagraphFont"/>
    <w:uiPriority w:val="32"/>
    <w:qFormat/>
    <w:rsid w:val="00A51995"/>
    <w:rPr>
      <w:b/>
      <w:bCs/>
      <w:smallCaps/>
      <w:color w:val="2F5496" w:themeColor="accent1" w:themeShade="BF"/>
      <w:spacing w:val="5"/>
    </w:rPr>
  </w:style>
  <w:style w:type="character" w:customStyle="1" w:styleId="mord">
    <w:name w:val="mord"/>
    <w:basedOn w:val="DefaultParagraphFont"/>
    <w:rsid w:val="00F120F4"/>
  </w:style>
  <w:style w:type="character" w:customStyle="1" w:styleId="mrel">
    <w:name w:val="mrel"/>
    <w:basedOn w:val="DefaultParagraphFont"/>
    <w:rsid w:val="00F120F4"/>
  </w:style>
  <w:style w:type="character" w:customStyle="1" w:styleId="mopen">
    <w:name w:val="mopen"/>
    <w:basedOn w:val="DefaultParagraphFont"/>
    <w:rsid w:val="00F120F4"/>
  </w:style>
  <w:style w:type="character" w:customStyle="1" w:styleId="mbin">
    <w:name w:val="mbin"/>
    <w:basedOn w:val="DefaultParagraphFont"/>
    <w:rsid w:val="00F120F4"/>
  </w:style>
  <w:style w:type="character" w:customStyle="1" w:styleId="mclose">
    <w:name w:val="mclose"/>
    <w:basedOn w:val="DefaultParagraphFont"/>
    <w:rsid w:val="00F120F4"/>
  </w:style>
  <w:style w:type="character" w:customStyle="1" w:styleId="vlist-s">
    <w:name w:val="vlist-s"/>
    <w:basedOn w:val="DefaultParagraphFont"/>
    <w:rsid w:val="00F120F4"/>
  </w:style>
  <w:style w:type="paragraph" w:customStyle="1" w:styleId="ds-markdown-paragraph">
    <w:name w:val="ds-markdown-paragraph"/>
    <w:basedOn w:val="Normal"/>
    <w:rsid w:val="00253A1A"/>
    <w:pPr>
      <w:spacing w:before="100" w:beforeAutospacing="1" w:after="100" w:afterAutospacing="1" w:line="240" w:lineRule="auto"/>
    </w:pPr>
    <w:rPr>
      <w:rFonts w:eastAsia="Times New Roman"/>
      <w:strike/>
    </w:rPr>
  </w:style>
  <w:style w:type="character" w:styleId="Hyperlink">
    <w:name w:val="Hyperlink"/>
    <w:basedOn w:val="DefaultParagraphFont"/>
    <w:uiPriority w:val="99"/>
    <w:unhideWhenUsed/>
    <w:rsid w:val="00253A1A"/>
    <w:rPr>
      <w:color w:val="0563C1" w:themeColor="hyperlink"/>
      <w:u w:val="single"/>
    </w:rPr>
  </w:style>
  <w:style w:type="character" w:styleId="UnresolvedMention">
    <w:name w:val="Unresolved Mention"/>
    <w:basedOn w:val="DefaultParagraphFont"/>
    <w:uiPriority w:val="99"/>
    <w:semiHidden/>
    <w:unhideWhenUsed/>
    <w:rsid w:val="00253A1A"/>
    <w:rPr>
      <w:color w:val="605E5C"/>
      <w:shd w:val="clear" w:color="auto" w:fill="E1DFDD"/>
    </w:rPr>
  </w:style>
  <w:style w:type="paragraph" w:styleId="NormalWeb">
    <w:name w:val="Normal (Web)"/>
    <w:basedOn w:val="Normal"/>
    <w:uiPriority w:val="99"/>
    <w:unhideWhenUsed/>
    <w:rsid w:val="006271D0"/>
    <w:pPr>
      <w:spacing w:before="100" w:beforeAutospacing="1" w:after="100" w:afterAutospacing="1" w:line="240" w:lineRule="auto"/>
    </w:pPr>
    <w:rPr>
      <w:rFonts w:eastAsia="Times New Roman"/>
      <w:strike/>
    </w:rPr>
  </w:style>
  <w:style w:type="character" w:styleId="Strong">
    <w:name w:val="Strong"/>
    <w:basedOn w:val="DefaultParagraphFont"/>
    <w:uiPriority w:val="22"/>
    <w:qFormat/>
    <w:rsid w:val="00AA233E"/>
    <w:rPr>
      <w:b/>
      <w:bCs/>
    </w:rPr>
  </w:style>
  <w:style w:type="character" w:styleId="FollowedHyperlink">
    <w:name w:val="FollowedHyperlink"/>
    <w:basedOn w:val="DefaultParagraphFont"/>
    <w:uiPriority w:val="99"/>
    <w:semiHidden/>
    <w:unhideWhenUsed/>
    <w:rsid w:val="00BB717B"/>
    <w:rPr>
      <w:color w:val="954F72" w:themeColor="followedHyperlink"/>
      <w:u w:val="single"/>
    </w:rPr>
  </w:style>
  <w:style w:type="paragraph" w:styleId="Header">
    <w:name w:val="header"/>
    <w:basedOn w:val="Normal"/>
    <w:link w:val="HeaderChar"/>
    <w:uiPriority w:val="99"/>
    <w:unhideWhenUsed/>
    <w:rsid w:val="00282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370"/>
  </w:style>
  <w:style w:type="paragraph" w:styleId="Footer">
    <w:name w:val="footer"/>
    <w:basedOn w:val="Normal"/>
    <w:link w:val="FooterChar"/>
    <w:uiPriority w:val="99"/>
    <w:unhideWhenUsed/>
    <w:rsid w:val="00282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6788</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Nduye Briggs</dc:creator>
  <cp:keywords/>
  <dc:description/>
  <cp:lastModifiedBy>SDI 91</cp:lastModifiedBy>
  <cp:revision>22</cp:revision>
  <dcterms:created xsi:type="dcterms:W3CDTF">2026-03-10T17:42:00Z</dcterms:created>
  <dcterms:modified xsi:type="dcterms:W3CDTF">2026-03-11T12:18:00Z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2d5934a1-1eab-4a37-ad0b-e915c21a34a3</vt:lpwstr>
  </property>
  <property fmtid="{D5CDD505-2E9C-101B-9397-08002B2CF9AE}" pid="3" name="MSIP_Label_defa4170-0d19-0005-0004-bc88714345d2_Enabled">
    <vt:lpwstr>true</vt:lpwstr>
  </property>
  <property fmtid="{D5CDD505-2E9C-101B-9397-08002B2CF9AE}" pid="4" name="MSIP_Label_defa4170-0d19-0005-0004-bc88714345d2_SetDate">
    <vt:lpwstr>2026-02-09T14:30:49Z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93fb59cc-ea3b-449b-9db2-e680f1b68563</vt:lpwstr>
  </property>
  <property fmtid="{D5CDD505-2E9C-101B-9397-08002B2CF9AE}" pid="8" name="MSIP_Label_defa4170-0d19-0005-0004-bc88714345d2_ActionId">
    <vt:lpwstr>efa4a0ee-3926-4727-9f4c-4d42b1b55de0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