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3850E" w14:textId="40ED5E79" w:rsidR="007F3A1E" w:rsidRPr="000146D6" w:rsidRDefault="00DA0B65" w:rsidP="00D14E2F">
      <w:pPr>
        <w:tabs>
          <w:tab w:val="num" w:pos="360"/>
        </w:tabs>
        <w:spacing w:after="0" w:line="240" w:lineRule="auto"/>
        <w:ind w:left="360" w:hanging="360"/>
        <w:jc w:val="both"/>
        <w:rPr>
          <w:rFonts w:ascii="Times New Roman" w:hAnsi="Times New Roman" w:cs="Times New Roman"/>
          <w:b/>
          <w:bCs/>
          <w:sz w:val="24"/>
          <w:szCs w:val="24"/>
        </w:rPr>
      </w:pPr>
      <w:r>
        <w:rPr>
          <w:rFonts w:ascii="Times New Roman" w:hAnsi="Times New Roman" w:cs="Times New Roman"/>
          <w:b/>
          <w:bCs/>
          <w:sz w:val="24"/>
          <w:szCs w:val="24"/>
        </w:rPr>
        <w:t>H</w:t>
      </w:r>
      <w:r w:rsidR="00305B85" w:rsidRPr="000146D6">
        <w:rPr>
          <w:rFonts w:ascii="Times New Roman" w:hAnsi="Times New Roman" w:cs="Times New Roman"/>
          <w:b/>
          <w:bCs/>
          <w:sz w:val="24"/>
          <w:szCs w:val="24"/>
        </w:rPr>
        <w:t>ISTOPATHOLOGICAL AND ENDOSCOPIC</w:t>
      </w:r>
      <w:r w:rsidR="00D7222A" w:rsidRPr="000146D6">
        <w:rPr>
          <w:rFonts w:ascii="Times New Roman" w:hAnsi="Times New Roman" w:cs="Times New Roman"/>
          <w:b/>
          <w:bCs/>
          <w:sz w:val="24"/>
          <w:szCs w:val="24"/>
        </w:rPr>
        <w:t xml:space="preserve"> </w:t>
      </w:r>
      <w:r w:rsidR="00305B85" w:rsidRPr="000146D6">
        <w:rPr>
          <w:rFonts w:ascii="Times New Roman" w:hAnsi="Times New Roman" w:cs="Times New Roman"/>
          <w:b/>
          <w:bCs/>
          <w:sz w:val="24"/>
          <w:szCs w:val="24"/>
        </w:rPr>
        <w:t>FEATURES OF GASTRIC POLYPS</w:t>
      </w:r>
    </w:p>
    <w:p w14:paraId="7C4847E8" w14:textId="77777777" w:rsidR="00EF3D3F" w:rsidRDefault="00EF3D3F" w:rsidP="00D14E2F">
      <w:pPr>
        <w:spacing w:line="240" w:lineRule="auto"/>
        <w:jc w:val="both"/>
        <w:rPr>
          <w:rFonts w:ascii="Times New Roman" w:hAnsi="Times New Roman" w:cs="Times New Roman"/>
          <w:b/>
          <w:bCs/>
          <w:sz w:val="24"/>
          <w:szCs w:val="24"/>
        </w:rPr>
      </w:pPr>
    </w:p>
    <w:p w14:paraId="0FEEC9F9" w14:textId="79E8B955" w:rsidR="0040010A" w:rsidRPr="000146D6" w:rsidRDefault="0040010A" w:rsidP="00D14E2F">
      <w:pPr>
        <w:pStyle w:val="Affiliation"/>
        <w:spacing w:after="0" w:line="240" w:lineRule="auto"/>
        <w:ind w:right="418"/>
        <w:jc w:val="both"/>
        <w:rPr>
          <w:rFonts w:ascii="Times New Roman" w:hAnsi="Times New Roman"/>
          <w:i/>
          <w:sz w:val="24"/>
          <w:szCs w:val="24"/>
        </w:rPr>
      </w:pPr>
    </w:p>
    <w:p w14:paraId="56C70449" w14:textId="0EBB347B" w:rsidR="0040010A" w:rsidRDefault="006B5339" w:rsidP="00D14E2F">
      <w:pPr>
        <w:pStyle w:val="Heading1"/>
        <w:spacing w:before="0" w:line="240" w:lineRule="auto"/>
        <w:ind w:right="418"/>
        <w:jc w:val="both"/>
        <w:rPr>
          <w:rFonts w:ascii="Times New Roman" w:hAnsi="Times New Roman" w:cs="Times New Roman"/>
          <w:color w:val="auto"/>
          <w:sz w:val="24"/>
          <w:szCs w:val="24"/>
        </w:rPr>
      </w:pPr>
      <w:r w:rsidRPr="000146D6">
        <w:rPr>
          <w:rFonts w:ascii="Times New Roman" w:hAnsi="Times New Roman" w:cs="Times New Roman"/>
          <w:color w:val="auto"/>
          <w:sz w:val="24"/>
          <w:szCs w:val="24"/>
        </w:rPr>
        <w:t>ABSTRACT</w:t>
      </w:r>
    </w:p>
    <w:p w14:paraId="3ED91239" w14:textId="1DC44795" w:rsidR="00EF3D3F" w:rsidRDefault="00EF3D3F" w:rsidP="00D14E2F">
      <w:pPr>
        <w:jc w:val="both"/>
      </w:pPr>
    </w:p>
    <w:p w14:paraId="0DFAD8E7" w14:textId="756911A9" w:rsidR="00EF3D3F" w:rsidRPr="00EF3D3F" w:rsidRDefault="00EF3D3F" w:rsidP="00D14E2F">
      <w:pPr>
        <w:jc w:val="both"/>
        <w:rPr>
          <w:b/>
        </w:rPr>
      </w:pPr>
      <w:r w:rsidRPr="00EF3D3F">
        <w:rPr>
          <w:b/>
        </w:rPr>
        <w:t>Background:</w:t>
      </w:r>
      <w:r w:rsidRPr="00EF3D3F">
        <w:rPr>
          <w:rFonts w:ascii="Times New Roman" w:hAnsi="Times New Roman" w:cs="Times New Roman"/>
          <w:sz w:val="24"/>
          <w:szCs w:val="24"/>
        </w:rPr>
        <w:t xml:space="preserve"> </w:t>
      </w:r>
      <w:r w:rsidRPr="000146D6">
        <w:rPr>
          <w:rFonts w:ascii="Times New Roman" w:hAnsi="Times New Roman" w:cs="Times New Roman"/>
          <w:sz w:val="24"/>
          <w:szCs w:val="24"/>
        </w:rPr>
        <w:t xml:space="preserve">The prevalence of different types of gastric polyps varies by geographical location and predisposing factors, such as </w:t>
      </w:r>
      <w:r w:rsidRPr="000146D6">
        <w:rPr>
          <w:rFonts w:ascii="Times New Roman" w:hAnsi="Times New Roman" w:cs="Times New Roman"/>
          <w:i/>
          <w:iCs/>
          <w:sz w:val="24"/>
          <w:szCs w:val="24"/>
        </w:rPr>
        <w:t>Helicobacter pylori (</w:t>
      </w:r>
      <w:proofErr w:type="spellStart"/>
      <w:proofErr w:type="gramStart"/>
      <w:r w:rsidRPr="000146D6">
        <w:rPr>
          <w:rFonts w:ascii="Times New Roman" w:hAnsi="Times New Roman" w:cs="Times New Roman"/>
          <w:i/>
          <w:iCs/>
          <w:sz w:val="24"/>
          <w:szCs w:val="24"/>
        </w:rPr>
        <w:t>H.pylori</w:t>
      </w:r>
      <w:proofErr w:type="spellEnd"/>
      <w:proofErr w:type="gramEnd"/>
      <w:r w:rsidRPr="000146D6">
        <w:rPr>
          <w:rFonts w:ascii="Times New Roman" w:hAnsi="Times New Roman" w:cs="Times New Roman"/>
          <w:i/>
          <w:iCs/>
          <w:sz w:val="24"/>
          <w:szCs w:val="24"/>
        </w:rPr>
        <w:t>)</w:t>
      </w:r>
      <w:r w:rsidRPr="000146D6">
        <w:rPr>
          <w:rFonts w:ascii="Times New Roman" w:hAnsi="Times New Roman" w:cs="Times New Roman"/>
          <w:sz w:val="24"/>
          <w:szCs w:val="24"/>
        </w:rPr>
        <w:t xml:space="preserve"> infection and autoimmune </w:t>
      </w:r>
      <w:r>
        <w:rPr>
          <w:rFonts w:ascii="Times New Roman" w:hAnsi="Times New Roman" w:cs="Times New Roman"/>
          <w:sz w:val="24"/>
          <w:szCs w:val="24"/>
        </w:rPr>
        <w:t>gastritis</w:t>
      </w:r>
      <w:r w:rsidRPr="000146D6">
        <w:rPr>
          <w:rFonts w:ascii="Times New Roman" w:hAnsi="Times New Roman" w:cs="Times New Roman"/>
          <w:sz w:val="24"/>
          <w:szCs w:val="24"/>
        </w:rPr>
        <w:t>. The incidence of fundic gland polyps has significantly increased with the widespread use of proton pump inhibitors (PPIs) and the increasing use of endoscopy</w:t>
      </w:r>
      <w:r w:rsidRPr="00EF3D3F">
        <w:rPr>
          <w:b/>
        </w:rPr>
        <w:t xml:space="preserve"> </w:t>
      </w:r>
    </w:p>
    <w:p w14:paraId="09F65E4F" w14:textId="3003D30C" w:rsidR="0040010A" w:rsidRPr="000146D6" w:rsidRDefault="00884DEF"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Objective:</w:t>
      </w:r>
      <w:r w:rsidR="007E34C7" w:rsidRPr="000146D6">
        <w:rPr>
          <w:rFonts w:ascii="Times New Roman" w:hAnsi="Times New Roman" w:cs="Times New Roman"/>
          <w:sz w:val="24"/>
          <w:szCs w:val="24"/>
        </w:rPr>
        <w:t xml:space="preserve"> </w:t>
      </w:r>
      <w:r w:rsidR="00EF3D3F">
        <w:rPr>
          <w:rFonts w:ascii="Times New Roman" w:hAnsi="Times New Roman" w:cs="Times New Roman"/>
          <w:sz w:val="24"/>
          <w:szCs w:val="24"/>
        </w:rPr>
        <w:t>The</w:t>
      </w:r>
      <w:r w:rsidR="007E34C7" w:rsidRPr="000146D6">
        <w:rPr>
          <w:rFonts w:ascii="Times New Roman" w:hAnsi="Times New Roman" w:cs="Times New Roman"/>
          <w:sz w:val="24"/>
          <w:szCs w:val="24"/>
        </w:rPr>
        <w:t xml:space="preserve"> </w:t>
      </w:r>
      <w:r w:rsidR="00EF3D3F">
        <w:rPr>
          <w:rFonts w:ascii="Times New Roman" w:hAnsi="Times New Roman" w:cs="Times New Roman"/>
          <w:sz w:val="24"/>
          <w:szCs w:val="24"/>
        </w:rPr>
        <w:t xml:space="preserve">present study </w:t>
      </w:r>
      <w:r w:rsidR="00EF3D3F" w:rsidRPr="000146D6">
        <w:rPr>
          <w:rFonts w:ascii="Times New Roman" w:hAnsi="Times New Roman" w:cs="Times New Roman"/>
          <w:sz w:val="24"/>
          <w:szCs w:val="24"/>
        </w:rPr>
        <w:t>describes</w:t>
      </w:r>
      <w:r w:rsidR="007E34C7" w:rsidRPr="000146D6">
        <w:rPr>
          <w:rFonts w:ascii="Times New Roman" w:hAnsi="Times New Roman" w:cs="Times New Roman"/>
          <w:sz w:val="24"/>
          <w:szCs w:val="24"/>
        </w:rPr>
        <w:t xml:space="preserve"> some general characteristics, macroscopic features, and histopathological features of various types of gastric polyps.</w:t>
      </w:r>
    </w:p>
    <w:p w14:paraId="28A65386" w14:textId="2A788311" w:rsidR="0037306E" w:rsidRPr="000146D6" w:rsidRDefault="007E34C7" w:rsidP="00D14E2F">
      <w:pPr>
        <w:spacing w:line="240" w:lineRule="auto"/>
        <w:ind w:right="418"/>
        <w:jc w:val="both"/>
        <w:rPr>
          <w:rFonts w:ascii="Times New Roman" w:hAnsi="Times New Roman" w:cs="Times New Roman"/>
          <w:sz w:val="24"/>
          <w:szCs w:val="24"/>
        </w:rPr>
      </w:pPr>
      <w:r w:rsidRPr="000146D6">
        <w:rPr>
          <w:rFonts w:ascii="Times New Roman" w:eastAsia="Calibri" w:hAnsi="Times New Roman" w:cs="Times New Roman"/>
          <w:b/>
          <w:sz w:val="24"/>
          <w:szCs w:val="24"/>
        </w:rPr>
        <w:t>Study design:</w:t>
      </w:r>
      <w:r w:rsidRPr="000146D6">
        <w:rPr>
          <w:rFonts w:ascii="Times New Roman" w:eastAsia="Calibri" w:hAnsi="Times New Roman" w:cs="Times New Roman"/>
          <w:sz w:val="24"/>
          <w:szCs w:val="24"/>
        </w:rPr>
        <w:t xml:space="preserve"> </w:t>
      </w:r>
      <w:r w:rsidRPr="000146D6">
        <w:rPr>
          <w:rFonts w:ascii="Times New Roman" w:hAnsi="Times New Roman" w:cs="Times New Roman"/>
          <w:sz w:val="24"/>
          <w:szCs w:val="24"/>
        </w:rPr>
        <w:t>A retrospective cros</w:t>
      </w:r>
      <w:r w:rsidR="00D14E2F">
        <w:rPr>
          <w:rFonts w:ascii="Times New Roman" w:hAnsi="Times New Roman" w:cs="Times New Roman"/>
          <w:sz w:val="24"/>
          <w:szCs w:val="24"/>
        </w:rPr>
        <w:t>s</w:t>
      </w:r>
      <w:r w:rsidRPr="000146D6">
        <w:rPr>
          <w:rFonts w:ascii="Times New Roman" w:hAnsi="Times New Roman" w:cs="Times New Roman"/>
          <w:sz w:val="24"/>
          <w:szCs w:val="24"/>
        </w:rPr>
        <w:t xml:space="preserve">-sectional descriptive study </w:t>
      </w:r>
    </w:p>
    <w:p w14:paraId="2D011409" w14:textId="1A9EC17A" w:rsidR="0037306E" w:rsidRPr="000146D6" w:rsidRDefault="0037306E" w:rsidP="00D14E2F">
      <w:pPr>
        <w:spacing w:line="240" w:lineRule="auto"/>
        <w:ind w:right="418"/>
        <w:jc w:val="both"/>
        <w:rPr>
          <w:rFonts w:ascii="Times New Roman" w:hAnsi="Times New Roman" w:cs="Times New Roman"/>
          <w:sz w:val="24"/>
          <w:szCs w:val="24"/>
        </w:rPr>
      </w:pPr>
      <w:r w:rsidRPr="000146D6">
        <w:rPr>
          <w:rFonts w:ascii="Times New Roman" w:eastAsia="Calibri" w:hAnsi="Times New Roman" w:cs="Times New Roman"/>
          <w:b/>
          <w:sz w:val="24"/>
          <w:szCs w:val="24"/>
        </w:rPr>
        <w:t>Place and Duration of Study:</w:t>
      </w:r>
      <w:r w:rsidRPr="000146D6">
        <w:rPr>
          <w:rFonts w:ascii="Times New Roman" w:eastAsia="Calibri" w:hAnsi="Times New Roman" w:cs="Times New Roman"/>
          <w:sz w:val="24"/>
          <w:szCs w:val="24"/>
        </w:rPr>
        <w:t xml:space="preserve"> </w:t>
      </w:r>
      <w:r w:rsidR="000C5BDD" w:rsidRPr="000146D6">
        <w:rPr>
          <w:rFonts w:ascii="Times New Roman" w:eastAsia="Calibri" w:hAnsi="Times New Roman" w:cs="Times New Roman"/>
          <w:sz w:val="24"/>
          <w:szCs w:val="24"/>
        </w:rPr>
        <w:t xml:space="preserve">Department of </w:t>
      </w:r>
      <w:r w:rsidR="00915FC3" w:rsidRPr="000146D6">
        <w:rPr>
          <w:rFonts w:ascii="Times New Roman" w:eastAsia="Calibri" w:hAnsi="Times New Roman" w:cs="Times New Roman"/>
          <w:sz w:val="24"/>
          <w:szCs w:val="24"/>
        </w:rPr>
        <w:t>Pathology</w:t>
      </w:r>
      <w:r w:rsidR="000C5BDD" w:rsidRPr="000146D6">
        <w:rPr>
          <w:rFonts w:ascii="Times New Roman" w:eastAsia="Calibri" w:hAnsi="Times New Roman" w:cs="Times New Roman"/>
          <w:sz w:val="24"/>
          <w:szCs w:val="24"/>
        </w:rPr>
        <w:t>,</w:t>
      </w:r>
      <w:r w:rsidR="00915FC3" w:rsidRPr="000146D6">
        <w:rPr>
          <w:rFonts w:ascii="Times New Roman" w:eastAsia="Calibri" w:hAnsi="Times New Roman" w:cs="Times New Roman"/>
          <w:sz w:val="24"/>
          <w:szCs w:val="24"/>
        </w:rPr>
        <w:t xml:space="preserve"> University Medical Center, Ho Chi Minh City </w:t>
      </w:r>
      <w:r w:rsidR="00915FC3" w:rsidRPr="000146D6">
        <w:rPr>
          <w:rFonts w:ascii="Times New Roman" w:hAnsi="Times New Roman" w:cs="Times New Roman"/>
          <w:sz w:val="24"/>
          <w:szCs w:val="24"/>
        </w:rPr>
        <w:t>from January to December 2023.</w:t>
      </w:r>
    </w:p>
    <w:p w14:paraId="2A9FD191" w14:textId="29649706" w:rsidR="000C5BDD" w:rsidRPr="000146D6" w:rsidRDefault="000C5BDD" w:rsidP="00D14E2F">
      <w:pPr>
        <w:spacing w:line="240" w:lineRule="auto"/>
        <w:ind w:right="418"/>
        <w:jc w:val="both"/>
        <w:rPr>
          <w:rFonts w:ascii="Times New Roman" w:eastAsia="Calibri" w:hAnsi="Times New Roman" w:cs="Times New Roman"/>
          <w:sz w:val="24"/>
          <w:szCs w:val="24"/>
        </w:rPr>
      </w:pPr>
      <w:r w:rsidRPr="000146D6">
        <w:rPr>
          <w:rFonts w:ascii="Times New Roman" w:eastAsia="Calibri" w:hAnsi="Times New Roman" w:cs="Times New Roman"/>
          <w:b/>
          <w:bCs/>
          <w:sz w:val="24"/>
          <w:szCs w:val="24"/>
        </w:rPr>
        <w:t xml:space="preserve">Methodology: </w:t>
      </w:r>
      <w:r w:rsidR="008627AA" w:rsidRPr="000146D6">
        <w:rPr>
          <w:rFonts w:ascii="Times New Roman" w:hAnsi="Times New Roman" w:cs="Times New Roman"/>
          <w:sz w:val="24"/>
          <w:szCs w:val="24"/>
        </w:rPr>
        <w:t>A total of 545 patients who underwent gastric polypectomy were included based on predefined inclusion criteria. Clinical information, endoscopic findings, and histopathological characteristics of 568 gastric polyp specimens were collected and analyzed descriptively.</w:t>
      </w:r>
    </w:p>
    <w:p w14:paraId="6FD699F0" w14:textId="662408D9" w:rsidR="0040010A" w:rsidRPr="000146D6" w:rsidRDefault="006B5339"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Results:</w:t>
      </w:r>
      <w:r w:rsidRPr="000146D6">
        <w:rPr>
          <w:rFonts w:ascii="Times New Roman" w:hAnsi="Times New Roman" w:cs="Times New Roman"/>
          <w:sz w:val="24"/>
          <w:szCs w:val="24"/>
        </w:rPr>
        <w:t xml:space="preserve"> Gastric polyps were predominantly found in females, mostly in the 50-69 age group, and located in the gastric body and antrum. The majority of cases presented with &gt;1 polyp, size &lt; 10 mm, and were sessile (non-pedunculated). Non-inflammatory polyps were predominant. The rates of </w:t>
      </w:r>
      <w:proofErr w:type="spellStart"/>
      <w:proofErr w:type="gramStart"/>
      <w:r w:rsidR="008244E7" w:rsidRPr="000146D6">
        <w:rPr>
          <w:rFonts w:ascii="Times New Roman" w:hAnsi="Times New Roman" w:cs="Times New Roman"/>
          <w:i/>
          <w:iCs/>
          <w:sz w:val="24"/>
          <w:szCs w:val="24"/>
        </w:rPr>
        <w:t>H.pylori</w:t>
      </w:r>
      <w:proofErr w:type="spellEnd"/>
      <w:proofErr w:type="gramEnd"/>
      <w:r w:rsidRPr="000146D6">
        <w:rPr>
          <w:rFonts w:ascii="Times New Roman" w:hAnsi="Times New Roman" w:cs="Times New Roman"/>
          <w:sz w:val="24"/>
          <w:szCs w:val="24"/>
        </w:rPr>
        <w:t xml:space="preserve"> infection and dysplasia were low; dysplasia observed was low-grade and of intestinal type.</w:t>
      </w:r>
      <w:r w:rsidR="008306EC" w:rsidRPr="000146D6">
        <w:rPr>
          <w:rFonts w:ascii="Times New Roman" w:hAnsi="Times New Roman" w:cs="Times New Roman"/>
          <w:sz w:val="24"/>
          <w:szCs w:val="24"/>
        </w:rPr>
        <w:t xml:space="preserve"> There was a statistically significant association between polyp size and the presence of inflammation and dysplasia (p &lt; 0.001). Larger polyps were associated with a higher risk of dysplasia. However, no significant relationship was observed between polyp size and </w:t>
      </w:r>
      <w:proofErr w:type="spellStart"/>
      <w:proofErr w:type="gramStart"/>
      <w:r w:rsidR="008306EC" w:rsidRPr="000146D6">
        <w:rPr>
          <w:rFonts w:ascii="Times New Roman" w:hAnsi="Times New Roman" w:cs="Times New Roman"/>
          <w:i/>
          <w:iCs/>
          <w:sz w:val="24"/>
          <w:szCs w:val="24"/>
        </w:rPr>
        <w:t>H.pylori</w:t>
      </w:r>
      <w:proofErr w:type="spellEnd"/>
      <w:proofErr w:type="gramEnd"/>
      <w:r w:rsidR="008306EC" w:rsidRPr="000146D6">
        <w:rPr>
          <w:rFonts w:ascii="Times New Roman" w:hAnsi="Times New Roman" w:cs="Times New Roman"/>
          <w:sz w:val="24"/>
          <w:szCs w:val="24"/>
        </w:rPr>
        <w:t xml:space="preserve"> infection.</w:t>
      </w:r>
    </w:p>
    <w:p w14:paraId="16DC8A12" w14:textId="30AB43EC" w:rsidR="0040010A" w:rsidRPr="000146D6" w:rsidRDefault="006B5339"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Conclusion:</w:t>
      </w:r>
      <w:r w:rsidRPr="000146D6">
        <w:rPr>
          <w:rFonts w:ascii="Times New Roman" w:hAnsi="Times New Roman" w:cs="Times New Roman"/>
          <w:sz w:val="24"/>
          <w:szCs w:val="24"/>
        </w:rPr>
        <w:t xml:space="preserve"> </w:t>
      </w:r>
      <w:r w:rsidR="00402CCF" w:rsidRPr="000146D6">
        <w:rPr>
          <w:rFonts w:ascii="Times New Roman" w:hAnsi="Times New Roman" w:cs="Times New Roman"/>
          <w:sz w:val="24"/>
          <w:szCs w:val="24"/>
        </w:rPr>
        <w:t>Gastric polyps are predominantly benign, with fundic gland polyps being the most common, mainly found in females and in the 50-69 age group. Polyps are typically small, sessile, and located in the gastric body and antrum. The rates of H. pylori infection and dysplasia are low, and when dysplasia is present, it is low-grade. These findings highlight the importance of combining endoscopy and histopathological evaluation for accurate classification, supporting timely diagnosis and management, and reducing the risk of malignant transformation.</w:t>
      </w:r>
    </w:p>
    <w:p w14:paraId="74B9C8C7" w14:textId="147B6CA2" w:rsidR="0040010A" w:rsidRPr="000146D6" w:rsidRDefault="006B5339" w:rsidP="00D14E2F">
      <w:pPr>
        <w:spacing w:line="240" w:lineRule="auto"/>
        <w:ind w:right="418"/>
        <w:jc w:val="both"/>
        <w:rPr>
          <w:rFonts w:ascii="Times New Roman" w:hAnsi="Times New Roman" w:cs="Times New Roman"/>
          <w:i/>
          <w:iCs/>
          <w:sz w:val="24"/>
          <w:szCs w:val="24"/>
        </w:rPr>
      </w:pPr>
      <w:r w:rsidRPr="000146D6">
        <w:rPr>
          <w:rFonts w:ascii="Times New Roman" w:hAnsi="Times New Roman" w:cs="Times New Roman"/>
          <w:i/>
          <w:iCs/>
          <w:sz w:val="24"/>
          <w:szCs w:val="24"/>
        </w:rPr>
        <w:t>Keywords: gastric polyp, fundic gland polyp, hyperplastic polyp, histopathology, prevalence.</w:t>
      </w:r>
    </w:p>
    <w:p w14:paraId="16586345" w14:textId="77950451" w:rsidR="0040010A" w:rsidRPr="000146D6" w:rsidRDefault="006B5339" w:rsidP="00D14E2F">
      <w:pPr>
        <w:pStyle w:val="Heading1"/>
        <w:numPr>
          <w:ilvl w:val="0"/>
          <w:numId w:val="19"/>
        </w:numPr>
        <w:spacing w:line="240" w:lineRule="auto"/>
        <w:ind w:right="418"/>
        <w:jc w:val="both"/>
        <w:rPr>
          <w:rFonts w:ascii="Times New Roman" w:hAnsi="Times New Roman" w:cs="Times New Roman"/>
          <w:color w:val="auto"/>
          <w:sz w:val="24"/>
          <w:szCs w:val="24"/>
        </w:rPr>
      </w:pPr>
      <w:r w:rsidRPr="000146D6">
        <w:rPr>
          <w:rFonts w:ascii="Times New Roman" w:hAnsi="Times New Roman" w:cs="Times New Roman"/>
          <w:color w:val="auto"/>
          <w:sz w:val="24"/>
          <w:szCs w:val="24"/>
        </w:rPr>
        <w:t>INTRODUCTION</w:t>
      </w:r>
    </w:p>
    <w:p w14:paraId="57E513F9" w14:textId="364FE7DC" w:rsidR="0040010A" w:rsidRPr="000146D6" w:rsidRDefault="00D42274" w:rsidP="00D14E2F">
      <w:pPr>
        <w:spacing w:line="240" w:lineRule="auto"/>
        <w:ind w:firstLine="644"/>
        <w:jc w:val="both"/>
        <w:rPr>
          <w:rFonts w:ascii="Times New Roman" w:hAnsi="Times New Roman" w:cs="Times New Roman"/>
          <w:sz w:val="24"/>
          <w:szCs w:val="24"/>
        </w:rPr>
      </w:pPr>
      <w:r w:rsidRPr="00D42274">
        <w:rPr>
          <w:rFonts w:ascii="Times New Roman" w:hAnsi="Times New Roman" w:cs="Times New Roman"/>
          <w:sz w:val="24"/>
          <w:szCs w:val="24"/>
        </w:rPr>
        <w:t>Gastric polyps are mucosal lesions that protrude into the gastric lumen and may arise from various histological components of the gastric mucosa</w:t>
      </w:r>
      <w:r w:rsidR="006B5339" w:rsidRPr="000146D6">
        <w:rPr>
          <w:rFonts w:ascii="Times New Roman" w:hAnsi="Times New Roman" w:cs="Times New Roman"/>
          <w:sz w:val="24"/>
          <w:szCs w:val="24"/>
        </w:rPr>
        <w:t>, including the mucosa and underlying histological structures</w:t>
      </w:r>
      <w:r w:rsidR="00B0787F" w:rsidRPr="000146D6">
        <w:rPr>
          <w:rFonts w:ascii="Times New Roman" w:hAnsi="Times New Roman" w:cs="Times New Roman"/>
          <w:sz w:val="24"/>
          <w:szCs w:val="24"/>
        </w:rPr>
        <w:t xml:space="preserve"> [1]</w:t>
      </w:r>
      <w:r w:rsidR="006B5339" w:rsidRPr="000146D6">
        <w:rPr>
          <w:rFonts w:ascii="Times New Roman" w:hAnsi="Times New Roman" w:cs="Times New Roman"/>
          <w:sz w:val="24"/>
          <w:szCs w:val="24"/>
        </w:rPr>
        <w:t xml:space="preserve">. </w:t>
      </w:r>
      <w:r w:rsidR="00A82181" w:rsidRPr="00A82181">
        <w:rPr>
          <w:rFonts w:ascii="Times New Roman" w:hAnsi="Times New Roman" w:cs="Times New Roman"/>
          <w:sz w:val="24"/>
          <w:szCs w:val="24"/>
        </w:rPr>
        <w:t>The detection rate of gastric polyps has increased due to the widespread use of upper gastrointestinal endoscopy</w:t>
      </w:r>
      <w:r w:rsidR="008501AD" w:rsidRPr="000146D6">
        <w:rPr>
          <w:rFonts w:ascii="Times New Roman" w:hAnsi="Times New Roman" w:cs="Times New Roman"/>
          <w:sz w:val="24"/>
          <w:szCs w:val="24"/>
        </w:rPr>
        <w:t xml:space="preserve"> [2]</w:t>
      </w:r>
      <w:r w:rsidR="006B5339" w:rsidRPr="000146D6">
        <w:rPr>
          <w:rFonts w:ascii="Times New Roman" w:hAnsi="Times New Roman" w:cs="Times New Roman"/>
          <w:sz w:val="24"/>
          <w:szCs w:val="24"/>
        </w:rPr>
        <w:t xml:space="preserve">. </w:t>
      </w:r>
      <w:r w:rsidR="007E6059" w:rsidRPr="007E6059">
        <w:rPr>
          <w:rFonts w:ascii="Times New Roman" w:hAnsi="Times New Roman" w:cs="Times New Roman"/>
          <w:sz w:val="24"/>
          <w:szCs w:val="24"/>
        </w:rPr>
        <w:t xml:space="preserve">Gastric polyps are increasingly recognized in clinical </w:t>
      </w:r>
      <w:r w:rsidR="007E6059" w:rsidRPr="007E6059">
        <w:rPr>
          <w:rFonts w:ascii="Times New Roman" w:hAnsi="Times New Roman" w:cs="Times New Roman"/>
          <w:sz w:val="24"/>
          <w:szCs w:val="24"/>
        </w:rPr>
        <w:lastRenderedPageBreak/>
        <w:t>practice due to their relatively high prevalence and the potential for malignant transformation in certain subtypes</w:t>
      </w:r>
      <w:r w:rsidR="007E6059">
        <w:rPr>
          <w:rFonts w:ascii="Times New Roman" w:hAnsi="Times New Roman" w:cs="Times New Roman"/>
          <w:sz w:val="24"/>
          <w:szCs w:val="24"/>
        </w:rPr>
        <w:t xml:space="preserve"> </w:t>
      </w:r>
      <w:r w:rsidR="008501AD" w:rsidRPr="000146D6">
        <w:rPr>
          <w:rFonts w:ascii="Times New Roman" w:hAnsi="Times New Roman" w:cs="Times New Roman"/>
          <w:sz w:val="24"/>
          <w:szCs w:val="24"/>
        </w:rPr>
        <w:t>[3].</w:t>
      </w:r>
    </w:p>
    <w:p w14:paraId="0A3C235B" w14:textId="4771C5DC" w:rsidR="0040010A" w:rsidRPr="000146D6" w:rsidRDefault="006B5339"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Currently, the primary method for detecting gastric polyps is gastroscopy, which allows direct observation of the polyp</w:t>
      </w:r>
      <w:r w:rsidR="007E6059">
        <w:rPr>
          <w:rFonts w:ascii="Times New Roman" w:hAnsi="Times New Roman" w:cs="Times New Roman"/>
          <w:sz w:val="24"/>
          <w:szCs w:val="24"/>
        </w:rPr>
        <w:t>’</w:t>
      </w:r>
      <w:r w:rsidR="002A39DF" w:rsidRPr="000146D6">
        <w:rPr>
          <w:rFonts w:ascii="Times New Roman" w:hAnsi="Times New Roman" w:cs="Times New Roman"/>
          <w:sz w:val="24"/>
          <w:szCs w:val="24"/>
        </w:rPr>
        <w:t>s</w:t>
      </w:r>
      <w:r w:rsidRPr="000146D6">
        <w:rPr>
          <w:rFonts w:ascii="Times New Roman" w:hAnsi="Times New Roman" w:cs="Times New Roman"/>
          <w:sz w:val="24"/>
          <w:szCs w:val="24"/>
        </w:rPr>
        <w:t xml:space="preserve"> location, shape, size, and number. However, determining the exact type of polyp is difficult and requires histopathological diagnosis to guide appropriate treatment.</w:t>
      </w:r>
    </w:p>
    <w:p w14:paraId="4025231D" w14:textId="65A6567F" w:rsidR="0040010A" w:rsidRPr="000146D6" w:rsidRDefault="006B5339"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The prevalence of different types of gastric polyps varies by geographical location and predisposing factors, such as </w:t>
      </w:r>
      <w:r w:rsidRPr="000146D6">
        <w:rPr>
          <w:rFonts w:ascii="Times New Roman" w:hAnsi="Times New Roman" w:cs="Times New Roman"/>
          <w:i/>
          <w:iCs/>
          <w:sz w:val="24"/>
          <w:szCs w:val="24"/>
        </w:rPr>
        <w:t>Helicobacter pylori</w:t>
      </w:r>
      <w:r w:rsidR="00781ECB" w:rsidRPr="000146D6">
        <w:rPr>
          <w:rFonts w:ascii="Times New Roman" w:hAnsi="Times New Roman" w:cs="Times New Roman"/>
          <w:i/>
          <w:iCs/>
          <w:sz w:val="24"/>
          <w:szCs w:val="24"/>
        </w:rPr>
        <w:t xml:space="preserve"> (</w:t>
      </w:r>
      <w:proofErr w:type="spellStart"/>
      <w:proofErr w:type="gramStart"/>
      <w:r w:rsidR="008244E7" w:rsidRPr="000146D6">
        <w:rPr>
          <w:rFonts w:ascii="Times New Roman" w:hAnsi="Times New Roman" w:cs="Times New Roman"/>
          <w:i/>
          <w:iCs/>
          <w:sz w:val="24"/>
          <w:szCs w:val="24"/>
        </w:rPr>
        <w:t>H.pylori</w:t>
      </w:r>
      <w:proofErr w:type="spellEnd"/>
      <w:proofErr w:type="gramEnd"/>
      <w:r w:rsidR="00781ECB" w:rsidRPr="000146D6">
        <w:rPr>
          <w:rFonts w:ascii="Times New Roman" w:hAnsi="Times New Roman" w:cs="Times New Roman"/>
          <w:i/>
          <w:iCs/>
          <w:sz w:val="24"/>
          <w:szCs w:val="24"/>
        </w:rPr>
        <w:t>)</w:t>
      </w:r>
      <w:r w:rsidRPr="000146D6">
        <w:rPr>
          <w:rFonts w:ascii="Times New Roman" w:hAnsi="Times New Roman" w:cs="Times New Roman"/>
          <w:sz w:val="24"/>
          <w:szCs w:val="24"/>
        </w:rPr>
        <w:t xml:space="preserve"> infection and autoimmune gastritis</w:t>
      </w:r>
      <w:r w:rsidR="009160C4" w:rsidRPr="000146D6">
        <w:rPr>
          <w:rFonts w:ascii="Times New Roman" w:hAnsi="Times New Roman" w:cs="Times New Roman"/>
          <w:sz w:val="24"/>
          <w:szCs w:val="24"/>
        </w:rPr>
        <w:t xml:space="preserve"> [1]</w:t>
      </w:r>
      <w:r w:rsidRPr="000146D6">
        <w:rPr>
          <w:rFonts w:ascii="Times New Roman" w:hAnsi="Times New Roman" w:cs="Times New Roman"/>
          <w:sz w:val="24"/>
          <w:szCs w:val="24"/>
        </w:rPr>
        <w:t>. The incidence of fundic gland polyps has significantly increased with the widespread use of proton pump inhibitors (PPIs) and the increasing use of endoscopy</w:t>
      </w:r>
      <w:r w:rsidR="009160C4" w:rsidRPr="000146D6">
        <w:rPr>
          <w:rFonts w:ascii="Times New Roman" w:hAnsi="Times New Roman" w:cs="Times New Roman"/>
          <w:sz w:val="24"/>
          <w:szCs w:val="24"/>
        </w:rPr>
        <w:t xml:space="preserve"> [2]</w:t>
      </w:r>
      <w:r w:rsidRPr="000146D6">
        <w:rPr>
          <w:rFonts w:ascii="Times New Roman" w:hAnsi="Times New Roman" w:cs="Times New Roman"/>
          <w:sz w:val="24"/>
          <w:szCs w:val="24"/>
        </w:rPr>
        <w:t xml:space="preserve">. Conversely, following a decline in </w:t>
      </w:r>
      <w:proofErr w:type="spellStart"/>
      <w:proofErr w:type="gramStart"/>
      <w:r w:rsidR="008244E7" w:rsidRPr="000146D6">
        <w:rPr>
          <w:rFonts w:ascii="Times New Roman" w:hAnsi="Times New Roman" w:cs="Times New Roman"/>
          <w:i/>
          <w:iCs/>
          <w:sz w:val="24"/>
          <w:szCs w:val="24"/>
        </w:rPr>
        <w:t>H.pylori</w:t>
      </w:r>
      <w:proofErr w:type="spellEnd"/>
      <w:proofErr w:type="gramEnd"/>
      <w:r w:rsidRPr="000146D6">
        <w:rPr>
          <w:rFonts w:ascii="Times New Roman" w:hAnsi="Times New Roman" w:cs="Times New Roman"/>
          <w:sz w:val="24"/>
          <w:szCs w:val="24"/>
        </w:rPr>
        <w:t xml:space="preserve"> infection rates, hyperplastic polyps have become less common</w:t>
      </w:r>
      <w:r w:rsidR="00FF2163">
        <w:rPr>
          <w:rFonts w:ascii="Times New Roman" w:hAnsi="Times New Roman" w:cs="Times New Roman"/>
          <w:sz w:val="24"/>
          <w:szCs w:val="24"/>
        </w:rPr>
        <w:t xml:space="preserve"> [11]</w:t>
      </w:r>
      <w:r w:rsidRPr="000146D6">
        <w:rPr>
          <w:rFonts w:ascii="Times New Roman" w:hAnsi="Times New Roman" w:cs="Times New Roman"/>
          <w:sz w:val="24"/>
          <w:szCs w:val="24"/>
        </w:rPr>
        <w:t>.</w:t>
      </w:r>
    </w:p>
    <w:p w14:paraId="6BC0ED31" w14:textId="53499403" w:rsidR="0040010A" w:rsidRPr="000146D6" w:rsidRDefault="006B5339"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According to some studies in the adult population, over 90% of all gastric polyps are non-neoplastic, including fundic gland polyps and hyperplastic polyps; neoplastic polyps are less common</w:t>
      </w:r>
      <w:r w:rsidR="00F32614" w:rsidRPr="000146D6">
        <w:rPr>
          <w:rFonts w:ascii="Times New Roman" w:hAnsi="Times New Roman" w:cs="Times New Roman"/>
          <w:sz w:val="24"/>
          <w:szCs w:val="24"/>
        </w:rPr>
        <w:t xml:space="preserve"> [</w:t>
      </w:r>
      <w:r w:rsidR="005D1EED" w:rsidRPr="000146D6">
        <w:rPr>
          <w:rFonts w:ascii="Times New Roman" w:hAnsi="Times New Roman" w:cs="Times New Roman"/>
          <w:sz w:val="24"/>
          <w:szCs w:val="24"/>
        </w:rPr>
        <w:t xml:space="preserve">3]. </w:t>
      </w:r>
      <w:r w:rsidRPr="000146D6">
        <w:rPr>
          <w:rFonts w:ascii="Times New Roman" w:hAnsi="Times New Roman" w:cs="Times New Roman"/>
          <w:sz w:val="24"/>
          <w:szCs w:val="24"/>
        </w:rPr>
        <w:t>If left untreated, neoplastic gastric polyps can recur and eventually become cancerous. Neoplastic gastric polyps have a 10-20% rate of malignant transformation and are considered precancerous lesions. The risk of malignant transformation increases with polyp size, and the number of polyps also influences this risk</w:t>
      </w:r>
      <w:r w:rsidR="00FF2163">
        <w:rPr>
          <w:rFonts w:ascii="Times New Roman" w:hAnsi="Times New Roman" w:cs="Times New Roman"/>
          <w:sz w:val="24"/>
          <w:szCs w:val="24"/>
        </w:rPr>
        <w:t xml:space="preserve"> [12,13]</w:t>
      </w:r>
      <w:r w:rsidRPr="000146D6">
        <w:rPr>
          <w:rFonts w:ascii="Times New Roman" w:hAnsi="Times New Roman" w:cs="Times New Roman"/>
          <w:sz w:val="24"/>
          <w:szCs w:val="24"/>
        </w:rPr>
        <w:t>.</w:t>
      </w:r>
    </w:p>
    <w:p w14:paraId="533EC1BF" w14:textId="3DFF6D2D" w:rsidR="0040010A" w:rsidRPr="000146D6" w:rsidRDefault="006B5339"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Currently, gastric cancer is the fifth most common cancer and the third leading cause of cancer death worldwide, with high mortality often due to late-stage detection</w:t>
      </w:r>
      <w:r w:rsidR="00F32614" w:rsidRPr="000146D6">
        <w:rPr>
          <w:rFonts w:ascii="Times New Roman" w:hAnsi="Times New Roman" w:cs="Times New Roman"/>
          <w:sz w:val="24"/>
          <w:szCs w:val="24"/>
        </w:rPr>
        <w:t xml:space="preserve"> [</w:t>
      </w:r>
      <w:r w:rsidR="00F20CE2" w:rsidRPr="000146D6">
        <w:rPr>
          <w:rFonts w:ascii="Times New Roman" w:hAnsi="Times New Roman" w:cs="Times New Roman"/>
          <w:sz w:val="24"/>
          <w:szCs w:val="24"/>
        </w:rPr>
        <w:t>4</w:t>
      </w:r>
      <w:r w:rsidR="00FF2163">
        <w:rPr>
          <w:rFonts w:ascii="Times New Roman" w:hAnsi="Times New Roman" w:cs="Times New Roman"/>
          <w:sz w:val="24"/>
          <w:szCs w:val="24"/>
        </w:rPr>
        <w:t>,14</w:t>
      </w:r>
      <w:bookmarkStart w:id="0" w:name="_GoBack"/>
      <w:bookmarkEnd w:id="0"/>
      <w:r w:rsidR="00F32614" w:rsidRPr="000146D6">
        <w:rPr>
          <w:rFonts w:ascii="Times New Roman" w:hAnsi="Times New Roman" w:cs="Times New Roman"/>
          <w:sz w:val="24"/>
          <w:szCs w:val="24"/>
        </w:rPr>
        <w:t>]</w:t>
      </w:r>
      <w:r w:rsidRPr="000146D6">
        <w:rPr>
          <w:rFonts w:ascii="Times New Roman" w:hAnsi="Times New Roman" w:cs="Times New Roman"/>
          <w:sz w:val="24"/>
          <w:szCs w:val="24"/>
        </w:rPr>
        <w:t xml:space="preserve">. Therefore, accurate histopathological diagnosis of gastric polyps is crucial to prevent the risk of malignant transformation. </w:t>
      </w:r>
    </w:p>
    <w:p w14:paraId="10099A5D" w14:textId="0FBEBF53" w:rsidR="00AB7619" w:rsidRPr="000146D6" w:rsidRDefault="00AB7619"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Based on the issues outlined above, this study was conducted to evaluate the general characteristics, macroscopic features, and histopathological findings of various types of gastric polyps.</w:t>
      </w:r>
    </w:p>
    <w:p w14:paraId="7D79EDAC" w14:textId="2FABB0FB" w:rsidR="00B422B0" w:rsidRPr="000146D6" w:rsidRDefault="00A67EC8" w:rsidP="00D14E2F">
      <w:pPr>
        <w:pStyle w:val="Heading1"/>
        <w:numPr>
          <w:ilvl w:val="0"/>
          <w:numId w:val="19"/>
        </w:numPr>
        <w:spacing w:line="240" w:lineRule="auto"/>
        <w:ind w:right="418"/>
        <w:jc w:val="both"/>
        <w:rPr>
          <w:rFonts w:ascii="Times New Roman" w:hAnsi="Times New Roman" w:cs="Times New Roman"/>
          <w:color w:val="auto"/>
          <w:sz w:val="24"/>
          <w:szCs w:val="24"/>
        </w:rPr>
      </w:pPr>
      <w:r w:rsidRPr="00A67EC8">
        <w:rPr>
          <w:rFonts w:ascii="Times New Roman" w:hAnsi="Times New Roman" w:cs="Times New Roman"/>
          <w:color w:val="000000" w:themeColor="text1"/>
          <w:sz w:val="24"/>
          <w:szCs w:val="24"/>
        </w:rPr>
        <w:t>SUBJECTS</w:t>
      </w:r>
      <w:r w:rsidR="006B5339" w:rsidRPr="000146D6">
        <w:rPr>
          <w:rFonts w:ascii="Times New Roman" w:hAnsi="Times New Roman" w:cs="Times New Roman"/>
          <w:color w:val="auto"/>
          <w:sz w:val="24"/>
          <w:szCs w:val="24"/>
        </w:rPr>
        <w:t xml:space="preserve"> AND METHODS</w:t>
      </w:r>
    </w:p>
    <w:p w14:paraId="4EDF8C8F" w14:textId="712019F8" w:rsidR="00771488" w:rsidRPr="000146D6" w:rsidRDefault="00771488" w:rsidP="00D14E2F">
      <w:pPr>
        <w:spacing w:line="240" w:lineRule="auto"/>
        <w:jc w:val="both"/>
        <w:rPr>
          <w:rFonts w:ascii="Times New Roman" w:hAnsi="Times New Roman" w:cs="Times New Roman"/>
          <w:b/>
          <w:bCs/>
          <w:sz w:val="24"/>
          <w:szCs w:val="24"/>
        </w:rPr>
      </w:pPr>
      <w:r w:rsidRPr="000146D6">
        <w:rPr>
          <w:rFonts w:ascii="Times New Roman" w:hAnsi="Times New Roman" w:cs="Times New Roman"/>
          <w:b/>
          <w:bCs/>
          <w:sz w:val="24"/>
          <w:szCs w:val="24"/>
        </w:rPr>
        <w:t>2.1. Study Subjects:</w:t>
      </w:r>
    </w:p>
    <w:p w14:paraId="321BA0B2" w14:textId="68F08C80" w:rsidR="00771488" w:rsidRPr="000146D6" w:rsidRDefault="00771488" w:rsidP="00D14E2F">
      <w:pPr>
        <w:spacing w:line="240" w:lineRule="auto"/>
        <w:jc w:val="both"/>
        <w:rPr>
          <w:rFonts w:ascii="Times New Roman" w:hAnsi="Times New Roman" w:cs="Times New Roman"/>
          <w:sz w:val="24"/>
          <w:szCs w:val="24"/>
        </w:rPr>
      </w:pPr>
      <w:r w:rsidRPr="000146D6">
        <w:rPr>
          <w:rFonts w:ascii="Times New Roman" w:hAnsi="Times New Roman" w:cs="Times New Roman"/>
          <w:sz w:val="24"/>
          <w:szCs w:val="24"/>
        </w:rPr>
        <w:t xml:space="preserve">545 patients </w:t>
      </w:r>
      <w:r w:rsidRPr="000146D6">
        <w:rPr>
          <w:rFonts w:ascii="Times New Roman" w:eastAsia="Calibri" w:hAnsi="Times New Roman" w:cs="Times New Roman"/>
          <w:bCs/>
          <w:sz w:val="24"/>
          <w:szCs w:val="24"/>
        </w:rPr>
        <w:t xml:space="preserve">(102 </w:t>
      </w:r>
      <w:r w:rsidRPr="000146D6">
        <w:rPr>
          <w:rFonts w:ascii="Times New Roman" w:eastAsia="Calibri" w:hAnsi="Times New Roman" w:cs="Times New Roman"/>
          <w:sz w:val="24"/>
          <w:szCs w:val="24"/>
        </w:rPr>
        <w:t>men, 443 women)</w:t>
      </w:r>
      <w:r w:rsidRPr="000146D6">
        <w:rPr>
          <w:rFonts w:ascii="Times New Roman" w:hAnsi="Times New Roman" w:cs="Times New Roman"/>
          <w:sz w:val="24"/>
          <w:szCs w:val="24"/>
        </w:rPr>
        <w:t xml:space="preserve"> with gastric polyps who underwent polypectomy, with specimens sent to the Department of Pathology, University Medical Center Ho Chi Minh City, from January 2023 to December 2023.</w:t>
      </w:r>
    </w:p>
    <w:p w14:paraId="4ACB0739" w14:textId="2FF8C627" w:rsidR="00771488" w:rsidRPr="000146D6" w:rsidRDefault="00771488" w:rsidP="00D14E2F">
      <w:pPr>
        <w:pStyle w:val="ListParagraph"/>
        <w:numPr>
          <w:ilvl w:val="0"/>
          <w:numId w:val="20"/>
        </w:num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Inclusion Criteria</w:t>
      </w:r>
    </w:p>
    <w:p w14:paraId="69E0F3BD" w14:textId="6187DFA8" w:rsidR="00771488" w:rsidRPr="000146D6" w:rsidRDefault="00771488"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sz w:val="24"/>
          <w:szCs w:val="24"/>
        </w:rPr>
        <w:t>+ All cases diagnosed with gastric polyps via gastroscopy who underwent polypectomy and histopathological examination.</w:t>
      </w:r>
    </w:p>
    <w:p w14:paraId="75F39849" w14:textId="6632A822" w:rsidR="00771488" w:rsidRPr="000146D6" w:rsidRDefault="00771488"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sz w:val="24"/>
          <w:szCs w:val="24"/>
        </w:rPr>
        <w:t>+ Complete information available: name, age, sex, and esophagogastroduodenoscopy (EGD) results.</w:t>
      </w:r>
    </w:p>
    <w:p w14:paraId="1D2627AD" w14:textId="63C9FF98" w:rsidR="00771488" w:rsidRPr="000146D6" w:rsidRDefault="00771488" w:rsidP="00D14E2F">
      <w:pPr>
        <w:pStyle w:val="ListParagraph"/>
        <w:numPr>
          <w:ilvl w:val="0"/>
          <w:numId w:val="20"/>
        </w:num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Exclusion Criteria:</w:t>
      </w:r>
    </w:p>
    <w:p w14:paraId="5BCCD4C3" w14:textId="2EF619C3" w:rsidR="00771488" w:rsidRPr="000146D6" w:rsidRDefault="00771488"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sz w:val="24"/>
          <w:szCs w:val="24"/>
        </w:rPr>
        <w:t>+ Specimens unsuitable for histological evaluation.</w:t>
      </w:r>
    </w:p>
    <w:p w14:paraId="5C0B3087" w14:textId="6B8E3520" w:rsidR="00771488" w:rsidRPr="000146D6" w:rsidRDefault="00771488"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sz w:val="24"/>
          <w:szCs w:val="24"/>
        </w:rPr>
        <w:t>+ Specimens histologically diagnosed as metastatic cancer.</w:t>
      </w:r>
    </w:p>
    <w:p w14:paraId="3B6F703E" w14:textId="78D1A8E5" w:rsidR="00771488" w:rsidRPr="000146D6" w:rsidRDefault="00771488" w:rsidP="00D14E2F">
      <w:pPr>
        <w:spacing w:line="240" w:lineRule="auto"/>
        <w:jc w:val="both"/>
        <w:rPr>
          <w:rFonts w:ascii="Times New Roman" w:hAnsi="Times New Roman" w:cs="Times New Roman"/>
          <w:sz w:val="24"/>
          <w:szCs w:val="24"/>
        </w:rPr>
      </w:pPr>
      <w:r w:rsidRPr="000146D6">
        <w:rPr>
          <w:rFonts w:ascii="Times New Roman" w:hAnsi="Times New Roman" w:cs="Times New Roman"/>
          <w:b/>
          <w:bCs/>
          <w:sz w:val="24"/>
          <w:szCs w:val="24"/>
        </w:rPr>
        <w:lastRenderedPageBreak/>
        <w:t>2.2. Research Methods</w:t>
      </w:r>
    </w:p>
    <w:p w14:paraId="4EB8BBEB" w14:textId="1033BAD8" w:rsidR="00771488" w:rsidRPr="000146D6" w:rsidRDefault="00771488" w:rsidP="00D14E2F">
      <w:pPr>
        <w:numPr>
          <w:ilvl w:val="0"/>
          <w:numId w:val="21"/>
        </w:numPr>
        <w:spacing w:after="160" w:line="240" w:lineRule="auto"/>
        <w:jc w:val="both"/>
        <w:rPr>
          <w:rFonts w:ascii="Times New Roman" w:hAnsi="Times New Roman" w:cs="Times New Roman"/>
          <w:sz w:val="24"/>
          <w:szCs w:val="24"/>
        </w:rPr>
      </w:pPr>
      <w:r w:rsidRPr="000146D6">
        <w:rPr>
          <w:rFonts w:ascii="Times New Roman" w:hAnsi="Times New Roman" w:cs="Times New Roman"/>
          <w:b/>
          <w:bCs/>
          <w:sz w:val="24"/>
          <w:szCs w:val="24"/>
        </w:rPr>
        <w:t>Study Design:</w:t>
      </w:r>
      <w:r w:rsidRPr="000146D6">
        <w:rPr>
          <w:rFonts w:ascii="Times New Roman" w:hAnsi="Times New Roman" w:cs="Times New Roman"/>
          <w:sz w:val="24"/>
          <w:szCs w:val="24"/>
        </w:rPr>
        <w:t xml:space="preserve"> A retrospective cross-sectional descriptive study.</w:t>
      </w:r>
    </w:p>
    <w:p w14:paraId="200E0F6C" w14:textId="6BA90795" w:rsidR="00771488" w:rsidRPr="000146D6" w:rsidRDefault="00771488" w:rsidP="00D14E2F">
      <w:pPr>
        <w:numPr>
          <w:ilvl w:val="0"/>
          <w:numId w:val="21"/>
        </w:numPr>
        <w:spacing w:after="160" w:line="240" w:lineRule="auto"/>
        <w:jc w:val="both"/>
        <w:rPr>
          <w:rFonts w:ascii="Times New Roman" w:hAnsi="Times New Roman" w:cs="Times New Roman"/>
          <w:sz w:val="24"/>
          <w:szCs w:val="24"/>
        </w:rPr>
      </w:pPr>
      <w:r w:rsidRPr="000146D6">
        <w:rPr>
          <w:rFonts w:ascii="Times New Roman" w:hAnsi="Times New Roman" w:cs="Times New Roman"/>
          <w:b/>
          <w:bCs/>
          <w:sz w:val="24"/>
          <w:szCs w:val="24"/>
        </w:rPr>
        <w:t>Sample Size:</w:t>
      </w:r>
      <w:r w:rsidRPr="000146D6">
        <w:rPr>
          <w:rFonts w:ascii="Times New Roman" w:hAnsi="Times New Roman" w:cs="Times New Roman"/>
          <w:sz w:val="24"/>
          <w:szCs w:val="24"/>
        </w:rPr>
        <w:t xml:space="preserve"> </w:t>
      </w:r>
      <w:r w:rsidR="00047B56" w:rsidRPr="000146D6">
        <w:rPr>
          <w:rFonts w:ascii="Times New Roman" w:hAnsi="Times New Roman" w:cs="Times New Roman"/>
          <w:sz w:val="24"/>
          <w:szCs w:val="24"/>
        </w:rPr>
        <w:t>545 patients diagnosed with gastric polyps.</w:t>
      </w:r>
    </w:p>
    <w:p w14:paraId="196A3819" w14:textId="2A057605" w:rsidR="00047B56" w:rsidRPr="000146D6" w:rsidRDefault="00771488" w:rsidP="00D14E2F">
      <w:pPr>
        <w:numPr>
          <w:ilvl w:val="0"/>
          <w:numId w:val="21"/>
        </w:numPr>
        <w:spacing w:after="160" w:line="240" w:lineRule="auto"/>
        <w:jc w:val="both"/>
        <w:rPr>
          <w:rFonts w:ascii="Times New Roman" w:hAnsi="Times New Roman" w:cs="Times New Roman"/>
          <w:sz w:val="24"/>
          <w:szCs w:val="24"/>
        </w:rPr>
      </w:pPr>
      <w:r w:rsidRPr="000146D6">
        <w:rPr>
          <w:rFonts w:ascii="Times New Roman" w:hAnsi="Times New Roman" w:cs="Times New Roman"/>
          <w:b/>
          <w:bCs/>
          <w:sz w:val="24"/>
          <w:szCs w:val="24"/>
        </w:rPr>
        <w:t>Sampling Method:</w:t>
      </w:r>
      <w:r w:rsidRPr="000146D6">
        <w:rPr>
          <w:rFonts w:ascii="Times New Roman" w:hAnsi="Times New Roman" w:cs="Times New Roman"/>
          <w:sz w:val="24"/>
          <w:szCs w:val="24"/>
        </w:rPr>
        <w:t xml:space="preserve"> </w:t>
      </w:r>
      <w:r w:rsidR="00047B56" w:rsidRPr="000146D6">
        <w:rPr>
          <w:rFonts w:ascii="Times New Roman" w:hAnsi="Times New Roman" w:cs="Times New Roman"/>
          <w:sz w:val="24"/>
          <w:szCs w:val="24"/>
        </w:rPr>
        <w:t>Convenience sampling, including all patients who met the inclusion criteria.</w:t>
      </w:r>
    </w:p>
    <w:p w14:paraId="7F1A8D13" w14:textId="43F1417D" w:rsidR="00771488" w:rsidRPr="000146D6" w:rsidRDefault="00771488" w:rsidP="00D14E2F">
      <w:pPr>
        <w:numPr>
          <w:ilvl w:val="0"/>
          <w:numId w:val="21"/>
        </w:numPr>
        <w:spacing w:after="160" w:line="240" w:lineRule="auto"/>
        <w:jc w:val="both"/>
        <w:rPr>
          <w:rFonts w:ascii="Times New Roman" w:hAnsi="Times New Roman" w:cs="Times New Roman"/>
          <w:sz w:val="24"/>
          <w:szCs w:val="24"/>
        </w:rPr>
      </w:pPr>
      <w:r w:rsidRPr="000146D6">
        <w:rPr>
          <w:rFonts w:ascii="Times New Roman" w:hAnsi="Times New Roman" w:cs="Times New Roman"/>
          <w:b/>
          <w:bCs/>
          <w:sz w:val="24"/>
          <w:szCs w:val="24"/>
        </w:rPr>
        <w:t>Study Variables:</w:t>
      </w:r>
    </w:p>
    <w:p w14:paraId="71104CD8" w14:textId="67D32138" w:rsidR="00DF7BA2" w:rsidRPr="000146D6" w:rsidRDefault="00771488" w:rsidP="00D14E2F">
      <w:pPr>
        <w:spacing w:line="240" w:lineRule="auto"/>
        <w:ind w:left="709"/>
        <w:jc w:val="both"/>
        <w:rPr>
          <w:rFonts w:ascii="Times New Roman" w:hAnsi="Times New Roman" w:cs="Times New Roman"/>
          <w:sz w:val="24"/>
          <w:szCs w:val="24"/>
        </w:rPr>
      </w:pPr>
      <w:r w:rsidRPr="000146D6">
        <w:rPr>
          <w:rFonts w:ascii="Times New Roman" w:hAnsi="Times New Roman" w:cs="Times New Roman"/>
          <w:sz w:val="24"/>
          <w:szCs w:val="24"/>
        </w:rPr>
        <w:t xml:space="preserve">+ </w:t>
      </w:r>
      <w:r w:rsidR="00DF7BA2" w:rsidRPr="000146D6">
        <w:rPr>
          <w:rFonts w:ascii="Times New Roman" w:hAnsi="Times New Roman" w:cs="Times New Roman"/>
          <w:sz w:val="24"/>
          <w:szCs w:val="24"/>
        </w:rPr>
        <w:t>General information of patients</w:t>
      </w:r>
      <w:r w:rsidR="00DF7BA2" w:rsidRPr="000146D6">
        <w:rPr>
          <w:rFonts w:ascii="Times New Roman" w:hAnsi="Times New Roman" w:cs="Times New Roman"/>
          <w:b/>
          <w:bCs/>
          <w:sz w:val="24"/>
          <w:szCs w:val="24"/>
        </w:rPr>
        <w:t>:</w:t>
      </w:r>
      <w:r w:rsidR="00DF7BA2" w:rsidRPr="000146D6">
        <w:rPr>
          <w:rFonts w:ascii="Times New Roman" w:hAnsi="Times New Roman" w:cs="Times New Roman"/>
          <w:sz w:val="24"/>
          <w:szCs w:val="24"/>
        </w:rPr>
        <w:t xml:space="preserve"> age and sex.</w:t>
      </w:r>
    </w:p>
    <w:p w14:paraId="1960EC83" w14:textId="7A50B279" w:rsidR="00DF7BA2" w:rsidRPr="000146D6" w:rsidRDefault="00DF7BA2" w:rsidP="00D14E2F">
      <w:pPr>
        <w:spacing w:line="240" w:lineRule="auto"/>
        <w:ind w:left="720" w:right="418"/>
        <w:jc w:val="both"/>
        <w:rPr>
          <w:rFonts w:ascii="Times New Roman" w:hAnsi="Times New Roman" w:cs="Times New Roman"/>
          <w:sz w:val="24"/>
          <w:szCs w:val="24"/>
        </w:rPr>
      </w:pPr>
      <w:r w:rsidRPr="000146D6">
        <w:rPr>
          <w:rFonts w:ascii="Times New Roman" w:hAnsi="Times New Roman" w:cs="Times New Roman"/>
          <w:sz w:val="24"/>
          <w:szCs w:val="24"/>
        </w:rPr>
        <w:t>+ Macroscopic features: polyp location (cardia, fundus, body, antrum), number of polyps (1 polyp, &gt;1 polyp), polyp size (&lt;10</w:t>
      </w:r>
      <w:r w:rsidR="007A3ED7">
        <w:rPr>
          <w:rFonts w:ascii="Times New Roman" w:hAnsi="Times New Roman" w:cs="Times New Roman"/>
          <w:sz w:val="24"/>
          <w:szCs w:val="24"/>
        </w:rPr>
        <w:t xml:space="preserve"> </w:t>
      </w:r>
      <w:r w:rsidRPr="000146D6">
        <w:rPr>
          <w:rFonts w:ascii="Times New Roman" w:hAnsi="Times New Roman" w:cs="Times New Roman"/>
          <w:sz w:val="24"/>
          <w:szCs w:val="24"/>
        </w:rPr>
        <w:t>mm, 10–19 mm, 2</w:t>
      </w:r>
      <w:r w:rsidR="00CA228B">
        <w:rPr>
          <w:rFonts w:ascii="Times New Roman" w:hAnsi="Times New Roman" w:cs="Times New Roman"/>
          <w:sz w:val="24"/>
          <w:szCs w:val="24"/>
        </w:rPr>
        <w:t>0</w:t>
      </w:r>
      <w:r w:rsidRPr="000146D6">
        <w:rPr>
          <w:rFonts w:ascii="Times New Roman" w:hAnsi="Times New Roman" w:cs="Times New Roman"/>
          <w:sz w:val="24"/>
          <w:szCs w:val="24"/>
        </w:rPr>
        <w:t>–29 mm), and pedunculated status (pedunculated and sessile).</w:t>
      </w:r>
    </w:p>
    <w:p w14:paraId="7A0E7896" w14:textId="25E0AF6B" w:rsidR="00C81B76" w:rsidRPr="000146D6" w:rsidRDefault="00DF7BA2" w:rsidP="00D14E2F">
      <w:pPr>
        <w:spacing w:line="240" w:lineRule="auto"/>
        <w:ind w:left="709"/>
        <w:jc w:val="both"/>
        <w:rPr>
          <w:rFonts w:ascii="Times New Roman" w:hAnsi="Times New Roman" w:cs="Times New Roman"/>
          <w:sz w:val="24"/>
          <w:szCs w:val="24"/>
        </w:rPr>
      </w:pPr>
      <w:r w:rsidRPr="000146D6">
        <w:rPr>
          <w:rFonts w:ascii="Times New Roman" w:hAnsi="Times New Roman" w:cs="Times New Roman"/>
          <w:sz w:val="24"/>
          <w:szCs w:val="24"/>
        </w:rPr>
        <w:t xml:space="preserve">+ Microscopic features: inflammation,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 xml:space="preserve">infection, and dysplasia </w:t>
      </w:r>
      <w:r w:rsidRPr="000146D6">
        <w:rPr>
          <w:rFonts w:ascii="Times New Roman" w:hAnsi="Times New Roman" w:cs="Times New Roman"/>
          <w:b/>
          <w:bCs/>
          <w:sz w:val="24"/>
          <w:szCs w:val="24"/>
        </w:rPr>
        <w:t>status</w:t>
      </w:r>
      <w:r w:rsidR="00C81B76" w:rsidRPr="000146D6">
        <w:rPr>
          <w:rFonts w:ascii="Times New Roman" w:hAnsi="Times New Roman" w:cs="Times New Roman"/>
          <w:b/>
          <w:bCs/>
          <w:sz w:val="24"/>
          <w:szCs w:val="24"/>
        </w:rPr>
        <w:t xml:space="preserve"> (</w:t>
      </w:r>
      <w:r w:rsidR="00C81B76" w:rsidRPr="000146D6">
        <w:rPr>
          <w:rFonts w:ascii="Times New Roman" w:hAnsi="Times New Roman" w:cs="Times New Roman"/>
          <w:sz w:val="24"/>
          <w:szCs w:val="24"/>
        </w:rPr>
        <w:t>absent, present), dysplasia grade (low-grade, high-grade), type of dysplasia (gastric type, intestinal type, gastric foveolar type, serrated) .</w:t>
      </w:r>
    </w:p>
    <w:p w14:paraId="6B0570F3" w14:textId="2D25243C" w:rsidR="00771488" w:rsidRPr="000146D6" w:rsidRDefault="00DF7BA2" w:rsidP="00D14E2F">
      <w:pPr>
        <w:pStyle w:val="ListParagraph"/>
        <w:numPr>
          <w:ilvl w:val="0"/>
          <w:numId w:val="21"/>
        </w:numPr>
        <w:spacing w:line="240" w:lineRule="auto"/>
        <w:jc w:val="both"/>
        <w:rPr>
          <w:rFonts w:ascii="Times New Roman" w:hAnsi="Times New Roman" w:cs="Times New Roman"/>
          <w:sz w:val="24"/>
          <w:szCs w:val="24"/>
        </w:rPr>
      </w:pPr>
      <w:r w:rsidRPr="000146D6">
        <w:rPr>
          <w:rFonts w:ascii="Times New Roman" w:hAnsi="Times New Roman" w:cs="Times New Roman"/>
          <w:b/>
          <w:bCs/>
          <w:sz w:val="24"/>
          <w:szCs w:val="24"/>
        </w:rPr>
        <w:t>Data analysis:</w:t>
      </w:r>
      <w:r w:rsidRPr="000146D6">
        <w:rPr>
          <w:rFonts w:ascii="Times New Roman" w:hAnsi="Times New Roman" w:cs="Times New Roman"/>
          <w:sz w:val="24"/>
          <w:szCs w:val="24"/>
        </w:rPr>
        <w:t xml:space="preserve"> Data were analyzed using Stata software version 17.0.</w:t>
      </w:r>
    </w:p>
    <w:p w14:paraId="7DFA044B" w14:textId="586AAA5F" w:rsidR="009C5240" w:rsidRPr="000146D6" w:rsidRDefault="006B5339" w:rsidP="00D14E2F">
      <w:pPr>
        <w:pStyle w:val="Heading1"/>
        <w:numPr>
          <w:ilvl w:val="0"/>
          <w:numId w:val="19"/>
        </w:numPr>
        <w:spacing w:line="240" w:lineRule="auto"/>
        <w:ind w:right="418"/>
        <w:jc w:val="both"/>
        <w:rPr>
          <w:rFonts w:ascii="Times New Roman" w:hAnsi="Times New Roman" w:cs="Times New Roman"/>
          <w:color w:val="auto"/>
          <w:sz w:val="24"/>
          <w:szCs w:val="24"/>
        </w:rPr>
      </w:pPr>
      <w:r w:rsidRPr="000146D6">
        <w:rPr>
          <w:rFonts w:ascii="Times New Roman" w:hAnsi="Times New Roman" w:cs="Times New Roman"/>
          <w:color w:val="auto"/>
          <w:sz w:val="24"/>
          <w:szCs w:val="24"/>
        </w:rPr>
        <w:t xml:space="preserve">RESULTS </w:t>
      </w:r>
    </w:p>
    <w:p w14:paraId="6D70C50C" w14:textId="6EE72B9E" w:rsidR="0040010A" w:rsidRPr="000146D6" w:rsidRDefault="000E3DD2" w:rsidP="00D14E2F">
      <w:pPr>
        <w:pStyle w:val="ListParagraph"/>
        <w:numPr>
          <w:ilvl w:val="1"/>
          <w:numId w:val="22"/>
        </w:numPr>
        <w:spacing w:line="240" w:lineRule="auto"/>
        <w:ind w:left="1620" w:right="418" w:hanging="450"/>
        <w:jc w:val="both"/>
        <w:rPr>
          <w:rFonts w:ascii="Times New Roman" w:hAnsi="Times New Roman" w:cs="Times New Roman"/>
          <w:b/>
          <w:bCs/>
          <w:sz w:val="24"/>
          <w:szCs w:val="24"/>
        </w:rPr>
      </w:pPr>
      <w:r w:rsidRPr="000146D6">
        <w:rPr>
          <w:rFonts w:ascii="Times New Roman" w:hAnsi="Times New Roman" w:cs="Times New Roman"/>
          <w:b/>
          <w:bCs/>
          <w:sz w:val="24"/>
          <w:szCs w:val="24"/>
        </w:rPr>
        <w:t xml:space="preserve">Fundic </w:t>
      </w:r>
      <w:r w:rsidR="00F06CB6">
        <w:rPr>
          <w:rFonts w:ascii="Times New Roman" w:hAnsi="Times New Roman" w:cs="Times New Roman"/>
          <w:b/>
          <w:bCs/>
          <w:sz w:val="24"/>
          <w:szCs w:val="24"/>
        </w:rPr>
        <w:t>G</w:t>
      </w:r>
      <w:r w:rsidRPr="000146D6">
        <w:rPr>
          <w:rFonts w:ascii="Times New Roman" w:hAnsi="Times New Roman" w:cs="Times New Roman"/>
          <w:b/>
          <w:bCs/>
          <w:sz w:val="24"/>
          <w:szCs w:val="24"/>
        </w:rPr>
        <w:t xml:space="preserve">land </w:t>
      </w:r>
      <w:r w:rsidR="00F06CB6">
        <w:rPr>
          <w:rFonts w:ascii="Times New Roman" w:hAnsi="Times New Roman" w:cs="Times New Roman"/>
          <w:b/>
          <w:bCs/>
          <w:sz w:val="24"/>
          <w:szCs w:val="24"/>
        </w:rPr>
        <w:t>P</w:t>
      </w:r>
      <w:r w:rsidRPr="000146D6">
        <w:rPr>
          <w:rFonts w:ascii="Times New Roman" w:hAnsi="Times New Roman" w:cs="Times New Roman"/>
          <w:b/>
          <w:bCs/>
          <w:sz w:val="24"/>
          <w:szCs w:val="24"/>
        </w:rPr>
        <w:t>olyps (FGPs)</w:t>
      </w:r>
    </w:p>
    <w:p w14:paraId="67952BDE" w14:textId="7154F59F" w:rsidR="002C4EA4" w:rsidRPr="000146D6" w:rsidRDefault="000E3DD2" w:rsidP="00D14E2F">
      <w:pPr>
        <w:pStyle w:val="ListParagraph"/>
        <w:numPr>
          <w:ilvl w:val="2"/>
          <w:numId w:val="22"/>
        </w:numPr>
        <w:spacing w:line="240" w:lineRule="auto"/>
        <w:ind w:left="0" w:right="418" w:firstLine="1440"/>
        <w:jc w:val="both"/>
        <w:rPr>
          <w:rFonts w:ascii="Times New Roman" w:hAnsi="Times New Roman" w:cs="Times New Roman"/>
          <w:b/>
          <w:bCs/>
          <w:sz w:val="24"/>
          <w:szCs w:val="24"/>
        </w:rPr>
      </w:pPr>
      <w:r w:rsidRPr="000146D6">
        <w:rPr>
          <w:rFonts w:ascii="Times New Roman" w:hAnsi="Times New Roman" w:cs="Times New Roman"/>
          <w:b/>
          <w:bCs/>
          <w:sz w:val="24"/>
          <w:szCs w:val="24"/>
        </w:rPr>
        <w:t>Age and Sex Characteristics:</w:t>
      </w:r>
    </w:p>
    <w:p w14:paraId="0B58A355" w14:textId="36C615A9" w:rsidR="00A42C27" w:rsidRPr="000146D6" w:rsidRDefault="00A42C27" w:rsidP="00D14E2F">
      <w:pPr>
        <w:tabs>
          <w:tab w:val="left" w:pos="1080"/>
        </w:tabs>
        <w:spacing w:line="240" w:lineRule="auto"/>
        <w:ind w:right="418"/>
        <w:jc w:val="both"/>
        <w:rPr>
          <w:rFonts w:ascii="Times New Roman" w:hAnsi="Times New Roman" w:cs="Times New Roman"/>
          <w:b/>
          <w:sz w:val="24"/>
          <w:szCs w:val="24"/>
        </w:rPr>
      </w:pPr>
      <w:r w:rsidRPr="000146D6">
        <w:rPr>
          <w:rFonts w:ascii="Times New Roman" w:hAnsi="Times New Roman" w:cs="Times New Roman"/>
          <w:b/>
          <w:sz w:val="24"/>
          <w:szCs w:val="24"/>
        </w:rPr>
        <w:t xml:space="preserve">Table </w:t>
      </w:r>
      <w:r w:rsidR="00C81B76" w:rsidRPr="000146D6">
        <w:rPr>
          <w:rFonts w:ascii="Times New Roman" w:hAnsi="Times New Roman" w:cs="Times New Roman"/>
          <w:b/>
          <w:sz w:val="24"/>
          <w:szCs w:val="24"/>
        </w:rPr>
        <w:t>1</w:t>
      </w:r>
      <w:r w:rsidRPr="000146D6">
        <w:rPr>
          <w:rFonts w:ascii="Times New Roman" w:hAnsi="Times New Roman" w:cs="Times New Roman"/>
          <w:b/>
          <w:sz w:val="24"/>
          <w:szCs w:val="24"/>
        </w:rPr>
        <w:t>.</w:t>
      </w:r>
      <w:r w:rsidRPr="000146D6">
        <w:rPr>
          <w:rFonts w:ascii="Times New Roman" w:hAnsi="Times New Roman" w:cs="Times New Roman"/>
          <w:b/>
          <w:sz w:val="24"/>
          <w:szCs w:val="24"/>
        </w:rPr>
        <w:tab/>
      </w:r>
      <w:r w:rsidR="00FB6550" w:rsidRPr="000146D6">
        <w:rPr>
          <w:rFonts w:ascii="Times New Roman" w:hAnsi="Times New Roman" w:cs="Times New Roman"/>
          <w:b/>
          <w:bCs/>
          <w:sz w:val="24"/>
          <w:szCs w:val="24"/>
        </w:rPr>
        <w:t>Age and sex characteristics of patients with fundic gland polyps.</w:t>
      </w:r>
    </w:p>
    <w:tbl>
      <w:tblPr>
        <w:tblStyle w:val="TableGrid"/>
        <w:tblW w:w="9181" w:type="dxa"/>
        <w:tblLayout w:type="fixed"/>
        <w:tblLook w:val="04A0" w:firstRow="1" w:lastRow="0" w:firstColumn="1" w:lastColumn="0" w:noHBand="0" w:noVBand="1"/>
      </w:tblPr>
      <w:tblGrid>
        <w:gridCol w:w="1577"/>
        <w:gridCol w:w="2217"/>
        <w:gridCol w:w="1701"/>
        <w:gridCol w:w="2126"/>
        <w:gridCol w:w="1560"/>
      </w:tblGrid>
      <w:tr w:rsidR="00E14050" w:rsidRPr="000146D6" w14:paraId="636C04E9" w14:textId="77777777" w:rsidTr="0030487A">
        <w:tc>
          <w:tcPr>
            <w:tcW w:w="3794" w:type="dxa"/>
            <w:gridSpan w:val="2"/>
            <w:vAlign w:val="center"/>
          </w:tcPr>
          <w:p w14:paraId="067F4DE0" w14:textId="77FEDB23" w:rsidR="00E14050" w:rsidRPr="000146D6" w:rsidRDefault="00E14050" w:rsidP="00D14E2F">
            <w:pPr>
              <w:ind w:right="418"/>
              <w:jc w:val="both"/>
              <w:rPr>
                <w:rFonts w:ascii="Times New Roman" w:hAnsi="Times New Roman" w:cs="Times New Roman"/>
                <w:b/>
                <w:bCs/>
                <w:sz w:val="24"/>
                <w:szCs w:val="24"/>
              </w:rPr>
            </w:pPr>
            <w:bookmarkStart w:id="1" w:name="_Hlk216094487"/>
            <w:r w:rsidRPr="000146D6">
              <w:rPr>
                <w:rFonts w:ascii="Times New Roman" w:hAnsi="Times New Roman" w:cs="Times New Roman"/>
                <w:b/>
                <w:bCs/>
                <w:sz w:val="24"/>
                <w:szCs w:val="24"/>
              </w:rPr>
              <w:t>Characteristics</w:t>
            </w:r>
          </w:p>
        </w:tc>
        <w:tc>
          <w:tcPr>
            <w:tcW w:w="1701" w:type="dxa"/>
            <w:vAlign w:val="center"/>
          </w:tcPr>
          <w:p w14:paraId="5CDB3F59" w14:textId="76B2C459" w:rsidR="00E14050" w:rsidRPr="000146D6" w:rsidRDefault="00494C8E"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(n)</w:t>
            </w:r>
          </w:p>
        </w:tc>
        <w:tc>
          <w:tcPr>
            <w:tcW w:w="2126" w:type="dxa"/>
            <w:vAlign w:val="center"/>
          </w:tcPr>
          <w:p w14:paraId="621A2347" w14:textId="77AE73AD" w:rsidR="00E14050" w:rsidRPr="000146D6" w:rsidRDefault="00494C8E"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Percentage (%)</w:t>
            </w:r>
          </w:p>
        </w:tc>
        <w:tc>
          <w:tcPr>
            <w:tcW w:w="1560" w:type="dxa"/>
          </w:tcPr>
          <w:p w14:paraId="1FC854DA" w14:textId="1DBA1A8E" w:rsidR="00E14050" w:rsidRPr="000146D6" w:rsidRDefault="00494C8E"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Total (n)</w:t>
            </w:r>
          </w:p>
        </w:tc>
      </w:tr>
      <w:tr w:rsidR="00E14050" w:rsidRPr="000146D6" w14:paraId="2DB88B60" w14:textId="77777777" w:rsidTr="0030487A">
        <w:tc>
          <w:tcPr>
            <w:tcW w:w="1577" w:type="dxa"/>
            <w:vMerge w:val="restart"/>
            <w:vAlign w:val="center"/>
          </w:tcPr>
          <w:p w14:paraId="4205570E" w14:textId="159A3D84" w:rsidR="00E14050" w:rsidRPr="000146D6" w:rsidRDefault="00BB6C1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Sex</w:t>
            </w:r>
          </w:p>
        </w:tc>
        <w:tc>
          <w:tcPr>
            <w:tcW w:w="2217" w:type="dxa"/>
            <w:vAlign w:val="center"/>
          </w:tcPr>
          <w:p w14:paraId="61E989F4" w14:textId="6BBF7D7F" w:rsidR="00E14050" w:rsidRPr="000146D6" w:rsidRDefault="002E35E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Male</w:t>
            </w:r>
          </w:p>
        </w:tc>
        <w:tc>
          <w:tcPr>
            <w:tcW w:w="1701" w:type="dxa"/>
            <w:vAlign w:val="center"/>
          </w:tcPr>
          <w:p w14:paraId="575E359F"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81</w:t>
            </w:r>
          </w:p>
        </w:tc>
        <w:tc>
          <w:tcPr>
            <w:tcW w:w="2126" w:type="dxa"/>
            <w:vAlign w:val="center"/>
          </w:tcPr>
          <w:p w14:paraId="543C08C0" w14:textId="188546B6"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18</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2</w:t>
            </w:r>
          </w:p>
        </w:tc>
        <w:tc>
          <w:tcPr>
            <w:tcW w:w="1560" w:type="dxa"/>
            <w:vMerge w:val="restart"/>
            <w:vAlign w:val="center"/>
          </w:tcPr>
          <w:p w14:paraId="1E288E7C" w14:textId="77777777" w:rsidR="00E14050" w:rsidRPr="000146D6" w:rsidRDefault="00E14050" w:rsidP="00D14E2F">
            <w:pPr>
              <w:ind w:right="418"/>
              <w:jc w:val="both"/>
              <w:rPr>
                <w:rFonts w:ascii="Times New Roman" w:hAnsi="Times New Roman" w:cs="Times New Roman"/>
                <w:sz w:val="24"/>
                <w:szCs w:val="24"/>
              </w:rPr>
            </w:pPr>
          </w:p>
          <w:p w14:paraId="14EEF1A2"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444</w:t>
            </w:r>
          </w:p>
        </w:tc>
      </w:tr>
      <w:bookmarkEnd w:id="1"/>
      <w:tr w:rsidR="00E14050" w:rsidRPr="000146D6" w14:paraId="45D107CA" w14:textId="77777777" w:rsidTr="0030487A">
        <w:tc>
          <w:tcPr>
            <w:tcW w:w="1577" w:type="dxa"/>
            <w:vMerge/>
            <w:vAlign w:val="center"/>
          </w:tcPr>
          <w:p w14:paraId="1BC7AC35"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562627EC" w14:textId="7DE2D154" w:rsidR="00E14050" w:rsidRPr="000146D6" w:rsidRDefault="002E35E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Female</w:t>
            </w:r>
          </w:p>
        </w:tc>
        <w:tc>
          <w:tcPr>
            <w:tcW w:w="1701" w:type="dxa"/>
            <w:vAlign w:val="center"/>
          </w:tcPr>
          <w:p w14:paraId="10D66B31"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363</w:t>
            </w:r>
          </w:p>
        </w:tc>
        <w:tc>
          <w:tcPr>
            <w:tcW w:w="2126" w:type="dxa"/>
            <w:vAlign w:val="center"/>
          </w:tcPr>
          <w:p w14:paraId="0CDB0435" w14:textId="48ABAFF9"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81</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8</w:t>
            </w:r>
          </w:p>
        </w:tc>
        <w:tc>
          <w:tcPr>
            <w:tcW w:w="1560" w:type="dxa"/>
            <w:vMerge/>
          </w:tcPr>
          <w:p w14:paraId="493D0AB8"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35EDE967" w14:textId="77777777" w:rsidTr="0030487A">
        <w:tc>
          <w:tcPr>
            <w:tcW w:w="1577" w:type="dxa"/>
            <w:vMerge w:val="restart"/>
            <w:vAlign w:val="center"/>
          </w:tcPr>
          <w:p w14:paraId="7F24AD24" w14:textId="2B76E5BF" w:rsidR="00E14050" w:rsidRPr="000146D6" w:rsidRDefault="002E35E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Age groups</w:t>
            </w:r>
            <w:r w:rsidR="00494C8E" w:rsidRPr="000146D6">
              <w:rPr>
                <w:rFonts w:ascii="Times New Roman" w:hAnsi="Times New Roman" w:cs="Times New Roman"/>
                <w:b/>
                <w:bCs/>
                <w:sz w:val="24"/>
                <w:szCs w:val="24"/>
              </w:rPr>
              <w:t xml:space="preserve"> (years)</w:t>
            </w:r>
          </w:p>
        </w:tc>
        <w:tc>
          <w:tcPr>
            <w:tcW w:w="2217" w:type="dxa"/>
            <w:vAlign w:val="center"/>
          </w:tcPr>
          <w:p w14:paraId="3D133956"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20 – 29 </w:t>
            </w:r>
          </w:p>
        </w:tc>
        <w:tc>
          <w:tcPr>
            <w:tcW w:w="1701" w:type="dxa"/>
            <w:vAlign w:val="center"/>
          </w:tcPr>
          <w:p w14:paraId="258B6A71"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10</w:t>
            </w:r>
          </w:p>
        </w:tc>
        <w:tc>
          <w:tcPr>
            <w:tcW w:w="2126" w:type="dxa"/>
            <w:vAlign w:val="center"/>
          </w:tcPr>
          <w:p w14:paraId="707F2E7D" w14:textId="511C40CB"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3</w:t>
            </w:r>
          </w:p>
        </w:tc>
        <w:tc>
          <w:tcPr>
            <w:tcW w:w="1560" w:type="dxa"/>
            <w:vMerge/>
          </w:tcPr>
          <w:p w14:paraId="5A276F83"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50D12F11" w14:textId="77777777" w:rsidTr="0030487A">
        <w:tc>
          <w:tcPr>
            <w:tcW w:w="1577" w:type="dxa"/>
            <w:vMerge/>
            <w:vAlign w:val="center"/>
          </w:tcPr>
          <w:p w14:paraId="031FF514"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7C09BFE0"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30 – 39 </w:t>
            </w:r>
          </w:p>
        </w:tc>
        <w:tc>
          <w:tcPr>
            <w:tcW w:w="1701" w:type="dxa"/>
            <w:vAlign w:val="center"/>
          </w:tcPr>
          <w:p w14:paraId="1D12FCC0"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31</w:t>
            </w:r>
          </w:p>
        </w:tc>
        <w:tc>
          <w:tcPr>
            <w:tcW w:w="2126" w:type="dxa"/>
            <w:vAlign w:val="center"/>
          </w:tcPr>
          <w:p w14:paraId="7C770C6A"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7</w:t>
            </w:r>
          </w:p>
        </w:tc>
        <w:tc>
          <w:tcPr>
            <w:tcW w:w="1560" w:type="dxa"/>
            <w:vMerge/>
          </w:tcPr>
          <w:p w14:paraId="7E244753"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59DDEDB5" w14:textId="77777777" w:rsidTr="0030487A">
        <w:tc>
          <w:tcPr>
            <w:tcW w:w="1577" w:type="dxa"/>
            <w:vMerge/>
            <w:vAlign w:val="center"/>
          </w:tcPr>
          <w:p w14:paraId="04077905"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2DBA6020"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40 – 49 </w:t>
            </w:r>
          </w:p>
        </w:tc>
        <w:tc>
          <w:tcPr>
            <w:tcW w:w="1701" w:type="dxa"/>
            <w:vAlign w:val="center"/>
          </w:tcPr>
          <w:p w14:paraId="62068503"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67</w:t>
            </w:r>
          </w:p>
        </w:tc>
        <w:tc>
          <w:tcPr>
            <w:tcW w:w="2126" w:type="dxa"/>
            <w:vAlign w:val="center"/>
          </w:tcPr>
          <w:p w14:paraId="2F29B8AE" w14:textId="33677C0F"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15</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1</w:t>
            </w:r>
          </w:p>
        </w:tc>
        <w:tc>
          <w:tcPr>
            <w:tcW w:w="1560" w:type="dxa"/>
            <w:vMerge/>
          </w:tcPr>
          <w:p w14:paraId="6E9EB6F6"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788EE2D0" w14:textId="77777777" w:rsidTr="0030487A">
        <w:tc>
          <w:tcPr>
            <w:tcW w:w="1577" w:type="dxa"/>
            <w:vMerge/>
            <w:vAlign w:val="center"/>
          </w:tcPr>
          <w:p w14:paraId="31F519CA"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22EB167A"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50 – 59 </w:t>
            </w:r>
          </w:p>
        </w:tc>
        <w:tc>
          <w:tcPr>
            <w:tcW w:w="1701" w:type="dxa"/>
            <w:vAlign w:val="center"/>
          </w:tcPr>
          <w:p w14:paraId="2FCA13B9"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158</w:t>
            </w:r>
          </w:p>
        </w:tc>
        <w:tc>
          <w:tcPr>
            <w:tcW w:w="2126" w:type="dxa"/>
            <w:vAlign w:val="center"/>
          </w:tcPr>
          <w:p w14:paraId="76636C08" w14:textId="71253B6F"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35</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5</w:t>
            </w:r>
          </w:p>
        </w:tc>
        <w:tc>
          <w:tcPr>
            <w:tcW w:w="1560" w:type="dxa"/>
            <w:vMerge/>
          </w:tcPr>
          <w:p w14:paraId="5F346837"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703B38AB" w14:textId="77777777" w:rsidTr="0030487A">
        <w:tc>
          <w:tcPr>
            <w:tcW w:w="1577" w:type="dxa"/>
            <w:vMerge/>
            <w:vAlign w:val="center"/>
          </w:tcPr>
          <w:p w14:paraId="1CA047CA"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4BEEDE88"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60 – 69 </w:t>
            </w:r>
          </w:p>
        </w:tc>
        <w:tc>
          <w:tcPr>
            <w:tcW w:w="1701" w:type="dxa"/>
            <w:vAlign w:val="center"/>
          </w:tcPr>
          <w:p w14:paraId="25DBF28E"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119</w:t>
            </w:r>
          </w:p>
        </w:tc>
        <w:tc>
          <w:tcPr>
            <w:tcW w:w="2126" w:type="dxa"/>
            <w:vAlign w:val="center"/>
          </w:tcPr>
          <w:p w14:paraId="01F501B0" w14:textId="337EB0FF"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26</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8</w:t>
            </w:r>
          </w:p>
        </w:tc>
        <w:tc>
          <w:tcPr>
            <w:tcW w:w="1560" w:type="dxa"/>
            <w:vMerge/>
          </w:tcPr>
          <w:p w14:paraId="2F4E7715"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10C64DE8" w14:textId="77777777" w:rsidTr="0030487A">
        <w:tc>
          <w:tcPr>
            <w:tcW w:w="1577" w:type="dxa"/>
            <w:vMerge/>
            <w:vAlign w:val="center"/>
          </w:tcPr>
          <w:p w14:paraId="2AF9F960"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52E09816"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70 – 79 </w:t>
            </w:r>
          </w:p>
        </w:tc>
        <w:tc>
          <w:tcPr>
            <w:tcW w:w="1701" w:type="dxa"/>
            <w:vAlign w:val="center"/>
          </w:tcPr>
          <w:p w14:paraId="0D377763"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53</w:t>
            </w:r>
          </w:p>
        </w:tc>
        <w:tc>
          <w:tcPr>
            <w:tcW w:w="2126" w:type="dxa"/>
            <w:vAlign w:val="center"/>
          </w:tcPr>
          <w:p w14:paraId="23EBB9F4" w14:textId="56ADC2EA"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11</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9</w:t>
            </w:r>
          </w:p>
        </w:tc>
        <w:tc>
          <w:tcPr>
            <w:tcW w:w="1560" w:type="dxa"/>
            <w:vMerge/>
          </w:tcPr>
          <w:p w14:paraId="254986D5" w14:textId="77777777" w:rsidR="00E14050" w:rsidRPr="000146D6" w:rsidRDefault="00E14050" w:rsidP="00D14E2F">
            <w:pPr>
              <w:ind w:right="418"/>
              <w:jc w:val="both"/>
              <w:rPr>
                <w:rFonts w:ascii="Times New Roman" w:hAnsi="Times New Roman" w:cs="Times New Roman"/>
                <w:sz w:val="24"/>
                <w:szCs w:val="24"/>
              </w:rPr>
            </w:pPr>
          </w:p>
        </w:tc>
      </w:tr>
      <w:tr w:rsidR="00E14050" w:rsidRPr="000146D6" w14:paraId="1A8BFBCC" w14:textId="77777777" w:rsidTr="0030487A">
        <w:tc>
          <w:tcPr>
            <w:tcW w:w="1577" w:type="dxa"/>
            <w:vMerge/>
            <w:vAlign w:val="center"/>
          </w:tcPr>
          <w:p w14:paraId="22A77D6C" w14:textId="77777777" w:rsidR="00E14050" w:rsidRPr="000146D6" w:rsidRDefault="00E14050" w:rsidP="00D14E2F">
            <w:pPr>
              <w:ind w:right="418"/>
              <w:jc w:val="both"/>
              <w:rPr>
                <w:rFonts w:ascii="Times New Roman" w:hAnsi="Times New Roman" w:cs="Times New Roman"/>
                <w:sz w:val="24"/>
                <w:szCs w:val="24"/>
              </w:rPr>
            </w:pPr>
          </w:p>
        </w:tc>
        <w:tc>
          <w:tcPr>
            <w:tcW w:w="2217" w:type="dxa"/>
            <w:vAlign w:val="center"/>
          </w:tcPr>
          <w:p w14:paraId="0E835E4C"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 xml:space="preserve">≥80 </w:t>
            </w:r>
          </w:p>
        </w:tc>
        <w:tc>
          <w:tcPr>
            <w:tcW w:w="1701" w:type="dxa"/>
            <w:vAlign w:val="center"/>
          </w:tcPr>
          <w:p w14:paraId="60C536B7" w14:textId="77777777"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w:t>
            </w:r>
          </w:p>
        </w:tc>
        <w:tc>
          <w:tcPr>
            <w:tcW w:w="2126" w:type="dxa"/>
            <w:vAlign w:val="center"/>
          </w:tcPr>
          <w:p w14:paraId="08D0F1A9" w14:textId="2F45EFFE" w:rsidR="00E14050" w:rsidRPr="000146D6" w:rsidRDefault="00E1405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r w:rsidR="00FB53A3" w:rsidRPr="000146D6">
              <w:rPr>
                <w:rFonts w:ascii="Times New Roman" w:hAnsi="Times New Roman" w:cs="Times New Roman"/>
                <w:sz w:val="24"/>
                <w:szCs w:val="24"/>
              </w:rPr>
              <w:t>.</w:t>
            </w:r>
            <w:r w:rsidRPr="000146D6">
              <w:rPr>
                <w:rFonts w:ascii="Times New Roman" w:hAnsi="Times New Roman" w:cs="Times New Roman"/>
                <w:sz w:val="24"/>
                <w:szCs w:val="24"/>
              </w:rPr>
              <w:t>4</w:t>
            </w:r>
          </w:p>
        </w:tc>
        <w:tc>
          <w:tcPr>
            <w:tcW w:w="1560" w:type="dxa"/>
            <w:vMerge/>
          </w:tcPr>
          <w:p w14:paraId="52D39871" w14:textId="77777777" w:rsidR="00E14050" w:rsidRPr="000146D6" w:rsidRDefault="00E14050" w:rsidP="00D14E2F">
            <w:pPr>
              <w:ind w:right="418"/>
              <w:jc w:val="both"/>
              <w:rPr>
                <w:rFonts w:ascii="Times New Roman" w:hAnsi="Times New Roman" w:cs="Times New Roman"/>
                <w:sz w:val="24"/>
                <w:szCs w:val="24"/>
              </w:rPr>
            </w:pPr>
          </w:p>
        </w:tc>
      </w:tr>
    </w:tbl>
    <w:p w14:paraId="62BD9BF7" w14:textId="77777777" w:rsidR="00A42C27" w:rsidRPr="000146D6" w:rsidRDefault="00A42C27" w:rsidP="00D14E2F">
      <w:pPr>
        <w:spacing w:line="240" w:lineRule="auto"/>
        <w:ind w:right="418"/>
        <w:jc w:val="both"/>
        <w:rPr>
          <w:rFonts w:ascii="Times New Roman" w:hAnsi="Times New Roman" w:cs="Times New Roman"/>
          <w:b/>
          <w:bCs/>
          <w:sz w:val="24"/>
          <w:szCs w:val="24"/>
        </w:rPr>
      </w:pPr>
    </w:p>
    <w:p w14:paraId="240222D3" w14:textId="593293AE" w:rsidR="007E5AEF" w:rsidRPr="000146D6" w:rsidRDefault="00C81B76" w:rsidP="00D14E2F">
      <w:pPr>
        <w:tabs>
          <w:tab w:val="left" w:pos="8222"/>
        </w:tabs>
        <w:spacing w:line="240" w:lineRule="auto"/>
        <w:ind w:right="418"/>
        <w:jc w:val="both"/>
        <w:rPr>
          <w:rFonts w:ascii="Times New Roman" w:hAnsi="Times New Roman" w:cs="Times New Roman"/>
          <w:sz w:val="24"/>
          <w:szCs w:val="24"/>
        </w:rPr>
      </w:pPr>
      <w:r w:rsidRPr="00DA0B65">
        <w:rPr>
          <w:rFonts w:ascii="Times New Roman" w:hAnsi="Times New Roman" w:cs="Times New Roman"/>
          <w:b/>
          <w:bCs/>
          <w:sz w:val="24"/>
          <w:szCs w:val="24"/>
        </w:rPr>
        <w:t>Observation:</w:t>
      </w:r>
      <w:r w:rsidRPr="000146D6">
        <w:rPr>
          <w:rFonts w:ascii="Times New Roman" w:hAnsi="Times New Roman" w:cs="Times New Roman"/>
          <w:sz w:val="24"/>
          <w:szCs w:val="24"/>
        </w:rPr>
        <w:t xml:space="preserve"> </w:t>
      </w:r>
      <w:r w:rsidR="00F03FAF" w:rsidRPr="000146D6">
        <w:rPr>
          <w:rFonts w:ascii="Times New Roman" w:hAnsi="Times New Roman" w:cs="Times New Roman"/>
          <w:sz w:val="24"/>
          <w:szCs w:val="24"/>
        </w:rPr>
        <w:t>The mean age was 56.4 ± 11.8 years. The disease was most frequently observed in the 50–69 age group, accounting for 62.3% of cases.</w:t>
      </w:r>
      <w:r w:rsidR="00A1639B" w:rsidRPr="000146D6">
        <w:rPr>
          <w:rFonts w:ascii="Times New Roman" w:hAnsi="Times New Roman" w:cs="Times New Roman"/>
          <w:sz w:val="24"/>
          <w:szCs w:val="24"/>
        </w:rPr>
        <w:t xml:space="preserve"> </w:t>
      </w:r>
      <w:r w:rsidR="0082451E" w:rsidRPr="000146D6">
        <w:rPr>
          <w:rFonts w:ascii="Times New Roman" w:hAnsi="Times New Roman" w:cs="Times New Roman"/>
          <w:sz w:val="24"/>
          <w:szCs w:val="24"/>
        </w:rPr>
        <w:t>T</w:t>
      </w:r>
      <w:r w:rsidR="007E5AEF" w:rsidRPr="000146D6">
        <w:rPr>
          <w:rFonts w:ascii="Times New Roman" w:hAnsi="Times New Roman" w:cs="Times New Roman"/>
          <w:sz w:val="24"/>
          <w:szCs w:val="24"/>
        </w:rPr>
        <w:t>he disease was more common in females than in males, with proportions of 81.8% and 18.2%, respectively (female-to-male ratio = 4.5:1).</w:t>
      </w:r>
      <w:r w:rsidR="00A1639B" w:rsidRPr="000146D6">
        <w:rPr>
          <w:rFonts w:ascii="Times New Roman" w:hAnsi="Times New Roman" w:cs="Times New Roman"/>
          <w:sz w:val="24"/>
          <w:szCs w:val="24"/>
        </w:rPr>
        <w:t xml:space="preserve"> </w:t>
      </w:r>
    </w:p>
    <w:p w14:paraId="228B7DE8" w14:textId="21FA5AB7" w:rsidR="0040010A" w:rsidRPr="000146D6" w:rsidRDefault="001960B7" w:rsidP="00D14E2F">
      <w:pPr>
        <w:spacing w:line="240" w:lineRule="auto"/>
        <w:ind w:right="418" w:firstLine="1440"/>
        <w:jc w:val="both"/>
        <w:rPr>
          <w:rFonts w:ascii="Times New Roman" w:hAnsi="Times New Roman" w:cs="Times New Roman"/>
          <w:b/>
          <w:bCs/>
          <w:sz w:val="24"/>
          <w:szCs w:val="24"/>
        </w:rPr>
      </w:pPr>
      <w:r w:rsidRPr="000146D6">
        <w:rPr>
          <w:rFonts w:ascii="Times New Roman" w:hAnsi="Times New Roman" w:cs="Times New Roman"/>
          <w:b/>
          <w:bCs/>
          <w:sz w:val="24"/>
          <w:szCs w:val="24"/>
        </w:rPr>
        <w:t>3.</w:t>
      </w:r>
      <w:r w:rsidR="005F1CFF" w:rsidRPr="000146D6">
        <w:rPr>
          <w:rFonts w:ascii="Times New Roman" w:hAnsi="Times New Roman" w:cs="Times New Roman"/>
          <w:b/>
          <w:bCs/>
          <w:sz w:val="24"/>
          <w:szCs w:val="24"/>
        </w:rPr>
        <w:t>2</w:t>
      </w:r>
      <w:r w:rsidRPr="000146D6">
        <w:rPr>
          <w:rFonts w:ascii="Times New Roman" w:hAnsi="Times New Roman" w:cs="Times New Roman"/>
          <w:b/>
          <w:bCs/>
          <w:sz w:val="24"/>
          <w:szCs w:val="24"/>
        </w:rPr>
        <w:t>.2 Macroscopic Features:</w:t>
      </w:r>
    </w:p>
    <w:p w14:paraId="60FB567E" w14:textId="5E172CC1" w:rsidR="001960B7" w:rsidRPr="000146D6" w:rsidRDefault="001960B7" w:rsidP="00D14E2F">
      <w:pPr>
        <w:tabs>
          <w:tab w:val="left" w:pos="1080"/>
        </w:tabs>
        <w:spacing w:line="240" w:lineRule="auto"/>
        <w:ind w:right="418"/>
        <w:jc w:val="both"/>
        <w:rPr>
          <w:rFonts w:ascii="Times New Roman" w:hAnsi="Times New Roman" w:cs="Times New Roman"/>
          <w:b/>
          <w:sz w:val="24"/>
          <w:szCs w:val="24"/>
        </w:rPr>
      </w:pPr>
      <w:r w:rsidRPr="000146D6">
        <w:rPr>
          <w:rFonts w:ascii="Times New Roman" w:hAnsi="Times New Roman" w:cs="Times New Roman"/>
          <w:b/>
          <w:sz w:val="24"/>
          <w:szCs w:val="24"/>
        </w:rPr>
        <w:lastRenderedPageBreak/>
        <w:t xml:space="preserve">Table </w:t>
      </w:r>
      <w:r w:rsidR="0082451E" w:rsidRPr="000146D6">
        <w:rPr>
          <w:rFonts w:ascii="Times New Roman" w:hAnsi="Times New Roman" w:cs="Times New Roman"/>
          <w:b/>
          <w:sz w:val="24"/>
          <w:szCs w:val="24"/>
        </w:rPr>
        <w:t>2</w:t>
      </w:r>
      <w:r w:rsidRPr="000146D6">
        <w:rPr>
          <w:rFonts w:ascii="Times New Roman" w:hAnsi="Times New Roman" w:cs="Times New Roman"/>
          <w:b/>
          <w:sz w:val="24"/>
          <w:szCs w:val="24"/>
        </w:rPr>
        <w:t>.</w:t>
      </w:r>
      <w:r w:rsidRPr="000146D6">
        <w:rPr>
          <w:rFonts w:ascii="Times New Roman" w:hAnsi="Times New Roman" w:cs="Times New Roman"/>
          <w:b/>
          <w:sz w:val="24"/>
          <w:szCs w:val="24"/>
        </w:rPr>
        <w:tab/>
      </w:r>
      <w:r w:rsidR="00AE68B7" w:rsidRPr="000146D6">
        <w:rPr>
          <w:rFonts w:ascii="Times New Roman" w:hAnsi="Times New Roman" w:cs="Times New Roman"/>
          <w:b/>
          <w:sz w:val="24"/>
          <w:szCs w:val="24"/>
        </w:rPr>
        <w:t>Macroscopic features of fundic gland polyps</w:t>
      </w:r>
    </w:p>
    <w:tbl>
      <w:tblPr>
        <w:tblStyle w:val="TableGrid"/>
        <w:tblW w:w="0" w:type="auto"/>
        <w:jc w:val="center"/>
        <w:tblLook w:val="04A0" w:firstRow="1" w:lastRow="0" w:firstColumn="1" w:lastColumn="0" w:noHBand="0" w:noVBand="1"/>
      </w:tblPr>
      <w:tblGrid>
        <w:gridCol w:w="2115"/>
        <w:gridCol w:w="1927"/>
        <w:gridCol w:w="1488"/>
        <w:gridCol w:w="1411"/>
        <w:gridCol w:w="1985"/>
      </w:tblGrid>
      <w:tr w:rsidR="00A979E5" w:rsidRPr="000146D6" w14:paraId="4C5CD235" w14:textId="77777777" w:rsidTr="00241141">
        <w:trPr>
          <w:jc w:val="center"/>
        </w:trPr>
        <w:tc>
          <w:tcPr>
            <w:tcW w:w="4042" w:type="dxa"/>
            <w:gridSpan w:val="2"/>
            <w:vAlign w:val="center"/>
          </w:tcPr>
          <w:p w14:paraId="4D8199E3" w14:textId="770396C2" w:rsidR="00A979E5" w:rsidRPr="000146D6" w:rsidRDefault="002A6593" w:rsidP="00D14E2F">
            <w:pPr>
              <w:ind w:right="418"/>
              <w:jc w:val="both"/>
              <w:rPr>
                <w:rFonts w:ascii="Times New Roman" w:hAnsi="Times New Roman" w:cs="Times New Roman"/>
                <w:b/>
                <w:bCs/>
                <w:sz w:val="24"/>
                <w:szCs w:val="24"/>
              </w:rPr>
            </w:pPr>
            <w:bookmarkStart w:id="2" w:name="_Hlk216094506"/>
            <w:r w:rsidRPr="000146D6">
              <w:rPr>
                <w:rFonts w:ascii="Times New Roman" w:hAnsi="Times New Roman" w:cs="Times New Roman"/>
                <w:b/>
                <w:bCs/>
                <w:sz w:val="24"/>
                <w:szCs w:val="24"/>
              </w:rPr>
              <w:t>Characteristics</w:t>
            </w:r>
          </w:p>
        </w:tc>
        <w:tc>
          <w:tcPr>
            <w:tcW w:w="1488" w:type="dxa"/>
            <w:vAlign w:val="center"/>
          </w:tcPr>
          <w:p w14:paraId="7FF9758C" w14:textId="0F57E546" w:rsidR="00A979E5" w:rsidRPr="000146D6" w:rsidRDefault="002A6593" w:rsidP="00D14E2F">
            <w:pPr>
              <w:jc w:val="both"/>
              <w:rPr>
                <w:rFonts w:ascii="Times New Roman" w:hAnsi="Times New Roman" w:cs="Times New Roman"/>
                <w:b/>
                <w:bCs/>
                <w:sz w:val="24"/>
                <w:szCs w:val="24"/>
              </w:rPr>
            </w:pPr>
            <w:r w:rsidRPr="000146D6">
              <w:rPr>
                <w:rFonts w:ascii="Times New Roman" w:hAnsi="Times New Roman" w:cs="Times New Roman"/>
                <w:b/>
                <w:bCs/>
                <w:sz w:val="24"/>
                <w:szCs w:val="24"/>
              </w:rPr>
              <w:t>Number (n)</w:t>
            </w:r>
          </w:p>
        </w:tc>
        <w:tc>
          <w:tcPr>
            <w:tcW w:w="1411" w:type="dxa"/>
            <w:vAlign w:val="center"/>
          </w:tcPr>
          <w:p w14:paraId="201F8521" w14:textId="5A326297" w:rsidR="00A979E5" w:rsidRPr="000146D6" w:rsidRDefault="002A6593" w:rsidP="00D14E2F">
            <w:pPr>
              <w:jc w:val="both"/>
              <w:rPr>
                <w:rFonts w:ascii="Times New Roman" w:hAnsi="Times New Roman" w:cs="Times New Roman"/>
                <w:b/>
                <w:bCs/>
                <w:sz w:val="24"/>
                <w:szCs w:val="24"/>
              </w:rPr>
            </w:pPr>
            <w:r w:rsidRPr="000146D6">
              <w:rPr>
                <w:rFonts w:ascii="Times New Roman" w:hAnsi="Times New Roman" w:cs="Times New Roman"/>
                <w:b/>
                <w:bCs/>
                <w:sz w:val="24"/>
                <w:szCs w:val="24"/>
              </w:rPr>
              <w:t>Percentage (%)</w:t>
            </w:r>
          </w:p>
        </w:tc>
        <w:tc>
          <w:tcPr>
            <w:tcW w:w="1985" w:type="dxa"/>
            <w:vAlign w:val="center"/>
          </w:tcPr>
          <w:p w14:paraId="744313D5" w14:textId="0C4873C8" w:rsidR="00A979E5" w:rsidRPr="000146D6" w:rsidRDefault="00620BE0" w:rsidP="00D14E2F">
            <w:pPr>
              <w:jc w:val="both"/>
              <w:rPr>
                <w:rFonts w:ascii="Times New Roman" w:hAnsi="Times New Roman" w:cs="Times New Roman"/>
                <w:b/>
                <w:bCs/>
                <w:sz w:val="24"/>
                <w:szCs w:val="24"/>
              </w:rPr>
            </w:pPr>
            <w:r w:rsidRPr="000146D6">
              <w:rPr>
                <w:rFonts w:ascii="Times New Roman" w:hAnsi="Times New Roman" w:cs="Times New Roman"/>
                <w:b/>
                <w:bCs/>
                <w:sz w:val="24"/>
                <w:szCs w:val="24"/>
              </w:rPr>
              <w:t>Total (n)</w:t>
            </w:r>
          </w:p>
        </w:tc>
      </w:tr>
      <w:tr w:rsidR="00A979E5" w:rsidRPr="000146D6" w14:paraId="00526774" w14:textId="77777777" w:rsidTr="00241141">
        <w:trPr>
          <w:jc w:val="center"/>
        </w:trPr>
        <w:tc>
          <w:tcPr>
            <w:tcW w:w="2115" w:type="dxa"/>
            <w:vMerge w:val="restart"/>
            <w:vAlign w:val="center"/>
          </w:tcPr>
          <w:p w14:paraId="5D40FB30" w14:textId="69B19FCF" w:rsidR="00A979E5" w:rsidRPr="000146D6" w:rsidRDefault="002A659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Location</w:t>
            </w:r>
          </w:p>
        </w:tc>
        <w:tc>
          <w:tcPr>
            <w:tcW w:w="1927" w:type="dxa"/>
            <w:vAlign w:val="center"/>
          </w:tcPr>
          <w:p w14:paraId="20F139D4" w14:textId="543CE42F" w:rsidR="00A979E5"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Cardia</w:t>
            </w:r>
          </w:p>
        </w:tc>
        <w:tc>
          <w:tcPr>
            <w:tcW w:w="1488" w:type="dxa"/>
            <w:vAlign w:val="center"/>
          </w:tcPr>
          <w:p w14:paraId="6144483D"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3</w:t>
            </w:r>
          </w:p>
        </w:tc>
        <w:tc>
          <w:tcPr>
            <w:tcW w:w="1411" w:type="dxa"/>
            <w:vAlign w:val="center"/>
          </w:tcPr>
          <w:p w14:paraId="13943E47" w14:textId="6694DD70" w:rsidR="00A979E5" w:rsidRPr="000146D6" w:rsidRDefault="00A979E5" w:rsidP="00D14E2F">
            <w:pPr>
              <w:tabs>
                <w:tab w:val="left" w:pos="1141"/>
              </w:tabs>
              <w:ind w:right="418"/>
              <w:jc w:val="both"/>
              <w:rPr>
                <w:rFonts w:ascii="Times New Roman" w:hAnsi="Times New Roman" w:cs="Times New Roman"/>
                <w:sz w:val="24"/>
                <w:szCs w:val="24"/>
              </w:rPr>
            </w:pPr>
            <w:r w:rsidRPr="000146D6">
              <w:rPr>
                <w:rFonts w:ascii="Times New Roman" w:hAnsi="Times New Roman" w:cs="Times New Roman"/>
                <w:sz w:val="24"/>
                <w:szCs w:val="24"/>
              </w:rPr>
              <w:t>0</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7</w:t>
            </w:r>
          </w:p>
        </w:tc>
        <w:tc>
          <w:tcPr>
            <w:tcW w:w="1985" w:type="dxa"/>
            <w:vMerge w:val="restart"/>
            <w:vAlign w:val="center"/>
          </w:tcPr>
          <w:p w14:paraId="3925F5C5" w14:textId="77777777" w:rsidR="00A979E5" w:rsidRPr="000146D6" w:rsidRDefault="00A979E5" w:rsidP="00D14E2F">
            <w:pPr>
              <w:jc w:val="both"/>
              <w:rPr>
                <w:rFonts w:ascii="Times New Roman" w:hAnsi="Times New Roman" w:cs="Times New Roman"/>
                <w:sz w:val="24"/>
                <w:szCs w:val="24"/>
              </w:rPr>
            </w:pPr>
            <w:r w:rsidRPr="000146D6">
              <w:rPr>
                <w:rFonts w:ascii="Times New Roman" w:hAnsi="Times New Roman" w:cs="Times New Roman"/>
                <w:sz w:val="24"/>
                <w:szCs w:val="24"/>
              </w:rPr>
              <w:t>459</w:t>
            </w:r>
          </w:p>
        </w:tc>
      </w:tr>
      <w:tr w:rsidR="00A979E5" w:rsidRPr="000146D6" w14:paraId="4661F821" w14:textId="77777777" w:rsidTr="00241141">
        <w:trPr>
          <w:jc w:val="center"/>
        </w:trPr>
        <w:tc>
          <w:tcPr>
            <w:tcW w:w="2115" w:type="dxa"/>
            <w:vMerge/>
            <w:vAlign w:val="center"/>
          </w:tcPr>
          <w:p w14:paraId="74577B4B"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5B21E841" w14:textId="281C9762" w:rsidR="00A979E5"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Fundus</w:t>
            </w:r>
          </w:p>
        </w:tc>
        <w:tc>
          <w:tcPr>
            <w:tcW w:w="1488" w:type="dxa"/>
            <w:vAlign w:val="center"/>
          </w:tcPr>
          <w:p w14:paraId="3ED7DF27"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38</w:t>
            </w:r>
          </w:p>
        </w:tc>
        <w:tc>
          <w:tcPr>
            <w:tcW w:w="1411" w:type="dxa"/>
            <w:vAlign w:val="center"/>
          </w:tcPr>
          <w:p w14:paraId="7A98B754" w14:textId="32F24993"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8</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3</w:t>
            </w:r>
          </w:p>
        </w:tc>
        <w:tc>
          <w:tcPr>
            <w:tcW w:w="1985" w:type="dxa"/>
            <w:vMerge/>
            <w:vAlign w:val="center"/>
          </w:tcPr>
          <w:p w14:paraId="4FBDFB64"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7AD4DE91" w14:textId="77777777" w:rsidTr="00241141">
        <w:trPr>
          <w:jc w:val="center"/>
        </w:trPr>
        <w:tc>
          <w:tcPr>
            <w:tcW w:w="2115" w:type="dxa"/>
            <w:vMerge/>
            <w:vAlign w:val="center"/>
          </w:tcPr>
          <w:p w14:paraId="3778EACC"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34D461A9" w14:textId="65F01804" w:rsidR="00A979E5"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Body</w:t>
            </w:r>
          </w:p>
        </w:tc>
        <w:tc>
          <w:tcPr>
            <w:tcW w:w="1488" w:type="dxa"/>
            <w:vAlign w:val="center"/>
          </w:tcPr>
          <w:p w14:paraId="52B36A28"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409</w:t>
            </w:r>
          </w:p>
        </w:tc>
        <w:tc>
          <w:tcPr>
            <w:tcW w:w="1411" w:type="dxa"/>
            <w:vAlign w:val="center"/>
          </w:tcPr>
          <w:p w14:paraId="47FC7199" w14:textId="7777777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89</w:t>
            </w:r>
          </w:p>
        </w:tc>
        <w:tc>
          <w:tcPr>
            <w:tcW w:w="1985" w:type="dxa"/>
            <w:vMerge/>
            <w:vAlign w:val="center"/>
          </w:tcPr>
          <w:p w14:paraId="3A9ED818"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19C6B63D" w14:textId="77777777" w:rsidTr="00241141">
        <w:trPr>
          <w:jc w:val="center"/>
        </w:trPr>
        <w:tc>
          <w:tcPr>
            <w:tcW w:w="2115" w:type="dxa"/>
            <w:vMerge/>
            <w:vAlign w:val="center"/>
          </w:tcPr>
          <w:p w14:paraId="536B5650"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57DB1BCB" w14:textId="5C6ABB93" w:rsidR="00A979E5"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Antrum</w:t>
            </w:r>
          </w:p>
        </w:tc>
        <w:tc>
          <w:tcPr>
            <w:tcW w:w="1488" w:type="dxa"/>
            <w:vAlign w:val="center"/>
          </w:tcPr>
          <w:p w14:paraId="0BC627B2"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9</w:t>
            </w:r>
          </w:p>
        </w:tc>
        <w:tc>
          <w:tcPr>
            <w:tcW w:w="1411" w:type="dxa"/>
            <w:vAlign w:val="center"/>
          </w:tcPr>
          <w:p w14:paraId="4BED8F2F" w14:textId="7777777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p>
        </w:tc>
        <w:tc>
          <w:tcPr>
            <w:tcW w:w="1985" w:type="dxa"/>
            <w:vMerge/>
            <w:vAlign w:val="center"/>
          </w:tcPr>
          <w:p w14:paraId="739AEEC3"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38376C5A" w14:textId="77777777" w:rsidTr="00241141">
        <w:trPr>
          <w:jc w:val="center"/>
        </w:trPr>
        <w:tc>
          <w:tcPr>
            <w:tcW w:w="2115" w:type="dxa"/>
            <w:vMerge w:val="restart"/>
            <w:vAlign w:val="center"/>
          </w:tcPr>
          <w:p w14:paraId="7749FE53" w14:textId="7E126424" w:rsidR="00A979E5" w:rsidRPr="000146D6" w:rsidRDefault="00C71919"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of polyps</w:t>
            </w:r>
          </w:p>
        </w:tc>
        <w:tc>
          <w:tcPr>
            <w:tcW w:w="1927" w:type="dxa"/>
            <w:vAlign w:val="center"/>
          </w:tcPr>
          <w:p w14:paraId="6CAEB0E2" w14:textId="7777777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 polyp</w:t>
            </w:r>
          </w:p>
        </w:tc>
        <w:tc>
          <w:tcPr>
            <w:tcW w:w="1488" w:type="dxa"/>
            <w:vAlign w:val="center"/>
          </w:tcPr>
          <w:p w14:paraId="04C4BC53"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188</w:t>
            </w:r>
          </w:p>
        </w:tc>
        <w:tc>
          <w:tcPr>
            <w:tcW w:w="1411" w:type="dxa"/>
            <w:vAlign w:val="center"/>
          </w:tcPr>
          <w:p w14:paraId="0A797720" w14:textId="7777777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41</w:t>
            </w:r>
          </w:p>
        </w:tc>
        <w:tc>
          <w:tcPr>
            <w:tcW w:w="1985" w:type="dxa"/>
            <w:vMerge/>
            <w:vAlign w:val="center"/>
          </w:tcPr>
          <w:p w14:paraId="70DBB83A"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03894143" w14:textId="77777777" w:rsidTr="00241141">
        <w:trPr>
          <w:jc w:val="center"/>
        </w:trPr>
        <w:tc>
          <w:tcPr>
            <w:tcW w:w="2115" w:type="dxa"/>
            <w:vMerge/>
            <w:vAlign w:val="center"/>
          </w:tcPr>
          <w:p w14:paraId="41448619"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7CD938E8" w14:textId="7777777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&gt;1 polyp</w:t>
            </w:r>
          </w:p>
        </w:tc>
        <w:tc>
          <w:tcPr>
            <w:tcW w:w="1488" w:type="dxa"/>
            <w:vAlign w:val="center"/>
          </w:tcPr>
          <w:p w14:paraId="34691597"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271</w:t>
            </w:r>
          </w:p>
        </w:tc>
        <w:tc>
          <w:tcPr>
            <w:tcW w:w="1411" w:type="dxa"/>
            <w:vAlign w:val="center"/>
          </w:tcPr>
          <w:p w14:paraId="3E6E1EB1" w14:textId="7777777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59</w:t>
            </w:r>
          </w:p>
        </w:tc>
        <w:tc>
          <w:tcPr>
            <w:tcW w:w="1985" w:type="dxa"/>
            <w:vMerge/>
            <w:vAlign w:val="center"/>
          </w:tcPr>
          <w:p w14:paraId="219C482A"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729B1B10" w14:textId="77777777" w:rsidTr="00CA228B">
        <w:trPr>
          <w:trHeight w:val="85"/>
          <w:jc w:val="center"/>
        </w:trPr>
        <w:tc>
          <w:tcPr>
            <w:tcW w:w="2115" w:type="dxa"/>
            <w:vMerge w:val="restart"/>
            <w:vAlign w:val="center"/>
          </w:tcPr>
          <w:p w14:paraId="43995E30" w14:textId="243D6334" w:rsidR="00A979E5" w:rsidRPr="000146D6" w:rsidRDefault="00C71919"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 xml:space="preserve">Size </w:t>
            </w:r>
            <w:r w:rsidR="00A979E5" w:rsidRPr="000146D6">
              <w:rPr>
                <w:rFonts w:ascii="Times New Roman" w:hAnsi="Times New Roman" w:cs="Times New Roman"/>
                <w:b/>
                <w:bCs/>
                <w:sz w:val="24"/>
                <w:szCs w:val="24"/>
              </w:rPr>
              <w:t>(mm)</w:t>
            </w:r>
          </w:p>
        </w:tc>
        <w:tc>
          <w:tcPr>
            <w:tcW w:w="1927" w:type="dxa"/>
            <w:vAlign w:val="center"/>
          </w:tcPr>
          <w:p w14:paraId="6DBF2FC7" w14:textId="7E500A55"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&lt;10</w:t>
            </w:r>
          </w:p>
        </w:tc>
        <w:tc>
          <w:tcPr>
            <w:tcW w:w="1488" w:type="dxa"/>
            <w:vAlign w:val="center"/>
          </w:tcPr>
          <w:p w14:paraId="5A98C50D"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418</w:t>
            </w:r>
          </w:p>
        </w:tc>
        <w:tc>
          <w:tcPr>
            <w:tcW w:w="1411" w:type="dxa"/>
            <w:vAlign w:val="center"/>
          </w:tcPr>
          <w:p w14:paraId="31CC62F5" w14:textId="792BC281"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91</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1</w:t>
            </w:r>
          </w:p>
        </w:tc>
        <w:tc>
          <w:tcPr>
            <w:tcW w:w="1985" w:type="dxa"/>
            <w:vMerge/>
            <w:vAlign w:val="center"/>
          </w:tcPr>
          <w:p w14:paraId="08FD25AD"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7FB3BD6D" w14:textId="77777777" w:rsidTr="00241141">
        <w:trPr>
          <w:jc w:val="center"/>
        </w:trPr>
        <w:tc>
          <w:tcPr>
            <w:tcW w:w="2115" w:type="dxa"/>
            <w:vMerge/>
            <w:vAlign w:val="center"/>
          </w:tcPr>
          <w:p w14:paraId="436A1E03"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590E33D4" w14:textId="6A818D85"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10–19</w:t>
            </w:r>
          </w:p>
        </w:tc>
        <w:tc>
          <w:tcPr>
            <w:tcW w:w="1488" w:type="dxa"/>
            <w:vAlign w:val="center"/>
          </w:tcPr>
          <w:p w14:paraId="10E72496"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38</w:t>
            </w:r>
          </w:p>
        </w:tc>
        <w:tc>
          <w:tcPr>
            <w:tcW w:w="1411" w:type="dxa"/>
            <w:vAlign w:val="center"/>
          </w:tcPr>
          <w:p w14:paraId="0E73366F" w14:textId="730FC4C3"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8</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3</w:t>
            </w:r>
          </w:p>
        </w:tc>
        <w:tc>
          <w:tcPr>
            <w:tcW w:w="1985" w:type="dxa"/>
            <w:vMerge/>
            <w:vAlign w:val="center"/>
          </w:tcPr>
          <w:p w14:paraId="74FBECAE"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628D5ECD" w14:textId="77777777" w:rsidTr="00241141">
        <w:trPr>
          <w:jc w:val="center"/>
        </w:trPr>
        <w:tc>
          <w:tcPr>
            <w:tcW w:w="2115" w:type="dxa"/>
            <w:vMerge/>
            <w:vAlign w:val="center"/>
          </w:tcPr>
          <w:p w14:paraId="2D77064B"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4A394349" w14:textId="126D19B7"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20–</w:t>
            </w:r>
            <w:r w:rsidR="00CA228B">
              <w:rPr>
                <w:rFonts w:ascii="Times New Roman" w:hAnsi="Times New Roman" w:cs="Times New Roman"/>
                <w:sz w:val="24"/>
                <w:szCs w:val="24"/>
              </w:rPr>
              <w:t>2</w:t>
            </w:r>
            <w:r w:rsidRPr="000146D6">
              <w:rPr>
                <w:rFonts w:ascii="Times New Roman" w:hAnsi="Times New Roman" w:cs="Times New Roman"/>
                <w:sz w:val="24"/>
                <w:szCs w:val="24"/>
              </w:rPr>
              <w:t>9</w:t>
            </w:r>
          </w:p>
        </w:tc>
        <w:tc>
          <w:tcPr>
            <w:tcW w:w="1488" w:type="dxa"/>
            <w:vAlign w:val="center"/>
          </w:tcPr>
          <w:p w14:paraId="11D731C5"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3</w:t>
            </w:r>
          </w:p>
        </w:tc>
        <w:tc>
          <w:tcPr>
            <w:tcW w:w="1411" w:type="dxa"/>
            <w:vAlign w:val="center"/>
          </w:tcPr>
          <w:p w14:paraId="079D1BC6" w14:textId="755A6BE1"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6</w:t>
            </w:r>
          </w:p>
        </w:tc>
        <w:tc>
          <w:tcPr>
            <w:tcW w:w="1985" w:type="dxa"/>
            <w:vMerge/>
            <w:vAlign w:val="center"/>
          </w:tcPr>
          <w:p w14:paraId="313F402A"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3CF42AB7" w14:textId="77777777" w:rsidTr="00241141">
        <w:trPr>
          <w:jc w:val="center"/>
        </w:trPr>
        <w:tc>
          <w:tcPr>
            <w:tcW w:w="2115" w:type="dxa"/>
            <w:vMerge w:val="restart"/>
            <w:vAlign w:val="center"/>
          </w:tcPr>
          <w:p w14:paraId="647ACC9E" w14:textId="1AE4F0E0" w:rsidR="00A979E5" w:rsidRPr="000146D6" w:rsidRDefault="00FE27B8" w:rsidP="00D14E2F">
            <w:pPr>
              <w:ind w:right="418"/>
              <w:jc w:val="both"/>
              <w:rPr>
                <w:rFonts w:ascii="Times New Roman" w:hAnsi="Times New Roman" w:cs="Times New Roman"/>
                <w:b/>
                <w:bCs/>
                <w:sz w:val="24"/>
                <w:szCs w:val="24"/>
              </w:rPr>
            </w:pPr>
            <w:proofErr w:type="spellStart"/>
            <w:r w:rsidRPr="000146D6">
              <w:rPr>
                <w:rFonts w:ascii="Times New Roman" w:hAnsi="Times New Roman" w:cs="Times New Roman"/>
                <w:b/>
                <w:bCs/>
                <w:sz w:val="24"/>
                <w:szCs w:val="24"/>
              </w:rPr>
              <w:t>Pedunculation</w:t>
            </w:r>
            <w:proofErr w:type="spellEnd"/>
            <w:r w:rsidRPr="000146D6">
              <w:rPr>
                <w:rFonts w:ascii="Times New Roman" w:hAnsi="Times New Roman" w:cs="Times New Roman"/>
                <w:b/>
                <w:bCs/>
                <w:sz w:val="24"/>
                <w:szCs w:val="24"/>
              </w:rPr>
              <w:t xml:space="preserve"> status</w:t>
            </w:r>
          </w:p>
        </w:tc>
        <w:tc>
          <w:tcPr>
            <w:tcW w:w="1927" w:type="dxa"/>
            <w:vAlign w:val="center"/>
          </w:tcPr>
          <w:p w14:paraId="5608A3B0" w14:textId="78749E33" w:rsidR="00A979E5" w:rsidRPr="000146D6" w:rsidRDefault="00B017D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Pedunculated</w:t>
            </w:r>
          </w:p>
        </w:tc>
        <w:tc>
          <w:tcPr>
            <w:tcW w:w="1488" w:type="dxa"/>
            <w:vAlign w:val="center"/>
          </w:tcPr>
          <w:p w14:paraId="247C6C0F"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6</w:t>
            </w:r>
          </w:p>
        </w:tc>
        <w:tc>
          <w:tcPr>
            <w:tcW w:w="1411" w:type="dxa"/>
            <w:vAlign w:val="center"/>
          </w:tcPr>
          <w:p w14:paraId="544A3C1D" w14:textId="24648C78"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3</w:t>
            </w:r>
          </w:p>
        </w:tc>
        <w:tc>
          <w:tcPr>
            <w:tcW w:w="1985" w:type="dxa"/>
            <w:vMerge/>
            <w:vAlign w:val="center"/>
          </w:tcPr>
          <w:p w14:paraId="3EF0F502" w14:textId="77777777" w:rsidR="00A979E5" w:rsidRPr="000146D6" w:rsidRDefault="00A979E5" w:rsidP="00D14E2F">
            <w:pPr>
              <w:ind w:right="418"/>
              <w:jc w:val="both"/>
              <w:rPr>
                <w:rFonts w:ascii="Times New Roman" w:hAnsi="Times New Roman" w:cs="Times New Roman"/>
                <w:sz w:val="24"/>
                <w:szCs w:val="24"/>
              </w:rPr>
            </w:pPr>
          </w:p>
        </w:tc>
      </w:tr>
      <w:tr w:rsidR="00A979E5" w:rsidRPr="000146D6" w14:paraId="4ED98C18" w14:textId="77777777" w:rsidTr="00241141">
        <w:trPr>
          <w:jc w:val="center"/>
        </w:trPr>
        <w:tc>
          <w:tcPr>
            <w:tcW w:w="2115" w:type="dxa"/>
            <w:vMerge/>
            <w:vAlign w:val="center"/>
          </w:tcPr>
          <w:p w14:paraId="7E1771EA" w14:textId="77777777" w:rsidR="00A979E5" w:rsidRPr="000146D6" w:rsidRDefault="00A979E5" w:rsidP="00D14E2F">
            <w:pPr>
              <w:ind w:right="418"/>
              <w:jc w:val="both"/>
              <w:rPr>
                <w:rFonts w:ascii="Times New Roman" w:hAnsi="Times New Roman" w:cs="Times New Roman"/>
                <w:sz w:val="24"/>
                <w:szCs w:val="24"/>
              </w:rPr>
            </w:pPr>
          </w:p>
        </w:tc>
        <w:tc>
          <w:tcPr>
            <w:tcW w:w="1927" w:type="dxa"/>
            <w:vAlign w:val="center"/>
          </w:tcPr>
          <w:p w14:paraId="647A0A21" w14:textId="6A8C69BF" w:rsidR="00A979E5" w:rsidRPr="000146D6" w:rsidRDefault="00B017D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Sessile</w:t>
            </w:r>
          </w:p>
        </w:tc>
        <w:tc>
          <w:tcPr>
            <w:tcW w:w="1488" w:type="dxa"/>
            <w:vAlign w:val="center"/>
          </w:tcPr>
          <w:p w14:paraId="38E37206" w14:textId="77777777" w:rsidR="00A979E5" w:rsidRPr="000146D6" w:rsidRDefault="00A979E5" w:rsidP="00D14E2F">
            <w:pPr>
              <w:tabs>
                <w:tab w:val="left" w:pos="804"/>
              </w:tabs>
              <w:ind w:right="418"/>
              <w:jc w:val="both"/>
              <w:rPr>
                <w:rFonts w:ascii="Times New Roman" w:hAnsi="Times New Roman" w:cs="Times New Roman"/>
                <w:sz w:val="24"/>
                <w:szCs w:val="24"/>
              </w:rPr>
            </w:pPr>
            <w:r w:rsidRPr="000146D6">
              <w:rPr>
                <w:rFonts w:ascii="Times New Roman" w:hAnsi="Times New Roman" w:cs="Times New Roman"/>
                <w:sz w:val="24"/>
                <w:szCs w:val="24"/>
              </w:rPr>
              <w:t>453</w:t>
            </w:r>
          </w:p>
        </w:tc>
        <w:tc>
          <w:tcPr>
            <w:tcW w:w="1411" w:type="dxa"/>
            <w:vAlign w:val="center"/>
          </w:tcPr>
          <w:p w14:paraId="089A2873" w14:textId="48EF7B82" w:rsidR="00A979E5" w:rsidRPr="000146D6" w:rsidRDefault="00A979E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98</w:t>
            </w:r>
            <w:r w:rsidR="00AB3EBA" w:rsidRPr="000146D6">
              <w:rPr>
                <w:rFonts w:ascii="Times New Roman" w:hAnsi="Times New Roman" w:cs="Times New Roman"/>
                <w:sz w:val="24"/>
                <w:szCs w:val="24"/>
              </w:rPr>
              <w:t>.</w:t>
            </w:r>
            <w:r w:rsidRPr="000146D6">
              <w:rPr>
                <w:rFonts w:ascii="Times New Roman" w:hAnsi="Times New Roman" w:cs="Times New Roman"/>
                <w:sz w:val="24"/>
                <w:szCs w:val="24"/>
              </w:rPr>
              <w:t>7</w:t>
            </w:r>
          </w:p>
        </w:tc>
        <w:tc>
          <w:tcPr>
            <w:tcW w:w="1985" w:type="dxa"/>
            <w:vMerge/>
            <w:vAlign w:val="center"/>
          </w:tcPr>
          <w:p w14:paraId="1D0E7635" w14:textId="77777777" w:rsidR="00A979E5" w:rsidRPr="000146D6" w:rsidRDefault="00A979E5" w:rsidP="00D14E2F">
            <w:pPr>
              <w:ind w:right="418"/>
              <w:jc w:val="both"/>
              <w:rPr>
                <w:rFonts w:ascii="Times New Roman" w:hAnsi="Times New Roman" w:cs="Times New Roman"/>
                <w:sz w:val="24"/>
                <w:szCs w:val="24"/>
              </w:rPr>
            </w:pPr>
          </w:p>
        </w:tc>
      </w:tr>
      <w:bookmarkEnd w:id="2"/>
    </w:tbl>
    <w:p w14:paraId="59D7F93E" w14:textId="77777777" w:rsidR="00A979E5" w:rsidRPr="000146D6" w:rsidRDefault="00A979E5" w:rsidP="00D14E2F">
      <w:pPr>
        <w:spacing w:line="240" w:lineRule="auto"/>
        <w:ind w:right="418"/>
        <w:jc w:val="both"/>
        <w:rPr>
          <w:rFonts w:ascii="Times New Roman" w:hAnsi="Times New Roman" w:cs="Times New Roman"/>
          <w:sz w:val="24"/>
          <w:szCs w:val="24"/>
        </w:rPr>
      </w:pPr>
    </w:p>
    <w:p w14:paraId="72F98C24" w14:textId="77777777" w:rsidR="00535F67" w:rsidRPr="000146D6" w:rsidRDefault="00535F67"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Observation:</w:t>
      </w:r>
      <w:r w:rsidRPr="000146D6">
        <w:rPr>
          <w:rFonts w:ascii="Times New Roman" w:hAnsi="Times New Roman" w:cs="Times New Roman"/>
          <w:sz w:val="24"/>
          <w:szCs w:val="24"/>
        </w:rPr>
        <w:t xml:space="preserve"> Gastric polyps were predominantly located in the gastric body (89.0%), followed by the fundus (8.3%), while other locations were uncommon. Multiple polyps were more frequent than single polyps, accounting for 59% and 41% of cases, respectively. Most polyps were small, with 91.1% measuring less than 10 mm, whereas larger polyps were rare. Sessile polyps predominated (98.7%), while pedunculated polyps were uncommon (1.3%).</w:t>
      </w:r>
    </w:p>
    <w:p w14:paraId="243FEA26" w14:textId="736B35BD" w:rsidR="005D014F" w:rsidRPr="000146D6" w:rsidRDefault="001F6FD4" w:rsidP="00D14E2F">
      <w:pPr>
        <w:spacing w:line="240" w:lineRule="auto"/>
        <w:ind w:right="418"/>
        <w:jc w:val="both"/>
        <w:rPr>
          <w:rFonts w:ascii="Times New Roman" w:hAnsi="Times New Roman" w:cs="Times New Roman"/>
          <w:b/>
          <w:sz w:val="24"/>
          <w:szCs w:val="24"/>
          <w:lang w:val="vi-VN"/>
        </w:rPr>
      </w:pPr>
      <w:r w:rsidRPr="000146D6">
        <w:rPr>
          <w:rFonts w:ascii="Times New Roman" w:hAnsi="Times New Roman" w:cs="Times New Roman"/>
          <w:b/>
          <w:bCs/>
          <w:sz w:val="24"/>
          <w:szCs w:val="24"/>
        </w:rPr>
        <w:t xml:space="preserve">3.1.3 </w:t>
      </w:r>
      <w:r w:rsidR="007A4EC3" w:rsidRPr="000146D6">
        <w:rPr>
          <w:rFonts w:ascii="Times New Roman" w:hAnsi="Times New Roman" w:cs="Times New Roman"/>
          <w:b/>
          <w:sz w:val="24"/>
          <w:szCs w:val="24"/>
        </w:rPr>
        <w:t>Histopathological features</w:t>
      </w:r>
      <w:r w:rsidR="007A4EC3" w:rsidRPr="000146D6">
        <w:rPr>
          <w:rFonts w:ascii="Times New Roman" w:hAnsi="Times New Roman" w:cs="Times New Roman"/>
          <w:b/>
          <w:sz w:val="24"/>
          <w:szCs w:val="24"/>
          <w:lang w:val="vi-VN"/>
        </w:rPr>
        <w:t>:</w:t>
      </w:r>
    </w:p>
    <w:p w14:paraId="177CDE40" w14:textId="7CA85B0B" w:rsidR="001F6FD4" w:rsidRPr="000146D6" w:rsidRDefault="001F6FD4" w:rsidP="00D14E2F">
      <w:pPr>
        <w:spacing w:line="240" w:lineRule="auto"/>
        <w:ind w:right="418"/>
        <w:jc w:val="both"/>
        <w:rPr>
          <w:rFonts w:ascii="Times New Roman" w:hAnsi="Times New Roman" w:cs="Times New Roman"/>
          <w:b/>
          <w:sz w:val="24"/>
          <w:szCs w:val="24"/>
        </w:rPr>
      </w:pPr>
      <w:r w:rsidRPr="000146D6">
        <w:rPr>
          <w:rFonts w:ascii="Times New Roman" w:hAnsi="Times New Roman" w:cs="Times New Roman"/>
          <w:b/>
          <w:sz w:val="24"/>
          <w:szCs w:val="24"/>
        </w:rPr>
        <w:t xml:space="preserve">Table </w:t>
      </w:r>
      <w:r w:rsidR="0082451E" w:rsidRPr="000146D6">
        <w:rPr>
          <w:rFonts w:ascii="Times New Roman" w:hAnsi="Times New Roman" w:cs="Times New Roman"/>
          <w:b/>
          <w:sz w:val="24"/>
          <w:szCs w:val="24"/>
        </w:rPr>
        <w:t>3</w:t>
      </w:r>
      <w:r w:rsidRPr="000146D6">
        <w:rPr>
          <w:rFonts w:ascii="Times New Roman" w:hAnsi="Times New Roman" w:cs="Times New Roman"/>
          <w:b/>
          <w:sz w:val="24"/>
          <w:szCs w:val="24"/>
        </w:rPr>
        <w:t>.</w:t>
      </w:r>
      <w:r w:rsidRPr="000146D6">
        <w:rPr>
          <w:rFonts w:ascii="Times New Roman" w:hAnsi="Times New Roman" w:cs="Times New Roman"/>
          <w:b/>
          <w:sz w:val="24"/>
          <w:szCs w:val="24"/>
        </w:rPr>
        <w:tab/>
      </w:r>
      <w:r w:rsidR="007A4EC3" w:rsidRPr="000146D6">
        <w:rPr>
          <w:rFonts w:ascii="Times New Roman" w:hAnsi="Times New Roman" w:cs="Times New Roman"/>
          <w:b/>
          <w:sz w:val="24"/>
          <w:szCs w:val="24"/>
        </w:rPr>
        <w:t xml:space="preserve">Histopathological features </w:t>
      </w:r>
      <w:r w:rsidRPr="000146D6">
        <w:rPr>
          <w:rFonts w:ascii="Times New Roman" w:hAnsi="Times New Roman" w:cs="Times New Roman"/>
          <w:b/>
          <w:sz w:val="24"/>
          <w:szCs w:val="24"/>
        </w:rPr>
        <w:t>of fundic gland polyps</w:t>
      </w:r>
    </w:p>
    <w:tbl>
      <w:tblPr>
        <w:tblStyle w:val="TableGrid"/>
        <w:tblW w:w="9154" w:type="dxa"/>
        <w:tblLook w:val="04A0" w:firstRow="1" w:lastRow="0" w:firstColumn="1" w:lastColumn="0" w:noHBand="0" w:noVBand="1"/>
      </w:tblPr>
      <w:tblGrid>
        <w:gridCol w:w="2048"/>
        <w:gridCol w:w="2885"/>
        <w:gridCol w:w="1488"/>
        <w:gridCol w:w="1767"/>
        <w:gridCol w:w="1181"/>
      </w:tblGrid>
      <w:tr w:rsidR="00B9703B" w:rsidRPr="000146D6" w14:paraId="0280B6F7" w14:textId="77777777" w:rsidTr="00451181">
        <w:tc>
          <w:tcPr>
            <w:tcW w:w="4248" w:type="dxa"/>
            <w:gridSpan w:val="2"/>
            <w:vAlign w:val="center"/>
          </w:tcPr>
          <w:p w14:paraId="08506C9E" w14:textId="3D57ED3A" w:rsidR="00B9703B" w:rsidRPr="000146D6" w:rsidRDefault="006D5F0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Chara</w:t>
            </w:r>
            <w:r w:rsidR="00E475B2" w:rsidRPr="000146D6">
              <w:rPr>
                <w:rFonts w:ascii="Times New Roman" w:hAnsi="Times New Roman" w:cs="Times New Roman"/>
                <w:b/>
                <w:bCs/>
                <w:sz w:val="24"/>
                <w:szCs w:val="24"/>
              </w:rPr>
              <w:t>c</w:t>
            </w:r>
            <w:r w:rsidRPr="000146D6">
              <w:rPr>
                <w:rFonts w:ascii="Times New Roman" w:hAnsi="Times New Roman" w:cs="Times New Roman"/>
                <w:b/>
                <w:bCs/>
                <w:sz w:val="24"/>
                <w:szCs w:val="24"/>
              </w:rPr>
              <w:t>teristics</w:t>
            </w:r>
          </w:p>
        </w:tc>
        <w:tc>
          <w:tcPr>
            <w:tcW w:w="1488" w:type="dxa"/>
            <w:vAlign w:val="center"/>
          </w:tcPr>
          <w:p w14:paraId="1063ACC3" w14:textId="4BC70178" w:rsidR="00B9703B" w:rsidRPr="000146D6" w:rsidRDefault="006D5F0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(n)</w:t>
            </w:r>
          </w:p>
        </w:tc>
        <w:tc>
          <w:tcPr>
            <w:tcW w:w="1767" w:type="dxa"/>
            <w:vAlign w:val="center"/>
          </w:tcPr>
          <w:p w14:paraId="5AE773A1" w14:textId="60E2040F" w:rsidR="00B9703B" w:rsidRPr="000146D6" w:rsidRDefault="006D5F0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Percentage (%)</w:t>
            </w:r>
          </w:p>
        </w:tc>
        <w:tc>
          <w:tcPr>
            <w:tcW w:w="1651" w:type="dxa"/>
            <w:vAlign w:val="center"/>
          </w:tcPr>
          <w:p w14:paraId="7C4BC991" w14:textId="747CAFAB" w:rsidR="00B9703B" w:rsidRPr="000146D6" w:rsidRDefault="006D5F0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Total (n)</w:t>
            </w:r>
          </w:p>
        </w:tc>
      </w:tr>
      <w:tr w:rsidR="00B9703B" w:rsidRPr="000146D6" w14:paraId="54432686" w14:textId="77777777" w:rsidTr="00451181">
        <w:tc>
          <w:tcPr>
            <w:tcW w:w="2048" w:type="dxa"/>
            <w:vMerge w:val="restart"/>
            <w:vAlign w:val="center"/>
          </w:tcPr>
          <w:p w14:paraId="1F5F83D2" w14:textId="48182545" w:rsidR="00B9703B" w:rsidRPr="000146D6" w:rsidRDefault="008D189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Inflammation</w:t>
            </w:r>
          </w:p>
        </w:tc>
        <w:tc>
          <w:tcPr>
            <w:tcW w:w="2200" w:type="dxa"/>
            <w:vAlign w:val="center"/>
          </w:tcPr>
          <w:p w14:paraId="2E50D952" w14:textId="253CE12C" w:rsidR="00B9703B" w:rsidRPr="000146D6" w:rsidRDefault="008D189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No inflammation</w:t>
            </w:r>
          </w:p>
        </w:tc>
        <w:tc>
          <w:tcPr>
            <w:tcW w:w="1488" w:type="dxa"/>
            <w:vAlign w:val="center"/>
          </w:tcPr>
          <w:p w14:paraId="6EADE3F2" w14:textId="19F763FB" w:rsidR="00B9703B" w:rsidRPr="000146D6" w:rsidRDefault="008D189A"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402</w:t>
            </w:r>
          </w:p>
        </w:tc>
        <w:tc>
          <w:tcPr>
            <w:tcW w:w="1767" w:type="dxa"/>
            <w:vAlign w:val="center"/>
          </w:tcPr>
          <w:p w14:paraId="200EADDB" w14:textId="5E73405A" w:rsidR="00B9703B" w:rsidRPr="000146D6" w:rsidRDefault="008D189A"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87.6</w:t>
            </w:r>
          </w:p>
        </w:tc>
        <w:tc>
          <w:tcPr>
            <w:tcW w:w="1651" w:type="dxa"/>
            <w:vMerge w:val="restart"/>
            <w:vAlign w:val="center"/>
          </w:tcPr>
          <w:p w14:paraId="6E30769C" w14:textId="443BF395" w:rsidR="00B9703B" w:rsidRPr="000146D6" w:rsidRDefault="00E475B2" w:rsidP="00D14E2F">
            <w:pPr>
              <w:ind w:right="-2"/>
              <w:jc w:val="both"/>
              <w:rPr>
                <w:rFonts w:ascii="Times New Roman" w:hAnsi="Times New Roman" w:cs="Times New Roman"/>
                <w:sz w:val="24"/>
                <w:szCs w:val="24"/>
              </w:rPr>
            </w:pPr>
            <w:r w:rsidRPr="000146D6">
              <w:rPr>
                <w:rFonts w:ascii="Times New Roman" w:hAnsi="Times New Roman" w:cs="Times New Roman"/>
                <w:sz w:val="24"/>
                <w:szCs w:val="24"/>
              </w:rPr>
              <w:t>459</w:t>
            </w:r>
          </w:p>
        </w:tc>
      </w:tr>
      <w:tr w:rsidR="00B9703B" w:rsidRPr="000146D6" w14:paraId="7195299F" w14:textId="77777777" w:rsidTr="00451181">
        <w:tc>
          <w:tcPr>
            <w:tcW w:w="2048" w:type="dxa"/>
            <w:vMerge/>
            <w:vAlign w:val="center"/>
          </w:tcPr>
          <w:p w14:paraId="2F29B33B"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6DCD9C06" w14:textId="3ACF2C0A" w:rsidR="00B9703B" w:rsidRPr="000146D6" w:rsidRDefault="008D189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Inflamed</w:t>
            </w:r>
          </w:p>
        </w:tc>
        <w:tc>
          <w:tcPr>
            <w:tcW w:w="1488" w:type="dxa"/>
            <w:vAlign w:val="center"/>
          </w:tcPr>
          <w:p w14:paraId="03E777DD" w14:textId="484E4690" w:rsidR="00B9703B" w:rsidRPr="000146D6" w:rsidRDefault="008D189A"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57</w:t>
            </w:r>
          </w:p>
        </w:tc>
        <w:tc>
          <w:tcPr>
            <w:tcW w:w="1767" w:type="dxa"/>
            <w:vAlign w:val="center"/>
          </w:tcPr>
          <w:p w14:paraId="61EDF921" w14:textId="1E47D1CB" w:rsidR="00B9703B" w:rsidRPr="000146D6" w:rsidRDefault="008D189A"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12.4</w:t>
            </w:r>
          </w:p>
        </w:tc>
        <w:tc>
          <w:tcPr>
            <w:tcW w:w="1651" w:type="dxa"/>
            <w:vMerge/>
            <w:vAlign w:val="center"/>
          </w:tcPr>
          <w:p w14:paraId="017B4866"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386FAF4A" w14:textId="77777777" w:rsidTr="00451181">
        <w:tc>
          <w:tcPr>
            <w:tcW w:w="2048" w:type="dxa"/>
            <w:vMerge w:val="restart"/>
            <w:vAlign w:val="center"/>
          </w:tcPr>
          <w:p w14:paraId="026ABE4A" w14:textId="5C7F6806" w:rsidR="00B9703B" w:rsidRPr="000146D6" w:rsidRDefault="00095E34" w:rsidP="00D14E2F">
            <w:pPr>
              <w:tabs>
                <w:tab w:val="left" w:pos="1309"/>
              </w:tabs>
              <w:ind w:right="418"/>
              <w:jc w:val="both"/>
              <w:rPr>
                <w:rFonts w:ascii="Times New Roman" w:hAnsi="Times New Roman" w:cs="Times New Roman"/>
                <w:b/>
                <w:bCs/>
                <w:sz w:val="24"/>
                <w:szCs w:val="24"/>
              </w:rPr>
            </w:pPr>
            <w:r w:rsidRPr="000146D6">
              <w:rPr>
                <w:rFonts w:ascii="Times New Roman" w:hAnsi="Times New Roman" w:cs="Times New Roman"/>
                <w:b/>
                <w:bCs/>
                <w:i/>
                <w:iCs/>
                <w:sz w:val="24"/>
                <w:szCs w:val="24"/>
              </w:rPr>
              <w:t>H. pylori</w:t>
            </w:r>
            <w:r w:rsidR="00451181">
              <w:rPr>
                <w:rFonts w:ascii="Times New Roman" w:hAnsi="Times New Roman" w:cs="Times New Roman"/>
                <w:b/>
                <w:bCs/>
                <w:i/>
                <w:iCs/>
                <w:sz w:val="24"/>
                <w:szCs w:val="24"/>
              </w:rPr>
              <w:t xml:space="preserve"> </w:t>
            </w:r>
            <w:r w:rsidRPr="000146D6">
              <w:rPr>
                <w:rFonts w:ascii="Times New Roman" w:hAnsi="Times New Roman" w:cs="Times New Roman"/>
                <w:b/>
                <w:bCs/>
                <w:sz w:val="24"/>
                <w:szCs w:val="24"/>
              </w:rPr>
              <w:t>infection</w:t>
            </w:r>
          </w:p>
        </w:tc>
        <w:tc>
          <w:tcPr>
            <w:tcW w:w="2200" w:type="dxa"/>
            <w:vAlign w:val="center"/>
          </w:tcPr>
          <w:p w14:paraId="5412CFC2" w14:textId="7BFE96EB" w:rsidR="00B9703B" w:rsidRPr="000146D6" w:rsidRDefault="00095E34"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Negative</w:t>
            </w:r>
          </w:p>
        </w:tc>
        <w:tc>
          <w:tcPr>
            <w:tcW w:w="1488" w:type="dxa"/>
            <w:vAlign w:val="center"/>
          </w:tcPr>
          <w:p w14:paraId="70B92C21" w14:textId="15B3EA52" w:rsidR="00B9703B" w:rsidRPr="000146D6" w:rsidRDefault="00095E34"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458</w:t>
            </w:r>
          </w:p>
        </w:tc>
        <w:tc>
          <w:tcPr>
            <w:tcW w:w="1767" w:type="dxa"/>
            <w:vAlign w:val="center"/>
          </w:tcPr>
          <w:p w14:paraId="0ADED8FD" w14:textId="44E6183E" w:rsidR="00B9703B" w:rsidRPr="000146D6" w:rsidRDefault="00095E34"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99.7</w:t>
            </w:r>
          </w:p>
        </w:tc>
        <w:tc>
          <w:tcPr>
            <w:tcW w:w="1651" w:type="dxa"/>
            <w:vMerge/>
            <w:vAlign w:val="center"/>
          </w:tcPr>
          <w:p w14:paraId="22372413"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2C94A033" w14:textId="77777777" w:rsidTr="00451181">
        <w:tc>
          <w:tcPr>
            <w:tcW w:w="2048" w:type="dxa"/>
            <w:vMerge/>
            <w:vAlign w:val="center"/>
          </w:tcPr>
          <w:p w14:paraId="2FA4812D"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54FC6646" w14:textId="7DB41BE5" w:rsidR="00B9703B" w:rsidRPr="000146D6" w:rsidRDefault="00E944C0"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Positive</w:t>
            </w:r>
          </w:p>
        </w:tc>
        <w:tc>
          <w:tcPr>
            <w:tcW w:w="1488" w:type="dxa"/>
            <w:vAlign w:val="center"/>
          </w:tcPr>
          <w:p w14:paraId="71EC7DD8" w14:textId="3B6CD0A6" w:rsidR="00B9703B" w:rsidRPr="000146D6" w:rsidRDefault="00095E34"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767" w:type="dxa"/>
            <w:vAlign w:val="center"/>
          </w:tcPr>
          <w:p w14:paraId="18A4AF52" w14:textId="76F47E8D" w:rsidR="00B9703B" w:rsidRPr="000146D6" w:rsidRDefault="00F82FDE"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0.</w:t>
            </w:r>
            <w:r w:rsidR="00E944C0" w:rsidRPr="000146D6">
              <w:rPr>
                <w:rFonts w:ascii="Times New Roman" w:hAnsi="Times New Roman" w:cs="Times New Roman"/>
                <w:sz w:val="24"/>
                <w:szCs w:val="24"/>
              </w:rPr>
              <w:t>2</w:t>
            </w:r>
          </w:p>
        </w:tc>
        <w:tc>
          <w:tcPr>
            <w:tcW w:w="1651" w:type="dxa"/>
            <w:vMerge/>
            <w:vAlign w:val="center"/>
          </w:tcPr>
          <w:p w14:paraId="00E6AD57"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14EC1031" w14:textId="77777777" w:rsidTr="00451181">
        <w:tc>
          <w:tcPr>
            <w:tcW w:w="2048" w:type="dxa"/>
            <w:vMerge w:val="restart"/>
            <w:vAlign w:val="center"/>
          </w:tcPr>
          <w:p w14:paraId="5CD283D7" w14:textId="5A72BC9F" w:rsidR="00B9703B" w:rsidRPr="000146D6" w:rsidRDefault="000E487A" w:rsidP="00D14E2F">
            <w:pPr>
              <w:ind w:right="418"/>
              <w:jc w:val="both"/>
              <w:rPr>
                <w:rFonts w:ascii="Times New Roman" w:hAnsi="Times New Roman" w:cs="Times New Roman"/>
                <w:sz w:val="24"/>
                <w:szCs w:val="24"/>
              </w:rPr>
            </w:pPr>
            <w:r w:rsidRPr="000146D6">
              <w:rPr>
                <w:rFonts w:ascii="Times New Roman" w:hAnsi="Times New Roman" w:cs="Times New Roman"/>
                <w:b/>
                <w:bCs/>
                <w:sz w:val="24"/>
                <w:szCs w:val="24"/>
              </w:rPr>
              <w:t>Dysplasia status</w:t>
            </w:r>
          </w:p>
        </w:tc>
        <w:tc>
          <w:tcPr>
            <w:tcW w:w="2200" w:type="dxa"/>
            <w:vAlign w:val="center"/>
          </w:tcPr>
          <w:p w14:paraId="1318C71B" w14:textId="589DB165" w:rsidR="00B9703B" w:rsidRPr="000146D6" w:rsidRDefault="004066D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Absent</w:t>
            </w:r>
          </w:p>
        </w:tc>
        <w:tc>
          <w:tcPr>
            <w:tcW w:w="1488" w:type="dxa"/>
            <w:vAlign w:val="center"/>
          </w:tcPr>
          <w:p w14:paraId="389B197F" w14:textId="208DB555" w:rsidR="00B9703B" w:rsidRPr="000146D6" w:rsidRDefault="00B9703B"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4</w:t>
            </w:r>
            <w:r w:rsidR="004066DD" w:rsidRPr="000146D6">
              <w:rPr>
                <w:rFonts w:ascii="Times New Roman" w:hAnsi="Times New Roman" w:cs="Times New Roman"/>
                <w:sz w:val="24"/>
                <w:szCs w:val="24"/>
              </w:rPr>
              <w:t>55</w:t>
            </w:r>
          </w:p>
        </w:tc>
        <w:tc>
          <w:tcPr>
            <w:tcW w:w="1767" w:type="dxa"/>
            <w:vAlign w:val="center"/>
          </w:tcPr>
          <w:p w14:paraId="312DE9F0" w14:textId="6DD3D008" w:rsidR="00B9703B" w:rsidRPr="000146D6" w:rsidRDefault="004066DD"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99.</w:t>
            </w:r>
            <w:r w:rsidR="00E944C0" w:rsidRPr="000146D6">
              <w:rPr>
                <w:rFonts w:ascii="Times New Roman" w:hAnsi="Times New Roman" w:cs="Times New Roman"/>
                <w:sz w:val="24"/>
                <w:szCs w:val="24"/>
              </w:rPr>
              <w:t>8</w:t>
            </w:r>
          </w:p>
        </w:tc>
        <w:tc>
          <w:tcPr>
            <w:tcW w:w="1651" w:type="dxa"/>
            <w:vMerge/>
            <w:vAlign w:val="center"/>
          </w:tcPr>
          <w:p w14:paraId="49747CFF"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381BD6D4" w14:textId="77777777" w:rsidTr="00451181">
        <w:tc>
          <w:tcPr>
            <w:tcW w:w="2048" w:type="dxa"/>
            <w:vMerge/>
            <w:vAlign w:val="center"/>
          </w:tcPr>
          <w:p w14:paraId="3F35DB34"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10272499" w14:textId="6047AE3E" w:rsidR="00B9703B" w:rsidRPr="000146D6" w:rsidRDefault="00A254B3"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Present</w:t>
            </w:r>
          </w:p>
        </w:tc>
        <w:tc>
          <w:tcPr>
            <w:tcW w:w="1488" w:type="dxa"/>
            <w:vAlign w:val="center"/>
          </w:tcPr>
          <w:p w14:paraId="48B3B8BB" w14:textId="76C1B4DA" w:rsidR="00B9703B" w:rsidRPr="000146D6" w:rsidRDefault="00B9703B"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4</w:t>
            </w:r>
          </w:p>
        </w:tc>
        <w:tc>
          <w:tcPr>
            <w:tcW w:w="1767" w:type="dxa"/>
            <w:vAlign w:val="center"/>
          </w:tcPr>
          <w:p w14:paraId="31C2ABC9" w14:textId="11523E43" w:rsidR="00B9703B" w:rsidRPr="000146D6" w:rsidRDefault="004066DD"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0.9</w:t>
            </w:r>
          </w:p>
        </w:tc>
        <w:tc>
          <w:tcPr>
            <w:tcW w:w="1651" w:type="dxa"/>
            <w:vMerge/>
            <w:vAlign w:val="center"/>
          </w:tcPr>
          <w:p w14:paraId="14450D4C"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7DF1D449" w14:textId="77777777" w:rsidTr="00451181">
        <w:tc>
          <w:tcPr>
            <w:tcW w:w="2048" w:type="dxa"/>
            <w:vMerge w:val="restart"/>
            <w:vAlign w:val="center"/>
          </w:tcPr>
          <w:p w14:paraId="1F0D6207" w14:textId="11FD37BD" w:rsidR="00B9703B" w:rsidRPr="000146D6" w:rsidRDefault="00F82FDE"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Dysplasia grade</w:t>
            </w:r>
          </w:p>
        </w:tc>
        <w:tc>
          <w:tcPr>
            <w:tcW w:w="2200" w:type="dxa"/>
            <w:vAlign w:val="center"/>
          </w:tcPr>
          <w:p w14:paraId="5F76664E" w14:textId="68E99090" w:rsidR="00B9703B" w:rsidRPr="000146D6" w:rsidRDefault="004066D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Low-grade</w:t>
            </w:r>
          </w:p>
        </w:tc>
        <w:tc>
          <w:tcPr>
            <w:tcW w:w="1488" w:type="dxa"/>
            <w:vAlign w:val="center"/>
          </w:tcPr>
          <w:p w14:paraId="5C3FAE47" w14:textId="77777777" w:rsidR="00B9703B" w:rsidRPr="000146D6" w:rsidRDefault="00B9703B"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4</w:t>
            </w:r>
          </w:p>
        </w:tc>
        <w:tc>
          <w:tcPr>
            <w:tcW w:w="1767" w:type="dxa"/>
            <w:vAlign w:val="center"/>
          </w:tcPr>
          <w:p w14:paraId="120DC1DF" w14:textId="77777777" w:rsidR="00B9703B" w:rsidRPr="000146D6" w:rsidRDefault="00B9703B"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100</w:t>
            </w:r>
          </w:p>
        </w:tc>
        <w:tc>
          <w:tcPr>
            <w:tcW w:w="1651" w:type="dxa"/>
            <w:vMerge w:val="restart"/>
            <w:vAlign w:val="center"/>
          </w:tcPr>
          <w:p w14:paraId="34D346F4" w14:textId="77777777" w:rsidR="00B9703B" w:rsidRPr="000146D6" w:rsidRDefault="00B9703B" w:rsidP="00D14E2F">
            <w:pPr>
              <w:jc w:val="both"/>
              <w:rPr>
                <w:rFonts w:ascii="Times New Roman" w:hAnsi="Times New Roman" w:cs="Times New Roman"/>
                <w:sz w:val="24"/>
                <w:szCs w:val="24"/>
              </w:rPr>
            </w:pPr>
            <w:r w:rsidRPr="000146D6">
              <w:rPr>
                <w:rFonts w:ascii="Times New Roman" w:hAnsi="Times New Roman" w:cs="Times New Roman"/>
                <w:sz w:val="24"/>
                <w:szCs w:val="24"/>
              </w:rPr>
              <w:t>4</w:t>
            </w:r>
          </w:p>
          <w:p w14:paraId="2855C84C"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48AFD4A0" w14:textId="77777777" w:rsidTr="00451181">
        <w:tc>
          <w:tcPr>
            <w:tcW w:w="2048" w:type="dxa"/>
            <w:vMerge/>
            <w:vAlign w:val="center"/>
          </w:tcPr>
          <w:p w14:paraId="4169FC11"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19F7E248" w14:textId="103EAF79" w:rsidR="00B9703B" w:rsidRPr="000146D6" w:rsidRDefault="004066D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High-grade</w:t>
            </w:r>
          </w:p>
        </w:tc>
        <w:tc>
          <w:tcPr>
            <w:tcW w:w="1488" w:type="dxa"/>
            <w:vAlign w:val="center"/>
          </w:tcPr>
          <w:p w14:paraId="55B0B048" w14:textId="77777777" w:rsidR="00B9703B" w:rsidRPr="000146D6" w:rsidRDefault="00B9703B"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767" w:type="dxa"/>
            <w:vAlign w:val="center"/>
          </w:tcPr>
          <w:p w14:paraId="7667A8F9" w14:textId="77777777" w:rsidR="00B9703B" w:rsidRPr="000146D6" w:rsidRDefault="00B9703B"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651" w:type="dxa"/>
            <w:vMerge/>
            <w:vAlign w:val="center"/>
          </w:tcPr>
          <w:p w14:paraId="01CA4B1A"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1BA287AC" w14:textId="77777777" w:rsidTr="00451181">
        <w:tc>
          <w:tcPr>
            <w:tcW w:w="2048" w:type="dxa"/>
            <w:vMerge w:val="restart"/>
            <w:vAlign w:val="center"/>
          </w:tcPr>
          <w:p w14:paraId="1C7CD01A" w14:textId="75D25F97" w:rsidR="00B9703B" w:rsidRPr="000146D6" w:rsidRDefault="00E03AEB"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Type of dysplasia</w:t>
            </w:r>
          </w:p>
        </w:tc>
        <w:tc>
          <w:tcPr>
            <w:tcW w:w="2200" w:type="dxa"/>
            <w:vAlign w:val="center"/>
          </w:tcPr>
          <w:p w14:paraId="7B4834FB" w14:textId="2DD1C45C" w:rsidR="00B9703B" w:rsidRPr="000146D6" w:rsidRDefault="00990E73" w:rsidP="00D14E2F">
            <w:pPr>
              <w:pStyle w:val="NormalWeb"/>
              <w:ind w:right="418"/>
              <w:jc w:val="both"/>
              <w:rPr>
                <w:sz w:val="24"/>
              </w:rPr>
            </w:pPr>
            <w:r w:rsidRPr="000146D6">
              <w:rPr>
                <w:sz w:val="24"/>
              </w:rPr>
              <w:t>Gastric type</w:t>
            </w:r>
          </w:p>
        </w:tc>
        <w:tc>
          <w:tcPr>
            <w:tcW w:w="1488" w:type="dxa"/>
            <w:vAlign w:val="center"/>
          </w:tcPr>
          <w:p w14:paraId="1C258296" w14:textId="77777777" w:rsidR="00B9703B" w:rsidRPr="000146D6" w:rsidRDefault="00B9703B"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4</w:t>
            </w:r>
          </w:p>
        </w:tc>
        <w:tc>
          <w:tcPr>
            <w:tcW w:w="1767" w:type="dxa"/>
            <w:vAlign w:val="center"/>
          </w:tcPr>
          <w:p w14:paraId="660F82A4" w14:textId="77777777" w:rsidR="00B9703B" w:rsidRPr="000146D6" w:rsidRDefault="00B9703B"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100</w:t>
            </w:r>
          </w:p>
        </w:tc>
        <w:tc>
          <w:tcPr>
            <w:tcW w:w="1651" w:type="dxa"/>
            <w:vMerge/>
            <w:vAlign w:val="center"/>
          </w:tcPr>
          <w:p w14:paraId="7C13B8B9"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74423A66" w14:textId="77777777" w:rsidTr="00451181">
        <w:tc>
          <w:tcPr>
            <w:tcW w:w="2048" w:type="dxa"/>
            <w:vMerge/>
            <w:vAlign w:val="center"/>
          </w:tcPr>
          <w:p w14:paraId="453B8BB4"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186B5767" w14:textId="086D0415" w:rsidR="00B9703B" w:rsidRPr="000146D6" w:rsidRDefault="00990E73" w:rsidP="00D14E2F">
            <w:pPr>
              <w:pStyle w:val="NormalWeb"/>
              <w:ind w:right="418"/>
              <w:jc w:val="both"/>
              <w:rPr>
                <w:sz w:val="24"/>
              </w:rPr>
            </w:pPr>
            <w:r w:rsidRPr="000146D6">
              <w:rPr>
                <w:sz w:val="24"/>
              </w:rPr>
              <w:t>Intestinal type</w:t>
            </w:r>
          </w:p>
        </w:tc>
        <w:tc>
          <w:tcPr>
            <w:tcW w:w="1488" w:type="dxa"/>
            <w:vAlign w:val="center"/>
          </w:tcPr>
          <w:p w14:paraId="6904CA2E" w14:textId="77777777" w:rsidR="00B9703B" w:rsidRPr="000146D6" w:rsidRDefault="00B9703B" w:rsidP="00D14E2F">
            <w:pPr>
              <w:ind w:right="-21"/>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767" w:type="dxa"/>
            <w:vAlign w:val="center"/>
          </w:tcPr>
          <w:p w14:paraId="77CD36A7" w14:textId="77777777" w:rsidR="00B9703B" w:rsidRPr="000146D6" w:rsidRDefault="00B9703B" w:rsidP="00D14E2F">
            <w:pPr>
              <w:ind w:right="-9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651" w:type="dxa"/>
            <w:vMerge/>
            <w:vAlign w:val="center"/>
          </w:tcPr>
          <w:p w14:paraId="16B68CBF"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4BA9C39D" w14:textId="77777777" w:rsidTr="00451181">
        <w:tc>
          <w:tcPr>
            <w:tcW w:w="2048" w:type="dxa"/>
            <w:vMerge/>
            <w:vAlign w:val="center"/>
          </w:tcPr>
          <w:p w14:paraId="2BC7520B"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18A3348F" w14:textId="5F1CBE44" w:rsidR="00B9703B" w:rsidRPr="000146D6" w:rsidRDefault="00575B8C" w:rsidP="00D14E2F">
            <w:pPr>
              <w:pStyle w:val="NormalWeb"/>
              <w:ind w:right="597"/>
              <w:jc w:val="both"/>
              <w:rPr>
                <w:sz w:val="24"/>
              </w:rPr>
            </w:pPr>
            <w:r w:rsidRPr="000146D6">
              <w:rPr>
                <w:sz w:val="24"/>
              </w:rPr>
              <w:t>Gastric foveolar type</w:t>
            </w:r>
          </w:p>
        </w:tc>
        <w:tc>
          <w:tcPr>
            <w:tcW w:w="1488" w:type="dxa"/>
            <w:vAlign w:val="center"/>
          </w:tcPr>
          <w:p w14:paraId="48240D24" w14:textId="77777777" w:rsidR="00B9703B" w:rsidRPr="000146D6" w:rsidRDefault="00B9703B" w:rsidP="00D14E2F">
            <w:pPr>
              <w:ind w:right="-62"/>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767" w:type="dxa"/>
            <w:vAlign w:val="center"/>
          </w:tcPr>
          <w:p w14:paraId="2A190AF3" w14:textId="3E28A2B0" w:rsidR="00B9703B" w:rsidRPr="000146D6" w:rsidRDefault="00BE7920" w:rsidP="00D14E2F">
            <w:pPr>
              <w:tabs>
                <w:tab w:val="left" w:pos="695"/>
                <w:tab w:val="left" w:pos="836"/>
                <w:tab w:val="left" w:pos="1120"/>
              </w:tabs>
              <w:ind w:right="418"/>
              <w:jc w:val="both"/>
              <w:rPr>
                <w:rFonts w:ascii="Times New Roman" w:hAnsi="Times New Roman" w:cs="Times New Roman"/>
                <w:sz w:val="24"/>
                <w:szCs w:val="24"/>
              </w:rPr>
            </w:pPr>
            <w:r>
              <w:rPr>
                <w:rFonts w:ascii="Times New Roman" w:hAnsi="Times New Roman" w:cs="Times New Roman"/>
                <w:sz w:val="24"/>
                <w:szCs w:val="24"/>
              </w:rPr>
              <w:t xml:space="preserve">        </w:t>
            </w:r>
            <w:r w:rsidR="00B9703B" w:rsidRPr="000146D6">
              <w:rPr>
                <w:rFonts w:ascii="Times New Roman" w:hAnsi="Times New Roman" w:cs="Times New Roman"/>
                <w:sz w:val="24"/>
                <w:szCs w:val="24"/>
              </w:rPr>
              <w:t>0</w:t>
            </w:r>
          </w:p>
        </w:tc>
        <w:tc>
          <w:tcPr>
            <w:tcW w:w="1651" w:type="dxa"/>
            <w:vMerge/>
            <w:vAlign w:val="center"/>
          </w:tcPr>
          <w:p w14:paraId="1DC5E332" w14:textId="77777777" w:rsidR="00B9703B" w:rsidRPr="000146D6" w:rsidRDefault="00B9703B" w:rsidP="00D14E2F">
            <w:pPr>
              <w:ind w:right="418"/>
              <w:jc w:val="both"/>
              <w:rPr>
                <w:rFonts w:ascii="Times New Roman" w:hAnsi="Times New Roman" w:cs="Times New Roman"/>
                <w:sz w:val="24"/>
                <w:szCs w:val="24"/>
              </w:rPr>
            </w:pPr>
          </w:p>
        </w:tc>
      </w:tr>
      <w:tr w:rsidR="00B9703B" w:rsidRPr="000146D6" w14:paraId="4ACBF7DE" w14:textId="77777777" w:rsidTr="00451181">
        <w:tc>
          <w:tcPr>
            <w:tcW w:w="2048" w:type="dxa"/>
            <w:vMerge/>
            <w:vAlign w:val="center"/>
          </w:tcPr>
          <w:p w14:paraId="4AC23EB1" w14:textId="77777777" w:rsidR="00B9703B" w:rsidRPr="000146D6" w:rsidRDefault="00B9703B" w:rsidP="00D14E2F">
            <w:pPr>
              <w:ind w:right="418"/>
              <w:jc w:val="both"/>
              <w:rPr>
                <w:rFonts w:ascii="Times New Roman" w:hAnsi="Times New Roman" w:cs="Times New Roman"/>
                <w:sz w:val="24"/>
                <w:szCs w:val="24"/>
              </w:rPr>
            </w:pPr>
          </w:p>
        </w:tc>
        <w:tc>
          <w:tcPr>
            <w:tcW w:w="2200" w:type="dxa"/>
            <w:vAlign w:val="center"/>
          </w:tcPr>
          <w:p w14:paraId="18EBF248" w14:textId="040C8441" w:rsidR="00B9703B" w:rsidRPr="000146D6" w:rsidRDefault="00575B8C" w:rsidP="00D14E2F">
            <w:pPr>
              <w:ind w:right="1869"/>
              <w:jc w:val="both"/>
              <w:rPr>
                <w:rFonts w:ascii="Times New Roman" w:hAnsi="Times New Roman" w:cs="Times New Roman"/>
                <w:sz w:val="24"/>
                <w:szCs w:val="24"/>
              </w:rPr>
            </w:pPr>
            <w:r w:rsidRPr="000146D6">
              <w:rPr>
                <w:rFonts w:ascii="Times New Roman" w:hAnsi="Times New Roman" w:cs="Times New Roman"/>
                <w:sz w:val="24"/>
                <w:szCs w:val="24"/>
              </w:rPr>
              <w:t>Serrated</w:t>
            </w:r>
          </w:p>
        </w:tc>
        <w:tc>
          <w:tcPr>
            <w:tcW w:w="1488" w:type="dxa"/>
            <w:vAlign w:val="center"/>
          </w:tcPr>
          <w:p w14:paraId="2EBA6FCD" w14:textId="77777777" w:rsidR="00B9703B" w:rsidRPr="000146D6" w:rsidRDefault="00B9703B" w:rsidP="00D14E2F">
            <w:pPr>
              <w:ind w:right="-62"/>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767" w:type="dxa"/>
            <w:vAlign w:val="center"/>
          </w:tcPr>
          <w:p w14:paraId="415FD56D" w14:textId="1CB6F32F" w:rsidR="00B9703B" w:rsidRPr="000146D6" w:rsidRDefault="00BE7920" w:rsidP="00D14E2F">
            <w:pPr>
              <w:ind w:right="418"/>
              <w:jc w:val="both"/>
              <w:rPr>
                <w:rFonts w:ascii="Times New Roman" w:hAnsi="Times New Roman" w:cs="Times New Roman"/>
                <w:sz w:val="24"/>
                <w:szCs w:val="24"/>
              </w:rPr>
            </w:pPr>
            <w:r>
              <w:rPr>
                <w:rFonts w:ascii="Times New Roman" w:hAnsi="Times New Roman" w:cs="Times New Roman"/>
                <w:sz w:val="24"/>
                <w:szCs w:val="24"/>
              </w:rPr>
              <w:t xml:space="preserve">        </w:t>
            </w:r>
            <w:r w:rsidR="00B9703B" w:rsidRPr="000146D6">
              <w:rPr>
                <w:rFonts w:ascii="Times New Roman" w:hAnsi="Times New Roman" w:cs="Times New Roman"/>
                <w:sz w:val="24"/>
                <w:szCs w:val="24"/>
              </w:rPr>
              <w:t>0</w:t>
            </w:r>
            <w:r>
              <w:rPr>
                <w:rFonts w:ascii="Times New Roman" w:hAnsi="Times New Roman" w:cs="Times New Roman"/>
                <w:sz w:val="24"/>
                <w:szCs w:val="24"/>
              </w:rPr>
              <w:t xml:space="preserve"> </w:t>
            </w:r>
          </w:p>
        </w:tc>
        <w:tc>
          <w:tcPr>
            <w:tcW w:w="1651" w:type="dxa"/>
            <w:vMerge/>
            <w:vAlign w:val="center"/>
          </w:tcPr>
          <w:p w14:paraId="148B9B28" w14:textId="77777777" w:rsidR="00B9703B" w:rsidRPr="000146D6" w:rsidRDefault="00B9703B" w:rsidP="00D14E2F">
            <w:pPr>
              <w:ind w:right="418"/>
              <w:jc w:val="both"/>
              <w:rPr>
                <w:rFonts w:ascii="Times New Roman" w:hAnsi="Times New Roman" w:cs="Times New Roman"/>
                <w:sz w:val="24"/>
                <w:szCs w:val="24"/>
              </w:rPr>
            </w:pPr>
          </w:p>
        </w:tc>
      </w:tr>
    </w:tbl>
    <w:p w14:paraId="4D6F9FBF" w14:textId="77777777" w:rsidR="00B9703B" w:rsidRPr="000146D6" w:rsidRDefault="00B9703B" w:rsidP="00D14E2F">
      <w:pPr>
        <w:spacing w:line="240" w:lineRule="auto"/>
        <w:ind w:right="418"/>
        <w:jc w:val="both"/>
        <w:rPr>
          <w:rFonts w:ascii="Times New Roman" w:hAnsi="Times New Roman" w:cs="Times New Roman"/>
          <w:sz w:val="24"/>
          <w:szCs w:val="24"/>
        </w:rPr>
      </w:pPr>
    </w:p>
    <w:p w14:paraId="06D9DCC4" w14:textId="77777777" w:rsidR="00535F67" w:rsidRPr="000146D6" w:rsidRDefault="00535F67"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Observation:</w:t>
      </w:r>
      <w:r w:rsidRPr="000146D6">
        <w:rPr>
          <w:rFonts w:ascii="Times New Roman" w:hAnsi="Times New Roman" w:cs="Times New Roman"/>
          <w:sz w:val="24"/>
          <w:szCs w:val="24"/>
        </w:rPr>
        <w:t xml:space="preserve"> Most polyps showed no inflammation (87.6%), while only 12.4% exhibited inflammatory changes. The prevalence of </w:t>
      </w:r>
      <w:r w:rsidRPr="000146D6">
        <w:rPr>
          <w:rFonts w:ascii="Times New Roman" w:hAnsi="Times New Roman" w:cs="Times New Roman"/>
          <w:i/>
          <w:iCs/>
          <w:sz w:val="24"/>
          <w:szCs w:val="24"/>
        </w:rPr>
        <w:t>H. pylori</w:t>
      </w:r>
      <w:r w:rsidRPr="000146D6">
        <w:rPr>
          <w:rFonts w:ascii="Times New Roman" w:hAnsi="Times New Roman" w:cs="Times New Roman"/>
          <w:sz w:val="24"/>
          <w:szCs w:val="24"/>
        </w:rPr>
        <w:t xml:space="preserve"> infection was extremely low (0.2%), with 99.8% of patients being </w:t>
      </w:r>
      <w:r w:rsidRPr="000146D6">
        <w:rPr>
          <w:rFonts w:ascii="Times New Roman" w:hAnsi="Times New Roman" w:cs="Times New Roman"/>
          <w:i/>
          <w:iCs/>
          <w:sz w:val="24"/>
          <w:szCs w:val="24"/>
        </w:rPr>
        <w:t>H. pylori</w:t>
      </w:r>
      <w:r w:rsidRPr="000146D6">
        <w:rPr>
          <w:rFonts w:ascii="Times New Roman" w:hAnsi="Times New Roman" w:cs="Times New Roman"/>
          <w:sz w:val="24"/>
          <w:szCs w:val="24"/>
        </w:rPr>
        <w:t>–negative. Dysplasia was also rare, observed in only 0.9% of cases, whereas 99.1% showed no dysplastic changes.</w:t>
      </w:r>
    </w:p>
    <w:p w14:paraId="31C88E4F" w14:textId="475AF0EF" w:rsidR="0040010A" w:rsidRPr="000146D6" w:rsidRDefault="00120A97"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lastRenderedPageBreak/>
        <w:t>3.</w:t>
      </w:r>
      <w:r w:rsidR="00AC48E3" w:rsidRPr="000146D6">
        <w:rPr>
          <w:rFonts w:ascii="Times New Roman" w:hAnsi="Times New Roman" w:cs="Times New Roman"/>
          <w:b/>
          <w:bCs/>
          <w:sz w:val="24"/>
          <w:szCs w:val="24"/>
        </w:rPr>
        <w:t>3</w:t>
      </w:r>
      <w:r w:rsidRPr="000146D6">
        <w:rPr>
          <w:rFonts w:ascii="Times New Roman" w:hAnsi="Times New Roman" w:cs="Times New Roman"/>
          <w:b/>
          <w:bCs/>
          <w:sz w:val="24"/>
          <w:szCs w:val="24"/>
        </w:rPr>
        <w:t>. Hyperplastic Polyps</w:t>
      </w:r>
    </w:p>
    <w:p w14:paraId="7608463C" w14:textId="7CC8557F" w:rsidR="0040010A" w:rsidRPr="000146D6" w:rsidRDefault="00C632E0"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3.</w:t>
      </w:r>
      <w:r w:rsidR="00BB4D83" w:rsidRPr="000146D6">
        <w:rPr>
          <w:rFonts w:ascii="Times New Roman" w:hAnsi="Times New Roman" w:cs="Times New Roman"/>
          <w:b/>
          <w:bCs/>
          <w:sz w:val="24"/>
          <w:szCs w:val="24"/>
        </w:rPr>
        <w:t>3</w:t>
      </w:r>
      <w:r w:rsidRPr="000146D6">
        <w:rPr>
          <w:rFonts w:ascii="Times New Roman" w:hAnsi="Times New Roman" w:cs="Times New Roman"/>
          <w:b/>
          <w:bCs/>
          <w:sz w:val="24"/>
          <w:szCs w:val="24"/>
        </w:rPr>
        <w:t>.1 Age and Sex Characteristics:</w:t>
      </w:r>
    </w:p>
    <w:p w14:paraId="6A960F95" w14:textId="03A5E347" w:rsidR="00AE6EAE" w:rsidRPr="000146D6" w:rsidRDefault="00AE6EAE" w:rsidP="00D14E2F">
      <w:pPr>
        <w:tabs>
          <w:tab w:val="left" w:pos="1080"/>
        </w:tabs>
        <w:spacing w:line="240" w:lineRule="auto"/>
        <w:ind w:right="418"/>
        <w:jc w:val="both"/>
        <w:rPr>
          <w:rFonts w:ascii="Times New Roman" w:hAnsi="Times New Roman" w:cs="Times New Roman"/>
          <w:b/>
          <w:sz w:val="24"/>
          <w:szCs w:val="24"/>
        </w:rPr>
      </w:pPr>
      <w:r w:rsidRPr="000146D6">
        <w:rPr>
          <w:rFonts w:ascii="Times New Roman" w:hAnsi="Times New Roman" w:cs="Times New Roman"/>
          <w:b/>
          <w:sz w:val="24"/>
          <w:szCs w:val="24"/>
        </w:rPr>
        <w:t xml:space="preserve">Table </w:t>
      </w:r>
      <w:r w:rsidR="002A39DF" w:rsidRPr="000146D6">
        <w:rPr>
          <w:rFonts w:ascii="Times New Roman" w:hAnsi="Times New Roman" w:cs="Times New Roman"/>
          <w:b/>
          <w:sz w:val="24"/>
          <w:szCs w:val="24"/>
        </w:rPr>
        <w:t>5</w:t>
      </w:r>
      <w:r w:rsidRPr="000146D6">
        <w:rPr>
          <w:rFonts w:ascii="Times New Roman" w:hAnsi="Times New Roman" w:cs="Times New Roman"/>
          <w:b/>
          <w:sz w:val="24"/>
          <w:szCs w:val="24"/>
        </w:rPr>
        <w:t>.</w:t>
      </w:r>
      <w:r w:rsidRPr="000146D6">
        <w:rPr>
          <w:rFonts w:ascii="Times New Roman" w:hAnsi="Times New Roman" w:cs="Times New Roman"/>
          <w:b/>
          <w:sz w:val="24"/>
          <w:szCs w:val="24"/>
        </w:rPr>
        <w:tab/>
      </w:r>
      <w:r w:rsidRPr="000146D6">
        <w:rPr>
          <w:rFonts w:ascii="Times New Roman" w:hAnsi="Times New Roman" w:cs="Times New Roman"/>
          <w:b/>
          <w:bCs/>
          <w:sz w:val="24"/>
          <w:szCs w:val="24"/>
        </w:rPr>
        <w:t>Age and sex characteristics of patients with hyperplastic polyps.</w:t>
      </w:r>
    </w:p>
    <w:tbl>
      <w:tblPr>
        <w:tblStyle w:val="TableGrid"/>
        <w:tblW w:w="8724" w:type="dxa"/>
        <w:tblLook w:val="04A0" w:firstRow="1" w:lastRow="0" w:firstColumn="1" w:lastColumn="0" w:noHBand="0" w:noVBand="1"/>
      </w:tblPr>
      <w:tblGrid>
        <w:gridCol w:w="1505"/>
        <w:gridCol w:w="2081"/>
        <w:gridCol w:w="1488"/>
        <w:gridCol w:w="1767"/>
        <w:gridCol w:w="1883"/>
      </w:tblGrid>
      <w:tr w:rsidR="00DE2F27" w:rsidRPr="000146D6" w14:paraId="4425B0BE" w14:textId="77777777" w:rsidTr="00BE7920">
        <w:tc>
          <w:tcPr>
            <w:tcW w:w="3823" w:type="dxa"/>
            <w:gridSpan w:val="2"/>
            <w:vAlign w:val="center"/>
          </w:tcPr>
          <w:p w14:paraId="5008B287" w14:textId="4A1B0459" w:rsidR="00DE2F27" w:rsidRPr="000146D6" w:rsidRDefault="00DE2F27"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Characteristics</w:t>
            </w:r>
          </w:p>
        </w:tc>
        <w:tc>
          <w:tcPr>
            <w:tcW w:w="1417" w:type="dxa"/>
            <w:vAlign w:val="center"/>
          </w:tcPr>
          <w:p w14:paraId="78B5B716" w14:textId="1A77FD5D" w:rsidR="00DE2F27" w:rsidRPr="000146D6" w:rsidRDefault="00DE2F27"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(n)</w:t>
            </w:r>
          </w:p>
        </w:tc>
        <w:tc>
          <w:tcPr>
            <w:tcW w:w="1418" w:type="dxa"/>
            <w:vAlign w:val="center"/>
          </w:tcPr>
          <w:p w14:paraId="6E3DC339" w14:textId="79E7677C" w:rsidR="00DE2F27" w:rsidRPr="000146D6" w:rsidRDefault="00DE2F27"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Percentage (%)</w:t>
            </w:r>
          </w:p>
        </w:tc>
        <w:tc>
          <w:tcPr>
            <w:tcW w:w="2066" w:type="dxa"/>
            <w:vAlign w:val="center"/>
          </w:tcPr>
          <w:p w14:paraId="527741D7" w14:textId="369D4D03" w:rsidR="00DE2F27" w:rsidRPr="000146D6" w:rsidRDefault="005E19BC"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Total (n)</w:t>
            </w:r>
          </w:p>
        </w:tc>
      </w:tr>
      <w:tr w:rsidR="00DE2F27" w:rsidRPr="000146D6" w14:paraId="3A9E11CA" w14:textId="77777777" w:rsidTr="00DD27B9">
        <w:tc>
          <w:tcPr>
            <w:tcW w:w="1548" w:type="dxa"/>
            <w:vMerge w:val="restart"/>
            <w:vAlign w:val="center"/>
          </w:tcPr>
          <w:p w14:paraId="74FA487B" w14:textId="6E030B97" w:rsidR="00DE2F27" w:rsidRPr="000146D6" w:rsidRDefault="005E19BC"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Sex</w:t>
            </w:r>
          </w:p>
        </w:tc>
        <w:tc>
          <w:tcPr>
            <w:tcW w:w="2275" w:type="dxa"/>
            <w:vAlign w:val="center"/>
          </w:tcPr>
          <w:p w14:paraId="40BB8042" w14:textId="0F255EB4" w:rsidR="00DE2F27" w:rsidRPr="000146D6" w:rsidRDefault="005E19BC"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Male</w:t>
            </w:r>
          </w:p>
        </w:tc>
        <w:tc>
          <w:tcPr>
            <w:tcW w:w="1417" w:type="dxa"/>
            <w:vAlign w:val="center"/>
          </w:tcPr>
          <w:p w14:paraId="74343B44" w14:textId="77777777" w:rsidR="00DE2F27" w:rsidRPr="000146D6" w:rsidRDefault="00DE2F27" w:rsidP="00D14E2F">
            <w:pPr>
              <w:ind w:right="-131"/>
              <w:jc w:val="both"/>
              <w:rPr>
                <w:rFonts w:ascii="Times New Roman" w:hAnsi="Times New Roman" w:cs="Times New Roman"/>
                <w:sz w:val="24"/>
                <w:szCs w:val="24"/>
              </w:rPr>
            </w:pPr>
            <w:r w:rsidRPr="000146D6">
              <w:rPr>
                <w:rFonts w:ascii="Times New Roman" w:hAnsi="Times New Roman" w:cs="Times New Roman"/>
                <w:sz w:val="24"/>
                <w:szCs w:val="24"/>
              </w:rPr>
              <w:t>12</w:t>
            </w:r>
          </w:p>
        </w:tc>
        <w:tc>
          <w:tcPr>
            <w:tcW w:w="1418" w:type="dxa"/>
            <w:vAlign w:val="center"/>
          </w:tcPr>
          <w:p w14:paraId="12D290FF" w14:textId="22CF5ECE"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24</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5</w:t>
            </w:r>
          </w:p>
        </w:tc>
        <w:tc>
          <w:tcPr>
            <w:tcW w:w="2066" w:type="dxa"/>
            <w:vMerge w:val="restart"/>
            <w:vAlign w:val="center"/>
          </w:tcPr>
          <w:p w14:paraId="331152B1" w14:textId="77777777" w:rsidR="00DE2F27" w:rsidRPr="000146D6" w:rsidRDefault="00DE2F27" w:rsidP="00D14E2F">
            <w:pPr>
              <w:ind w:right="-19"/>
              <w:jc w:val="both"/>
              <w:rPr>
                <w:rFonts w:ascii="Times New Roman" w:hAnsi="Times New Roman" w:cs="Times New Roman"/>
                <w:sz w:val="24"/>
                <w:szCs w:val="24"/>
              </w:rPr>
            </w:pPr>
            <w:r w:rsidRPr="000146D6">
              <w:rPr>
                <w:rFonts w:ascii="Times New Roman" w:hAnsi="Times New Roman" w:cs="Times New Roman"/>
                <w:sz w:val="24"/>
                <w:szCs w:val="24"/>
              </w:rPr>
              <w:t>49</w:t>
            </w:r>
          </w:p>
        </w:tc>
      </w:tr>
      <w:tr w:rsidR="00DE2F27" w:rsidRPr="000146D6" w14:paraId="3ADE7390" w14:textId="77777777" w:rsidTr="00DD27B9">
        <w:tc>
          <w:tcPr>
            <w:tcW w:w="1548" w:type="dxa"/>
            <w:vMerge/>
            <w:vAlign w:val="center"/>
          </w:tcPr>
          <w:p w14:paraId="5D1D42C8"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4697C8AD" w14:textId="563C318C" w:rsidR="00DE2F27" w:rsidRPr="000146D6" w:rsidRDefault="009A3F3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Female</w:t>
            </w:r>
          </w:p>
        </w:tc>
        <w:tc>
          <w:tcPr>
            <w:tcW w:w="1417" w:type="dxa"/>
            <w:vAlign w:val="center"/>
          </w:tcPr>
          <w:p w14:paraId="47FA5C67" w14:textId="77777777" w:rsidR="00DE2F27" w:rsidRPr="000146D6" w:rsidRDefault="00DE2F27" w:rsidP="00D14E2F">
            <w:pPr>
              <w:tabs>
                <w:tab w:val="left" w:pos="855"/>
              </w:tabs>
              <w:ind w:right="418"/>
              <w:jc w:val="both"/>
              <w:rPr>
                <w:rFonts w:ascii="Times New Roman" w:hAnsi="Times New Roman" w:cs="Times New Roman"/>
                <w:sz w:val="24"/>
                <w:szCs w:val="24"/>
              </w:rPr>
            </w:pPr>
            <w:r w:rsidRPr="000146D6">
              <w:rPr>
                <w:rFonts w:ascii="Times New Roman" w:hAnsi="Times New Roman" w:cs="Times New Roman"/>
                <w:sz w:val="24"/>
                <w:szCs w:val="24"/>
              </w:rPr>
              <w:t>37</w:t>
            </w:r>
          </w:p>
        </w:tc>
        <w:tc>
          <w:tcPr>
            <w:tcW w:w="1418" w:type="dxa"/>
            <w:vAlign w:val="center"/>
          </w:tcPr>
          <w:p w14:paraId="6AB7C72A" w14:textId="04CC18D4"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75</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5</w:t>
            </w:r>
          </w:p>
        </w:tc>
        <w:tc>
          <w:tcPr>
            <w:tcW w:w="2066" w:type="dxa"/>
            <w:vMerge/>
            <w:vAlign w:val="center"/>
          </w:tcPr>
          <w:p w14:paraId="276077BE"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0BA0F90D" w14:textId="77777777" w:rsidTr="00DD27B9">
        <w:tc>
          <w:tcPr>
            <w:tcW w:w="1548" w:type="dxa"/>
            <w:vMerge w:val="restart"/>
            <w:vAlign w:val="center"/>
          </w:tcPr>
          <w:p w14:paraId="0304365B" w14:textId="64445F9C" w:rsidR="00DE2F27" w:rsidRPr="000146D6" w:rsidRDefault="005E19BC"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Age group (years)</w:t>
            </w:r>
          </w:p>
        </w:tc>
        <w:tc>
          <w:tcPr>
            <w:tcW w:w="2275" w:type="dxa"/>
            <w:vAlign w:val="center"/>
          </w:tcPr>
          <w:p w14:paraId="53A5E8C5"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20 – 29</w:t>
            </w:r>
          </w:p>
        </w:tc>
        <w:tc>
          <w:tcPr>
            <w:tcW w:w="1417" w:type="dxa"/>
            <w:vAlign w:val="center"/>
          </w:tcPr>
          <w:p w14:paraId="1EDFB1C0"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418" w:type="dxa"/>
            <w:vAlign w:val="center"/>
          </w:tcPr>
          <w:p w14:paraId="06B2D79D"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2066" w:type="dxa"/>
            <w:vMerge/>
            <w:vAlign w:val="center"/>
          </w:tcPr>
          <w:p w14:paraId="160652BE"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00177FDF" w14:textId="77777777" w:rsidTr="00DD27B9">
        <w:tc>
          <w:tcPr>
            <w:tcW w:w="1548" w:type="dxa"/>
            <w:vMerge/>
            <w:vAlign w:val="center"/>
          </w:tcPr>
          <w:p w14:paraId="397F19C7"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5C0CA7A8"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30 – 39</w:t>
            </w:r>
          </w:p>
        </w:tc>
        <w:tc>
          <w:tcPr>
            <w:tcW w:w="1417" w:type="dxa"/>
            <w:vAlign w:val="center"/>
          </w:tcPr>
          <w:p w14:paraId="6C88B2FE"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w:t>
            </w:r>
          </w:p>
        </w:tc>
        <w:tc>
          <w:tcPr>
            <w:tcW w:w="1418" w:type="dxa"/>
            <w:vAlign w:val="center"/>
          </w:tcPr>
          <w:p w14:paraId="5347A7BE" w14:textId="6D368D24"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1</w:t>
            </w:r>
          </w:p>
        </w:tc>
        <w:tc>
          <w:tcPr>
            <w:tcW w:w="2066" w:type="dxa"/>
            <w:vMerge/>
            <w:vAlign w:val="center"/>
          </w:tcPr>
          <w:p w14:paraId="7EFB0C65"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48A82AB1" w14:textId="77777777" w:rsidTr="00DD27B9">
        <w:tc>
          <w:tcPr>
            <w:tcW w:w="1548" w:type="dxa"/>
            <w:vMerge/>
            <w:vAlign w:val="center"/>
          </w:tcPr>
          <w:p w14:paraId="2091472F"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0064A042"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40 – 49</w:t>
            </w:r>
          </w:p>
        </w:tc>
        <w:tc>
          <w:tcPr>
            <w:tcW w:w="1417" w:type="dxa"/>
            <w:vAlign w:val="center"/>
          </w:tcPr>
          <w:p w14:paraId="2F64BE59"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7</w:t>
            </w:r>
          </w:p>
        </w:tc>
        <w:tc>
          <w:tcPr>
            <w:tcW w:w="1418" w:type="dxa"/>
            <w:vAlign w:val="center"/>
          </w:tcPr>
          <w:p w14:paraId="46E722EA" w14:textId="64F41F00"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14</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3</w:t>
            </w:r>
          </w:p>
        </w:tc>
        <w:tc>
          <w:tcPr>
            <w:tcW w:w="2066" w:type="dxa"/>
            <w:vMerge/>
            <w:vAlign w:val="center"/>
          </w:tcPr>
          <w:p w14:paraId="2C335748"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218C95B3" w14:textId="77777777" w:rsidTr="00DD27B9">
        <w:tc>
          <w:tcPr>
            <w:tcW w:w="1548" w:type="dxa"/>
            <w:vMerge/>
            <w:vAlign w:val="center"/>
          </w:tcPr>
          <w:p w14:paraId="767A915A"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57272DB8"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50 – 59</w:t>
            </w:r>
          </w:p>
        </w:tc>
        <w:tc>
          <w:tcPr>
            <w:tcW w:w="1417" w:type="dxa"/>
            <w:vAlign w:val="center"/>
          </w:tcPr>
          <w:p w14:paraId="1511C7C9"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12</w:t>
            </w:r>
          </w:p>
        </w:tc>
        <w:tc>
          <w:tcPr>
            <w:tcW w:w="1418" w:type="dxa"/>
            <w:vAlign w:val="center"/>
          </w:tcPr>
          <w:p w14:paraId="662A189F" w14:textId="7BAD9B73"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24</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5</w:t>
            </w:r>
          </w:p>
        </w:tc>
        <w:tc>
          <w:tcPr>
            <w:tcW w:w="2066" w:type="dxa"/>
            <w:vMerge/>
            <w:vAlign w:val="center"/>
          </w:tcPr>
          <w:p w14:paraId="77FF8B36"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29FB2070" w14:textId="77777777" w:rsidTr="00DD27B9">
        <w:tc>
          <w:tcPr>
            <w:tcW w:w="1548" w:type="dxa"/>
            <w:vMerge/>
            <w:vAlign w:val="center"/>
          </w:tcPr>
          <w:p w14:paraId="2957A9E7"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231DCD66"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60 – 69</w:t>
            </w:r>
          </w:p>
        </w:tc>
        <w:tc>
          <w:tcPr>
            <w:tcW w:w="1417" w:type="dxa"/>
            <w:vAlign w:val="center"/>
          </w:tcPr>
          <w:p w14:paraId="495D8AA9"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15</w:t>
            </w:r>
          </w:p>
        </w:tc>
        <w:tc>
          <w:tcPr>
            <w:tcW w:w="1418" w:type="dxa"/>
            <w:vAlign w:val="center"/>
          </w:tcPr>
          <w:p w14:paraId="249D4F9C" w14:textId="5B0A0F3F"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30</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6</w:t>
            </w:r>
          </w:p>
        </w:tc>
        <w:tc>
          <w:tcPr>
            <w:tcW w:w="2066" w:type="dxa"/>
            <w:vMerge/>
            <w:vAlign w:val="center"/>
          </w:tcPr>
          <w:p w14:paraId="4203E1D3"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7980B638" w14:textId="77777777" w:rsidTr="00DD27B9">
        <w:tc>
          <w:tcPr>
            <w:tcW w:w="1548" w:type="dxa"/>
            <w:vMerge/>
            <w:vAlign w:val="center"/>
          </w:tcPr>
          <w:p w14:paraId="221838CA"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16475788"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70 – 79</w:t>
            </w:r>
          </w:p>
        </w:tc>
        <w:tc>
          <w:tcPr>
            <w:tcW w:w="1417" w:type="dxa"/>
            <w:vAlign w:val="center"/>
          </w:tcPr>
          <w:p w14:paraId="49F5AE15"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11</w:t>
            </w:r>
          </w:p>
        </w:tc>
        <w:tc>
          <w:tcPr>
            <w:tcW w:w="1418" w:type="dxa"/>
            <w:vAlign w:val="center"/>
          </w:tcPr>
          <w:p w14:paraId="712445E0" w14:textId="5B8C6ADA"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22</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5</w:t>
            </w:r>
          </w:p>
        </w:tc>
        <w:tc>
          <w:tcPr>
            <w:tcW w:w="2066" w:type="dxa"/>
            <w:vMerge/>
            <w:vAlign w:val="center"/>
          </w:tcPr>
          <w:p w14:paraId="179991F2" w14:textId="77777777" w:rsidR="00DE2F27" w:rsidRPr="000146D6" w:rsidRDefault="00DE2F27" w:rsidP="00D14E2F">
            <w:pPr>
              <w:ind w:right="418"/>
              <w:jc w:val="both"/>
              <w:rPr>
                <w:rFonts w:ascii="Times New Roman" w:hAnsi="Times New Roman" w:cs="Times New Roman"/>
                <w:sz w:val="24"/>
                <w:szCs w:val="24"/>
              </w:rPr>
            </w:pPr>
          </w:p>
        </w:tc>
      </w:tr>
      <w:tr w:rsidR="00DE2F27" w:rsidRPr="000146D6" w14:paraId="1435DAA5" w14:textId="77777777" w:rsidTr="00DD27B9">
        <w:tc>
          <w:tcPr>
            <w:tcW w:w="1548" w:type="dxa"/>
            <w:vMerge/>
            <w:vAlign w:val="center"/>
          </w:tcPr>
          <w:p w14:paraId="59DB8338" w14:textId="77777777" w:rsidR="00DE2F27" w:rsidRPr="000146D6" w:rsidRDefault="00DE2F27" w:rsidP="00D14E2F">
            <w:pPr>
              <w:ind w:right="418"/>
              <w:jc w:val="both"/>
              <w:rPr>
                <w:rFonts w:ascii="Times New Roman" w:hAnsi="Times New Roman" w:cs="Times New Roman"/>
                <w:sz w:val="24"/>
                <w:szCs w:val="24"/>
              </w:rPr>
            </w:pPr>
          </w:p>
        </w:tc>
        <w:tc>
          <w:tcPr>
            <w:tcW w:w="2275" w:type="dxa"/>
            <w:vAlign w:val="center"/>
          </w:tcPr>
          <w:p w14:paraId="5545E55E"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≥80</w:t>
            </w:r>
          </w:p>
        </w:tc>
        <w:tc>
          <w:tcPr>
            <w:tcW w:w="1417" w:type="dxa"/>
            <w:vAlign w:val="center"/>
          </w:tcPr>
          <w:p w14:paraId="757D21CF"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418" w:type="dxa"/>
            <w:vAlign w:val="center"/>
          </w:tcPr>
          <w:p w14:paraId="5C86FA28" w14:textId="77777777" w:rsidR="00DE2F27" w:rsidRPr="000146D6" w:rsidRDefault="00DE2F27"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p>
        </w:tc>
        <w:tc>
          <w:tcPr>
            <w:tcW w:w="2066" w:type="dxa"/>
            <w:vMerge/>
            <w:vAlign w:val="center"/>
          </w:tcPr>
          <w:p w14:paraId="4137C964" w14:textId="77777777" w:rsidR="00DE2F27" w:rsidRPr="000146D6" w:rsidRDefault="00DE2F27" w:rsidP="00D14E2F">
            <w:pPr>
              <w:ind w:right="418"/>
              <w:jc w:val="both"/>
              <w:rPr>
                <w:rFonts w:ascii="Times New Roman" w:hAnsi="Times New Roman" w:cs="Times New Roman"/>
                <w:sz w:val="24"/>
                <w:szCs w:val="24"/>
              </w:rPr>
            </w:pPr>
          </w:p>
        </w:tc>
      </w:tr>
    </w:tbl>
    <w:p w14:paraId="144307FC" w14:textId="77777777" w:rsidR="00AE6EAE" w:rsidRPr="000146D6" w:rsidRDefault="00AE6EAE" w:rsidP="00D14E2F">
      <w:pPr>
        <w:spacing w:line="240" w:lineRule="auto"/>
        <w:ind w:right="418"/>
        <w:jc w:val="both"/>
        <w:rPr>
          <w:rFonts w:ascii="Times New Roman" w:hAnsi="Times New Roman" w:cs="Times New Roman"/>
          <w:sz w:val="24"/>
          <w:szCs w:val="24"/>
        </w:rPr>
      </w:pPr>
    </w:p>
    <w:p w14:paraId="6FE3CC8C" w14:textId="77777777" w:rsidR="00B41839" w:rsidRPr="000146D6" w:rsidRDefault="00B41839" w:rsidP="00D14E2F">
      <w:pPr>
        <w:spacing w:line="240" w:lineRule="auto"/>
        <w:ind w:right="418"/>
        <w:jc w:val="both"/>
        <w:rPr>
          <w:rFonts w:ascii="Times New Roman" w:hAnsi="Times New Roman" w:cs="Times New Roman"/>
          <w:sz w:val="24"/>
          <w:szCs w:val="24"/>
        </w:rPr>
      </w:pPr>
      <w:r w:rsidRPr="00DA0B65">
        <w:rPr>
          <w:rFonts w:ascii="Times New Roman" w:hAnsi="Times New Roman" w:cs="Times New Roman"/>
          <w:b/>
          <w:bCs/>
          <w:sz w:val="24"/>
          <w:szCs w:val="24"/>
        </w:rPr>
        <w:t>Observation:</w:t>
      </w:r>
      <w:r w:rsidRPr="000146D6">
        <w:rPr>
          <w:rFonts w:ascii="Times New Roman" w:hAnsi="Times New Roman" w:cs="Times New Roman"/>
          <w:sz w:val="24"/>
          <w:szCs w:val="24"/>
        </w:rPr>
        <w:t xml:space="preserve"> Patients ranged from 35 to 80 years old (mean age: 59.4 ± 11.7 years), with the highest proportion in the 50–</w:t>
      </w:r>
      <w:proofErr w:type="gramStart"/>
      <w:r w:rsidRPr="000146D6">
        <w:rPr>
          <w:rFonts w:ascii="Times New Roman" w:hAnsi="Times New Roman" w:cs="Times New Roman"/>
          <w:sz w:val="24"/>
          <w:szCs w:val="24"/>
        </w:rPr>
        <w:t>69 year</w:t>
      </w:r>
      <w:proofErr w:type="gramEnd"/>
      <w:r w:rsidRPr="000146D6">
        <w:rPr>
          <w:rFonts w:ascii="Times New Roman" w:hAnsi="Times New Roman" w:cs="Times New Roman"/>
          <w:sz w:val="24"/>
          <w:szCs w:val="24"/>
        </w:rPr>
        <w:t xml:space="preserve"> age group (55.1%). Females predominated, accounting for 75.5% of cases (female-to-male ratio: 3.1:1).</w:t>
      </w:r>
    </w:p>
    <w:p w14:paraId="2A04EB3A" w14:textId="43D8D157" w:rsidR="0040010A" w:rsidRPr="000146D6" w:rsidRDefault="00947708"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3.</w:t>
      </w:r>
      <w:r w:rsidR="00BB4D83" w:rsidRPr="000146D6">
        <w:rPr>
          <w:rFonts w:ascii="Times New Roman" w:hAnsi="Times New Roman" w:cs="Times New Roman"/>
          <w:b/>
          <w:bCs/>
          <w:sz w:val="24"/>
          <w:szCs w:val="24"/>
        </w:rPr>
        <w:t>3</w:t>
      </w:r>
      <w:r w:rsidRPr="000146D6">
        <w:rPr>
          <w:rFonts w:ascii="Times New Roman" w:hAnsi="Times New Roman" w:cs="Times New Roman"/>
          <w:b/>
          <w:bCs/>
          <w:sz w:val="24"/>
          <w:szCs w:val="24"/>
        </w:rPr>
        <w:t>.2 Macroscopic Features:</w:t>
      </w:r>
    </w:p>
    <w:p w14:paraId="285152E7" w14:textId="1BA8665F" w:rsidR="00122D3D" w:rsidRPr="000146D6" w:rsidRDefault="00122D3D" w:rsidP="00D14E2F">
      <w:pPr>
        <w:tabs>
          <w:tab w:val="left" w:pos="1080"/>
        </w:tabs>
        <w:spacing w:line="240" w:lineRule="auto"/>
        <w:ind w:right="418"/>
        <w:jc w:val="both"/>
        <w:rPr>
          <w:rFonts w:ascii="Times New Roman" w:hAnsi="Times New Roman" w:cs="Times New Roman"/>
          <w:b/>
          <w:sz w:val="24"/>
          <w:szCs w:val="24"/>
        </w:rPr>
      </w:pPr>
      <w:r w:rsidRPr="000146D6">
        <w:rPr>
          <w:rFonts w:ascii="Times New Roman" w:hAnsi="Times New Roman" w:cs="Times New Roman"/>
          <w:b/>
          <w:sz w:val="24"/>
          <w:szCs w:val="24"/>
        </w:rPr>
        <w:t xml:space="preserve">Table </w:t>
      </w:r>
      <w:r w:rsidR="002A39DF" w:rsidRPr="000146D6">
        <w:rPr>
          <w:rFonts w:ascii="Times New Roman" w:hAnsi="Times New Roman" w:cs="Times New Roman"/>
          <w:b/>
          <w:sz w:val="24"/>
          <w:szCs w:val="24"/>
        </w:rPr>
        <w:t>6</w:t>
      </w:r>
      <w:r w:rsidRPr="000146D6">
        <w:rPr>
          <w:rFonts w:ascii="Times New Roman" w:hAnsi="Times New Roman" w:cs="Times New Roman"/>
          <w:b/>
          <w:sz w:val="24"/>
          <w:szCs w:val="24"/>
        </w:rPr>
        <w:t>.</w:t>
      </w:r>
      <w:r w:rsidRPr="000146D6">
        <w:rPr>
          <w:rFonts w:ascii="Times New Roman" w:hAnsi="Times New Roman" w:cs="Times New Roman"/>
          <w:b/>
          <w:sz w:val="24"/>
          <w:szCs w:val="24"/>
        </w:rPr>
        <w:tab/>
        <w:t xml:space="preserve">Macroscopic features of </w:t>
      </w:r>
      <w:r w:rsidRPr="000146D6">
        <w:rPr>
          <w:rFonts w:ascii="Times New Roman" w:hAnsi="Times New Roman" w:cs="Times New Roman"/>
          <w:b/>
          <w:bCs/>
          <w:sz w:val="24"/>
          <w:szCs w:val="24"/>
        </w:rPr>
        <w:t>hyperplastic polyps</w:t>
      </w:r>
    </w:p>
    <w:tbl>
      <w:tblPr>
        <w:tblStyle w:val="TableGrid"/>
        <w:tblW w:w="8724" w:type="dxa"/>
        <w:tblLook w:val="04A0" w:firstRow="1" w:lastRow="0" w:firstColumn="1" w:lastColumn="0" w:noHBand="0" w:noVBand="1"/>
      </w:tblPr>
      <w:tblGrid>
        <w:gridCol w:w="2115"/>
        <w:gridCol w:w="1996"/>
        <w:gridCol w:w="1488"/>
        <w:gridCol w:w="1767"/>
        <w:gridCol w:w="1358"/>
      </w:tblGrid>
      <w:tr w:rsidR="002E3C6D" w:rsidRPr="000146D6" w14:paraId="025E8873" w14:textId="77777777" w:rsidTr="00DD27B9">
        <w:tc>
          <w:tcPr>
            <w:tcW w:w="3823" w:type="dxa"/>
            <w:gridSpan w:val="2"/>
            <w:vAlign w:val="center"/>
          </w:tcPr>
          <w:p w14:paraId="10EFE3AF" w14:textId="19807FD9" w:rsidR="002E3C6D" w:rsidRPr="000146D6" w:rsidRDefault="00122D3D" w:rsidP="00D14E2F">
            <w:pPr>
              <w:ind w:right="418"/>
              <w:jc w:val="both"/>
              <w:rPr>
                <w:rFonts w:ascii="Times New Roman" w:hAnsi="Times New Roman" w:cs="Times New Roman"/>
                <w:b/>
                <w:bCs/>
                <w:sz w:val="24"/>
                <w:szCs w:val="24"/>
              </w:rPr>
            </w:pPr>
            <w:bookmarkStart w:id="3" w:name="_Hlk216099615"/>
            <w:r w:rsidRPr="000146D6">
              <w:rPr>
                <w:rFonts w:ascii="Times New Roman" w:hAnsi="Times New Roman" w:cs="Times New Roman"/>
                <w:b/>
                <w:bCs/>
                <w:sz w:val="24"/>
                <w:szCs w:val="24"/>
              </w:rPr>
              <w:t>Characteristics</w:t>
            </w:r>
          </w:p>
        </w:tc>
        <w:tc>
          <w:tcPr>
            <w:tcW w:w="1417" w:type="dxa"/>
            <w:vAlign w:val="center"/>
          </w:tcPr>
          <w:p w14:paraId="5DFE5E5B" w14:textId="1DF19A5B" w:rsidR="002E3C6D" w:rsidRPr="000146D6" w:rsidRDefault="00122D3D"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(n)</w:t>
            </w:r>
          </w:p>
        </w:tc>
        <w:tc>
          <w:tcPr>
            <w:tcW w:w="1418" w:type="dxa"/>
            <w:vAlign w:val="center"/>
          </w:tcPr>
          <w:p w14:paraId="0276A23A" w14:textId="2B9BEC53" w:rsidR="002E3C6D" w:rsidRPr="000146D6" w:rsidRDefault="00122D3D"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Percentage (%)</w:t>
            </w:r>
          </w:p>
        </w:tc>
        <w:tc>
          <w:tcPr>
            <w:tcW w:w="2066" w:type="dxa"/>
            <w:vAlign w:val="center"/>
          </w:tcPr>
          <w:p w14:paraId="1C3A4465" w14:textId="6048CA5C" w:rsidR="002E3C6D" w:rsidRPr="000146D6" w:rsidRDefault="0031206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Total (n)</w:t>
            </w:r>
          </w:p>
        </w:tc>
      </w:tr>
      <w:tr w:rsidR="002E3C6D" w:rsidRPr="000146D6" w14:paraId="40A8C2BB" w14:textId="77777777" w:rsidTr="00DD27B9">
        <w:tc>
          <w:tcPr>
            <w:tcW w:w="1548" w:type="dxa"/>
            <w:vMerge w:val="restart"/>
            <w:vAlign w:val="center"/>
          </w:tcPr>
          <w:p w14:paraId="3F10D3FA" w14:textId="1E4B3C6B" w:rsidR="002E3C6D" w:rsidRPr="000146D6" w:rsidRDefault="0031206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Location</w:t>
            </w:r>
          </w:p>
        </w:tc>
        <w:tc>
          <w:tcPr>
            <w:tcW w:w="2275" w:type="dxa"/>
            <w:vAlign w:val="center"/>
          </w:tcPr>
          <w:p w14:paraId="03A0E42F" w14:textId="71214573" w:rsidR="002E3C6D" w:rsidRPr="000146D6" w:rsidRDefault="00E1124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Cardia</w:t>
            </w:r>
          </w:p>
        </w:tc>
        <w:tc>
          <w:tcPr>
            <w:tcW w:w="1417" w:type="dxa"/>
            <w:vAlign w:val="center"/>
          </w:tcPr>
          <w:p w14:paraId="4E5E81B1"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418" w:type="dxa"/>
            <w:vAlign w:val="center"/>
          </w:tcPr>
          <w:p w14:paraId="1AA239FF"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2066" w:type="dxa"/>
            <w:vMerge w:val="restart"/>
            <w:vAlign w:val="center"/>
          </w:tcPr>
          <w:p w14:paraId="5C97A52E" w14:textId="5217AFD9" w:rsidR="002E3C6D" w:rsidRPr="000146D6" w:rsidRDefault="002E3C6D" w:rsidP="00D14E2F">
            <w:pPr>
              <w:ind w:right="-19"/>
              <w:jc w:val="both"/>
              <w:rPr>
                <w:rFonts w:ascii="Times New Roman" w:hAnsi="Times New Roman" w:cs="Times New Roman"/>
                <w:sz w:val="24"/>
                <w:szCs w:val="24"/>
              </w:rPr>
            </w:pPr>
            <w:r w:rsidRPr="000146D6">
              <w:rPr>
                <w:rFonts w:ascii="Times New Roman" w:hAnsi="Times New Roman" w:cs="Times New Roman"/>
                <w:sz w:val="24"/>
                <w:szCs w:val="24"/>
              </w:rPr>
              <w:t>49</w:t>
            </w:r>
          </w:p>
        </w:tc>
      </w:tr>
      <w:tr w:rsidR="002E3C6D" w:rsidRPr="000146D6" w14:paraId="2FF2C46E" w14:textId="77777777" w:rsidTr="00DD27B9">
        <w:tc>
          <w:tcPr>
            <w:tcW w:w="1548" w:type="dxa"/>
            <w:vMerge/>
            <w:vAlign w:val="center"/>
          </w:tcPr>
          <w:p w14:paraId="254364CA"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257E5F98" w14:textId="71F333BF" w:rsidR="002E3C6D" w:rsidRPr="000146D6" w:rsidRDefault="00E1124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Fundus</w:t>
            </w:r>
          </w:p>
        </w:tc>
        <w:tc>
          <w:tcPr>
            <w:tcW w:w="1417" w:type="dxa"/>
            <w:vAlign w:val="center"/>
          </w:tcPr>
          <w:p w14:paraId="7C260542"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418" w:type="dxa"/>
            <w:vAlign w:val="center"/>
          </w:tcPr>
          <w:p w14:paraId="59A4BA46"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p>
        </w:tc>
        <w:tc>
          <w:tcPr>
            <w:tcW w:w="2066" w:type="dxa"/>
            <w:vMerge/>
            <w:vAlign w:val="center"/>
          </w:tcPr>
          <w:p w14:paraId="1F8AEEAA"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1A3A3D89" w14:textId="77777777" w:rsidTr="00DD27B9">
        <w:tc>
          <w:tcPr>
            <w:tcW w:w="1548" w:type="dxa"/>
            <w:vMerge/>
            <w:vAlign w:val="center"/>
          </w:tcPr>
          <w:p w14:paraId="0F666D2E"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6777408B" w14:textId="216B4816" w:rsidR="002E3C6D" w:rsidRPr="000146D6" w:rsidRDefault="00E1124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Body</w:t>
            </w:r>
          </w:p>
        </w:tc>
        <w:tc>
          <w:tcPr>
            <w:tcW w:w="1417" w:type="dxa"/>
            <w:vAlign w:val="center"/>
          </w:tcPr>
          <w:p w14:paraId="64F41598"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33</w:t>
            </w:r>
          </w:p>
        </w:tc>
        <w:tc>
          <w:tcPr>
            <w:tcW w:w="1418" w:type="dxa"/>
            <w:vAlign w:val="center"/>
          </w:tcPr>
          <w:p w14:paraId="02ED6727" w14:textId="5F04885C"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67</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4</w:t>
            </w:r>
          </w:p>
        </w:tc>
        <w:tc>
          <w:tcPr>
            <w:tcW w:w="2066" w:type="dxa"/>
            <w:vMerge/>
            <w:vAlign w:val="center"/>
          </w:tcPr>
          <w:p w14:paraId="689AEB1A"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2B778A36" w14:textId="77777777" w:rsidTr="00DD27B9">
        <w:tc>
          <w:tcPr>
            <w:tcW w:w="1548" w:type="dxa"/>
            <w:vMerge/>
            <w:vAlign w:val="center"/>
          </w:tcPr>
          <w:p w14:paraId="47576944"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7F6E2DE4" w14:textId="1FA81BF9" w:rsidR="002E3C6D" w:rsidRPr="000146D6" w:rsidRDefault="00E1124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Antrum</w:t>
            </w:r>
          </w:p>
        </w:tc>
        <w:tc>
          <w:tcPr>
            <w:tcW w:w="1417" w:type="dxa"/>
            <w:vAlign w:val="center"/>
          </w:tcPr>
          <w:p w14:paraId="40E37C03"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15</w:t>
            </w:r>
          </w:p>
        </w:tc>
        <w:tc>
          <w:tcPr>
            <w:tcW w:w="1418" w:type="dxa"/>
            <w:vAlign w:val="center"/>
          </w:tcPr>
          <w:p w14:paraId="7219666A" w14:textId="57004C11"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30</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6</w:t>
            </w:r>
          </w:p>
        </w:tc>
        <w:tc>
          <w:tcPr>
            <w:tcW w:w="2066" w:type="dxa"/>
            <w:vMerge/>
            <w:vAlign w:val="center"/>
          </w:tcPr>
          <w:p w14:paraId="537ADCDA"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673D9605" w14:textId="77777777" w:rsidTr="00DD27B9">
        <w:tc>
          <w:tcPr>
            <w:tcW w:w="1548" w:type="dxa"/>
            <w:vMerge w:val="restart"/>
            <w:vAlign w:val="center"/>
          </w:tcPr>
          <w:p w14:paraId="23FE0C7D" w14:textId="2E539401" w:rsidR="002E3C6D" w:rsidRPr="000146D6" w:rsidRDefault="0031206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of polyps</w:t>
            </w:r>
          </w:p>
        </w:tc>
        <w:tc>
          <w:tcPr>
            <w:tcW w:w="2275" w:type="dxa"/>
            <w:vAlign w:val="center"/>
          </w:tcPr>
          <w:p w14:paraId="6431ED33"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 polyp</w:t>
            </w:r>
          </w:p>
        </w:tc>
        <w:tc>
          <w:tcPr>
            <w:tcW w:w="1417" w:type="dxa"/>
            <w:vAlign w:val="center"/>
          </w:tcPr>
          <w:p w14:paraId="6A65BCE7"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30</w:t>
            </w:r>
          </w:p>
        </w:tc>
        <w:tc>
          <w:tcPr>
            <w:tcW w:w="1418" w:type="dxa"/>
            <w:vAlign w:val="center"/>
          </w:tcPr>
          <w:p w14:paraId="5C0CE207" w14:textId="74188583"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61</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2</w:t>
            </w:r>
          </w:p>
        </w:tc>
        <w:tc>
          <w:tcPr>
            <w:tcW w:w="2066" w:type="dxa"/>
            <w:vMerge/>
            <w:vAlign w:val="center"/>
          </w:tcPr>
          <w:p w14:paraId="754806E6"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5EB63A67" w14:textId="77777777" w:rsidTr="00DD27B9">
        <w:tc>
          <w:tcPr>
            <w:tcW w:w="1548" w:type="dxa"/>
            <w:vMerge/>
            <w:vAlign w:val="center"/>
          </w:tcPr>
          <w:p w14:paraId="40B13062"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6899EF06"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&gt;1 polyp</w:t>
            </w:r>
          </w:p>
        </w:tc>
        <w:tc>
          <w:tcPr>
            <w:tcW w:w="1417" w:type="dxa"/>
            <w:vAlign w:val="center"/>
          </w:tcPr>
          <w:p w14:paraId="7473A7B2"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19</w:t>
            </w:r>
          </w:p>
        </w:tc>
        <w:tc>
          <w:tcPr>
            <w:tcW w:w="1418" w:type="dxa"/>
            <w:vAlign w:val="center"/>
          </w:tcPr>
          <w:p w14:paraId="13F554CC" w14:textId="46667538"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38</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8</w:t>
            </w:r>
          </w:p>
        </w:tc>
        <w:tc>
          <w:tcPr>
            <w:tcW w:w="2066" w:type="dxa"/>
            <w:vMerge/>
            <w:vAlign w:val="center"/>
          </w:tcPr>
          <w:p w14:paraId="45C2D6C6"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1AE6E32E" w14:textId="77777777" w:rsidTr="00DD27B9">
        <w:tc>
          <w:tcPr>
            <w:tcW w:w="1548" w:type="dxa"/>
            <w:vMerge w:val="restart"/>
            <w:vAlign w:val="center"/>
          </w:tcPr>
          <w:p w14:paraId="0FEB5E68" w14:textId="79D2A7FD" w:rsidR="002E3C6D" w:rsidRPr="000146D6" w:rsidRDefault="0031206A"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Size (mm)</w:t>
            </w:r>
          </w:p>
        </w:tc>
        <w:tc>
          <w:tcPr>
            <w:tcW w:w="2275" w:type="dxa"/>
            <w:vAlign w:val="center"/>
          </w:tcPr>
          <w:p w14:paraId="53917F37"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&lt;10</w:t>
            </w:r>
          </w:p>
        </w:tc>
        <w:tc>
          <w:tcPr>
            <w:tcW w:w="1417" w:type="dxa"/>
            <w:vAlign w:val="center"/>
          </w:tcPr>
          <w:p w14:paraId="0FCA4D1B"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31</w:t>
            </w:r>
          </w:p>
        </w:tc>
        <w:tc>
          <w:tcPr>
            <w:tcW w:w="1418" w:type="dxa"/>
            <w:vAlign w:val="center"/>
          </w:tcPr>
          <w:p w14:paraId="5EFCBC67" w14:textId="5064ADA4"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63</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3</w:t>
            </w:r>
          </w:p>
        </w:tc>
        <w:tc>
          <w:tcPr>
            <w:tcW w:w="2066" w:type="dxa"/>
            <w:vMerge/>
            <w:vAlign w:val="center"/>
          </w:tcPr>
          <w:p w14:paraId="20D4B315"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0ACEA138" w14:textId="77777777" w:rsidTr="00DD27B9">
        <w:tc>
          <w:tcPr>
            <w:tcW w:w="1548" w:type="dxa"/>
            <w:vMerge/>
            <w:vAlign w:val="center"/>
          </w:tcPr>
          <w:p w14:paraId="26A6182E"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4CFA6697" w14:textId="36E4B4C1"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10–19</w:t>
            </w:r>
          </w:p>
        </w:tc>
        <w:tc>
          <w:tcPr>
            <w:tcW w:w="1417" w:type="dxa"/>
            <w:vAlign w:val="center"/>
          </w:tcPr>
          <w:p w14:paraId="3D3E8C71"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16</w:t>
            </w:r>
          </w:p>
        </w:tc>
        <w:tc>
          <w:tcPr>
            <w:tcW w:w="1418" w:type="dxa"/>
            <w:vAlign w:val="center"/>
          </w:tcPr>
          <w:p w14:paraId="239E9FDF" w14:textId="0B5D8BE9"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32</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6</w:t>
            </w:r>
          </w:p>
        </w:tc>
        <w:tc>
          <w:tcPr>
            <w:tcW w:w="2066" w:type="dxa"/>
            <w:vMerge/>
            <w:vAlign w:val="center"/>
          </w:tcPr>
          <w:p w14:paraId="1767F92B"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3EE4B35C" w14:textId="77777777" w:rsidTr="00DD27B9">
        <w:tc>
          <w:tcPr>
            <w:tcW w:w="1548" w:type="dxa"/>
            <w:vMerge/>
            <w:vAlign w:val="center"/>
          </w:tcPr>
          <w:p w14:paraId="340B9678"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3B984B1E" w14:textId="6BCC1EE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20–29</w:t>
            </w:r>
          </w:p>
        </w:tc>
        <w:tc>
          <w:tcPr>
            <w:tcW w:w="1417" w:type="dxa"/>
            <w:vAlign w:val="center"/>
          </w:tcPr>
          <w:p w14:paraId="5C86895A"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p>
        </w:tc>
        <w:tc>
          <w:tcPr>
            <w:tcW w:w="1418" w:type="dxa"/>
            <w:vAlign w:val="center"/>
          </w:tcPr>
          <w:p w14:paraId="3050182A" w14:textId="3CA10E6B"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1</w:t>
            </w:r>
          </w:p>
        </w:tc>
        <w:tc>
          <w:tcPr>
            <w:tcW w:w="2066" w:type="dxa"/>
            <w:vMerge/>
            <w:vAlign w:val="center"/>
          </w:tcPr>
          <w:p w14:paraId="0BBBCE44"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48F448AF" w14:textId="77777777" w:rsidTr="00DD27B9">
        <w:tc>
          <w:tcPr>
            <w:tcW w:w="1548" w:type="dxa"/>
            <w:vMerge w:val="restart"/>
            <w:vAlign w:val="center"/>
          </w:tcPr>
          <w:p w14:paraId="66C1B426" w14:textId="45BD364E" w:rsidR="002E3C6D" w:rsidRPr="000146D6" w:rsidRDefault="00FE27B8" w:rsidP="00D14E2F">
            <w:pPr>
              <w:ind w:right="418"/>
              <w:jc w:val="both"/>
              <w:rPr>
                <w:rFonts w:ascii="Times New Roman" w:hAnsi="Times New Roman" w:cs="Times New Roman"/>
                <w:sz w:val="24"/>
                <w:szCs w:val="24"/>
              </w:rPr>
            </w:pPr>
            <w:proofErr w:type="spellStart"/>
            <w:r w:rsidRPr="000146D6">
              <w:rPr>
                <w:rFonts w:ascii="Times New Roman" w:hAnsi="Times New Roman" w:cs="Times New Roman"/>
                <w:b/>
                <w:bCs/>
                <w:sz w:val="24"/>
                <w:szCs w:val="24"/>
              </w:rPr>
              <w:t>Pedunculation</w:t>
            </w:r>
            <w:proofErr w:type="spellEnd"/>
            <w:r w:rsidRPr="000146D6">
              <w:rPr>
                <w:rFonts w:ascii="Times New Roman" w:hAnsi="Times New Roman" w:cs="Times New Roman"/>
                <w:b/>
                <w:bCs/>
                <w:sz w:val="24"/>
                <w:szCs w:val="24"/>
              </w:rPr>
              <w:t xml:space="preserve"> status</w:t>
            </w:r>
          </w:p>
        </w:tc>
        <w:tc>
          <w:tcPr>
            <w:tcW w:w="2275" w:type="dxa"/>
            <w:vAlign w:val="center"/>
          </w:tcPr>
          <w:p w14:paraId="30290CF1" w14:textId="0AB03E91" w:rsidR="002E3C6D" w:rsidRPr="000146D6" w:rsidRDefault="0031206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Sessile</w:t>
            </w:r>
          </w:p>
        </w:tc>
        <w:tc>
          <w:tcPr>
            <w:tcW w:w="1417" w:type="dxa"/>
            <w:vAlign w:val="center"/>
          </w:tcPr>
          <w:p w14:paraId="31E24C0C"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w:t>
            </w:r>
          </w:p>
        </w:tc>
        <w:tc>
          <w:tcPr>
            <w:tcW w:w="1418" w:type="dxa"/>
            <w:vAlign w:val="center"/>
          </w:tcPr>
          <w:p w14:paraId="518C41AC" w14:textId="3218EE7F"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1</w:t>
            </w:r>
          </w:p>
        </w:tc>
        <w:tc>
          <w:tcPr>
            <w:tcW w:w="2066" w:type="dxa"/>
            <w:vMerge/>
            <w:vAlign w:val="center"/>
          </w:tcPr>
          <w:p w14:paraId="0CC0511C" w14:textId="77777777" w:rsidR="002E3C6D" w:rsidRPr="000146D6" w:rsidRDefault="002E3C6D" w:rsidP="00D14E2F">
            <w:pPr>
              <w:ind w:right="418"/>
              <w:jc w:val="both"/>
              <w:rPr>
                <w:rFonts w:ascii="Times New Roman" w:hAnsi="Times New Roman" w:cs="Times New Roman"/>
                <w:sz w:val="24"/>
                <w:szCs w:val="24"/>
              </w:rPr>
            </w:pPr>
          </w:p>
        </w:tc>
      </w:tr>
      <w:tr w:rsidR="002E3C6D" w:rsidRPr="000146D6" w14:paraId="154C25EB" w14:textId="77777777" w:rsidTr="00DD27B9">
        <w:tc>
          <w:tcPr>
            <w:tcW w:w="1548" w:type="dxa"/>
            <w:vMerge/>
            <w:vAlign w:val="center"/>
          </w:tcPr>
          <w:p w14:paraId="5E952D2D" w14:textId="77777777" w:rsidR="002E3C6D" w:rsidRPr="000146D6" w:rsidRDefault="002E3C6D" w:rsidP="00D14E2F">
            <w:pPr>
              <w:ind w:right="418"/>
              <w:jc w:val="both"/>
              <w:rPr>
                <w:rFonts w:ascii="Times New Roman" w:hAnsi="Times New Roman" w:cs="Times New Roman"/>
                <w:sz w:val="24"/>
                <w:szCs w:val="24"/>
              </w:rPr>
            </w:pPr>
          </w:p>
        </w:tc>
        <w:tc>
          <w:tcPr>
            <w:tcW w:w="2275" w:type="dxa"/>
            <w:vAlign w:val="center"/>
          </w:tcPr>
          <w:p w14:paraId="1BF2FBC1" w14:textId="44355E27" w:rsidR="002E3C6D" w:rsidRPr="000146D6" w:rsidRDefault="0031206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Pedunculated</w:t>
            </w:r>
          </w:p>
        </w:tc>
        <w:tc>
          <w:tcPr>
            <w:tcW w:w="1417" w:type="dxa"/>
            <w:vAlign w:val="center"/>
          </w:tcPr>
          <w:p w14:paraId="53B0DDE0" w14:textId="77777777"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46</w:t>
            </w:r>
          </w:p>
        </w:tc>
        <w:tc>
          <w:tcPr>
            <w:tcW w:w="1418" w:type="dxa"/>
            <w:vAlign w:val="center"/>
          </w:tcPr>
          <w:p w14:paraId="433CAE25" w14:textId="7FF7692E" w:rsidR="002E3C6D" w:rsidRPr="000146D6" w:rsidRDefault="002E3C6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93</w:t>
            </w:r>
            <w:r w:rsidR="000C7924" w:rsidRPr="000146D6">
              <w:rPr>
                <w:rFonts w:ascii="Times New Roman" w:hAnsi="Times New Roman" w:cs="Times New Roman"/>
                <w:sz w:val="24"/>
                <w:szCs w:val="24"/>
              </w:rPr>
              <w:t>.</w:t>
            </w:r>
            <w:r w:rsidRPr="000146D6">
              <w:rPr>
                <w:rFonts w:ascii="Times New Roman" w:hAnsi="Times New Roman" w:cs="Times New Roman"/>
                <w:sz w:val="24"/>
                <w:szCs w:val="24"/>
              </w:rPr>
              <w:t>9</w:t>
            </w:r>
          </w:p>
        </w:tc>
        <w:tc>
          <w:tcPr>
            <w:tcW w:w="2066" w:type="dxa"/>
            <w:vMerge/>
            <w:vAlign w:val="center"/>
          </w:tcPr>
          <w:p w14:paraId="09F19E22" w14:textId="77777777" w:rsidR="002E3C6D" w:rsidRPr="000146D6" w:rsidRDefault="002E3C6D" w:rsidP="00D14E2F">
            <w:pPr>
              <w:ind w:right="418"/>
              <w:jc w:val="both"/>
              <w:rPr>
                <w:rFonts w:ascii="Times New Roman" w:hAnsi="Times New Roman" w:cs="Times New Roman"/>
                <w:sz w:val="24"/>
                <w:szCs w:val="24"/>
              </w:rPr>
            </w:pPr>
          </w:p>
        </w:tc>
      </w:tr>
      <w:bookmarkEnd w:id="3"/>
    </w:tbl>
    <w:p w14:paraId="35261492" w14:textId="77777777" w:rsidR="002E3C6D" w:rsidRPr="000146D6" w:rsidRDefault="002E3C6D" w:rsidP="00D14E2F">
      <w:pPr>
        <w:spacing w:line="240" w:lineRule="auto"/>
        <w:ind w:right="418"/>
        <w:jc w:val="both"/>
        <w:rPr>
          <w:rFonts w:ascii="Times New Roman" w:hAnsi="Times New Roman" w:cs="Times New Roman"/>
          <w:sz w:val="24"/>
          <w:szCs w:val="24"/>
        </w:rPr>
      </w:pPr>
    </w:p>
    <w:p w14:paraId="69731EA6" w14:textId="77777777" w:rsidR="00144349" w:rsidRDefault="00DB0172" w:rsidP="00D14E2F">
      <w:pPr>
        <w:spacing w:line="240" w:lineRule="auto"/>
        <w:ind w:right="418"/>
        <w:jc w:val="both"/>
        <w:rPr>
          <w:rFonts w:ascii="Times New Roman" w:hAnsi="Times New Roman" w:cs="Times New Roman"/>
          <w:sz w:val="24"/>
          <w:szCs w:val="24"/>
        </w:rPr>
      </w:pPr>
      <w:r w:rsidRPr="00DA0B65">
        <w:rPr>
          <w:rFonts w:ascii="Times New Roman" w:hAnsi="Times New Roman" w:cs="Times New Roman"/>
          <w:b/>
          <w:bCs/>
          <w:sz w:val="24"/>
          <w:szCs w:val="24"/>
        </w:rPr>
        <w:t>Observation:</w:t>
      </w:r>
      <w:r w:rsidRPr="000146D6">
        <w:rPr>
          <w:rFonts w:ascii="Times New Roman" w:hAnsi="Times New Roman" w:cs="Times New Roman"/>
          <w:sz w:val="24"/>
          <w:szCs w:val="24"/>
        </w:rPr>
        <w:t xml:space="preserve"> Polyps were most frequently located in the gastric body (67.4%), followed by the antrum (30.6%), while other locations were rare. Single polyps were more common than multiple polyps, accounting for 61.2% and 38.8% of cases, respectively. Most polyps measured &lt;10 mm (63.3%), followed by those measuring 10–19 mm (32.6%) and 20–29 mm (4.1%). </w:t>
      </w:r>
      <w:r w:rsidR="00144349" w:rsidRPr="00144349">
        <w:rPr>
          <w:rFonts w:ascii="Times New Roman" w:hAnsi="Times New Roman" w:cs="Times New Roman"/>
          <w:sz w:val="24"/>
          <w:szCs w:val="24"/>
        </w:rPr>
        <w:t>Pedunculated polyps predominated (93.9%), whereas sessile polyps accounted for 6.1% of cases.</w:t>
      </w:r>
    </w:p>
    <w:p w14:paraId="75737A54" w14:textId="7E71A926" w:rsidR="0040010A" w:rsidRPr="000146D6" w:rsidRDefault="00947708"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lastRenderedPageBreak/>
        <w:t>3.</w:t>
      </w:r>
      <w:r w:rsidR="00BB4D83" w:rsidRPr="000146D6">
        <w:rPr>
          <w:rFonts w:ascii="Times New Roman" w:hAnsi="Times New Roman" w:cs="Times New Roman"/>
          <w:b/>
          <w:bCs/>
          <w:sz w:val="24"/>
          <w:szCs w:val="24"/>
        </w:rPr>
        <w:t>3</w:t>
      </w:r>
      <w:r w:rsidRPr="000146D6">
        <w:rPr>
          <w:rFonts w:ascii="Times New Roman" w:hAnsi="Times New Roman" w:cs="Times New Roman"/>
          <w:b/>
          <w:bCs/>
          <w:sz w:val="24"/>
          <w:szCs w:val="24"/>
        </w:rPr>
        <w:t>.3 Histopathological Features:</w:t>
      </w:r>
    </w:p>
    <w:p w14:paraId="4AD2D20B" w14:textId="19DBAEFD" w:rsidR="00D5711C" w:rsidRPr="000146D6" w:rsidRDefault="00D5711C" w:rsidP="00D14E2F">
      <w:pPr>
        <w:tabs>
          <w:tab w:val="left" w:pos="1080"/>
        </w:tabs>
        <w:spacing w:line="240" w:lineRule="auto"/>
        <w:ind w:right="418"/>
        <w:jc w:val="both"/>
        <w:rPr>
          <w:rFonts w:ascii="Times New Roman" w:hAnsi="Times New Roman" w:cs="Times New Roman"/>
          <w:b/>
          <w:sz w:val="24"/>
          <w:szCs w:val="24"/>
        </w:rPr>
      </w:pPr>
      <w:r w:rsidRPr="000146D6">
        <w:rPr>
          <w:rFonts w:ascii="Times New Roman" w:hAnsi="Times New Roman" w:cs="Times New Roman"/>
          <w:b/>
          <w:sz w:val="24"/>
          <w:szCs w:val="24"/>
        </w:rPr>
        <w:t xml:space="preserve">Table </w:t>
      </w:r>
      <w:r w:rsidR="002A39DF" w:rsidRPr="000146D6">
        <w:rPr>
          <w:rFonts w:ascii="Times New Roman" w:hAnsi="Times New Roman" w:cs="Times New Roman"/>
          <w:b/>
          <w:sz w:val="24"/>
          <w:szCs w:val="24"/>
        </w:rPr>
        <w:t>7</w:t>
      </w:r>
      <w:r w:rsidRPr="000146D6">
        <w:rPr>
          <w:rFonts w:ascii="Times New Roman" w:hAnsi="Times New Roman" w:cs="Times New Roman"/>
          <w:b/>
          <w:sz w:val="24"/>
          <w:szCs w:val="24"/>
        </w:rPr>
        <w:t>.</w:t>
      </w:r>
      <w:r w:rsidRPr="000146D6">
        <w:rPr>
          <w:rFonts w:ascii="Times New Roman" w:hAnsi="Times New Roman" w:cs="Times New Roman"/>
          <w:b/>
          <w:sz w:val="24"/>
          <w:szCs w:val="24"/>
        </w:rPr>
        <w:tab/>
      </w:r>
      <w:r w:rsidR="007A4EC3" w:rsidRPr="000146D6">
        <w:rPr>
          <w:rFonts w:ascii="Times New Roman" w:hAnsi="Times New Roman" w:cs="Times New Roman"/>
          <w:b/>
          <w:sz w:val="24"/>
          <w:szCs w:val="24"/>
        </w:rPr>
        <w:t xml:space="preserve">Histopathological features </w:t>
      </w:r>
      <w:r w:rsidRPr="000146D6">
        <w:rPr>
          <w:rFonts w:ascii="Times New Roman" w:hAnsi="Times New Roman" w:cs="Times New Roman"/>
          <w:b/>
          <w:sz w:val="24"/>
          <w:szCs w:val="24"/>
        </w:rPr>
        <w:t xml:space="preserve">of </w:t>
      </w:r>
      <w:r w:rsidRPr="000146D6">
        <w:rPr>
          <w:rFonts w:ascii="Times New Roman" w:hAnsi="Times New Roman" w:cs="Times New Roman"/>
          <w:b/>
          <w:bCs/>
          <w:sz w:val="24"/>
          <w:szCs w:val="24"/>
        </w:rPr>
        <w:t>hyperplastic polyps</w:t>
      </w:r>
    </w:p>
    <w:tbl>
      <w:tblPr>
        <w:tblStyle w:val="TableGrid"/>
        <w:tblW w:w="8724" w:type="dxa"/>
        <w:tblLook w:val="04A0" w:firstRow="1" w:lastRow="0" w:firstColumn="1" w:lastColumn="0" w:noHBand="0" w:noVBand="1"/>
      </w:tblPr>
      <w:tblGrid>
        <w:gridCol w:w="2048"/>
        <w:gridCol w:w="2023"/>
        <w:gridCol w:w="1488"/>
        <w:gridCol w:w="1767"/>
        <w:gridCol w:w="1398"/>
      </w:tblGrid>
      <w:tr w:rsidR="0017793E" w:rsidRPr="000146D6" w14:paraId="28A7C8B9" w14:textId="77777777" w:rsidTr="00DD27B9">
        <w:tc>
          <w:tcPr>
            <w:tcW w:w="3823" w:type="dxa"/>
            <w:gridSpan w:val="2"/>
            <w:vAlign w:val="center"/>
          </w:tcPr>
          <w:p w14:paraId="60BE6681" w14:textId="099F5DD5" w:rsidR="0017793E" w:rsidRPr="000146D6" w:rsidRDefault="00BB4D8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Characteristics</w:t>
            </w:r>
          </w:p>
        </w:tc>
        <w:tc>
          <w:tcPr>
            <w:tcW w:w="1417" w:type="dxa"/>
            <w:vAlign w:val="center"/>
          </w:tcPr>
          <w:p w14:paraId="036F47A5" w14:textId="1437E2C9" w:rsidR="0017793E" w:rsidRPr="000146D6" w:rsidRDefault="00BB4D8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Number (n)</w:t>
            </w:r>
          </w:p>
        </w:tc>
        <w:tc>
          <w:tcPr>
            <w:tcW w:w="1418" w:type="dxa"/>
            <w:vAlign w:val="center"/>
          </w:tcPr>
          <w:p w14:paraId="5F1C442E" w14:textId="56CC01EC" w:rsidR="0017793E" w:rsidRPr="000146D6" w:rsidRDefault="00BB4D8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Percentage (%)</w:t>
            </w:r>
          </w:p>
        </w:tc>
        <w:tc>
          <w:tcPr>
            <w:tcW w:w="2066" w:type="dxa"/>
            <w:vAlign w:val="center"/>
          </w:tcPr>
          <w:p w14:paraId="5A707E3D" w14:textId="505E3BF3" w:rsidR="0017793E" w:rsidRPr="000146D6" w:rsidRDefault="00BB4D83"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Total (n)</w:t>
            </w:r>
          </w:p>
        </w:tc>
      </w:tr>
      <w:tr w:rsidR="0017793E" w:rsidRPr="000146D6" w14:paraId="0C635AA3" w14:textId="77777777" w:rsidTr="00DD27B9">
        <w:tc>
          <w:tcPr>
            <w:tcW w:w="1548" w:type="dxa"/>
            <w:vMerge w:val="restart"/>
            <w:vAlign w:val="center"/>
          </w:tcPr>
          <w:p w14:paraId="69A44F82" w14:textId="2A2FE1B1" w:rsidR="0017793E" w:rsidRPr="000146D6" w:rsidRDefault="007C4F1D"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Inflammation</w:t>
            </w:r>
          </w:p>
        </w:tc>
        <w:tc>
          <w:tcPr>
            <w:tcW w:w="2275" w:type="dxa"/>
            <w:vAlign w:val="center"/>
          </w:tcPr>
          <w:p w14:paraId="5F8B0BF6" w14:textId="6E4C9213" w:rsidR="0017793E" w:rsidRPr="000146D6" w:rsidRDefault="007C4F1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No i</w:t>
            </w:r>
            <w:r w:rsidR="000E487A" w:rsidRPr="000146D6">
              <w:rPr>
                <w:rFonts w:ascii="Times New Roman" w:hAnsi="Times New Roman" w:cs="Times New Roman"/>
                <w:sz w:val="24"/>
                <w:szCs w:val="24"/>
              </w:rPr>
              <w:t>nflammation</w:t>
            </w:r>
          </w:p>
        </w:tc>
        <w:tc>
          <w:tcPr>
            <w:tcW w:w="1417" w:type="dxa"/>
            <w:vAlign w:val="center"/>
          </w:tcPr>
          <w:p w14:paraId="7456BF1F" w14:textId="6E39DB77" w:rsidR="0017793E" w:rsidRPr="000146D6" w:rsidRDefault="000E487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31</w:t>
            </w:r>
          </w:p>
        </w:tc>
        <w:tc>
          <w:tcPr>
            <w:tcW w:w="1418" w:type="dxa"/>
            <w:vAlign w:val="center"/>
          </w:tcPr>
          <w:p w14:paraId="3EEEF189" w14:textId="1CFC8106" w:rsidR="0017793E" w:rsidRPr="000146D6" w:rsidRDefault="000E487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63.3</w:t>
            </w:r>
          </w:p>
        </w:tc>
        <w:tc>
          <w:tcPr>
            <w:tcW w:w="2066" w:type="dxa"/>
            <w:vMerge w:val="restart"/>
            <w:vAlign w:val="center"/>
          </w:tcPr>
          <w:p w14:paraId="6FB4F68C" w14:textId="168F94EF" w:rsidR="0017793E" w:rsidRPr="000146D6" w:rsidRDefault="00D5711C" w:rsidP="00D14E2F">
            <w:pPr>
              <w:jc w:val="both"/>
              <w:rPr>
                <w:rFonts w:ascii="Times New Roman" w:hAnsi="Times New Roman" w:cs="Times New Roman"/>
                <w:sz w:val="24"/>
                <w:szCs w:val="24"/>
              </w:rPr>
            </w:pPr>
            <w:r w:rsidRPr="000146D6">
              <w:rPr>
                <w:rFonts w:ascii="Times New Roman" w:hAnsi="Times New Roman" w:cs="Times New Roman"/>
                <w:sz w:val="24"/>
                <w:szCs w:val="24"/>
              </w:rPr>
              <w:t>49</w:t>
            </w:r>
          </w:p>
        </w:tc>
      </w:tr>
      <w:tr w:rsidR="0017793E" w:rsidRPr="000146D6" w14:paraId="37E77E21" w14:textId="77777777" w:rsidTr="00DD27B9">
        <w:tc>
          <w:tcPr>
            <w:tcW w:w="1548" w:type="dxa"/>
            <w:vMerge/>
            <w:vAlign w:val="center"/>
          </w:tcPr>
          <w:p w14:paraId="5A98E9C4"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374CFA24" w14:textId="5BA6C736" w:rsidR="0017793E" w:rsidRPr="000146D6" w:rsidRDefault="007C4F1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Inflammation</w:t>
            </w:r>
          </w:p>
        </w:tc>
        <w:tc>
          <w:tcPr>
            <w:tcW w:w="1417" w:type="dxa"/>
            <w:vAlign w:val="center"/>
          </w:tcPr>
          <w:p w14:paraId="1F250D2C" w14:textId="36BBB1DC" w:rsidR="0017793E" w:rsidRPr="000146D6" w:rsidRDefault="000E487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18</w:t>
            </w:r>
          </w:p>
        </w:tc>
        <w:tc>
          <w:tcPr>
            <w:tcW w:w="1418" w:type="dxa"/>
            <w:vAlign w:val="center"/>
          </w:tcPr>
          <w:p w14:paraId="6B771F82" w14:textId="0D522BA7" w:rsidR="0017793E" w:rsidRPr="000146D6" w:rsidRDefault="000E487A"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36.7</w:t>
            </w:r>
          </w:p>
        </w:tc>
        <w:tc>
          <w:tcPr>
            <w:tcW w:w="2066" w:type="dxa"/>
            <w:vMerge/>
            <w:vAlign w:val="center"/>
          </w:tcPr>
          <w:p w14:paraId="5400A5DA"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1CC2EFCF" w14:textId="77777777" w:rsidTr="00DD27B9">
        <w:tc>
          <w:tcPr>
            <w:tcW w:w="1548" w:type="dxa"/>
            <w:vMerge w:val="restart"/>
            <w:vAlign w:val="center"/>
          </w:tcPr>
          <w:p w14:paraId="46DE7AF9" w14:textId="34EF5BCB" w:rsidR="0017793E" w:rsidRPr="000146D6" w:rsidRDefault="00161A2E" w:rsidP="00D14E2F">
            <w:pPr>
              <w:ind w:right="418"/>
              <w:jc w:val="both"/>
              <w:rPr>
                <w:rFonts w:ascii="Times New Roman" w:hAnsi="Times New Roman" w:cs="Times New Roman"/>
                <w:sz w:val="24"/>
                <w:szCs w:val="24"/>
              </w:rPr>
            </w:pPr>
            <w:r w:rsidRPr="000146D6">
              <w:rPr>
                <w:rFonts w:ascii="Times New Roman" w:hAnsi="Times New Roman" w:cs="Times New Roman"/>
                <w:b/>
                <w:bCs/>
                <w:i/>
                <w:iCs/>
                <w:sz w:val="24"/>
                <w:szCs w:val="24"/>
              </w:rPr>
              <w:t>H. pylori</w:t>
            </w:r>
            <w:r w:rsidRPr="000146D6">
              <w:rPr>
                <w:rFonts w:ascii="Times New Roman" w:hAnsi="Times New Roman" w:cs="Times New Roman"/>
                <w:b/>
                <w:bCs/>
                <w:sz w:val="24"/>
                <w:szCs w:val="24"/>
              </w:rPr>
              <w:t xml:space="preserve"> infection</w:t>
            </w:r>
          </w:p>
        </w:tc>
        <w:tc>
          <w:tcPr>
            <w:tcW w:w="2275" w:type="dxa"/>
            <w:vAlign w:val="center"/>
          </w:tcPr>
          <w:p w14:paraId="60208B21" w14:textId="0B00C195" w:rsidR="0017793E" w:rsidRPr="000146D6" w:rsidRDefault="003307A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Negative</w:t>
            </w:r>
          </w:p>
        </w:tc>
        <w:tc>
          <w:tcPr>
            <w:tcW w:w="1417" w:type="dxa"/>
            <w:vAlign w:val="center"/>
          </w:tcPr>
          <w:p w14:paraId="5B8667AC" w14:textId="20476441" w:rsidR="0017793E" w:rsidRPr="000146D6" w:rsidRDefault="003307A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48</w:t>
            </w:r>
          </w:p>
        </w:tc>
        <w:tc>
          <w:tcPr>
            <w:tcW w:w="1418" w:type="dxa"/>
            <w:vAlign w:val="center"/>
          </w:tcPr>
          <w:p w14:paraId="4E4426E5" w14:textId="12CA8DF1" w:rsidR="0017793E" w:rsidRPr="000146D6" w:rsidRDefault="003307A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98</w:t>
            </w:r>
          </w:p>
        </w:tc>
        <w:tc>
          <w:tcPr>
            <w:tcW w:w="2066" w:type="dxa"/>
            <w:vMerge/>
            <w:vAlign w:val="center"/>
          </w:tcPr>
          <w:p w14:paraId="2795113C"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1615916E" w14:textId="77777777" w:rsidTr="00DD27B9">
        <w:tc>
          <w:tcPr>
            <w:tcW w:w="1548" w:type="dxa"/>
            <w:vMerge/>
            <w:vAlign w:val="center"/>
          </w:tcPr>
          <w:p w14:paraId="7D7696D6"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49858A40" w14:textId="3643B003" w:rsidR="0017793E" w:rsidRPr="000146D6" w:rsidRDefault="0053603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Positive</w:t>
            </w:r>
          </w:p>
        </w:tc>
        <w:tc>
          <w:tcPr>
            <w:tcW w:w="1417" w:type="dxa"/>
            <w:vAlign w:val="center"/>
          </w:tcPr>
          <w:p w14:paraId="2315927E" w14:textId="7B2B8DE1" w:rsidR="0017793E" w:rsidRPr="000146D6" w:rsidRDefault="003307A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418" w:type="dxa"/>
            <w:vAlign w:val="center"/>
          </w:tcPr>
          <w:p w14:paraId="0DA1AC11" w14:textId="1FD6F694" w:rsidR="0017793E" w:rsidRPr="000146D6" w:rsidRDefault="003307A5"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p>
        </w:tc>
        <w:tc>
          <w:tcPr>
            <w:tcW w:w="2066" w:type="dxa"/>
            <w:vMerge/>
            <w:vAlign w:val="center"/>
          </w:tcPr>
          <w:p w14:paraId="0E52B5CF"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425B6B1A" w14:textId="77777777" w:rsidTr="00DD27B9">
        <w:tc>
          <w:tcPr>
            <w:tcW w:w="1548" w:type="dxa"/>
            <w:vMerge w:val="restart"/>
            <w:vAlign w:val="center"/>
          </w:tcPr>
          <w:p w14:paraId="5478EA86" w14:textId="0AA1F870" w:rsidR="0017793E" w:rsidRPr="000146D6" w:rsidRDefault="000E487A" w:rsidP="00D14E2F">
            <w:pPr>
              <w:ind w:right="418"/>
              <w:jc w:val="both"/>
              <w:rPr>
                <w:rFonts w:ascii="Times New Roman" w:hAnsi="Times New Roman" w:cs="Times New Roman"/>
                <w:sz w:val="24"/>
                <w:szCs w:val="24"/>
              </w:rPr>
            </w:pPr>
            <w:r w:rsidRPr="000146D6">
              <w:rPr>
                <w:rFonts w:ascii="Times New Roman" w:hAnsi="Times New Roman" w:cs="Times New Roman"/>
                <w:b/>
                <w:bCs/>
                <w:sz w:val="24"/>
                <w:szCs w:val="24"/>
              </w:rPr>
              <w:t>Dysplasia status</w:t>
            </w:r>
          </w:p>
        </w:tc>
        <w:tc>
          <w:tcPr>
            <w:tcW w:w="2275" w:type="dxa"/>
            <w:vAlign w:val="center"/>
          </w:tcPr>
          <w:p w14:paraId="3DC9EE0C" w14:textId="090A8451" w:rsidR="0017793E" w:rsidRPr="000146D6" w:rsidRDefault="00BB02AB"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Absent</w:t>
            </w:r>
          </w:p>
        </w:tc>
        <w:tc>
          <w:tcPr>
            <w:tcW w:w="1417" w:type="dxa"/>
            <w:vAlign w:val="center"/>
          </w:tcPr>
          <w:p w14:paraId="06BE1443" w14:textId="445C19A8" w:rsidR="0017793E" w:rsidRPr="000146D6" w:rsidRDefault="0053603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48</w:t>
            </w:r>
          </w:p>
        </w:tc>
        <w:tc>
          <w:tcPr>
            <w:tcW w:w="1418" w:type="dxa"/>
            <w:vAlign w:val="center"/>
          </w:tcPr>
          <w:p w14:paraId="451BEFE8" w14:textId="5E1A2F04" w:rsidR="0017793E" w:rsidRPr="000146D6" w:rsidRDefault="0053603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98</w:t>
            </w:r>
          </w:p>
        </w:tc>
        <w:tc>
          <w:tcPr>
            <w:tcW w:w="2066" w:type="dxa"/>
            <w:vMerge/>
            <w:vAlign w:val="center"/>
          </w:tcPr>
          <w:p w14:paraId="5BCF7F81"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381EB72F" w14:textId="77777777" w:rsidTr="00DD27B9">
        <w:tc>
          <w:tcPr>
            <w:tcW w:w="1548" w:type="dxa"/>
            <w:vMerge/>
            <w:vAlign w:val="center"/>
          </w:tcPr>
          <w:p w14:paraId="4828AC39"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5B63D023" w14:textId="34BFD1E7" w:rsidR="0017793E" w:rsidRPr="000146D6" w:rsidRDefault="0053603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Present</w:t>
            </w:r>
          </w:p>
        </w:tc>
        <w:tc>
          <w:tcPr>
            <w:tcW w:w="1417" w:type="dxa"/>
            <w:vAlign w:val="center"/>
          </w:tcPr>
          <w:p w14:paraId="1F34A8DB" w14:textId="0F679FA6" w:rsidR="0017793E" w:rsidRPr="000146D6" w:rsidRDefault="0053603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418" w:type="dxa"/>
            <w:vAlign w:val="center"/>
          </w:tcPr>
          <w:p w14:paraId="423EA0BE" w14:textId="01C3F3C4" w:rsidR="0017793E" w:rsidRPr="000146D6" w:rsidRDefault="0053603D"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2</w:t>
            </w:r>
          </w:p>
        </w:tc>
        <w:tc>
          <w:tcPr>
            <w:tcW w:w="2066" w:type="dxa"/>
            <w:vMerge/>
            <w:vAlign w:val="center"/>
          </w:tcPr>
          <w:p w14:paraId="77A961ED"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04F223EB" w14:textId="77777777" w:rsidTr="00DD27B9">
        <w:tc>
          <w:tcPr>
            <w:tcW w:w="1548" w:type="dxa"/>
            <w:vMerge w:val="restart"/>
            <w:vAlign w:val="center"/>
          </w:tcPr>
          <w:p w14:paraId="0D666A1B" w14:textId="16BAA277" w:rsidR="0017793E" w:rsidRPr="000146D6" w:rsidRDefault="00B714B6"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Dysplasia grade</w:t>
            </w:r>
          </w:p>
        </w:tc>
        <w:tc>
          <w:tcPr>
            <w:tcW w:w="2275" w:type="dxa"/>
            <w:vAlign w:val="center"/>
          </w:tcPr>
          <w:p w14:paraId="2D015418" w14:textId="73EBA56F" w:rsidR="0017793E" w:rsidRPr="000146D6" w:rsidRDefault="00B714B6"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Low-grade</w:t>
            </w:r>
          </w:p>
        </w:tc>
        <w:tc>
          <w:tcPr>
            <w:tcW w:w="1417" w:type="dxa"/>
            <w:vAlign w:val="center"/>
          </w:tcPr>
          <w:p w14:paraId="2703DEBC"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418" w:type="dxa"/>
            <w:vAlign w:val="center"/>
          </w:tcPr>
          <w:p w14:paraId="5A8486BF"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100</w:t>
            </w:r>
          </w:p>
        </w:tc>
        <w:tc>
          <w:tcPr>
            <w:tcW w:w="2066" w:type="dxa"/>
            <w:vMerge w:val="restart"/>
            <w:vAlign w:val="center"/>
          </w:tcPr>
          <w:p w14:paraId="29322CEC" w14:textId="0C759350" w:rsidR="0017793E" w:rsidRPr="000146D6" w:rsidRDefault="00DD27B9" w:rsidP="00D14E2F">
            <w:pPr>
              <w:tabs>
                <w:tab w:val="left" w:pos="765"/>
              </w:tabs>
              <w:ind w:right="418"/>
              <w:jc w:val="both"/>
              <w:rPr>
                <w:rFonts w:ascii="Times New Roman" w:hAnsi="Times New Roman" w:cs="Times New Roman"/>
                <w:sz w:val="24"/>
                <w:szCs w:val="24"/>
              </w:rPr>
            </w:pPr>
            <w:r>
              <w:rPr>
                <w:rFonts w:ascii="Times New Roman" w:hAnsi="Times New Roman" w:cs="Times New Roman"/>
                <w:sz w:val="24"/>
                <w:szCs w:val="24"/>
              </w:rPr>
              <w:t xml:space="preserve">      </w:t>
            </w:r>
            <w:r w:rsidR="0017793E" w:rsidRPr="000146D6">
              <w:rPr>
                <w:rFonts w:ascii="Times New Roman" w:hAnsi="Times New Roman" w:cs="Times New Roman"/>
                <w:sz w:val="24"/>
                <w:szCs w:val="24"/>
              </w:rPr>
              <w:t>1</w:t>
            </w:r>
          </w:p>
        </w:tc>
      </w:tr>
      <w:tr w:rsidR="0017793E" w:rsidRPr="000146D6" w14:paraId="64CFA151" w14:textId="77777777" w:rsidTr="00DD27B9">
        <w:tc>
          <w:tcPr>
            <w:tcW w:w="1548" w:type="dxa"/>
            <w:vMerge/>
            <w:vAlign w:val="center"/>
          </w:tcPr>
          <w:p w14:paraId="58589B1A"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5A431F24" w14:textId="204A9793" w:rsidR="0017793E" w:rsidRPr="000146D6" w:rsidRDefault="00B714B6"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High-grade</w:t>
            </w:r>
          </w:p>
        </w:tc>
        <w:tc>
          <w:tcPr>
            <w:tcW w:w="1417" w:type="dxa"/>
            <w:vAlign w:val="center"/>
          </w:tcPr>
          <w:p w14:paraId="5C0E9B17"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418" w:type="dxa"/>
            <w:vAlign w:val="center"/>
          </w:tcPr>
          <w:p w14:paraId="3760BA97"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2066" w:type="dxa"/>
            <w:vMerge/>
            <w:vAlign w:val="center"/>
          </w:tcPr>
          <w:p w14:paraId="14E308A7"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272CAC3D" w14:textId="77777777" w:rsidTr="00DD27B9">
        <w:tc>
          <w:tcPr>
            <w:tcW w:w="1548" w:type="dxa"/>
            <w:vMerge w:val="restart"/>
            <w:vAlign w:val="center"/>
          </w:tcPr>
          <w:p w14:paraId="0C6C988A" w14:textId="3D3D0BE3" w:rsidR="0017793E" w:rsidRPr="000146D6" w:rsidRDefault="003E2489" w:rsidP="00D14E2F">
            <w:pPr>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Type of dysplasia</w:t>
            </w:r>
          </w:p>
        </w:tc>
        <w:tc>
          <w:tcPr>
            <w:tcW w:w="2275" w:type="dxa"/>
            <w:vAlign w:val="center"/>
          </w:tcPr>
          <w:p w14:paraId="3D24A021" w14:textId="36989562" w:rsidR="0017793E" w:rsidRPr="000146D6" w:rsidRDefault="007E0C41"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Intestinal type</w:t>
            </w:r>
          </w:p>
        </w:tc>
        <w:tc>
          <w:tcPr>
            <w:tcW w:w="1417" w:type="dxa"/>
            <w:vAlign w:val="center"/>
          </w:tcPr>
          <w:p w14:paraId="411FDC18"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w:t>
            </w:r>
          </w:p>
        </w:tc>
        <w:tc>
          <w:tcPr>
            <w:tcW w:w="1418" w:type="dxa"/>
            <w:vAlign w:val="center"/>
          </w:tcPr>
          <w:p w14:paraId="7E4B50D8"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100</w:t>
            </w:r>
          </w:p>
        </w:tc>
        <w:tc>
          <w:tcPr>
            <w:tcW w:w="2066" w:type="dxa"/>
            <w:vMerge/>
            <w:vAlign w:val="center"/>
          </w:tcPr>
          <w:p w14:paraId="2A695D4A"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37E9AFB7" w14:textId="77777777" w:rsidTr="00DD27B9">
        <w:tc>
          <w:tcPr>
            <w:tcW w:w="1548" w:type="dxa"/>
            <w:vMerge/>
            <w:vAlign w:val="center"/>
          </w:tcPr>
          <w:p w14:paraId="77D85728"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41947FCF" w14:textId="30658C8A" w:rsidR="0017793E" w:rsidRPr="000146D6" w:rsidRDefault="007E0C41"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Gastric type</w:t>
            </w:r>
          </w:p>
        </w:tc>
        <w:tc>
          <w:tcPr>
            <w:tcW w:w="1417" w:type="dxa"/>
            <w:vAlign w:val="center"/>
          </w:tcPr>
          <w:p w14:paraId="78F7FFCA"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418" w:type="dxa"/>
            <w:vAlign w:val="center"/>
          </w:tcPr>
          <w:p w14:paraId="5D1CCF2F"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2066" w:type="dxa"/>
            <w:vMerge/>
            <w:vAlign w:val="center"/>
          </w:tcPr>
          <w:p w14:paraId="35452002"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12DFB731" w14:textId="77777777" w:rsidTr="00DD27B9">
        <w:tc>
          <w:tcPr>
            <w:tcW w:w="1548" w:type="dxa"/>
            <w:vMerge/>
            <w:vAlign w:val="center"/>
          </w:tcPr>
          <w:p w14:paraId="1B06C1CB"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6D455911" w14:textId="44D45D6A" w:rsidR="0017793E" w:rsidRPr="000146D6" w:rsidRDefault="007E0C41"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Gastric foveolar type</w:t>
            </w:r>
          </w:p>
        </w:tc>
        <w:tc>
          <w:tcPr>
            <w:tcW w:w="1417" w:type="dxa"/>
            <w:vAlign w:val="center"/>
          </w:tcPr>
          <w:p w14:paraId="1876D697"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418" w:type="dxa"/>
            <w:vAlign w:val="center"/>
          </w:tcPr>
          <w:p w14:paraId="22132A9C"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2066" w:type="dxa"/>
            <w:vMerge/>
            <w:vAlign w:val="center"/>
          </w:tcPr>
          <w:p w14:paraId="54566EA6" w14:textId="77777777" w:rsidR="0017793E" w:rsidRPr="000146D6" w:rsidRDefault="0017793E" w:rsidP="00D14E2F">
            <w:pPr>
              <w:ind w:right="418"/>
              <w:jc w:val="both"/>
              <w:rPr>
                <w:rFonts w:ascii="Times New Roman" w:hAnsi="Times New Roman" w:cs="Times New Roman"/>
                <w:sz w:val="24"/>
                <w:szCs w:val="24"/>
              </w:rPr>
            </w:pPr>
          </w:p>
        </w:tc>
      </w:tr>
      <w:tr w:rsidR="0017793E" w:rsidRPr="000146D6" w14:paraId="502DAE29" w14:textId="77777777" w:rsidTr="00DD27B9">
        <w:tc>
          <w:tcPr>
            <w:tcW w:w="1548" w:type="dxa"/>
            <w:vMerge/>
            <w:vAlign w:val="center"/>
          </w:tcPr>
          <w:p w14:paraId="2B8380F5" w14:textId="77777777" w:rsidR="0017793E" w:rsidRPr="000146D6" w:rsidRDefault="0017793E" w:rsidP="00D14E2F">
            <w:pPr>
              <w:ind w:right="418"/>
              <w:jc w:val="both"/>
              <w:rPr>
                <w:rFonts w:ascii="Times New Roman" w:hAnsi="Times New Roman" w:cs="Times New Roman"/>
                <w:sz w:val="24"/>
                <w:szCs w:val="24"/>
              </w:rPr>
            </w:pPr>
          </w:p>
        </w:tc>
        <w:tc>
          <w:tcPr>
            <w:tcW w:w="2275" w:type="dxa"/>
            <w:vAlign w:val="center"/>
          </w:tcPr>
          <w:p w14:paraId="6EF70CA5" w14:textId="713EE05F" w:rsidR="0017793E" w:rsidRPr="000146D6" w:rsidRDefault="007E0C41"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Serrated type</w:t>
            </w:r>
          </w:p>
        </w:tc>
        <w:tc>
          <w:tcPr>
            <w:tcW w:w="1417" w:type="dxa"/>
            <w:vAlign w:val="center"/>
          </w:tcPr>
          <w:p w14:paraId="16AD0763"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1418" w:type="dxa"/>
            <w:vAlign w:val="center"/>
          </w:tcPr>
          <w:p w14:paraId="070114BE" w14:textId="77777777" w:rsidR="0017793E" w:rsidRPr="000146D6" w:rsidRDefault="0017793E" w:rsidP="00D14E2F">
            <w:pPr>
              <w:ind w:right="418"/>
              <w:jc w:val="both"/>
              <w:rPr>
                <w:rFonts w:ascii="Times New Roman" w:hAnsi="Times New Roman" w:cs="Times New Roman"/>
                <w:sz w:val="24"/>
                <w:szCs w:val="24"/>
              </w:rPr>
            </w:pPr>
            <w:r w:rsidRPr="000146D6">
              <w:rPr>
                <w:rFonts w:ascii="Times New Roman" w:hAnsi="Times New Roman" w:cs="Times New Roman"/>
                <w:sz w:val="24"/>
                <w:szCs w:val="24"/>
              </w:rPr>
              <w:t>0</w:t>
            </w:r>
          </w:p>
        </w:tc>
        <w:tc>
          <w:tcPr>
            <w:tcW w:w="2066" w:type="dxa"/>
            <w:vMerge/>
            <w:vAlign w:val="center"/>
          </w:tcPr>
          <w:p w14:paraId="4F858434" w14:textId="77777777" w:rsidR="0017793E" w:rsidRPr="000146D6" w:rsidRDefault="0017793E" w:rsidP="00D14E2F">
            <w:pPr>
              <w:ind w:right="418"/>
              <w:jc w:val="both"/>
              <w:rPr>
                <w:rFonts w:ascii="Times New Roman" w:hAnsi="Times New Roman" w:cs="Times New Roman"/>
                <w:sz w:val="24"/>
                <w:szCs w:val="24"/>
              </w:rPr>
            </w:pPr>
          </w:p>
        </w:tc>
      </w:tr>
    </w:tbl>
    <w:p w14:paraId="3F8B5EBE" w14:textId="77777777" w:rsidR="0017793E" w:rsidRPr="000146D6" w:rsidRDefault="0017793E" w:rsidP="00D14E2F">
      <w:pPr>
        <w:spacing w:line="240" w:lineRule="auto"/>
        <w:ind w:right="418"/>
        <w:jc w:val="both"/>
        <w:rPr>
          <w:rFonts w:ascii="Times New Roman" w:hAnsi="Times New Roman" w:cs="Times New Roman"/>
          <w:sz w:val="24"/>
          <w:szCs w:val="24"/>
        </w:rPr>
      </w:pPr>
    </w:p>
    <w:p w14:paraId="65F0A5EA" w14:textId="77777777" w:rsidR="007C061A" w:rsidRPr="000146D6" w:rsidRDefault="007C061A"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Observation:</w:t>
      </w:r>
      <w:r w:rsidRPr="000146D6">
        <w:rPr>
          <w:rFonts w:ascii="Times New Roman" w:hAnsi="Times New Roman" w:cs="Times New Roman"/>
          <w:sz w:val="24"/>
          <w:szCs w:val="24"/>
        </w:rPr>
        <w:t xml:space="preserve"> Polyps without inflammation were more common than those with inflammation (63.3% vs. 36.7%). </w:t>
      </w:r>
      <w:r w:rsidRPr="000146D6">
        <w:rPr>
          <w:rFonts w:ascii="Times New Roman" w:hAnsi="Times New Roman" w:cs="Times New Roman"/>
          <w:i/>
          <w:iCs/>
          <w:sz w:val="24"/>
          <w:szCs w:val="24"/>
        </w:rPr>
        <w:t>H. pylori</w:t>
      </w:r>
      <w:r w:rsidRPr="000146D6">
        <w:rPr>
          <w:rFonts w:ascii="Times New Roman" w:hAnsi="Times New Roman" w:cs="Times New Roman"/>
          <w:sz w:val="24"/>
          <w:szCs w:val="24"/>
        </w:rPr>
        <w:t xml:space="preserve"> positivity was observed in 2% of cases. Dysplasia was also identified in 2% of cases, all of which were low-grade and of the intestinal type.</w:t>
      </w:r>
    </w:p>
    <w:p w14:paraId="04E55674" w14:textId="6AF5775A" w:rsidR="00947708" w:rsidRPr="000146D6" w:rsidRDefault="00947708" w:rsidP="00D14E2F">
      <w:pPr>
        <w:spacing w:line="240" w:lineRule="auto"/>
        <w:ind w:right="418"/>
        <w:jc w:val="both"/>
        <w:rPr>
          <w:rFonts w:ascii="Times New Roman" w:hAnsi="Times New Roman" w:cs="Times New Roman"/>
          <w:sz w:val="24"/>
          <w:szCs w:val="24"/>
          <w:lang w:val="vi-VN"/>
        </w:rPr>
      </w:pPr>
      <w:r w:rsidRPr="000146D6">
        <w:rPr>
          <w:rFonts w:ascii="Times New Roman" w:hAnsi="Times New Roman" w:cs="Times New Roman"/>
          <w:b/>
          <w:bCs/>
          <w:sz w:val="24"/>
          <w:szCs w:val="24"/>
        </w:rPr>
        <w:t>3.</w:t>
      </w:r>
      <w:r w:rsidR="00AC48E3" w:rsidRPr="000146D6">
        <w:rPr>
          <w:rFonts w:ascii="Times New Roman" w:hAnsi="Times New Roman" w:cs="Times New Roman"/>
          <w:b/>
          <w:bCs/>
          <w:sz w:val="24"/>
          <w:szCs w:val="24"/>
        </w:rPr>
        <w:t>4</w:t>
      </w:r>
      <w:r w:rsidRPr="000146D6">
        <w:rPr>
          <w:rFonts w:ascii="Times New Roman" w:hAnsi="Times New Roman" w:cs="Times New Roman"/>
          <w:b/>
          <w:bCs/>
          <w:sz w:val="24"/>
          <w:szCs w:val="24"/>
        </w:rPr>
        <w:t>. Oxyntic Gland Adenoma</w:t>
      </w:r>
      <w:r w:rsidRPr="000146D6">
        <w:rPr>
          <w:rFonts w:ascii="Times New Roman" w:hAnsi="Times New Roman" w:cs="Times New Roman"/>
          <w:sz w:val="24"/>
          <w:szCs w:val="24"/>
        </w:rPr>
        <w:t xml:space="preserve"> </w:t>
      </w:r>
    </w:p>
    <w:p w14:paraId="2BD59164" w14:textId="2BE4DF91" w:rsidR="008A61A8" w:rsidRPr="000146D6" w:rsidRDefault="008A61A8" w:rsidP="00D14E2F">
      <w:pPr>
        <w:spacing w:line="240" w:lineRule="auto"/>
        <w:ind w:right="418"/>
        <w:jc w:val="both"/>
        <w:rPr>
          <w:rFonts w:ascii="Times New Roman" w:hAnsi="Times New Roman" w:cs="Times New Roman"/>
          <w:sz w:val="24"/>
          <w:szCs w:val="24"/>
        </w:rPr>
      </w:pPr>
      <w:r w:rsidRPr="00DA0B65">
        <w:rPr>
          <w:rFonts w:ascii="Times New Roman" w:hAnsi="Times New Roman" w:cs="Times New Roman"/>
          <w:b/>
          <w:bCs/>
          <w:sz w:val="24"/>
          <w:szCs w:val="24"/>
        </w:rPr>
        <w:t>Observation:</w:t>
      </w:r>
      <w:r w:rsidRPr="000146D6">
        <w:rPr>
          <w:rFonts w:ascii="Times New Roman" w:hAnsi="Times New Roman" w:cs="Times New Roman"/>
          <w:sz w:val="24"/>
          <w:szCs w:val="24"/>
        </w:rPr>
        <w:t xml:space="preserve"> One case of oxyntic gland adenoma (0.2%) was identified in a 62-year-old female patient. The lesion presented as multiple polyps located in the gastric body, measuring 15 mm in size and showing a sessile morphology. Histologically, the polyp was associated with inflammation, was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 xml:space="preserve">–negative, and exhibited low-grade dysplasia of the intestinal type. </w:t>
      </w:r>
    </w:p>
    <w:p w14:paraId="5C007972" w14:textId="68CA16B2" w:rsidR="00947708" w:rsidRPr="000146D6" w:rsidRDefault="00947708"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3.</w:t>
      </w:r>
      <w:r w:rsidR="00AC48E3" w:rsidRPr="000146D6">
        <w:rPr>
          <w:rFonts w:ascii="Times New Roman" w:hAnsi="Times New Roman" w:cs="Times New Roman"/>
          <w:b/>
          <w:bCs/>
          <w:sz w:val="24"/>
          <w:szCs w:val="24"/>
        </w:rPr>
        <w:t>5</w:t>
      </w:r>
      <w:r w:rsidRPr="000146D6">
        <w:rPr>
          <w:rFonts w:ascii="Times New Roman" w:hAnsi="Times New Roman" w:cs="Times New Roman"/>
          <w:b/>
          <w:bCs/>
          <w:sz w:val="24"/>
          <w:szCs w:val="24"/>
        </w:rPr>
        <w:t>. Dysplasia on Inflammatory Pseudo-polyp</w:t>
      </w:r>
      <w:r w:rsidRPr="000146D6">
        <w:rPr>
          <w:rFonts w:ascii="Times New Roman" w:hAnsi="Times New Roman" w:cs="Times New Roman"/>
          <w:sz w:val="24"/>
          <w:szCs w:val="24"/>
        </w:rPr>
        <w:t xml:space="preserve"> </w:t>
      </w:r>
    </w:p>
    <w:p w14:paraId="18A4302F" w14:textId="75B2C10A" w:rsidR="00FF2402" w:rsidRPr="000146D6" w:rsidRDefault="00FF2402"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Observation:</w:t>
      </w:r>
      <w:r w:rsidRPr="000146D6">
        <w:rPr>
          <w:rFonts w:ascii="Times New Roman" w:hAnsi="Times New Roman" w:cs="Times New Roman"/>
          <w:sz w:val="24"/>
          <w:szCs w:val="24"/>
        </w:rPr>
        <w:t xml:space="preserve"> One case of dysplasia arising in an inflammatory </w:t>
      </w:r>
      <w:proofErr w:type="spellStart"/>
      <w:r w:rsidRPr="000146D6">
        <w:rPr>
          <w:rFonts w:ascii="Times New Roman" w:hAnsi="Times New Roman" w:cs="Times New Roman"/>
          <w:sz w:val="24"/>
          <w:szCs w:val="24"/>
        </w:rPr>
        <w:t>pseudopolyp</w:t>
      </w:r>
      <w:proofErr w:type="spellEnd"/>
      <w:r w:rsidRPr="000146D6">
        <w:rPr>
          <w:rFonts w:ascii="Times New Roman" w:hAnsi="Times New Roman" w:cs="Times New Roman"/>
          <w:sz w:val="24"/>
          <w:szCs w:val="24"/>
        </w:rPr>
        <w:t xml:space="preserve"> (0.2%) was observed in a 63-year-old female. The lesion presented as a single 10</w:t>
      </w:r>
      <w:r w:rsidR="00F813E0">
        <w:rPr>
          <w:rFonts w:ascii="Times New Roman" w:hAnsi="Times New Roman" w:cs="Times New Roman"/>
          <w:sz w:val="24"/>
          <w:szCs w:val="24"/>
        </w:rPr>
        <w:t xml:space="preserve"> </w:t>
      </w:r>
      <w:r w:rsidRPr="000146D6">
        <w:rPr>
          <w:rFonts w:ascii="Times New Roman" w:hAnsi="Times New Roman" w:cs="Times New Roman"/>
          <w:sz w:val="24"/>
          <w:szCs w:val="24"/>
        </w:rPr>
        <w:t xml:space="preserve">mm sessile polyp located in the gastric antrum and was associated with inflammation and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infection.</w:t>
      </w:r>
      <w:r w:rsidRPr="000146D6">
        <w:rPr>
          <w:rFonts w:ascii="Times New Roman" w:hAnsi="Times New Roman" w:cs="Times New Roman"/>
          <w:b/>
          <w:bCs/>
          <w:sz w:val="24"/>
          <w:szCs w:val="24"/>
        </w:rPr>
        <w:t xml:space="preserve"> </w:t>
      </w:r>
    </w:p>
    <w:p w14:paraId="3263A66B" w14:textId="47260540" w:rsidR="00F63775" w:rsidRPr="000146D6" w:rsidRDefault="00F63775" w:rsidP="00D14E2F">
      <w:pPr>
        <w:spacing w:line="240" w:lineRule="auto"/>
        <w:ind w:right="418"/>
        <w:jc w:val="both"/>
        <w:rPr>
          <w:rFonts w:ascii="Times New Roman" w:hAnsi="Times New Roman" w:cs="Times New Roman"/>
          <w:b/>
          <w:bCs/>
          <w:sz w:val="24"/>
          <w:szCs w:val="24"/>
          <w:lang w:val="vi-VN"/>
        </w:rPr>
      </w:pPr>
      <w:r w:rsidRPr="000146D6">
        <w:rPr>
          <w:rFonts w:ascii="Times New Roman" w:hAnsi="Times New Roman" w:cs="Times New Roman"/>
          <w:b/>
          <w:bCs/>
          <w:sz w:val="24"/>
          <w:szCs w:val="24"/>
        </w:rPr>
        <w:t>3.</w:t>
      </w:r>
      <w:r w:rsidR="00AC48E3" w:rsidRPr="000146D6">
        <w:rPr>
          <w:rFonts w:ascii="Times New Roman" w:hAnsi="Times New Roman" w:cs="Times New Roman"/>
          <w:b/>
          <w:bCs/>
          <w:sz w:val="24"/>
          <w:szCs w:val="24"/>
        </w:rPr>
        <w:t>6</w:t>
      </w:r>
      <w:r w:rsidRPr="000146D6">
        <w:rPr>
          <w:rFonts w:ascii="Times New Roman" w:hAnsi="Times New Roman" w:cs="Times New Roman"/>
          <w:b/>
          <w:bCs/>
          <w:sz w:val="24"/>
          <w:szCs w:val="24"/>
        </w:rPr>
        <w:t xml:space="preserve">. Intramucosal Adenocarcinoma </w:t>
      </w:r>
    </w:p>
    <w:p w14:paraId="25A758A0" w14:textId="73617AAE" w:rsidR="00035032" w:rsidRPr="000146D6" w:rsidRDefault="002D69D3"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t>Observation:</w:t>
      </w:r>
      <w:r w:rsidRPr="000146D6">
        <w:rPr>
          <w:rFonts w:ascii="Times New Roman" w:hAnsi="Times New Roman" w:cs="Times New Roman"/>
          <w:sz w:val="24"/>
          <w:szCs w:val="24"/>
        </w:rPr>
        <w:t xml:space="preserve"> One case of intramucosal adenocarcinoma (0.2%) was observed in an 81-year-old male. The lesion presented as a single 15</w:t>
      </w:r>
      <w:r w:rsidR="00F813E0">
        <w:rPr>
          <w:rFonts w:ascii="Times New Roman" w:hAnsi="Times New Roman" w:cs="Times New Roman"/>
          <w:sz w:val="24"/>
          <w:szCs w:val="24"/>
        </w:rPr>
        <w:t xml:space="preserve"> </w:t>
      </w:r>
      <w:r w:rsidRPr="000146D6">
        <w:rPr>
          <w:rFonts w:ascii="Times New Roman" w:hAnsi="Times New Roman" w:cs="Times New Roman"/>
          <w:sz w:val="24"/>
          <w:szCs w:val="24"/>
        </w:rPr>
        <w:t xml:space="preserve">mm sessile polyp located in the gastric antrum and showed no associated inflammation or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infection</w:t>
      </w:r>
      <w:r w:rsidR="00035032" w:rsidRPr="000146D6">
        <w:rPr>
          <w:rFonts w:ascii="Times New Roman" w:hAnsi="Times New Roman" w:cs="Times New Roman"/>
          <w:sz w:val="24"/>
          <w:szCs w:val="24"/>
        </w:rPr>
        <w:t>.</w:t>
      </w:r>
    </w:p>
    <w:p w14:paraId="712C1307" w14:textId="77777777" w:rsidR="00180E7B" w:rsidRPr="000146D6" w:rsidRDefault="007A2044" w:rsidP="00D14E2F">
      <w:pPr>
        <w:pStyle w:val="ListParagraph"/>
        <w:numPr>
          <w:ilvl w:val="0"/>
          <w:numId w:val="19"/>
        </w:numPr>
        <w:spacing w:line="240" w:lineRule="auto"/>
        <w:jc w:val="both"/>
        <w:rPr>
          <w:rFonts w:ascii="Times New Roman" w:hAnsi="Times New Roman" w:cs="Times New Roman"/>
          <w:b/>
          <w:bCs/>
          <w:sz w:val="24"/>
          <w:szCs w:val="24"/>
        </w:rPr>
      </w:pPr>
      <w:r w:rsidRPr="000146D6">
        <w:rPr>
          <w:rFonts w:ascii="Times New Roman" w:hAnsi="Times New Roman" w:cs="Times New Roman"/>
          <w:b/>
          <w:bCs/>
          <w:sz w:val="24"/>
          <w:szCs w:val="24"/>
        </w:rPr>
        <w:t>DISCUSSION</w:t>
      </w:r>
    </w:p>
    <w:p w14:paraId="3E1A15C7" w14:textId="5ED37493" w:rsidR="00180E7B" w:rsidRPr="000146D6" w:rsidRDefault="00180E7B"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4.1 Fundic gland polyps (FGPs)</w:t>
      </w:r>
    </w:p>
    <w:p w14:paraId="239C8920" w14:textId="34F81700" w:rsidR="006974CE" w:rsidRDefault="00C959EF" w:rsidP="00D14E2F">
      <w:pPr>
        <w:spacing w:line="240" w:lineRule="auto"/>
        <w:ind w:right="418"/>
        <w:jc w:val="both"/>
        <w:rPr>
          <w:rFonts w:ascii="Times New Roman" w:hAnsi="Times New Roman" w:cs="Times New Roman"/>
          <w:sz w:val="24"/>
          <w:szCs w:val="24"/>
        </w:rPr>
      </w:pPr>
      <w:r w:rsidRPr="000146D6">
        <w:rPr>
          <w:rFonts w:ascii="Times New Roman" w:hAnsi="Times New Roman" w:cs="Times New Roman"/>
          <w:b/>
          <w:bCs/>
          <w:sz w:val="24"/>
          <w:szCs w:val="24"/>
        </w:rPr>
        <w:lastRenderedPageBreak/>
        <w:t xml:space="preserve">Age and </w:t>
      </w:r>
      <w:r w:rsidR="00D3377B">
        <w:rPr>
          <w:rFonts w:ascii="Times New Roman" w:hAnsi="Times New Roman" w:cs="Times New Roman"/>
          <w:b/>
          <w:bCs/>
          <w:sz w:val="24"/>
          <w:szCs w:val="24"/>
        </w:rPr>
        <w:t>S</w:t>
      </w:r>
      <w:r w:rsidRPr="000146D6">
        <w:rPr>
          <w:rFonts w:ascii="Times New Roman" w:hAnsi="Times New Roman" w:cs="Times New Roman"/>
          <w:b/>
          <w:bCs/>
          <w:sz w:val="24"/>
          <w:szCs w:val="24"/>
        </w:rPr>
        <w:t>ex</w:t>
      </w:r>
      <w:r w:rsidR="00DA0B65">
        <w:rPr>
          <w:rFonts w:ascii="Times New Roman" w:hAnsi="Times New Roman" w:cs="Times New Roman"/>
          <w:b/>
          <w:bCs/>
          <w:sz w:val="24"/>
          <w:szCs w:val="24"/>
        </w:rPr>
        <w:t xml:space="preserve"> C</w:t>
      </w:r>
      <w:r w:rsidR="00DA0B65" w:rsidRPr="000146D6">
        <w:rPr>
          <w:rFonts w:ascii="Times New Roman" w:hAnsi="Times New Roman" w:cs="Times New Roman"/>
          <w:b/>
          <w:bCs/>
          <w:sz w:val="24"/>
          <w:szCs w:val="24"/>
        </w:rPr>
        <w:t>haracteristics</w:t>
      </w:r>
      <w:r w:rsidRPr="000146D6">
        <w:rPr>
          <w:rFonts w:ascii="Times New Roman" w:hAnsi="Times New Roman" w:cs="Times New Roman"/>
          <w:b/>
          <w:bCs/>
          <w:sz w:val="24"/>
          <w:szCs w:val="24"/>
        </w:rPr>
        <w:t>:</w:t>
      </w:r>
      <w:r w:rsidRPr="000146D6">
        <w:rPr>
          <w:rFonts w:ascii="Times New Roman" w:hAnsi="Times New Roman" w:cs="Times New Roman"/>
          <w:sz w:val="24"/>
          <w:szCs w:val="24"/>
        </w:rPr>
        <w:t xml:space="preserve"> </w:t>
      </w:r>
    </w:p>
    <w:p w14:paraId="5BBA32CD" w14:textId="417AE14F" w:rsidR="006773AB" w:rsidRPr="000146D6" w:rsidRDefault="00C959EF"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The age of the patients ranged from 22 to 83 years, with a mean age of 56.4 ± 11.8 years. The highest proportion of cases was observed in the 50–</w:t>
      </w:r>
      <w:proofErr w:type="gramStart"/>
      <w:r w:rsidRPr="000146D6">
        <w:rPr>
          <w:rFonts w:ascii="Times New Roman" w:hAnsi="Times New Roman" w:cs="Times New Roman"/>
          <w:sz w:val="24"/>
          <w:szCs w:val="24"/>
        </w:rPr>
        <w:t>69 year</w:t>
      </w:r>
      <w:proofErr w:type="gramEnd"/>
      <w:r w:rsidRPr="000146D6">
        <w:rPr>
          <w:rFonts w:ascii="Times New Roman" w:hAnsi="Times New Roman" w:cs="Times New Roman"/>
          <w:sz w:val="24"/>
          <w:szCs w:val="24"/>
        </w:rPr>
        <w:t xml:space="preserve"> age group (62.3%). This finding is comparable to the study by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 which reported a mean age of 67.6 ± 13.9 years</w:t>
      </w:r>
      <w:r w:rsidR="0034769F" w:rsidRPr="000146D6">
        <w:rPr>
          <w:rFonts w:ascii="Times New Roman" w:hAnsi="Times New Roman" w:cs="Times New Roman"/>
          <w:sz w:val="24"/>
          <w:szCs w:val="24"/>
        </w:rPr>
        <w:t xml:space="preserve"> [</w:t>
      </w:r>
      <w:r w:rsidR="00AA12B7">
        <w:rPr>
          <w:rFonts w:ascii="Times New Roman" w:hAnsi="Times New Roman" w:cs="Times New Roman"/>
          <w:sz w:val="24"/>
          <w:szCs w:val="24"/>
        </w:rPr>
        <w:t>5</w:t>
      </w:r>
      <w:r w:rsidR="0034769F" w:rsidRPr="000146D6">
        <w:rPr>
          <w:rFonts w:ascii="Times New Roman" w:hAnsi="Times New Roman" w:cs="Times New Roman"/>
          <w:sz w:val="24"/>
          <w:szCs w:val="24"/>
        </w:rPr>
        <w:t>]</w:t>
      </w:r>
      <w:r w:rsidRPr="000146D6">
        <w:rPr>
          <w:rFonts w:ascii="Times New Roman" w:hAnsi="Times New Roman" w:cs="Times New Roman"/>
          <w:sz w:val="24"/>
          <w:szCs w:val="24"/>
        </w:rPr>
        <w:t xml:space="preserve">. Regarding sex distribution, females predominated over males with a female-to-male ratio of 4.5:1. A similar trend was reported by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 although with a lower ratio of 2.2:1</w:t>
      </w:r>
      <w:r w:rsidR="0034769F" w:rsidRPr="000146D6">
        <w:rPr>
          <w:rFonts w:ascii="Times New Roman" w:hAnsi="Times New Roman" w:cs="Times New Roman"/>
          <w:sz w:val="24"/>
          <w:szCs w:val="24"/>
        </w:rPr>
        <w:t xml:space="preserve"> [</w:t>
      </w:r>
      <w:r w:rsidR="00AA12B7">
        <w:rPr>
          <w:rFonts w:ascii="Times New Roman" w:hAnsi="Times New Roman" w:cs="Times New Roman"/>
          <w:sz w:val="24"/>
          <w:szCs w:val="24"/>
        </w:rPr>
        <w:t>5</w:t>
      </w:r>
      <w:r w:rsidR="0034769F" w:rsidRPr="000146D6">
        <w:rPr>
          <w:rFonts w:ascii="Times New Roman" w:hAnsi="Times New Roman" w:cs="Times New Roman"/>
          <w:sz w:val="24"/>
          <w:szCs w:val="24"/>
        </w:rPr>
        <w:t>]</w:t>
      </w:r>
      <w:r w:rsidRPr="000146D6">
        <w:rPr>
          <w:rFonts w:ascii="Times New Roman" w:hAnsi="Times New Roman" w:cs="Times New Roman"/>
          <w:sz w:val="24"/>
          <w:szCs w:val="24"/>
        </w:rPr>
        <w:t>.</w:t>
      </w:r>
    </w:p>
    <w:p w14:paraId="2479E8B1" w14:textId="77777777" w:rsidR="005E1F7D" w:rsidRDefault="009F3B4F"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Macroscopic characteristics:</w:t>
      </w:r>
    </w:p>
    <w:p w14:paraId="1109DD5E" w14:textId="01B72BE5" w:rsidR="009F3B4F" w:rsidRPr="000146D6" w:rsidRDefault="009F3B4F"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In the present study, fundic gland polyps were predominantly located in the gastric body (89.0%), followed by the fundus (8.3%). This distribution is consistent with previous reports by Gao W et al. and Le </w:t>
      </w:r>
      <w:proofErr w:type="spellStart"/>
      <w:r w:rsidRPr="000146D6">
        <w:rPr>
          <w:rFonts w:ascii="Times New Roman" w:hAnsi="Times New Roman" w:cs="Times New Roman"/>
          <w:sz w:val="24"/>
          <w:szCs w:val="24"/>
        </w:rPr>
        <w:t>Dinh</w:t>
      </w:r>
      <w:proofErr w:type="spellEnd"/>
      <w:r w:rsidRPr="000146D6">
        <w:rPr>
          <w:rFonts w:ascii="Times New Roman" w:hAnsi="Times New Roman" w:cs="Times New Roman"/>
          <w:sz w:val="24"/>
          <w:szCs w:val="24"/>
        </w:rPr>
        <w:t xml:space="preserve"> Quang et al., who also found that these lesions occur mainly in the body and fundus of the stomach</w:t>
      </w:r>
      <w:r w:rsidR="003F62EB" w:rsidRPr="000146D6">
        <w:rPr>
          <w:rFonts w:ascii="Times New Roman" w:hAnsi="Times New Roman" w:cs="Times New Roman"/>
          <w:sz w:val="24"/>
          <w:szCs w:val="24"/>
        </w:rPr>
        <w:t xml:space="preserve"> [6], [7]</w:t>
      </w:r>
      <w:r w:rsidRPr="000146D6">
        <w:rPr>
          <w:rFonts w:ascii="Times New Roman" w:hAnsi="Times New Roman" w:cs="Times New Roman"/>
          <w:sz w:val="24"/>
          <w:szCs w:val="24"/>
        </w:rPr>
        <w:t xml:space="preserve">. Multiple polyps were more frequently observed than solitary lesions (59% vs. 41%), which is comparable to the findings reported by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 where multiple polyps accounted for 82.5% of cases</w:t>
      </w:r>
      <w:r w:rsidR="003F62EB" w:rsidRPr="000146D6">
        <w:rPr>
          <w:rFonts w:ascii="Times New Roman" w:hAnsi="Times New Roman" w:cs="Times New Roman"/>
          <w:sz w:val="24"/>
          <w:szCs w:val="24"/>
        </w:rPr>
        <w:t xml:space="preserve"> [5]</w:t>
      </w:r>
      <w:r w:rsidRPr="000146D6">
        <w:rPr>
          <w:rFonts w:ascii="Times New Roman" w:hAnsi="Times New Roman" w:cs="Times New Roman"/>
          <w:sz w:val="24"/>
          <w:szCs w:val="24"/>
        </w:rPr>
        <w:t xml:space="preserve">. In addition, most polyps in our study measured less than 10 mm (91.1%), similar to the results of </w:t>
      </w:r>
      <w:r w:rsidR="00621EA0">
        <w:rPr>
          <w:rFonts w:ascii="Times New Roman" w:hAnsi="Times New Roman" w:cs="Times New Roman"/>
          <w:sz w:val="24"/>
          <w:szCs w:val="24"/>
        </w:rPr>
        <w:t>Gao W</w:t>
      </w:r>
      <w:r w:rsidRPr="000146D6">
        <w:rPr>
          <w:rFonts w:ascii="Times New Roman" w:hAnsi="Times New Roman" w:cs="Times New Roman"/>
          <w:sz w:val="24"/>
          <w:szCs w:val="24"/>
        </w:rPr>
        <w:t xml:space="preserve"> et al., who reported that polyps measuring 1–7 mm were the most common</w:t>
      </w:r>
      <w:r w:rsidR="003F62EB" w:rsidRPr="000146D6">
        <w:rPr>
          <w:rFonts w:ascii="Times New Roman" w:hAnsi="Times New Roman" w:cs="Times New Roman"/>
          <w:sz w:val="24"/>
          <w:szCs w:val="24"/>
        </w:rPr>
        <w:t xml:space="preserve"> [</w:t>
      </w:r>
      <w:r w:rsidR="00621EA0">
        <w:rPr>
          <w:rFonts w:ascii="Times New Roman" w:hAnsi="Times New Roman" w:cs="Times New Roman"/>
          <w:sz w:val="24"/>
          <w:szCs w:val="24"/>
        </w:rPr>
        <w:t>6</w:t>
      </w:r>
      <w:r w:rsidR="003F62EB" w:rsidRPr="000146D6">
        <w:rPr>
          <w:rFonts w:ascii="Times New Roman" w:hAnsi="Times New Roman" w:cs="Times New Roman"/>
          <w:sz w:val="24"/>
          <w:szCs w:val="24"/>
        </w:rPr>
        <w:t>]</w:t>
      </w:r>
      <w:r w:rsidRPr="000146D6">
        <w:rPr>
          <w:rFonts w:ascii="Times New Roman" w:hAnsi="Times New Roman" w:cs="Times New Roman"/>
          <w:sz w:val="24"/>
          <w:szCs w:val="24"/>
        </w:rPr>
        <w:t xml:space="preserve">. Regarding morphology, sessile polyps were overwhelmingly predominant (98.7%), which </w:t>
      </w:r>
      <w:proofErr w:type="gramStart"/>
      <w:r w:rsidRPr="000146D6">
        <w:rPr>
          <w:rFonts w:ascii="Times New Roman" w:hAnsi="Times New Roman" w:cs="Times New Roman"/>
          <w:sz w:val="24"/>
          <w:szCs w:val="24"/>
        </w:rPr>
        <w:t>is in agreement</w:t>
      </w:r>
      <w:proofErr w:type="gramEnd"/>
      <w:r w:rsidRPr="000146D6">
        <w:rPr>
          <w:rFonts w:ascii="Times New Roman" w:hAnsi="Times New Roman" w:cs="Times New Roman"/>
          <w:sz w:val="24"/>
          <w:szCs w:val="24"/>
        </w:rPr>
        <w:t xml:space="preserve"> with the findings of Le </w:t>
      </w:r>
      <w:proofErr w:type="spellStart"/>
      <w:r w:rsidRPr="000146D6">
        <w:rPr>
          <w:rFonts w:ascii="Times New Roman" w:hAnsi="Times New Roman" w:cs="Times New Roman"/>
          <w:sz w:val="24"/>
          <w:szCs w:val="24"/>
        </w:rPr>
        <w:t>Dinh</w:t>
      </w:r>
      <w:proofErr w:type="spellEnd"/>
      <w:r w:rsidRPr="000146D6">
        <w:rPr>
          <w:rFonts w:ascii="Times New Roman" w:hAnsi="Times New Roman" w:cs="Times New Roman"/>
          <w:sz w:val="24"/>
          <w:szCs w:val="24"/>
        </w:rPr>
        <w:t xml:space="preserve"> Quang et al. (98.5%)</w:t>
      </w:r>
      <w:r w:rsidR="003F62EB" w:rsidRPr="000146D6">
        <w:rPr>
          <w:rFonts w:ascii="Times New Roman" w:hAnsi="Times New Roman" w:cs="Times New Roman"/>
          <w:sz w:val="24"/>
          <w:szCs w:val="24"/>
        </w:rPr>
        <w:t xml:space="preserve"> [7]</w:t>
      </w:r>
      <w:r w:rsidRPr="000146D6">
        <w:rPr>
          <w:rFonts w:ascii="Times New Roman" w:hAnsi="Times New Roman" w:cs="Times New Roman"/>
          <w:sz w:val="24"/>
          <w:szCs w:val="24"/>
        </w:rPr>
        <w:t>.</w:t>
      </w:r>
    </w:p>
    <w:p w14:paraId="1C0945F7" w14:textId="77777777" w:rsidR="005E1F7D" w:rsidRDefault="009F3B4F"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Microscopic characteristics:</w:t>
      </w:r>
    </w:p>
    <w:p w14:paraId="32047FDC" w14:textId="178D0218" w:rsidR="009F3B4F" w:rsidRPr="005E1F7D" w:rsidRDefault="009F3B4F"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Histologically, the majority of polyps were not associated with inflammatory changes (87.6%). The prevalence of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 xml:space="preserve">infection was extremely low (0.2%), supporting previous observations by </w:t>
      </w:r>
      <w:proofErr w:type="spellStart"/>
      <w:r w:rsidRPr="000146D6">
        <w:rPr>
          <w:rFonts w:ascii="Times New Roman" w:hAnsi="Times New Roman" w:cs="Times New Roman"/>
          <w:sz w:val="24"/>
          <w:szCs w:val="24"/>
        </w:rPr>
        <w:t>Elhanafi</w:t>
      </w:r>
      <w:proofErr w:type="spellEnd"/>
      <w:r w:rsidRPr="000146D6">
        <w:rPr>
          <w:rFonts w:ascii="Times New Roman" w:hAnsi="Times New Roman" w:cs="Times New Roman"/>
          <w:sz w:val="24"/>
          <w:szCs w:val="24"/>
        </w:rPr>
        <w:t xml:space="preserve"> S et al., who also reported a low rate of infection in patients with fundic gland polyps</w:t>
      </w:r>
      <w:r w:rsidR="003F62EB" w:rsidRPr="000146D6">
        <w:rPr>
          <w:rFonts w:ascii="Times New Roman" w:hAnsi="Times New Roman" w:cs="Times New Roman"/>
          <w:sz w:val="24"/>
          <w:szCs w:val="24"/>
        </w:rPr>
        <w:t xml:space="preserve"> [2]</w:t>
      </w:r>
      <w:r w:rsidRPr="000146D6">
        <w:rPr>
          <w:rFonts w:ascii="Times New Roman" w:hAnsi="Times New Roman" w:cs="Times New Roman"/>
          <w:sz w:val="24"/>
          <w:szCs w:val="24"/>
        </w:rPr>
        <w:t xml:space="preserve">. Dysplasia was rarely observed in our cohort (0.9%), and all cases were classified as low-grade dysplasia with an intestinal phenotype. A similarly low prevalence of dysplasia was reported by </w:t>
      </w:r>
      <w:proofErr w:type="spellStart"/>
      <w:r w:rsidRPr="000146D6">
        <w:rPr>
          <w:rFonts w:ascii="Times New Roman" w:hAnsi="Times New Roman" w:cs="Times New Roman"/>
          <w:sz w:val="24"/>
          <w:szCs w:val="24"/>
        </w:rPr>
        <w:t>Kővári</w:t>
      </w:r>
      <w:proofErr w:type="spellEnd"/>
      <w:r w:rsidRPr="000146D6">
        <w:rPr>
          <w:rFonts w:ascii="Times New Roman" w:hAnsi="Times New Roman" w:cs="Times New Roman"/>
          <w:sz w:val="24"/>
          <w:szCs w:val="24"/>
        </w:rPr>
        <w:t xml:space="preserve"> B et al. (0.9%)</w:t>
      </w:r>
      <w:r w:rsidR="005F3860" w:rsidRPr="000146D6">
        <w:rPr>
          <w:rFonts w:ascii="Times New Roman" w:hAnsi="Times New Roman" w:cs="Times New Roman"/>
          <w:sz w:val="24"/>
          <w:szCs w:val="24"/>
        </w:rPr>
        <w:t xml:space="preserve"> [8]</w:t>
      </w:r>
      <w:r w:rsidRPr="000146D6">
        <w:rPr>
          <w:rFonts w:ascii="Times New Roman" w:hAnsi="Times New Roman" w:cs="Times New Roman"/>
          <w:sz w:val="24"/>
          <w:szCs w:val="24"/>
        </w:rPr>
        <w:t>. These findings further support the generally benign nature and favorable prognosis of fundic gland polyps, despite the occasional presence of dysplastic changes.</w:t>
      </w:r>
      <w:r w:rsidR="00B21D08" w:rsidRPr="000146D6">
        <w:rPr>
          <w:rFonts w:ascii="Times New Roman" w:hAnsi="Times New Roman" w:cs="Times New Roman"/>
          <w:sz w:val="24"/>
          <w:szCs w:val="24"/>
        </w:rPr>
        <w:t xml:space="preserve"> These results suggest that, although fundic gland polyps may be associated with dysplasia, their prognosis remains favorable when dysplasia is low grade. Fundic gland polyps are considered non-inflammatory lesions arising</w:t>
      </w:r>
      <w:r w:rsidR="00464C31">
        <w:rPr>
          <w:rFonts w:ascii="Times New Roman" w:hAnsi="Times New Roman" w:cs="Times New Roman"/>
          <w:sz w:val="24"/>
          <w:szCs w:val="24"/>
        </w:rPr>
        <w:t xml:space="preserve"> </w:t>
      </w:r>
      <w:r w:rsidR="00B21D08" w:rsidRPr="00464C31">
        <w:rPr>
          <w:rFonts w:ascii="Times New Roman" w:hAnsi="Times New Roman" w:cs="Times New Roman"/>
          <w:sz w:val="24"/>
          <w:szCs w:val="24"/>
        </w:rPr>
        <w:t xml:space="preserve">from cystic dilation of oxyntic glands rather than chronic mucosal injury. Dysregulation of the </w:t>
      </w:r>
      <w:proofErr w:type="spellStart"/>
      <w:r w:rsidR="00B21D08" w:rsidRPr="00464C31">
        <w:rPr>
          <w:rFonts w:ascii="Times New Roman" w:hAnsi="Times New Roman" w:cs="Times New Roman"/>
          <w:sz w:val="24"/>
          <w:szCs w:val="24"/>
        </w:rPr>
        <w:t>Wnt</w:t>
      </w:r>
      <w:proofErr w:type="spellEnd"/>
      <w:r w:rsidR="00B21D08" w:rsidRPr="00464C31">
        <w:rPr>
          <w:rFonts w:ascii="Times New Roman" w:hAnsi="Times New Roman" w:cs="Times New Roman"/>
          <w:sz w:val="24"/>
          <w:szCs w:val="24"/>
        </w:rPr>
        <w:t>/β-catenin pathway, particularly in APC-related syndromic cases, has been implicated in their development. In sporadic cases, long-term proton pump inhibitor use may contribute to parietal cell hyperplasia and glandular dilation. The very low rate of H. pylori infection and dysplasia in our study further supports the benign biological behavior of fundic gland polyps.</w:t>
      </w:r>
    </w:p>
    <w:p w14:paraId="169404CF" w14:textId="77B69379" w:rsidR="00180E7B" w:rsidRPr="000146D6" w:rsidRDefault="00431011"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4.2. Hyperplastic Polyps</w:t>
      </w:r>
    </w:p>
    <w:p w14:paraId="5AB3CD5F" w14:textId="0521EC06" w:rsidR="005E1F7D" w:rsidRDefault="00A76C6C" w:rsidP="00D14E2F">
      <w:pPr>
        <w:spacing w:line="240" w:lineRule="auto"/>
        <w:ind w:left="644"/>
        <w:jc w:val="both"/>
        <w:rPr>
          <w:rFonts w:ascii="Times New Roman" w:hAnsi="Times New Roman" w:cs="Times New Roman"/>
          <w:b/>
          <w:bCs/>
          <w:sz w:val="24"/>
          <w:szCs w:val="24"/>
        </w:rPr>
      </w:pPr>
      <w:r w:rsidRPr="000146D6">
        <w:rPr>
          <w:rFonts w:ascii="Times New Roman" w:hAnsi="Times New Roman" w:cs="Times New Roman"/>
          <w:sz w:val="24"/>
          <w:szCs w:val="24"/>
        </w:rPr>
        <w:t xml:space="preserve"> </w:t>
      </w:r>
      <w:r w:rsidRPr="000146D6">
        <w:rPr>
          <w:rFonts w:ascii="Times New Roman" w:hAnsi="Times New Roman" w:cs="Times New Roman"/>
          <w:b/>
          <w:bCs/>
          <w:sz w:val="24"/>
          <w:szCs w:val="24"/>
        </w:rPr>
        <w:t xml:space="preserve">Age and </w:t>
      </w:r>
      <w:r w:rsidR="00D3377B">
        <w:rPr>
          <w:rFonts w:ascii="Times New Roman" w:hAnsi="Times New Roman" w:cs="Times New Roman"/>
          <w:b/>
          <w:bCs/>
          <w:sz w:val="24"/>
          <w:szCs w:val="24"/>
        </w:rPr>
        <w:t>S</w:t>
      </w:r>
      <w:r w:rsidRPr="000146D6">
        <w:rPr>
          <w:rFonts w:ascii="Times New Roman" w:hAnsi="Times New Roman" w:cs="Times New Roman"/>
          <w:b/>
          <w:bCs/>
          <w:sz w:val="24"/>
          <w:szCs w:val="24"/>
        </w:rPr>
        <w:t>ex</w:t>
      </w:r>
      <w:r w:rsidR="005E1F7D">
        <w:rPr>
          <w:rFonts w:ascii="Times New Roman" w:hAnsi="Times New Roman" w:cs="Times New Roman"/>
          <w:b/>
          <w:bCs/>
          <w:sz w:val="24"/>
          <w:szCs w:val="24"/>
        </w:rPr>
        <w:t xml:space="preserve"> </w:t>
      </w:r>
      <w:r w:rsidR="00DA157B">
        <w:rPr>
          <w:rFonts w:ascii="Times New Roman" w:hAnsi="Times New Roman" w:cs="Times New Roman"/>
          <w:b/>
          <w:bCs/>
          <w:sz w:val="24"/>
          <w:szCs w:val="24"/>
        </w:rPr>
        <w:t>C</w:t>
      </w:r>
      <w:r w:rsidR="005E1F7D" w:rsidRPr="000146D6">
        <w:rPr>
          <w:rFonts w:ascii="Times New Roman" w:hAnsi="Times New Roman" w:cs="Times New Roman"/>
          <w:b/>
          <w:bCs/>
          <w:sz w:val="24"/>
          <w:szCs w:val="24"/>
        </w:rPr>
        <w:t>haracteristics:</w:t>
      </w:r>
    </w:p>
    <w:p w14:paraId="255E437C" w14:textId="2D74A993" w:rsidR="00A76C6C" w:rsidRPr="000146D6" w:rsidRDefault="00A76C6C"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In the present study, the age of the patients ranged from 35 to 80 years, with a mean age of 59.4 ± 11.7 years. The highest proportion of cases was observed in the 50–</w:t>
      </w:r>
      <w:proofErr w:type="gramStart"/>
      <w:r w:rsidRPr="000146D6">
        <w:rPr>
          <w:rFonts w:ascii="Times New Roman" w:hAnsi="Times New Roman" w:cs="Times New Roman"/>
          <w:sz w:val="24"/>
          <w:szCs w:val="24"/>
        </w:rPr>
        <w:t>69 year</w:t>
      </w:r>
      <w:proofErr w:type="gramEnd"/>
      <w:r w:rsidRPr="000146D6">
        <w:rPr>
          <w:rFonts w:ascii="Times New Roman" w:hAnsi="Times New Roman" w:cs="Times New Roman"/>
          <w:sz w:val="24"/>
          <w:szCs w:val="24"/>
        </w:rPr>
        <w:t xml:space="preserve"> age group (55.1%). These findings are consistent with previous international studies reporting a mean age ranging from 58 to 68 years, such as those by </w:t>
      </w:r>
      <w:proofErr w:type="spellStart"/>
      <w:r w:rsidRPr="000146D6">
        <w:rPr>
          <w:rFonts w:ascii="Times New Roman" w:hAnsi="Times New Roman" w:cs="Times New Roman"/>
          <w:sz w:val="24"/>
          <w:szCs w:val="24"/>
        </w:rPr>
        <w:t>Elhanafi</w:t>
      </w:r>
      <w:proofErr w:type="spellEnd"/>
      <w:r w:rsidRPr="000146D6">
        <w:rPr>
          <w:rFonts w:ascii="Times New Roman" w:hAnsi="Times New Roman" w:cs="Times New Roman"/>
          <w:sz w:val="24"/>
          <w:szCs w:val="24"/>
        </w:rPr>
        <w:t xml:space="preserve"> S et al. (58.4 ± 10.8 years) and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 (68 ± 13.7 years)</w:t>
      </w:r>
      <w:r w:rsidR="005F3860" w:rsidRPr="000146D6">
        <w:rPr>
          <w:rFonts w:ascii="Times New Roman" w:hAnsi="Times New Roman" w:cs="Times New Roman"/>
          <w:sz w:val="24"/>
          <w:szCs w:val="24"/>
        </w:rPr>
        <w:t xml:space="preserve"> [2], [5]</w:t>
      </w:r>
      <w:r w:rsidRPr="000146D6">
        <w:rPr>
          <w:rFonts w:ascii="Times New Roman" w:hAnsi="Times New Roman" w:cs="Times New Roman"/>
          <w:sz w:val="24"/>
          <w:szCs w:val="24"/>
        </w:rPr>
        <w:t xml:space="preserve">. Regarding sex distribution, females predominated, accounting for 75.5% of cases compared with 24.5% in males (female-to-male ratio = 3.1:1). This </w:t>
      </w:r>
      <w:r w:rsidRPr="000146D6">
        <w:rPr>
          <w:rFonts w:ascii="Times New Roman" w:hAnsi="Times New Roman" w:cs="Times New Roman"/>
          <w:sz w:val="24"/>
          <w:szCs w:val="24"/>
        </w:rPr>
        <w:lastRenderedPageBreak/>
        <w:t xml:space="preserve">female predominance is comparable to that reported in previous studies, including those by </w:t>
      </w:r>
      <w:proofErr w:type="spellStart"/>
      <w:r w:rsidRPr="000146D6">
        <w:rPr>
          <w:rFonts w:ascii="Times New Roman" w:hAnsi="Times New Roman" w:cs="Times New Roman"/>
          <w:sz w:val="24"/>
          <w:szCs w:val="24"/>
        </w:rPr>
        <w:t>Elhanafi</w:t>
      </w:r>
      <w:proofErr w:type="spellEnd"/>
      <w:r w:rsidRPr="000146D6">
        <w:rPr>
          <w:rFonts w:ascii="Times New Roman" w:hAnsi="Times New Roman" w:cs="Times New Roman"/>
          <w:sz w:val="24"/>
          <w:szCs w:val="24"/>
        </w:rPr>
        <w:t xml:space="preserve"> S et al. (2.8:1) and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 (1.6:1)</w:t>
      </w:r>
      <w:r w:rsidR="00BA4B3C" w:rsidRPr="000146D6">
        <w:rPr>
          <w:rFonts w:ascii="Times New Roman" w:hAnsi="Times New Roman" w:cs="Times New Roman"/>
          <w:sz w:val="24"/>
          <w:szCs w:val="24"/>
        </w:rPr>
        <w:t xml:space="preserve"> [2], [5]</w:t>
      </w:r>
      <w:r w:rsidRPr="000146D6">
        <w:rPr>
          <w:rFonts w:ascii="Times New Roman" w:hAnsi="Times New Roman" w:cs="Times New Roman"/>
          <w:sz w:val="24"/>
          <w:szCs w:val="24"/>
        </w:rPr>
        <w:t>.</w:t>
      </w:r>
    </w:p>
    <w:p w14:paraId="3584BFBA" w14:textId="77777777" w:rsidR="005E1F7D" w:rsidRDefault="00A76C6C" w:rsidP="00D14E2F">
      <w:pPr>
        <w:spacing w:line="240" w:lineRule="auto"/>
        <w:ind w:left="644"/>
        <w:jc w:val="both"/>
        <w:rPr>
          <w:rFonts w:ascii="Times New Roman" w:hAnsi="Times New Roman" w:cs="Times New Roman"/>
          <w:b/>
          <w:bCs/>
          <w:sz w:val="24"/>
          <w:szCs w:val="24"/>
        </w:rPr>
      </w:pPr>
      <w:r w:rsidRPr="000146D6">
        <w:rPr>
          <w:rFonts w:ascii="Times New Roman" w:hAnsi="Times New Roman" w:cs="Times New Roman"/>
          <w:b/>
          <w:bCs/>
          <w:sz w:val="24"/>
          <w:szCs w:val="24"/>
        </w:rPr>
        <w:t>Macroscopic characteristics:</w:t>
      </w:r>
    </w:p>
    <w:p w14:paraId="2C4FBB53" w14:textId="03844A45" w:rsidR="00A76C6C" w:rsidRPr="000146D6" w:rsidRDefault="00A76C6C"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In terms of location, polyps were most frequently found in the gastric body (67.4%), followed by the antrum (30.6%). This distribution differs from the findings reported by </w:t>
      </w:r>
      <w:proofErr w:type="spellStart"/>
      <w:r w:rsidRPr="000146D6">
        <w:rPr>
          <w:rFonts w:ascii="Times New Roman" w:hAnsi="Times New Roman" w:cs="Times New Roman"/>
          <w:sz w:val="24"/>
          <w:szCs w:val="24"/>
        </w:rPr>
        <w:t>Kővári</w:t>
      </w:r>
      <w:proofErr w:type="spellEnd"/>
      <w:r w:rsidRPr="000146D6">
        <w:rPr>
          <w:rFonts w:ascii="Times New Roman" w:hAnsi="Times New Roman" w:cs="Times New Roman"/>
          <w:sz w:val="24"/>
          <w:szCs w:val="24"/>
        </w:rPr>
        <w:t xml:space="preserve"> B et al., who identified the antrum as the most common site, which may be explained by geographic and ethnic variations among study populations</w:t>
      </w:r>
      <w:r w:rsidR="00062305">
        <w:rPr>
          <w:rFonts w:ascii="Times New Roman" w:hAnsi="Times New Roman" w:cs="Times New Roman"/>
          <w:sz w:val="24"/>
          <w:szCs w:val="24"/>
        </w:rPr>
        <w:t xml:space="preserve"> [8]</w:t>
      </w:r>
      <w:r w:rsidRPr="000146D6">
        <w:rPr>
          <w:rFonts w:ascii="Times New Roman" w:hAnsi="Times New Roman" w:cs="Times New Roman"/>
          <w:sz w:val="24"/>
          <w:szCs w:val="24"/>
        </w:rPr>
        <w:t xml:space="preserve">. Solitary polyps were more common than multiple lesions (61.2% vs. 38.8%), a pattern similar to that reported by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w:t>
      </w:r>
      <w:r w:rsidR="00C06C09" w:rsidRPr="000146D6">
        <w:rPr>
          <w:rFonts w:ascii="Times New Roman" w:hAnsi="Times New Roman" w:cs="Times New Roman"/>
          <w:sz w:val="24"/>
          <w:szCs w:val="24"/>
        </w:rPr>
        <w:t xml:space="preserve"> </w:t>
      </w:r>
      <w:r w:rsidRPr="000146D6">
        <w:rPr>
          <w:rFonts w:ascii="Times New Roman" w:hAnsi="Times New Roman" w:cs="Times New Roman"/>
          <w:sz w:val="24"/>
          <w:szCs w:val="24"/>
        </w:rPr>
        <w:t>(60% vs. 40%)</w:t>
      </w:r>
      <w:r w:rsidR="00BA4B3C" w:rsidRPr="000146D6">
        <w:rPr>
          <w:rFonts w:ascii="Times New Roman" w:hAnsi="Times New Roman" w:cs="Times New Roman"/>
          <w:sz w:val="24"/>
          <w:szCs w:val="24"/>
        </w:rPr>
        <w:t xml:space="preserve"> [</w:t>
      </w:r>
      <w:r w:rsidR="00062305">
        <w:rPr>
          <w:rFonts w:ascii="Times New Roman" w:hAnsi="Times New Roman" w:cs="Times New Roman"/>
          <w:sz w:val="24"/>
          <w:szCs w:val="24"/>
        </w:rPr>
        <w:t>5</w:t>
      </w:r>
      <w:r w:rsidR="00BA4B3C" w:rsidRPr="000146D6">
        <w:rPr>
          <w:rFonts w:ascii="Times New Roman" w:hAnsi="Times New Roman" w:cs="Times New Roman"/>
          <w:sz w:val="24"/>
          <w:szCs w:val="24"/>
        </w:rPr>
        <w:t>]</w:t>
      </w:r>
      <w:r w:rsidRPr="000146D6">
        <w:rPr>
          <w:rFonts w:ascii="Times New Roman" w:hAnsi="Times New Roman" w:cs="Times New Roman"/>
          <w:sz w:val="24"/>
          <w:szCs w:val="24"/>
        </w:rPr>
        <w:t>. Most polyps measured less than 10 mm (63.3%), and the majority were smaller than 20 mm, consistent</w:t>
      </w:r>
      <w:r w:rsidR="00B370A9">
        <w:rPr>
          <w:rFonts w:ascii="Times New Roman" w:hAnsi="Times New Roman" w:cs="Times New Roman"/>
          <w:sz w:val="24"/>
          <w:szCs w:val="24"/>
        </w:rPr>
        <w:t xml:space="preserve"> with</w:t>
      </w:r>
      <w:r w:rsidRPr="000146D6">
        <w:rPr>
          <w:rFonts w:ascii="Times New Roman" w:hAnsi="Times New Roman" w:cs="Times New Roman"/>
          <w:sz w:val="24"/>
          <w:szCs w:val="24"/>
        </w:rPr>
        <w:t xml:space="preserve"> </w:t>
      </w:r>
      <w:r w:rsidR="00C06C09" w:rsidRPr="000146D6">
        <w:rPr>
          <w:rFonts w:ascii="Times New Roman" w:hAnsi="Times New Roman" w:cs="Times New Roman"/>
          <w:sz w:val="24"/>
          <w:szCs w:val="24"/>
        </w:rPr>
        <w:t>studies by Vos S et al</w:t>
      </w:r>
      <w:r w:rsidR="00062305">
        <w:rPr>
          <w:rFonts w:ascii="Times New Roman" w:hAnsi="Times New Roman" w:cs="Times New Roman"/>
          <w:sz w:val="24"/>
          <w:szCs w:val="24"/>
        </w:rPr>
        <w:t>.</w:t>
      </w:r>
      <w:r w:rsidR="00C06C09" w:rsidRPr="000146D6">
        <w:rPr>
          <w:rFonts w:ascii="Times New Roman" w:hAnsi="Times New Roman" w:cs="Times New Roman"/>
          <w:sz w:val="24"/>
          <w:szCs w:val="24"/>
        </w:rPr>
        <w:t xml:space="preserve"> [9]</w:t>
      </w:r>
      <w:r w:rsidRPr="000146D6">
        <w:rPr>
          <w:rFonts w:ascii="Times New Roman" w:hAnsi="Times New Roman" w:cs="Times New Roman"/>
          <w:sz w:val="24"/>
          <w:szCs w:val="24"/>
        </w:rPr>
        <w:t xml:space="preserve">. Morphologically, </w:t>
      </w:r>
      <w:r w:rsidR="00B7634A">
        <w:rPr>
          <w:rFonts w:ascii="Times New Roman" w:hAnsi="Times New Roman" w:cs="Times New Roman"/>
          <w:sz w:val="24"/>
          <w:szCs w:val="24"/>
        </w:rPr>
        <w:t>p</w:t>
      </w:r>
      <w:r w:rsidR="00B7634A" w:rsidRPr="00B7634A">
        <w:rPr>
          <w:rFonts w:ascii="Times New Roman" w:hAnsi="Times New Roman" w:cs="Times New Roman"/>
          <w:sz w:val="24"/>
          <w:szCs w:val="24"/>
        </w:rPr>
        <w:t>edunculated</w:t>
      </w:r>
      <w:r w:rsidRPr="000146D6">
        <w:rPr>
          <w:rFonts w:ascii="Times New Roman" w:hAnsi="Times New Roman" w:cs="Times New Roman"/>
          <w:sz w:val="24"/>
          <w:szCs w:val="24"/>
        </w:rPr>
        <w:t xml:space="preserve"> polyps predominated (93.9%), which is also consistent with findings from several earlier studies.</w:t>
      </w:r>
    </w:p>
    <w:p w14:paraId="49B84335" w14:textId="77777777" w:rsidR="005E1F7D" w:rsidRDefault="00A76C6C" w:rsidP="00D14E2F">
      <w:pPr>
        <w:spacing w:line="240" w:lineRule="auto"/>
        <w:ind w:left="644"/>
        <w:jc w:val="both"/>
        <w:rPr>
          <w:rFonts w:ascii="Times New Roman" w:hAnsi="Times New Roman" w:cs="Times New Roman"/>
          <w:b/>
          <w:bCs/>
          <w:sz w:val="24"/>
          <w:szCs w:val="24"/>
        </w:rPr>
      </w:pPr>
      <w:r w:rsidRPr="000146D6">
        <w:rPr>
          <w:rFonts w:ascii="Times New Roman" w:hAnsi="Times New Roman" w:cs="Times New Roman"/>
          <w:b/>
          <w:bCs/>
          <w:sz w:val="24"/>
          <w:szCs w:val="24"/>
        </w:rPr>
        <w:t>Microscopic characteristics:</w:t>
      </w:r>
    </w:p>
    <w:p w14:paraId="09D21960" w14:textId="13484757" w:rsidR="00A76C6C" w:rsidRPr="000146D6" w:rsidRDefault="00A76C6C"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Histologically, non-inflamed polyps were more common than inflamed polyps (63.3% vs. 36.7%). The prevalence of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 xml:space="preserve">infection was low (2%), similar to that reported in some studies but considerably lower than the rate observed by </w:t>
      </w:r>
      <w:proofErr w:type="spellStart"/>
      <w:r w:rsidRPr="000146D6">
        <w:rPr>
          <w:rFonts w:ascii="Times New Roman" w:hAnsi="Times New Roman" w:cs="Times New Roman"/>
          <w:sz w:val="24"/>
          <w:szCs w:val="24"/>
        </w:rPr>
        <w:t>Elhanafi</w:t>
      </w:r>
      <w:proofErr w:type="spellEnd"/>
      <w:r w:rsidRPr="000146D6">
        <w:rPr>
          <w:rFonts w:ascii="Times New Roman" w:hAnsi="Times New Roman" w:cs="Times New Roman"/>
          <w:sz w:val="24"/>
          <w:szCs w:val="24"/>
        </w:rPr>
        <w:t xml:space="preserve"> S et al. (31.03%)</w:t>
      </w:r>
      <w:r w:rsidR="00062305">
        <w:rPr>
          <w:rFonts w:ascii="Times New Roman" w:hAnsi="Times New Roman" w:cs="Times New Roman"/>
          <w:sz w:val="24"/>
          <w:szCs w:val="24"/>
        </w:rPr>
        <w:t xml:space="preserve"> [2]</w:t>
      </w:r>
      <w:r w:rsidRPr="000146D6">
        <w:rPr>
          <w:rFonts w:ascii="Times New Roman" w:hAnsi="Times New Roman" w:cs="Times New Roman"/>
          <w:sz w:val="24"/>
          <w:szCs w:val="24"/>
        </w:rPr>
        <w:t xml:space="preserve">. This discrepancy may be related to geographic differences or variations in </w:t>
      </w:r>
      <w:r w:rsidRPr="000146D6">
        <w:rPr>
          <w:rFonts w:ascii="Times New Roman" w:hAnsi="Times New Roman" w:cs="Times New Roman"/>
          <w:i/>
          <w:iCs/>
          <w:sz w:val="24"/>
          <w:szCs w:val="24"/>
        </w:rPr>
        <w:t>H. pylori</w:t>
      </w:r>
      <w:r w:rsidRPr="000146D6">
        <w:rPr>
          <w:rFonts w:ascii="Times New Roman" w:hAnsi="Times New Roman" w:cs="Times New Roman"/>
          <w:sz w:val="24"/>
          <w:szCs w:val="24"/>
        </w:rPr>
        <w:t xml:space="preserve"> eradication strategies. Dysplasia was rare, occurring in only 2% of cases, and all cases were classified as low-grade dysplasia with an intestinal phenotype. Similar findings have been reported in previous studies by </w:t>
      </w:r>
      <w:r w:rsidR="00015FA0" w:rsidRPr="000146D6">
        <w:rPr>
          <w:rFonts w:ascii="Times New Roman" w:hAnsi="Times New Roman" w:cs="Times New Roman"/>
          <w:sz w:val="24"/>
          <w:szCs w:val="24"/>
        </w:rPr>
        <w:t xml:space="preserve">Le </w:t>
      </w:r>
      <w:proofErr w:type="spellStart"/>
      <w:r w:rsidR="00015FA0" w:rsidRPr="000146D6">
        <w:rPr>
          <w:rFonts w:ascii="Times New Roman" w:hAnsi="Times New Roman" w:cs="Times New Roman"/>
          <w:sz w:val="24"/>
          <w:szCs w:val="24"/>
        </w:rPr>
        <w:t>Dinh</w:t>
      </w:r>
      <w:proofErr w:type="spellEnd"/>
      <w:r w:rsidR="00015FA0" w:rsidRPr="000146D6">
        <w:rPr>
          <w:rFonts w:ascii="Times New Roman" w:hAnsi="Times New Roman" w:cs="Times New Roman"/>
          <w:sz w:val="24"/>
          <w:szCs w:val="24"/>
        </w:rPr>
        <w:t xml:space="preserve"> Quang et al</w:t>
      </w:r>
      <w:r w:rsidR="00015FA0">
        <w:rPr>
          <w:rFonts w:ascii="Times New Roman" w:hAnsi="Times New Roman" w:cs="Times New Roman"/>
          <w:sz w:val="24"/>
          <w:szCs w:val="24"/>
        </w:rPr>
        <w:t xml:space="preserve">. and </w:t>
      </w:r>
      <w:proofErr w:type="spellStart"/>
      <w:r w:rsidRPr="000146D6">
        <w:rPr>
          <w:rFonts w:ascii="Times New Roman" w:hAnsi="Times New Roman" w:cs="Times New Roman"/>
          <w:sz w:val="24"/>
          <w:szCs w:val="24"/>
        </w:rPr>
        <w:t>Kővári</w:t>
      </w:r>
      <w:proofErr w:type="spellEnd"/>
      <w:r w:rsidRPr="000146D6">
        <w:rPr>
          <w:rFonts w:ascii="Times New Roman" w:hAnsi="Times New Roman" w:cs="Times New Roman"/>
          <w:sz w:val="24"/>
          <w:szCs w:val="24"/>
        </w:rPr>
        <w:t xml:space="preserve"> B et al.</w:t>
      </w:r>
      <w:r w:rsidR="00015FA0">
        <w:rPr>
          <w:rFonts w:ascii="Times New Roman" w:hAnsi="Times New Roman" w:cs="Times New Roman"/>
          <w:sz w:val="24"/>
          <w:szCs w:val="24"/>
        </w:rPr>
        <w:t>,</w:t>
      </w:r>
      <w:r w:rsidRPr="000146D6">
        <w:rPr>
          <w:rFonts w:ascii="Times New Roman" w:hAnsi="Times New Roman" w:cs="Times New Roman"/>
          <w:sz w:val="24"/>
          <w:szCs w:val="24"/>
        </w:rPr>
        <w:t xml:space="preserve"> suggesting that dysplasia in hyperplastic polyps is uncommon</w:t>
      </w:r>
      <w:r w:rsidR="00BA4B3C" w:rsidRPr="000146D6">
        <w:rPr>
          <w:rFonts w:ascii="Times New Roman" w:hAnsi="Times New Roman" w:cs="Times New Roman"/>
          <w:sz w:val="24"/>
          <w:szCs w:val="24"/>
        </w:rPr>
        <w:t xml:space="preserve"> [7], [8]</w:t>
      </w:r>
      <w:r w:rsidRPr="000146D6">
        <w:rPr>
          <w:rFonts w:ascii="Times New Roman" w:hAnsi="Times New Roman" w:cs="Times New Roman"/>
          <w:sz w:val="24"/>
          <w:szCs w:val="24"/>
        </w:rPr>
        <w:t>.</w:t>
      </w:r>
      <w:r w:rsidR="008103F9" w:rsidRPr="000146D6">
        <w:rPr>
          <w:rFonts w:ascii="Times New Roman" w:hAnsi="Times New Roman" w:cs="Times New Roman"/>
          <w:sz w:val="24"/>
          <w:szCs w:val="24"/>
        </w:rPr>
        <w:t xml:space="preserve"> Hyperplastic polyps are considered reactive lesions arising in the setting of chronic gastritis. Persistent inflammation, often related to H. pylori infection, stimulates epithelial proliferation through cytokine-mediated regenerative pathways. This results in foveolar hyperplasia and mucosal overgrowth, leading to polyp formation. These mechanisms explain their frequent association with inflammatory changes.</w:t>
      </w:r>
    </w:p>
    <w:p w14:paraId="249705AB" w14:textId="7BAC455A" w:rsidR="00180E7B" w:rsidRPr="000146D6" w:rsidRDefault="00EC3508" w:rsidP="00D14E2F">
      <w:pPr>
        <w:spacing w:line="240" w:lineRule="auto"/>
        <w:ind w:right="418"/>
        <w:jc w:val="both"/>
        <w:rPr>
          <w:rFonts w:ascii="Times New Roman" w:hAnsi="Times New Roman" w:cs="Times New Roman"/>
          <w:b/>
          <w:bCs/>
          <w:sz w:val="24"/>
          <w:szCs w:val="24"/>
        </w:rPr>
      </w:pPr>
      <w:r w:rsidRPr="000146D6">
        <w:rPr>
          <w:rFonts w:ascii="Times New Roman" w:hAnsi="Times New Roman" w:cs="Times New Roman"/>
          <w:b/>
          <w:bCs/>
          <w:sz w:val="24"/>
          <w:szCs w:val="24"/>
        </w:rPr>
        <w:t>4.3. Oxyntic Gland Adenoma</w:t>
      </w:r>
    </w:p>
    <w:p w14:paraId="12456493" w14:textId="691A1E2C" w:rsidR="00DA157B" w:rsidRDefault="00A32759" w:rsidP="00D14E2F">
      <w:pPr>
        <w:spacing w:line="240" w:lineRule="auto"/>
        <w:ind w:left="644"/>
        <w:jc w:val="both"/>
        <w:rPr>
          <w:rFonts w:ascii="Times New Roman" w:hAnsi="Times New Roman" w:cs="Times New Roman"/>
          <w:b/>
          <w:bCs/>
          <w:sz w:val="24"/>
          <w:szCs w:val="24"/>
        </w:rPr>
      </w:pPr>
      <w:r w:rsidRPr="005E1F7D">
        <w:rPr>
          <w:rFonts w:ascii="Times New Roman" w:hAnsi="Times New Roman" w:cs="Times New Roman"/>
          <w:b/>
          <w:bCs/>
          <w:sz w:val="24"/>
          <w:szCs w:val="24"/>
        </w:rPr>
        <w:t xml:space="preserve">Age and </w:t>
      </w:r>
      <w:r w:rsidR="00D3377B">
        <w:rPr>
          <w:rFonts w:ascii="Times New Roman" w:hAnsi="Times New Roman" w:cs="Times New Roman"/>
          <w:b/>
          <w:bCs/>
          <w:sz w:val="24"/>
          <w:szCs w:val="24"/>
        </w:rPr>
        <w:t>S</w:t>
      </w:r>
      <w:r w:rsidRPr="005E1F7D">
        <w:rPr>
          <w:rFonts w:ascii="Times New Roman" w:hAnsi="Times New Roman" w:cs="Times New Roman"/>
          <w:b/>
          <w:bCs/>
          <w:sz w:val="24"/>
          <w:szCs w:val="24"/>
        </w:rPr>
        <w:t>ex</w:t>
      </w:r>
      <w:r w:rsidR="00FA37A6">
        <w:rPr>
          <w:rFonts w:ascii="Times New Roman" w:hAnsi="Times New Roman" w:cs="Times New Roman"/>
          <w:b/>
          <w:bCs/>
          <w:sz w:val="24"/>
          <w:szCs w:val="24"/>
        </w:rPr>
        <w:t xml:space="preserve"> C</w:t>
      </w:r>
      <w:r w:rsidR="00FA37A6" w:rsidRPr="000146D6">
        <w:rPr>
          <w:rFonts w:ascii="Times New Roman" w:hAnsi="Times New Roman" w:cs="Times New Roman"/>
          <w:b/>
          <w:bCs/>
          <w:sz w:val="24"/>
          <w:szCs w:val="24"/>
        </w:rPr>
        <w:t>haracteristics</w:t>
      </w:r>
      <w:r w:rsidRPr="005E1F7D">
        <w:rPr>
          <w:rFonts w:ascii="Times New Roman" w:hAnsi="Times New Roman" w:cs="Times New Roman"/>
          <w:b/>
          <w:bCs/>
          <w:sz w:val="24"/>
          <w:szCs w:val="24"/>
        </w:rPr>
        <w:t>:</w:t>
      </w:r>
    </w:p>
    <w:p w14:paraId="3672A577" w14:textId="60756235" w:rsidR="00A32759" w:rsidRPr="00DA157B" w:rsidRDefault="00A32759" w:rsidP="00D14E2F">
      <w:pPr>
        <w:spacing w:line="240" w:lineRule="auto"/>
        <w:ind w:firstLine="644"/>
        <w:jc w:val="both"/>
        <w:rPr>
          <w:rFonts w:ascii="Times New Roman" w:hAnsi="Times New Roman" w:cs="Times New Roman"/>
          <w:b/>
          <w:bCs/>
          <w:sz w:val="24"/>
          <w:szCs w:val="24"/>
        </w:rPr>
      </w:pPr>
      <w:r w:rsidRPr="000146D6">
        <w:rPr>
          <w:rFonts w:ascii="Times New Roman" w:hAnsi="Times New Roman" w:cs="Times New Roman"/>
          <w:sz w:val="24"/>
          <w:szCs w:val="24"/>
        </w:rPr>
        <w:t xml:space="preserve">Previous studies have reported that oxyntic gland adenomas typically occur in patients in their sixth to seventh decades of life. Most studies have also described a male predominance, accounting for approximately 54.5–75% of cases. In contrast, both our study and the study by </w:t>
      </w:r>
      <w:proofErr w:type="spellStart"/>
      <w:r w:rsidRPr="000146D6">
        <w:rPr>
          <w:rFonts w:ascii="Times New Roman" w:hAnsi="Times New Roman" w:cs="Times New Roman"/>
          <w:sz w:val="24"/>
          <w:szCs w:val="24"/>
        </w:rPr>
        <w:t>Elhanafi</w:t>
      </w:r>
      <w:proofErr w:type="spellEnd"/>
      <w:r w:rsidRPr="000146D6">
        <w:rPr>
          <w:rFonts w:ascii="Times New Roman" w:hAnsi="Times New Roman" w:cs="Times New Roman"/>
          <w:sz w:val="24"/>
          <w:szCs w:val="24"/>
        </w:rPr>
        <w:t xml:space="preserve"> S reported that all identified cases occurred in female patients.</w:t>
      </w:r>
    </w:p>
    <w:p w14:paraId="296E47DD" w14:textId="77777777" w:rsidR="00FA37A6" w:rsidRDefault="00A32759" w:rsidP="00D14E2F">
      <w:pPr>
        <w:spacing w:line="240" w:lineRule="auto"/>
        <w:ind w:left="644"/>
        <w:jc w:val="both"/>
        <w:rPr>
          <w:rFonts w:ascii="Times New Roman" w:hAnsi="Times New Roman" w:cs="Times New Roman"/>
          <w:b/>
          <w:bCs/>
          <w:sz w:val="24"/>
          <w:szCs w:val="24"/>
        </w:rPr>
      </w:pPr>
      <w:r w:rsidRPr="00FA37A6">
        <w:rPr>
          <w:rFonts w:ascii="Times New Roman" w:hAnsi="Times New Roman" w:cs="Times New Roman"/>
          <w:b/>
          <w:bCs/>
          <w:sz w:val="24"/>
          <w:szCs w:val="24"/>
        </w:rPr>
        <w:t>Macroscopic characteristics:</w:t>
      </w:r>
    </w:p>
    <w:p w14:paraId="6742A084" w14:textId="01684314" w:rsidR="00A32759" w:rsidRPr="00FA37A6" w:rsidRDefault="000C5F47" w:rsidP="00D14E2F">
      <w:pPr>
        <w:spacing w:line="240" w:lineRule="auto"/>
        <w:ind w:firstLine="644"/>
        <w:jc w:val="both"/>
        <w:rPr>
          <w:rFonts w:ascii="Times New Roman" w:hAnsi="Times New Roman" w:cs="Times New Roman"/>
          <w:b/>
          <w:bCs/>
          <w:sz w:val="24"/>
          <w:szCs w:val="24"/>
        </w:rPr>
      </w:pPr>
      <w:r w:rsidRPr="000146D6">
        <w:rPr>
          <w:rFonts w:ascii="Times New Roman" w:hAnsi="Times New Roman" w:cs="Times New Roman"/>
          <w:sz w:val="24"/>
          <w:szCs w:val="24"/>
        </w:rPr>
        <w:t xml:space="preserve">Our study is similar to that of </w:t>
      </w:r>
      <w:proofErr w:type="spellStart"/>
      <w:r w:rsidRPr="000146D6">
        <w:rPr>
          <w:rFonts w:ascii="Times New Roman" w:hAnsi="Times New Roman" w:cs="Times New Roman"/>
          <w:sz w:val="24"/>
          <w:szCs w:val="24"/>
        </w:rPr>
        <w:t>Bertz</w:t>
      </w:r>
      <w:proofErr w:type="spellEnd"/>
      <w:r w:rsidRPr="000146D6">
        <w:rPr>
          <w:rFonts w:ascii="Times New Roman" w:hAnsi="Times New Roman" w:cs="Times New Roman"/>
          <w:sz w:val="24"/>
          <w:szCs w:val="24"/>
        </w:rPr>
        <w:t xml:space="preserve"> S et al</w:t>
      </w:r>
      <w:r w:rsidR="001444A5">
        <w:rPr>
          <w:rFonts w:ascii="Times New Roman" w:hAnsi="Times New Roman" w:cs="Times New Roman"/>
          <w:sz w:val="24"/>
          <w:szCs w:val="24"/>
        </w:rPr>
        <w:t>.</w:t>
      </w:r>
      <w:r w:rsidRPr="000146D6">
        <w:rPr>
          <w:rFonts w:ascii="Times New Roman" w:hAnsi="Times New Roman" w:cs="Times New Roman"/>
          <w:sz w:val="24"/>
          <w:szCs w:val="24"/>
        </w:rPr>
        <w:t xml:space="preserve"> as acid-secreting adenomas predominated over other types of adenomas</w:t>
      </w:r>
      <w:r w:rsidR="00AA12B7">
        <w:rPr>
          <w:rFonts w:ascii="Times New Roman" w:hAnsi="Times New Roman" w:cs="Times New Roman"/>
          <w:sz w:val="24"/>
          <w:szCs w:val="24"/>
        </w:rPr>
        <w:t xml:space="preserve"> </w:t>
      </w:r>
      <w:r w:rsidR="00AA12B7" w:rsidRPr="000146D6">
        <w:rPr>
          <w:rFonts w:ascii="Times New Roman" w:hAnsi="Times New Roman" w:cs="Times New Roman"/>
          <w:sz w:val="24"/>
          <w:szCs w:val="24"/>
        </w:rPr>
        <w:t>[10]</w:t>
      </w:r>
      <w:r w:rsidRPr="000146D6">
        <w:rPr>
          <w:rFonts w:ascii="Times New Roman" w:hAnsi="Times New Roman" w:cs="Times New Roman"/>
          <w:sz w:val="24"/>
          <w:szCs w:val="24"/>
        </w:rPr>
        <w:t>.</w:t>
      </w:r>
      <w:r w:rsidR="00B370A9">
        <w:rPr>
          <w:rFonts w:ascii="Times New Roman" w:hAnsi="Times New Roman" w:cs="Times New Roman"/>
          <w:sz w:val="24"/>
          <w:szCs w:val="24"/>
        </w:rPr>
        <w:t xml:space="preserve"> </w:t>
      </w:r>
      <w:r w:rsidRPr="000146D6">
        <w:rPr>
          <w:rFonts w:ascii="Times New Roman" w:hAnsi="Times New Roman" w:cs="Times New Roman"/>
          <w:sz w:val="24"/>
          <w:szCs w:val="24"/>
        </w:rPr>
        <w:t xml:space="preserve">The case presented with multiple polyps, whereas </w:t>
      </w:r>
      <w:proofErr w:type="spellStart"/>
      <w:r w:rsidRPr="000146D6">
        <w:rPr>
          <w:rFonts w:ascii="Times New Roman" w:hAnsi="Times New Roman" w:cs="Times New Roman"/>
          <w:sz w:val="24"/>
          <w:szCs w:val="24"/>
        </w:rPr>
        <w:t>Argüello</w:t>
      </w:r>
      <w:proofErr w:type="spellEnd"/>
      <w:r w:rsidRPr="000146D6">
        <w:rPr>
          <w:rFonts w:ascii="Times New Roman" w:hAnsi="Times New Roman" w:cs="Times New Roman"/>
          <w:sz w:val="24"/>
          <w:szCs w:val="24"/>
        </w:rPr>
        <w:t xml:space="preserve"> </w:t>
      </w:r>
      <w:proofErr w:type="spellStart"/>
      <w:r w:rsidRPr="000146D6">
        <w:rPr>
          <w:rFonts w:ascii="Times New Roman" w:hAnsi="Times New Roman" w:cs="Times New Roman"/>
          <w:sz w:val="24"/>
          <w:szCs w:val="24"/>
        </w:rPr>
        <w:t>Viúdez</w:t>
      </w:r>
      <w:proofErr w:type="spellEnd"/>
      <w:r w:rsidRPr="000146D6">
        <w:rPr>
          <w:rFonts w:ascii="Times New Roman" w:hAnsi="Times New Roman" w:cs="Times New Roman"/>
          <w:sz w:val="24"/>
          <w:szCs w:val="24"/>
        </w:rPr>
        <w:t xml:space="preserve"> L et al</w:t>
      </w:r>
      <w:r w:rsidR="001444A5">
        <w:rPr>
          <w:rFonts w:ascii="Times New Roman" w:hAnsi="Times New Roman" w:cs="Times New Roman"/>
          <w:sz w:val="24"/>
          <w:szCs w:val="24"/>
        </w:rPr>
        <w:t>.</w:t>
      </w:r>
      <w:r w:rsidRPr="000146D6">
        <w:rPr>
          <w:rFonts w:ascii="Times New Roman" w:hAnsi="Times New Roman" w:cs="Times New Roman"/>
          <w:sz w:val="24"/>
          <w:szCs w:val="24"/>
        </w:rPr>
        <w:t xml:space="preserve"> [5] reported a markedly higher proportion of solitary polyps compared with multiple polyps (86.4% vs. 13.6%). In addition, the polyp in our study measured 15 mm, was located in the gastric body, and was sessile. In contrast, Le </w:t>
      </w:r>
      <w:proofErr w:type="spellStart"/>
      <w:r w:rsidRPr="000146D6">
        <w:rPr>
          <w:rFonts w:ascii="Times New Roman" w:hAnsi="Times New Roman" w:cs="Times New Roman"/>
          <w:sz w:val="24"/>
          <w:szCs w:val="24"/>
        </w:rPr>
        <w:t>Dinh</w:t>
      </w:r>
      <w:proofErr w:type="spellEnd"/>
      <w:r w:rsidRPr="000146D6">
        <w:rPr>
          <w:rFonts w:ascii="Times New Roman" w:hAnsi="Times New Roman" w:cs="Times New Roman"/>
          <w:sz w:val="24"/>
          <w:szCs w:val="24"/>
        </w:rPr>
        <w:t xml:space="preserve"> Quang et al</w:t>
      </w:r>
      <w:r w:rsidR="001444A5">
        <w:rPr>
          <w:rFonts w:ascii="Times New Roman" w:hAnsi="Times New Roman" w:cs="Times New Roman"/>
          <w:sz w:val="24"/>
          <w:szCs w:val="24"/>
        </w:rPr>
        <w:t>.</w:t>
      </w:r>
      <w:r w:rsidRPr="000146D6">
        <w:rPr>
          <w:rFonts w:ascii="Times New Roman" w:hAnsi="Times New Roman" w:cs="Times New Roman"/>
          <w:sz w:val="24"/>
          <w:szCs w:val="24"/>
        </w:rPr>
        <w:t xml:space="preserve"> [</w:t>
      </w:r>
      <w:r w:rsidR="00AA12B7">
        <w:rPr>
          <w:rFonts w:ascii="Times New Roman" w:hAnsi="Times New Roman" w:cs="Times New Roman"/>
          <w:sz w:val="24"/>
          <w:szCs w:val="24"/>
        </w:rPr>
        <w:t>7</w:t>
      </w:r>
      <w:r w:rsidRPr="000146D6">
        <w:rPr>
          <w:rFonts w:ascii="Times New Roman" w:hAnsi="Times New Roman" w:cs="Times New Roman"/>
          <w:sz w:val="24"/>
          <w:szCs w:val="24"/>
        </w:rPr>
        <w:t xml:space="preserve">] reported that adenomas were most frequently located in the antrum (46.7%), with 33.3% being pedunculated and 86.6% showing dysplasia, including 6.7% low-grade dysplasia. The discrepancies between our findings and those of previous studies may be explained by the very small sample size of our study, which included only </w:t>
      </w:r>
      <w:r w:rsidRPr="000146D6">
        <w:rPr>
          <w:rFonts w:ascii="Times New Roman" w:hAnsi="Times New Roman" w:cs="Times New Roman"/>
          <w:sz w:val="24"/>
          <w:szCs w:val="24"/>
        </w:rPr>
        <w:lastRenderedPageBreak/>
        <w:t>one case of oxyntic gland adenoma among 568 cases. Larger multicenter studies are therefore needed to obtain more representative data.</w:t>
      </w:r>
    </w:p>
    <w:p w14:paraId="1E5CE442" w14:textId="77777777" w:rsidR="00DA157B" w:rsidRDefault="00A32759" w:rsidP="00D14E2F">
      <w:pPr>
        <w:spacing w:line="240" w:lineRule="auto"/>
        <w:ind w:left="644"/>
        <w:jc w:val="both"/>
        <w:rPr>
          <w:rFonts w:ascii="Times New Roman" w:hAnsi="Times New Roman" w:cs="Times New Roman"/>
          <w:b/>
          <w:bCs/>
          <w:sz w:val="24"/>
          <w:szCs w:val="24"/>
        </w:rPr>
      </w:pPr>
      <w:r w:rsidRPr="00DA157B">
        <w:rPr>
          <w:rFonts w:ascii="Times New Roman" w:hAnsi="Times New Roman" w:cs="Times New Roman"/>
          <w:b/>
          <w:bCs/>
          <w:sz w:val="24"/>
          <w:szCs w:val="24"/>
        </w:rPr>
        <w:t>Microscopic characteristics:</w:t>
      </w:r>
    </w:p>
    <w:p w14:paraId="7C5E7B31" w14:textId="585C77AD" w:rsidR="00890032" w:rsidRPr="000146D6" w:rsidRDefault="00A32759"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Histologically, the case identified in our study was associated with inflammatory changes, showed no evidence of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infection, and demonstrated low-grade dysplasia with an intestinal phenotype</w:t>
      </w:r>
      <w:r w:rsidR="00B41440" w:rsidRPr="000146D6">
        <w:rPr>
          <w:rFonts w:ascii="Times New Roman" w:hAnsi="Times New Roman" w:cs="Times New Roman"/>
          <w:sz w:val="24"/>
          <w:szCs w:val="24"/>
        </w:rPr>
        <w:t xml:space="preserve">. Recent studies have suggested that activation of the </w:t>
      </w:r>
      <w:proofErr w:type="spellStart"/>
      <w:r w:rsidR="00B41440" w:rsidRPr="000146D6">
        <w:rPr>
          <w:rFonts w:ascii="Times New Roman" w:hAnsi="Times New Roman" w:cs="Times New Roman"/>
          <w:sz w:val="24"/>
          <w:szCs w:val="24"/>
        </w:rPr>
        <w:t>Wnt</w:t>
      </w:r>
      <w:proofErr w:type="spellEnd"/>
      <w:r w:rsidR="00B41440" w:rsidRPr="000146D6">
        <w:rPr>
          <w:rFonts w:ascii="Times New Roman" w:hAnsi="Times New Roman" w:cs="Times New Roman"/>
          <w:sz w:val="24"/>
          <w:szCs w:val="24"/>
        </w:rPr>
        <w:t>/β-catenin signaling pathway plays a role in its pathogenesis, leading to abnormal glandular proliferation and architectural distortion. Despite its neoplastic nature, OGA generally exhibits low-grade cytologic atypia and indolent biological behavior.</w:t>
      </w:r>
      <w:r w:rsidR="001444A5">
        <w:rPr>
          <w:rFonts w:ascii="Times New Roman" w:hAnsi="Times New Roman" w:cs="Times New Roman"/>
          <w:sz w:val="24"/>
          <w:szCs w:val="24"/>
        </w:rPr>
        <w:t xml:space="preserve"> </w:t>
      </w:r>
      <w:r w:rsidR="001444A5" w:rsidRPr="001444A5">
        <w:rPr>
          <w:rFonts w:ascii="Times New Roman" w:hAnsi="Times New Roman" w:cs="Times New Roman"/>
          <w:sz w:val="24"/>
          <w:szCs w:val="24"/>
        </w:rPr>
        <w:t>These findings are consistent with previous reports indicating that oxyntic gland adenoma is a rare gastric neoplasm with low malignant potential.</w:t>
      </w:r>
    </w:p>
    <w:p w14:paraId="7602D924" w14:textId="56E51BDF" w:rsidR="00DA157B" w:rsidRDefault="00DA157B" w:rsidP="00D14E2F">
      <w:pPr>
        <w:spacing w:line="240" w:lineRule="auto"/>
        <w:ind w:right="418"/>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00057624" w:rsidRPr="000146D6">
        <w:rPr>
          <w:rFonts w:ascii="Times New Roman" w:hAnsi="Times New Roman" w:cs="Times New Roman"/>
          <w:b/>
          <w:bCs/>
          <w:sz w:val="24"/>
          <w:szCs w:val="24"/>
        </w:rPr>
        <w:t xml:space="preserve">Dysplasia arising in an inflammatory </w:t>
      </w:r>
      <w:proofErr w:type="spellStart"/>
      <w:r w:rsidR="00057624" w:rsidRPr="000146D6">
        <w:rPr>
          <w:rFonts w:ascii="Times New Roman" w:hAnsi="Times New Roman" w:cs="Times New Roman"/>
          <w:b/>
          <w:bCs/>
          <w:sz w:val="24"/>
          <w:szCs w:val="24"/>
        </w:rPr>
        <w:t>pseudopolyp</w:t>
      </w:r>
      <w:proofErr w:type="spellEnd"/>
      <w:r w:rsidR="00057624" w:rsidRPr="000146D6">
        <w:rPr>
          <w:rFonts w:ascii="Times New Roman" w:hAnsi="Times New Roman" w:cs="Times New Roman"/>
          <w:b/>
          <w:bCs/>
          <w:sz w:val="24"/>
          <w:szCs w:val="24"/>
        </w:rPr>
        <w:t>:</w:t>
      </w:r>
    </w:p>
    <w:p w14:paraId="7062A46E" w14:textId="1B13C7B6" w:rsidR="00057624" w:rsidRPr="000146D6" w:rsidRDefault="00057624"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 xml:space="preserve">In our study, one case of dysplasia arising in an inflammatory </w:t>
      </w:r>
      <w:proofErr w:type="spellStart"/>
      <w:r w:rsidRPr="000146D6">
        <w:rPr>
          <w:rFonts w:ascii="Times New Roman" w:hAnsi="Times New Roman" w:cs="Times New Roman"/>
          <w:sz w:val="24"/>
          <w:szCs w:val="24"/>
        </w:rPr>
        <w:t>pseudopolyp</w:t>
      </w:r>
      <w:proofErr w:type="spellEnd"/>
      <w:r w:rsidRPr="000146D6">
        <w:rPr>
          <w:rFonts w:ascii="Times New Roman" w:hAnsi="Times New Roman" w:cs="Times New Roman"/>
          <w:sz w:val="24"/>
          <w:szCs w:val="24"/>
        </w:rPr>
        <w:t xml:space="preserve"> was identified. The patient was a 63-year-old female who presented with a solitary polyp located in the gastric antrum. The lesion measured 10 mm in diameter, had a sessile morphology, and was associated with inflammatory changes and </w:t>
      </w:r>
      <w:proofErr w:type="spellStart"/>
      <w:proofErr w:type="gramStart"/>
      <w:r w:rsidR="00700774" w:rsidRPr="000146D6">
        <w:rPr>
          <w:rFonts w:ascii="Times New Roman" w:hAnsi="Times New Roman" w:cs="Times New Roman"/>
          <w:i/>
          <w:iCs/>
          <w:sz w:val="24"/>
          <w:szCs w:val="24"/>
        </w:rPr>
        <w:t>H.pylori</w:t>
      </w:r>
      <w:proofErr w:type="spellEnd"/>
      <w:proofErr w:type="gramEnd"/>
      <w:r w:rsidR="00700774" w:rsidRPr="000146D6">
        <w:rPr>
          <w:rFonts w:ascii="Times New Roman" w:hAnsi="Times New Roman" w:cs="Times New Roman"/>
          <w:sz w:val="24"/>
          <w:szCs w:val="24"/>
        </w:rPr>
        <w:t xml:space="preserve"> </w:t>
      </w:r>
      <w:r w:rsidRPr="000146D6">
        <w:rPr>
          <w:rFonts w:ascii="Times New Roman" w:hAnsi="Times New Roman" w:cs="Times New Roman"/>
          <w:sz w:val="24"/>
          <w:szCs w:val="24"/>
        </w:rPr>
        <w:t>infection.</w:t>
      </w:r>
    </w:p>
    <w:p w14:paraId="6D81D17E" w14:textId="5365C74A" w:rsidR="00B41440" w:rsidRPr="000146D6" w:rsidRDefault="00B41440"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Dysplasia arising in inflammatory pseudo-polyp is thought to result from chronic mucosal injury and sustained regenerative stimulation. Persistent inflammation promotes oxidative stress and the release of pro-inflammatory cytokines, leading to increased epithelial turnover and accumulation of genetic alterations. Activation of pathways involved in cell proliferation and impaired apoptosis, including p53-related signaling, may contribute to dysplastic transformation. These mechanisms support the concept that long-standing inflammation can create a microenvironment conducive to neoplastic progression.</w:t>
      </w:r>
    </w:p>
    <w:p w14:paraId="1DCC4701" w14:textId="21DEF988" w:rsidR="00DA157B" w:rsidRDefault="00DA157B" w:rsidP="00D14E2F">
      <w:pPr>
        <w:spacing w:line="240" w:lineRule="auto"/>
        <w:ind w:right="418"/>
        <w:jc w:val="both"/>
        <w:rPr>
          <w:rFonts w:ascii="Times New Roman" w:hAnsi="Times New Roman" w:cs="Times New Roman"/>
          <w:b/>
          <w:bCs/>
          <w:sz w:val="24"/>
          <w:szCs w:val="24"/>
        </w:rPr>
      </w:pPr>
      <w:r>
        <w:rPr>
          <w:rFonts w:ascii="Times New Roman" w:hAnsi="Times New Roman" w:cs="Times New Roman"/>
          <w:b/>
          <w:bCs/>
          <w:sz w:val="24"/>
          <w:szCs w:val="24"/>
        </w:rPr>
        <w:t xml:space="preserve">4.5. </w:t>
      </w:r>
      <w:r w:rsidR="00057624" w:rsidRPr="000146D6">
        <w:rPr>
          <w:rFonts w:ascii="Times New Roman" w:hAnsi="Times New Roman" w:cs="Times New Roman"/>
          <w:b/>
          <w:bCs/>
          <w:sz w:val="24"/>
          <w:szCs w:val="24"/>
        </w:rPr>
        <w:t>Intramucosal adenocarcinoma:</w:t>
      </w:r>
    </w:p>
    <w:p w14:paraId="134AFCD6" w14:textId="602F9DF9" w:rsidR="00057624" w:rsidRPr="000146D6" w:rsidRDefault="00057624" w:rsidP="00D14E2F">
      <w:pPr>
        <w:spacing w:line="240" w:lineRule="auto"/>
        <w:ind w:firstLine="644"/>
        <w:jc w:val="both"/>
        <w:rPr>
          <w:rFonts w:ascii="Times New Roman" w:hAnsi="Times New Roman" w:cs="Times New Roman"/>
          <w:sz w:val="24"/>
          <w:szCs w:val="24"/>
        </w:rPr>
      </w:pPr>
      <w:r w:rsidRPr="000146D6">
        <w:rPr>
          <w:rFonts w:ascii="Times New Roman" w:hAnsi="Times New Roman" w:cs="Times New Roman"/>
          <w:sz w:val="24"/>
          <w:szCs w:val="24"/>
        </w:rPr>
        <w:t>We also identified one case of intramucosal adenocarcinoma in an 81-year-old male patient. The lesion presented as a solitary, sessile polyp measuring 15 mm in diameter and was located in the gastric body.</w:t>
      </w:r>
      <w:r w:rsidR="00174208" w:rsidRPr="000146D6">
        <w:rPr>
          <w:rFonts w:ascii="Times New Roman" w:hAnsi="Times New Roman" w:cs="Times New Roman"/>
          <w:sz w:val="24"/>
          <w:szCs w:val="24"/>
        </w:rPr>
        <w:t xml:space="preserve"> Intramucosal adenocarcinoma represents an early malignant stage in gastric carcinogenesis. It develops through accumulation of genetic alterations involving tumor suppressor genes and oncogenic pathways, leading to uncontrolled epithelial proliferation. Activation of </w:t>
      </w:r>
      <w:proofErr w:type="spellStart"/>
      <w:r w:rsidR="00174208" w:rsidRPr="000146D6">
        <w:rPr>
          <w:rFonts w:ascii="Times New Roman" w:hAnsi="Times New Roman" w:cs="Times New Roman"/>
          <w:sz w:val="24"/>
          <w:szCs w:val="24"/>
        </w:rPr>
        <w:t>Wnt</w:t>
      </w:r>
      <w:proofErr w:type="spellEnd"/>
      <w:r w:rsidR="00174208" w:rsidRPr="000146D6">
        <w:rPr>
          <w:rFonts w:ascii="Times New Roman" w:hAnsi="Times New Roman" w:cs="Times New Roman"/>
          <w:sz w:val="24"/>
          <w:szCs w:val="24"/>
        </w:rPr>
        <w:t>/β-catenin signaling and p53 dysfunction are commonly implicated in this process.</w:t>
      </w:r>
    </w:p>
    <w:p w14:paraId="39F8D924" w14:textId="77777777" w:rsidR="002969C0" w:rsidRPr="00EC7CB9" w:rsidRDefault="002969C0" w:rsidP="00D14E2F">
      <w:pPr>
        <w:spacing w:line="240" w:lineRule="auto"/>
        <w:jc w:val="both"/>
        <w:rPr>
          <w:rFonts w:ascii="Times New Roman" w:hAnsi="Times New Roman" w:cs="Times New Roman"/>
          <w:b/>
          <w:bCs/>
          <w:sz w:val="24"/>
          <w:szCs w:val="24"/>
        </w:rPr>
      </w:pPr>
      <w:r w:rsidRPr="00EC7CB9">
        <w:rPr>
          <w:rFonts w:ascii="Times New Roman" w:hAnsi="Times New Roman" w:cs="Times New Roman"/>
          <w:b/>
          <w:bCs/>
          <w:sz w:val="24"/>
          <w:szCs w:val="24"/>
        </w:rPr>
        <w:t xml:space="preserve">4.6 Associations of Age and Sex </w:t>
      </w:r>
      <w:proofErr w:type="gramStart"/>
      <w:r w:rsidRPr="00EC7CB9">
        <w:rPr>
          <w:rFonts w:ascii="Times New Roman" w:hAnsi="Times New Roman" w:cs="Times New Roman"/>
          <w:b/>
          <w:bCs/>
          <w:sz w:val="24"/>
          <w:szCs w:val="24"/>
        </w:rPr>
        <w:t>With</w:t>
      </w:r>
      <w:proofErr w:type="gramEnd"/>
      <w:r w:rsidRPr="00EC7CB9">
        <w:rPr>
          <w:rFonts w:ascii="Times New Roman" w:hAnsi="Times New Roman" w:cs="Times New Roman"/>
          <w:b/>
          <w:bCs/>
          <w:sz w:val="24"/>
          <w:szCs w:val="24"/>
        </w:rPr>
        <w:t xml:space="preserve"> Histopathological Features</w:t>
      </w:r>
    </w:p>
    <w:p w14:paraId="5EE99AE9" w14:textId="38E54B1B" w:rsidR="002969C0" w:rsidRPr="00EC7CB9" w:rsidRDefault="002969C0" w:rsidP="00D14E2F">
      <w:pPr>
        <w:spacing w:line="240" w:lineRule="auto"/>
        <w:ind w:left="644"/>
        <w:jc w:val="both"/>
        <w:rPr>
          <w:rFonts w:ascii="Times New Roman" w:hAnsi="Times New Roman" w:cs="Times New Roman"/>
          <w:b/>
          <w:bCs/>
          <w:sz w:val="24"/>
          <w:szCs w:val="24"/>
        </w:rPr>
      </w:pPr>
      <w:r w:rsidRPr="00EC7CB9">
        <w:rPr>
          <w:rFonts w:ascii="Times New Roman" w:hAnsi="Times New Roman" w:cs="Times New Roman"/>
          <w:b/>
          <w:bCs/>
          <w:sz w:val="24"/>
          <w:szCs w:val="24"/>
        </w:rPr>
        <w:t>Association Between Age and Histopathological Characteristics</w:t>
      </w:r>
    </w:p>
    <w:p w14:paraId="75093BEC" w14:textId="7F201403" w:rsidR="002969C0" w:rsidRDefault="002969C0" w:rsidP="00D14E2F">
      <w:pPr>
        <w:spacing w:line="240" w:lineRule="auto"/>
        <w:ind w:firstLine="644"/>
        <w:jc w:val="both"/>
        <w:rPr>
          <w:rFonts w:ascii="Times New Roman" w:hAnsi="Times New Roman" w:cs="Times New Roman"/>
          <w:sz w:val="24"/>
          <w:szCs w:val="24"/>
        </w:rPr>
      </w:pPr>
      <w:r w:rsidRPr="002969C0">
        <w:rPr>
          <w:rFonts w:ascii="Times New Roman" w:hAnsi="Times New Roman" w:cs="Times New Roman"/>
          <w:sz w:val="24"/>
          <w:szCs w:val="24"/>
        </w:rPr>
        <w:t>No statistically significant associations were observed between age and the number of polyps, polyp</w:t>
      </w:r>
      <w:r>
        <w:rPr>
          <w:rFonts w:ascii="Times New Roman" w:hAnsi="Times New Roman" w:cs="Times New Roman"/>
          <w:sz w:val="24"/>
          <w:szCs w:val="24"/>
        </w:rPr>
        <w:t xml:space="preserve"> </w:t>
      </w:r>
      <w:r w:rsidRPr="002969C0">
        <w:rPr>
          <w:rFonts w:ascii="Times New Roman" w:hAnsi="Times New Roman" w:cs="Times New Roman"/>
          <w:sz w:val="24"/>
          <w:szCs w:val="24"/>
        </w:rPr>
        <w:t>size, inflammation, or dysplasia (p</w:t>
      </w:r>
      <w:r w:rsidR="00EC7CB9">
        <w:rPr>
          <w:rFonts w:ascii="Times New Roman" w:hAnsi="Times New Roman" w:cs="Times New Roman"/>
          <w:sz w:val="24"/>
          <w:szCs w:val="24"/>
        </w:rPr>
        <w:t xml:space="preserve"> &gt; </w:t>
      </w:r>
      <w:r w:rsidRPr="002969C0">
        <w:rPr>
          <w:rFonts w:ascii="Times New Roman" w:hAnsi="Times New Roman" w:cs="Times New Roman"/>
          <w:sz w:val="24"/>
          <w:szCs w:val="24"/>
        </w:rPr>
        <w:t>0.05).</w:t>
      </w:r>
    </w:p>
    <w:p w14:paraId="6487DEFB" w14:textId="4F7F2A91" w:rsidR="002969C0" w:rsidRPr="00EC7CB9" w:rsidRDefault="002969C0" w:rsidP="00D14E2F">
      <w:pPr>
        <w:spacing w:line="240" w:lineRule="auto"/>
        <w:ind w:left="644"/>
        <w:jc w:val="both"/>
        <w:rPr>
          <w:rFonts w:ascii="Times New Roman" w:hAnsi="Times New Roman" w:cs="Times New Roman"/>
          <w:b/>
          <w:bCs/>
          <w:sz w:val="24"/>
          <w:szCs w:val="24"/>
        </w:rPr>
      </w:pPr>
      <w:r w:rsidRPr="00EC7CB9">
        <w:rPr>
          <w:rFonts w:ascii="Times New Roman" w:hAnsi="Times New Roman" w:cs="Times New Roman"/>
          <w:b/>
          <w:bCs/>
          <w:sz w:val="24"/>
          <w:szCs w:val="24"/>
        </w:rPr>
        <w:t>Association Between Sex and Histopathological Characteristics</w:t>
      </w:r>
    </w:p>
    <w:p w14:paraId="7CFF94D1" w14:textId="232426E1" w:rsidR="00057624" w:rsidRPr="000146D6" w:rsidRDefault="002969C0" w:rsidP="00D14E2F">
      <w:pPr>
        <w:spacing w:line="240" w:lineRule="auto"/>
        <w:ind w:firstLine="644"/>
        <w:jc w:val="both"/>
        <w:rPr>
          <w:rFonts w:ascii="Times New Roman" w:hAnsi="Times New Roman" w:cs="Times New Roman"/>
          <w:sz w:val="24"/>
          <w:szCs w:val="24"/>
        </w:rPr>
      </w:pPr>
      <w:r w:rsidRPr="002969C0">
        <w:rPr>
          <w:rFonts w:ascii="Times New Roman" w:hAnsi="Times New Roman" w:cs="Times New Roman"/>
          <w:sz w:val="24"/>
          <w:szCs w:val="24"/>
        </w:rPr>
        <w:t>A statistically significant association was found between sex and the number of polyps (p = 0.001), with</w:t>
      </w:r>
      <w:r w:rsidR="00EC7CB9">
        <w:rPr>
          <w:rFonts w:ascii="Times New Roman" w:hAnsi="Times New Roman" w:cs="Times New Roman"/>
          <w:sz w:val="24"/>
          <w:szCs w:val="24"/>
        </w:rPr>
        <w:t xml:space="preserve"> </w:t>
      </w:r>
      <w:r w:rsidRPr="002969C0">
        <w:rPr>
          <w:rFonts w:ascii="Times New Roman" w:hAnsi="Times New Roman" w:cs="Times New Roman"/>
          <w:sz w:val="24"/>
          <w:szCs w:val="24"/>
        </w:rPr>
        <w:t>female patients presenting a higher number of polyps compared to males.</w:t>
      </w:r>
      <w:r w:rsidR="00EC7CB9">
        <w:rPr>
          <w:rFonts w:ascii="Times New Roman" w:hAnsi="Times New Roman" w:cs="Times New Roman"/>
          <w:sz w:val="24"/>
          <w:szCs w:val="24"/>
        </w:rPr>
        <w:t xml:space="preserve"> </w:t>
      </w:r>
      <w:r w:rsidRPr="002969C0">
        <w:rPr>
          <w:rFonts w:ascii="Times New Roman" w:hAnsi="Times New Roman" w:cs="Times New Roman"/>
          <w:sz w:val="24"/>
          <w:szCs w:val="24"/>
        </w:rPr>
        <w:t>However, no significant associations were identified between sex and polyp location, inflammatory</w:t>
      </w:r>
      <w:r w:rsidR="00EC7CB9">
        <w:rPr>
          <w:rFonts w:ascii="Times New Roman" w:hAnsi="Times New Roman" w:cs="Times New Roman"/>
          <w:sz w:val="24"/>
          <w:szCs w:val="24"/>
        </w:rPr>
        <w:t xml:space="preserve"> </w:t>
      </w:r>
      <w:r w:rsidRPr="002969C0">
        <w:rPr>
          <w:rFonts w:ascii="Times New Roman" w:hAnsi="Times New Roman" w:cs="Times New Roman"/>
          <w:sz w:val="24"/>
          <w:szCs w:val="24"/>
        </w:rPr>
        <w:t xml:space="preserve">status, or Helicobacter pylori infection (p </w:t>
      </w:r>
      <w:r w:rsidR="00EC7CB9">
        <w:rPr>
          <w:rFonts w:ascii="Times New Roman" w:hAnsi="Times New Roman" w:cs="Times New Roman"/>
          <w:sz w:val="24"/>
          <w:szCs w:val="24"/>
        </w:rPr>
        <w:t>&gt;</w:t>
      </w:r>
      <w:r w:rsidRPr="002969C0">
        <w:rPr>
          <w:rFonts w:ascii="Times New Roman" w:hAnsi="Times New Roman" w:cs="Times New Roman"/>
          <w:sz w:val="24"/>
          <w:szCs w:val="24"/>
        </w:rPr>
        <w:t xml:space="preserve"> 0.05)</w:t>
      </w:r>
    </w:p>
    <w:p w14:paraId="0190E987" w14:textId="4C3D67AB" w:rsidR="003F7D0E" w:rsidRPr="000146D6" w:rsidRDefault="006B5339" w:rsidP="00D14E2F">
      <w:pPr>
        <w:pStyle w:val="Heading1"/>
        <w:numPr>
          <w:ilvl w:val="0"/>
          <w:numId w:val="19"/>
        </w:numPr>
        <w:spacing w:line="240" w:lineRule="auto"/>
        <w:ind w:right="418"/>
        <w:jc w:val="both"/>
        <w:rPr>
          <w:rFonts w:ascii="Times New Roman" w:hAnsi="Times New Roman" w:cs="Times New Roman"/>
          <w:color w:val="auto"/>
          <w:sz w:val="24"/>
          <w:szCs w:val="24"/>
        </w:rPr>
      </w:pPr>
      <w:r w:rsidRPr="000146D6">
        <w:rPr>
          <w:rFonts w:ascii="Times New Roman" w:hAnsi="Times New Roman" w:cs="Times New Roman"/>
          <w:color w:val="auto"/>
          <w:sz w:val="24"/>
          <w:szCs w:val="24"/>
        </w:rPr>
        <w:lastRenderedPageBreak/>
        <w:t>CONCLUSION</w:t>
      </w:r>
    </w:p>
    <w:p w14:paraId="5E558720" w14:textId="2260FD35" w:rsidR="00EC11D8" w:rsidRDefault="00EC11D8" w:rsidP="00D14E2F">
      <w:pPr>
        <w:spacing w:line="240" w:lineRule="auto"/>
        <w:jc w:val="both"/>
        <w:rPr>
          <w:rFonts w:ascii="Times New Roman" w:hAnsi="Times New Roman" w:cs="Times New Roman"/>
          <w:sz w:val="24"/>
          <w:szCs w:val="24"/>
        </w:rPr>
      </w:pPr>
      <w:bookmarkStart w:id="4" w:name="_Hlk212634403"/>
      <w:r w:rsidRPr="00EC11D8">
        <w:rPr>
          <w:rFonts w:ascii="Times New Roman" w:hAnsi="Times New Roman" w:cs="Times New Roman"/>
          <w:sz w:val="24"/>
          <w:szCs w:val="24"/>
        </w:rPr>
        <w:t xml:space="preserve">This study demonstrates that gastric polyps are predominantly benign, with non-neoplastic polyps accounting for the majority of cases. Fundic gland polyps were the most prevalent subtype and occurred mainly in females and in patients aged 50–69 years. Most polyps were small, sessile, and located in the gastric body. The prevalence of </w:t>
      </w:r>
      <w:r w:rsidRPr="00EC11D8">
        <w:rPr>
          <w:rFonts w:ascii="Times New Roman" w:hAnsi="Times New Roman" w:cs="Times New Roman"/>
          <w:i/>
          <w:iCs/>
          <w:sz w:val="24"/>
          <w:szCs w:val="24"/>
        </w:rPr>
        <w:t>H. pylori</w:t>
      </w:r>
      <w:r w:rsidRPr="00EC11D8">
        <w:rPr>
          <w:rFonts w:ascii="Times New Roman" w:hAnsi="Times New Roman" w:cs="Times New Roman"/>
          <w:sz w:val="24"/>
          <w:szCs w:val="24"/>
        </w:rPr>
        <w:t xml:space="preserve"> infection and dysplasia was low, and when present, dysplasia was exclusively low-grade. These findings highlight the important role of combined endoscopic and histopathological evaluation in accurately classifying gastric polyps, facilitating appropriate management, and enabling early detection of lesions with malignant potential.</w:t>
      </w:r>
      <w:r>
        <w:rPr>
          <w:rFonts w:ascii="Times New Roman" w:hAnsi="Times New Roman" w:cs="Times New Roman"/>
          <w:sz w:val="24"/>
          <w:szCs w:val="24"/>
        </w:rPr>
        <w:t xml:space="preserve"> </w:t>
      </w:r>
      <w:r w:rsidRPr="00EC11D8">
        <w:rPr>
          <w:rFonts w:ascii="Times New Roman" w:hAnsi="Times New Roman" w:cs="Times New Roman"/>
          <w:sz w:val="24"/>
          <w:szCs w:val="24"/>
        </w:rPr>
        <w:t>Further multicenter studies are needed to better characterize the clinicopathological features of gastric polyps in different populations.</w:t>
      </w:r>
    </w:p>
    <w:p w14:paraId="200BDC85" w14:textId="0D6106FB" w:rsidR="00D06480" w:rsidRPr="000146D6" w:rsidRDefault="00D06480" w:rsidP="00D14E2F">
      <w:pPr>
        <w:spacing w:line="240" w:lineRule="auto"/>
        <w:jc w:val="both"/>
        <w:rPr>
          <w:rFonts w:ascii="Times New Roman" w:hAnsi="Times New Roman" w:cs="Times New Roman"/>
          <w:b/>
          <w:bCs/>
          <w:sz w:val="24"/>
          <w:szCs w:val="24"/>
        </w:rPr>
      </w:pPr>
      <w:r w:rsidRPr="000146D6">
        <w:rPr>
          <w:rFonts w:ascii="Times New Roman" w:hAnsi="Times New Roman" w:cs="Times New Roman"/>
          <w:b/>
          <w:bCs/>
          <w:sz w:val="24"/>
          <w:szCs w:val="24"/>
        </w:rPr>
        <w:t>CONSENT</w:t>
      </w:r>
      <w:r w:rsidR="00947B19">
        <w:rPr>
          <w:rFonts w:ascii="Times New Roman" w:hAnsi="Times New Roman" w:cs="Times New Roman"/>
          <w:b/>
          <w:bCs/>
          <w:sz w:val="24"/>
          <w:szCs w:val="24"/>
        </w:rPr>
        <w:t xml:space="preserve"> </w:t>
      </w:r>
      <w:r w:rsidRPr="000146D6">
        <w:rPr>
          <w:rFonts w:ascii="Times New Roman" w:hAnsi="Times New Roman" w:cs="Times New Roman"/>
          <w:b/>
          <w:bCs/>
          <w:sz w:val="24"/>
          <w:szCs w:val="24"/>
        </w:rPr>
        <w:t>AND ETHICAL APPROVAL</w:t>
      </w:r>
    </w:p>
    <w:p w14:paraId="6922DF34" w14:textId="7915E378" w:rsidR="00D06480" w:rsidRPr="000146D6" w:rsidRDefault="00D06480" w:rsidP="00D14E2F">
      <w:pPr>
        <w:spacing w:line="240" w:lineRule="auto"/>
        <w:ind w:firstLine="720"/>
        <w:jc w:val="both"/>
        <w:rPr>
          <w:rFonts w:ascii="Times New Roman" w:hAnsi="Times New Roman" w:cs="Times New Roman"/>
          <w:sz w:val="24"/>
          <w:szCs w:val="24"/>
        </w:rPr>
      </w:pPr>
      <w:r w:rsidRPr="000146D6">
        <w:rPr>
          <w:rFonts w:ascii="Times New Roman" w:hAnsi="Times New Roman" w:cs="Times New Roman"/>
          <w:sz w:val="24"/>
          <w:szCs w:val="24"/>
        </w:rPr>
        <w:t xml:space="preserve">The study was approved by the Institutional Review Board (Ethics Committee) in Biomedical Research of </w:t>
      </w:r>
      <w:r w:rsidR="009037B9" w:rsidRPr="000146D6">
        <w:rPr>
          <w:rFonts w:ascii="Times New Roman" w:hAnsi="Times New Roman" w:cs="Times New Roman"/>
          <w:sz w:val="24"/>
          <w:szCs w:val="24"/>
        </w:rPr>
        <w:t xml:space="preserve">University of Medicine and Pharmacy at Ho Chi Minh City </w:t>
      </w:r>
      <w:r w:rsidRPr="000146D6">
        <w:rPr>
          <w:rFonts w:ascii="Times New Roman" w:hAnsi="Times New Roman" w:cs="Times New Roman"/>
          <w:sz w:val="24"/>
          <w:szCs w:val="24"/>
        </w:rPr>
        <w:t xml:space="preserve">on </w:t>
      </w:r>
      <w:r w:rsidR="009037B9" w:rsidRPr="000146D6">
        <w:rPr>
          <w:rFonts w:ascii="Times New Roman" w:hAnsi="Times New Roman" w:cs="Times New Roman"/>
          <w:sz w:val="24"/>
          <w:szCs w:val="24"/>
        </w:rPr>
        <w:t xml:space="preserve">October 10, 2023 </w:t>
      </w:r>
      <w:r w:rsidRPr="000146D6">
        <w:rPr>
          <w:rFonts w:ascii="Times New Roman" w:hAnsi="Times New Roman" w:cs="Times New Roman"/>
          <w:sz w:val="24"/>
          <w:szCs w:val="24"/>
        </w:rPr>
        <w:t xml:space="preserve">(Approval Number: </w:t>
      </w:r>
      <w:r w:rsidR="009037B9" w:rsidRPr="000146D6">
        <w:rPr>
          <w:rFonts w:ascii="Times New Roman" w:hAnsi="Times New Roman" w:cs="Times New Roman"/>
          <w:sz w:val="24"/>
          <w:szCs w:val="24"/>
        </w:rPr>
        <w:t>922/HĐĐĐ-ĐHYD</w:t>
      </w:r>
      <w:r w:rsidRPr="000146D6">
        <w:rPr>
          <w:rFonts w:ascii="Times New Roman" w:hAnsi="Times New Roman" w:cs="Times New Roman"/>
          <w:sz w:val="24"/>
          <w:szCs w:val="24"/>
        </w:rPr>
        <w:t>).</w:t>
      </w:r>
    </w:p>
    <w:p w14:paraId="79D9ADCC" w14:textId="77777777" w:rsidR="00D06480" w:rsidRPr="000146D6" w:rsidRDefault="00D06480" w:rsidP="00D14E2F">
      <w:pPr>
        <w:spacing w:line="240" w:lineRule="auto"/>
        <w:jc w:val="both"/>
        <w:rPr>
          <w:rFonts w:ascii="Times New Roman" w:hAnsi="Times New Roman" w:cs="Times New Roman"/>
          <w:b/>
          <w:bCs/>
          <w:sz w:val="24"/>
          <w:szCs w:val="24"/>
        </w:rPr>
      </w:pPr>
      <w:r w:rsidRPr="000146D6">
        <w:rPr>
          <w:rFonts w:ascii="Times New Roman" w:hAnsi="Times New Roman" w:cs="Times New Roman"/>
          <w:b/>
          <w:bCs/>
          <w:sz w:val="24"/>
          <w:szCs w:val="24"/>
        </w:rPr>
        <w:t>DISCLAIMER (ARTIFICIAL INTELLIGENCE)</w:t>
      </w:r>
    </w:p>
    <w:p w14:paraId="2EED5822" w14:textId="77777777" w:rsidR="00D06480" w:rsidRPr="000146D6" w:rsidRDefault="00D06480" w:rsidP="00D14E2F">
      <w:pPr>
        <w:spacing w:line="240" w:lineRule="auto"/>
        <w:ind w:firstLine="720"/>
        <w:jc w:val="both"/>
        <w:rPr>
          <w:rFonts w:ascii="Times New Roman" w:hAnsi="Times New Roman" w:cs="Times New Roman"/>
          <w:sz w:val="24"/>
          <w:szCs w:val="24"/>
        </w:rPr>
      </w:pPr>
      <w:r w:rsidRPr="000146D6">
        <w:rPr>
          <w:rFonts w:ascii="Times New Roman" w:hAnsi="Times New Roman" w:cs="Times New Roman"/>
          <w:sz w:val="24"/>
          <w:szCs w:val="24"/>
        </w:rPr>
        <w:t xml:space="preserve">The authors affirm that generative artificial intelligence technologies, including Large Language Models (such as </w:t>
      </w:r>
      <w:proofErr w:type="spellStart"/>
      <w:r w:rsidRPr="000146D6">
        <w:rPr>
          <w:rFonts w:ascii="Times New Roman" w:hAnsi="Times New Roman" w:cs="Times New Roman"/>
          <w:sz w:val="24"/>
          <w:szCs w:val="24"/>
        </w:rPr>
        <w:t>ChatGPT</w:t>
      </w:r>
      <w:proofErr w:type="spellEnd"/>
      <w:r w:rsidRPr="000146D6">
        <w:rPr>
          <w:rFonts w:ascii="Times New Roman" w:hAnsi="Times New Roman" w:cs="Times New Roman"/>
          <w:sz w:val="24"/>
          <w:szCs w:val="24"/>
        </w:rPr>
        <w:t>, COPILOT) or text-to-image generators, were not utilized at any stage of the writing or editing process for this manuscript.</w:t>
      </w:r>
    </w:p>
    <w:p w14:paraId="625ACEEA" w14:textId="77777777" w:rsidR="00D06480" w:rsidRPr="000146D6" w:rsidRDefault="00D06480" w:rsidP="00D14E2F">
      <w:pPr>
        <w:spacing w:line="240" w:lineRule="auto"/>
        <w:jc w:val="both"/>
        <w:rPr>
          <w:rFonts w:ascii="Times New Roman" w:hAnsi="Times New Roman" w:cs="Times New Roman"/>
          <w:b/>
          <w:bCs/>
          <w:sz w:val="24"/>
          <w:szCs w:val="24"/>
        </w:rPr>
      </w:pPr>
      <w:r w:rsidRPr="000146D6">
        <w:rPr>
          <w:rFonts w:ascii="Times New Roman" w:hAnsi="Times New Roman" w:cs="Times New Roman"/>
          <w:b/>
          <w:bCs/>
          <w:sz w:val="24"/>
          <w:szCs w:val="24"/>
        </w:rPr>
        <w:t>COMPETING INTERESTS</w:t>
      </w:r>
    </w:p>
    <w:p w14:paraId="42D67173" w14:textId="067E5100" w:rsidR="00D70BA0" w:rsidRPr="006974CE" w:rsidRDefault="00D06480" w:rsidP="00D14E2F">
      <w:pPr>
        <w:spacing w:line="240" w:lineRule="auto"/>
        <w:ind w:firstLine="720"/>
        <w:jc w:val="both"/>
        <w:rPr>
          <w:rFonts w:ascii="Times New Roman" w:hAnsi="Times New Roman" w:cs="Times New Roman"/>
          <w:sz w:val="24"/>
          <w:szCs w:val="24"/>
        </w:rPr>
      </w:pPr>
      <w:r w:rsidRPr="000146D6">
        <w:rPr>
          <w:rFonts w:ascii="Times New Roman" w:hAnsi="Times New Roman" w:cs="Times New Roman"/>
          <w:sz w:val="24"/>
          <w:szCs w:val="24"/>
        </w:rPr>
        <w:t>The authors report no conflicts of interest relevant to this work.</w:t>
      </w:r>
      <w:bookmarkEnd w:id="4"/>
    </w:p>
    <w:p w14:paraId="3029738E" w14:textId="77777777" w:rsidR="00D70BA0" w:rsidRPr="000146D6" w:rsidRDefault="00D70BA0" w:rsidP="00D14E2F">
      <w:pPr>
        <w:pStyle w:val="ReferHead"/>
        <w:spacing w:after="0"/>
        <w:ind w:right="418"/>
        <w:jc w:val="both"/>
        <w:rPr>
          <w:rFonts w:ascii="Times New Roman" w:hAnsi="Times New Roman"/>
          <w:sz w:val="24"/>
          <w:szCs w:val="24"/>
        </w:rPr>
      </w:pPr>
      <w:r w:rsidRPr="000146D6">
        <w:rPr>
          <w:rFonts w:ascii="Times New Roman" w:hAnsi="Times New Roman"/>
          <w:sz w:val="24"/>
          <w:szCs w:val="24"/>
        </w:rPr>
        <w:t>References</w:t>
      </w:r>
    </w:p>
    <w:p w14:paraId="06B6DC2E" w14:textId="77777777" w:rsidR="00D70BA0" w:rsidRPr="000146D6" w:rsidRDefault="00D70BA0" w:rsidP="00D14E2F">
      <w:pPr>
        <w:pStyle w:val="ReferHead"/>
        <w:spacing w:after="0"/>
        <w:ind w:right="418"/>
        <w:jc w:val="both"/>
        <w:rPr>
          <w:rFonts w:ascii="Times New Roman" w:hAnsi="Times New Roman"/>
          <w:b w:val="0"/>
          <w:caps w:val="0"/>
          <w:sz w:val="24"/>
          <w:szCs w:val="24"/>
        </w:rPr>
      </w:pPr>
    </w:p>
    <w:p w14:paraId="0E329C17" w14:textId="408800F1" w:rsidR="00B04483" w:rsidRPr="000146D6" w:rsidRDefault="00B04483" w:rsidP="00D14E2F">
      <w:pPr>
        <w:pStyle w:val="ListParagraph"/>
        <w:numPr>
          <w:ilvl w:val="0"/>
          <w:numId w:val="18"/>
        </w:numPr>
        <w:spacing w:line="240" w:lineRule="auto"/>
        <w:ind w:right="418"/>
        <w:jc w:val="both"/>
        <w:rPr>
          <w:rFonts w:ascii="Times New Roman" w:hAnsi="Times New Roman" w:cs="Times New Roman"/>
          <w:noProof/>
          <w:sz w:val="24"/>
          <w:szCs w:val="24"/>
        </w:rPr>
      </w:pPr>
      <w:r w:rsidRPr="000146D6">
        <w:rPr>
          <w:rFonts w:ascii="Times New Roman" w:hAnsi="Times New Roman" w:cs="Times New Roman"/>
          <w:noProof/>
          <w:sz w:val="24"/>
          <w:szCs w:val="24"/>
        </w:rPr>
        <w:t xml:space="preserve">Arteaga CD, Wilson WR. Gastric polyp. In: StatPearls [Internet]. Treasure Island (FL): StatPearls Publishing; 2023 [cited 2026 Mar 13]. Available from: </w:t>
      </w:r>
      <w:hyperlink r:id="rId6" w:tgtFrame="_new" w:history="1">
        <w:r w:rsidRPr="000146D6">
          <w:rPr>
            <w:rStyle w:val="Hyperlink"/>
            <w:rFonts w:ascii="Times New Roman" w:hAnsi="Times New Roman" w:cs="Times New Roman"/>
            <w:noProof/>
            <w:sz w:val="24"/>
            <w:szCs w:val="24"/>
          </w:rPr>
          <w:t>https://www.ncbi.nlm.nih.gov/books/NBK560704/</w:t>
        </w:r>
      </w:hyperlink>
      <w:r w:rsidRPr="000146D6">
        <w:rPr>
          <w:rFonts w:ascii="Times New Roman" w:hAnsi="Times New Roman" w:cs="Times New Roman"/>
          <w:noProof/>
          <w:sz w:val="24"/>
          <w:szCs w:val="24"/>
        </w:rPr>
        <w:t xml:space="preserve"> </w:t>
      </w:r>
    </w:p>
    <w:p w14:paraId="7C53A071" w14:textId="3EF7D0E8" w:rsidR="002A3DCA" w:rsidRPr="000146D6" w:rsidRDefault="004C2308" w:rsidP="00D14E2F">
      <w:pPr>
        <w:pStyle w:val="ListParagraph"/>
        <w:numPr>
          <w:ilvl w:val="0"/>
          <w:numId w:val="18"/>
        </w:numPr>
        <w:spacing w:line="240" w:lineRule="auto"/>
        <w:ind w:right="418"/>
        <w:jc w:val="both"/>
        <w:rPr>
          <w:rFonts w:ascii="Times New Roman" w:hAnsi="Times New Roman" w:cs="Times New Roman"/>
          <w:noProof/>
          <w:sz w:val="24"/>
          <w:szCs w:val="24"/>
        </w:rPr>
      </w:pPr>
      <w:r w:rsidRPr="000146D6">
        <w:rPr>
          <w:rFonts w:ascii="Times New Roman" w:hAnsi="Times New Roman" w:cs="Times New Roman"/>
          <w:noProof/>
          <w:sz w:val="24"/>
          <w:szCs w:val="24"/>
        </w:rPr>
        <w:t xml:space="preserve">Elhanafi S, Saadi M, Carlos D. Arteaga, William R. </w:t>
      </w:r>
      <w:r w:rsidR="00BD7CBF" w:rsidRPr="000146D6">
        <w:rPr>
          <w:rFonts w:ascii="Times New Roman" w:hAnsi="Times New Roman" w:cs="Times New Roman"/>
          <w:noProof/>
          <w:sz w:val="24"/>
          <w:szCs w:val="24"/>
        </w:rPr>
        <w:t xml:space="preserve">Gastric polyps: association with </w:t>
      </w:r>
      <w:r w:rsidR="00BD7CBF" w:rsidRPr="000146D6">
        <w:rPr>
          <w:rFonts w:ascii="Times New Roman" w:hAnsi="Times New Roman" w:cs="Times New Roman"/>
          <w:i/>
          <w:iCs/>
          <w:noProof/>
          <w:sz w:val="24"/>
          <w:szCs w:val="24"/>
        </w:rPr>
        <w:t>Helicobacter pylori</w:t>
      </w:r>
      <w:r w:rsidR="00BD7CBF" w:rsidRPr="000146D6">
        <w:rPr>
          <w:rFonts w:ascii="Times New Roman" w:hAnsi="Times New Roman" w:cs="Times New Roman"/>
          <w:noProof/>
          <w:sz w:val="24"/>
          <w:szCs w:val="24"/>
        </w:rPr>
        <w:t xml:space="preserve"> status and the pathology of the surrounding mucosa, a cross-sectional study. </w:t>
      </w:r>
      <w:r w:rsidR="00BD7CBF" w:rsidRPr="000146D6">
        <w:rPr>
          <w:rFonts w:ascii="Times New Roman" w:hAnsi="Times New Roman" w:cs="Times New Roman"/>
          <w:i/>
          <w:iCs/>
          <w:noProof/>
          <w:sz w:val="24"/>
          <w:szCs w:val="24"/>
        </w:rPr>
        <w:t>World J Gastrointest Endosc.</w:t>
      </w:r>
      <w:r w:rsidR="00BD7CBF" w:rsidRPr="000146D6">
        <w:rPr>
          <w:rFonts w:ascii="Times New Roman" w:hAnsi="Times New Roman" w:cs="Times New Roman"/>
          <w:noProof/>
          <w:sz w:val="24"/>
          <w:szCs w:val="24"/>
        </w:rPr>
        <w:t xml:space="preserve"> 2015;7(10):995-1002. doi:10.4253/wjge.v7.i10.995.</w:t>
      </w:r>
    </w:p>
    <w:p w14:paraId="6BA466DF" w14:textId="1B1A36AA" w:rsidR="003F4B6E" w:rsidRPr="000146D6" w:rsidRDefault="0074418F" w:rsidP="00D14E2F">
      <w:pPr>
        <w:pStyle w:val="ListParagraph"/>
        <w:numPr>
          <w:ilvl w:val="0"/>
          <w:numId w:val="18"/>
        </w:numPr>
        <w:spacing w:line="240" w:lineRule="auto"/>
        <w:ind w:right="418"/>
        <w:jc w:val="both"/>
        <w:rPr>
          <w:rFonts w:ascii="Times New Roman" w:hAnsi="Times New Roman" w:cs="Times New Roman"/>
          <w:noProof/>
          <w:sz w:val="24"/>
          <w:szCs w:val="24"/>
        </w:rPr>
      </w:pPr>
      <w:r w:rsidRPr="000146D6">
        <w:rPr>
          <w:rFonts w:ascii="Times New Roman" w:hAnsi="Times New Roman" w:cs="Times New Roman"/>
          <w:noProof/>
          <w:sz w:val="24"/>
          <w:szCs w:val="24"/>
        </w:rPr>
        <w:t>Waldum H, Fossmark R</w:t>
      </w:r>
      <w:r w:rsidR="003F4B6E" w:rsidRPr="000146D6">
        <w:rPr>
          <w:rFonts w:ascii="Times New Roman" w:hAnsi="Times New Roman" w:cs="Times New Roman"/>
          <w:noProof/>
          <w:sz w:val="24"/>
          <w:szCs w:val="24"/>
        </w:rPr>
        <w:t>.</w:t>
      </w:r>
      <w:r w:rsidRPr="000146D6">
        <w:rPr>
          <w:rFonts w:ascii="Times New Roman" w:hAnsi="Times New Roman" w:cs="Times New Roman"/>
          <w:noProof/>
          <w:sz w:val="24"/>
          <w:szCs w:val="24"/>
        </w:rPr>
        <w:t xml:space="preserve"> </w:t>
      </w:r>
      <w:r w:rsidR="003F4B6E" w:rsidRPr="000146D6">
        <w:rPr>
          <w:rFonts w:ascii="Times New Roman" w:hAnsi="Times New Roman" w:cs="Times New Roman"/>
          <w:noProof/>
          <w:sz w:val="24"/>
          <w:szCs w:val="24"/>
        </w:rPr>
        <w:t xml:space="preserve">Gastritis, gastric polyps and gastric cancer. </w:t>
      </w:r>
      <w:r w:rsidR="003F4B6E" w:rsidRPr="000146D6">
        <w:rPr>
          <w:rFonts w:ascii="Times New Roman" w:hAnsi="Times New Roman" w:cs="Times New Roman"/>
          <w:i/>
          <w:iCs/>
          <w:noProof/>
          <w:sz w:val="24"/>
          <w:szCs w:val="24"/>
        </w:rPr>
        <w:t>Int J Mol Sci.</w:t>
      </w:r>
      <w:r w:rsidR="003F4B6E" w:rsidRPr="000146D6">
        <w:rPr>
          <w:rFonts w:ascii="Times New Roman" w:hAnsi="Times New Roman" w:cs="Times New Roman"/>
          <w:noProof/>
          <w:sz w:val="24"/>
          <w:szCs w:val="24"/>
        </w:rPr>
        <w:t xml:space="preserve"> 2021;22(12):6548. doi:10.3390/ijms22126548.</w:t>
      </w:r>
    </w:p>
    <w:p w14:paraId="4F7DFBE5" w14:textId="7B83990C" w:rsidR="00AC14CB" w:rsidRPr="000146D6" w:rsidRDefault="0092694E"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146D6">
        <w:rPr>
          <w:rFonts w:ascii="Times New Roman" w:eastAsia="Times New Roman" w:hAnsi="Times New Roman" w:cs="Times New Roman"/>
          <w:sz w:val="24"/>
          <w:szCs w:val="24"/>
        </w:rPr>
        <w:t xml:space="preserve">Ajani JA, D'Amico TA, </w:t>
      </w:r>
      <w:proofErr w:type="spellStart"/>
      <w:r w:rsidRPr="000146D6">
        <w:rPr>
          <w:rFonts w:ascii="Times New Roman" w:eastAsia="Times New Roman" w:hAnsi="Times New Roman" w:cs="Times New Roman"/>
          <w:sz w:val="24"/>
          <w:szCs w:val="24"/>
        </w:rPr>
        <w:t>Bentrem</w:t>
      </w:r>
      <w:proofErr w:type="spellEnd"/>
      <w:r w:rsidRPr="000146D6">
        <w:rPr>
          <w:rFonts w:ascii="Times New Roman" w:eastAsia="Times New Roman" w:hAnsi="Times New Roman" w:cs="Times New Roman"/>
          <w:sz w:val="24"/>
          <w:szCs w:val="24"/>
        </w:rPr>
        <w:t xml:space="preserve"> DJ</w:t>
      </w:r>
      <w:r w:rsidR="00AC14CB" w:rsidRPr="000146D6">
        <w:rPr>
          <w:rFonts w:ascii="Times New Roman" w:eastAsia="Times New Roman" w:hAnsi="Times New Roman" w:cs="Times New Roman"/>
          <w:sz w:val="24"/>
          <w:szCs w:val="24"/>
        </w:rPr>
        <w:t xml:space="preserve">, et al. Gastric cancer, version 2.2022, NCCN clinical practice guidelines in oncology. </w:t>
      </w:r>
      <w:r w:rsidR="00AC14CB" w:rsidRPr="000146D6">
        <w:rPr>
          <w:rFonts w:ascii="Times New Roman" w:eastAsia="Times New Roman" w:hAnsi="Times New Roman" w:cs="Times New Roman"/>
          <w:i/>
          <w:iCs/>
          <w:sz w:val="24"/>
          <w:szCs w:val="24"/>
        </w:rPr>
        <w:t xml:space="preserve">J Natl </w:t>
      </w:r>
      <w:proofErr w:type="spellStart"/>
      <w:r w:rsidR="00AC14CB" w:rsidRPr="000146D6">
        <w:rPr>
          <w:rFonts w:ascii="Times New Roman" w:eastAsia="Times New Roman" w:hAnsi="Times New Roman" w:cs="Times New Roman"/>
          <w:i/>
          <w:iCs/>
          <w:sz w:val="24"/>
          <w:szCs w:val="24"/>
        </w:rPr>
        <w:t>Compr</w:t>
      </w:r>
      <w:proofErr w:type="spellEnd"/>
      <w:r w:rsidR="00AC14CB" w:rsidRPr="000146D6">
        <w:rPr>
          <w:rFonts w:ascii="Times New Roman" w:eastAsia="Times New Roman" w:hAnsi="Times New Roman" w:cs="Times New Roman"/>
          <w:i/>
          <w:iCs/>
          <w:sz w:val="24"/>
          <w:szCs w:val="24"/>
        </w:rPr>
        <w:t xml:space="preserve"> </w:t>
      </w:r>
      <w:proofErr w:type="spellStart"/>
      <w:r w:rsidR="00AC14CB" w:rsidRPr="000146D6">
        <w:rPr>
          <w:rFonts w:ascii="Times New Roman" w:eastAsia="Times New Roman" w:hAnsi="Times New Roman" w:cs="Times New Roman"/>
          <w:i/>
          <w:iCs/>
          <w:sz w:val="24"/>
          <w:szCs w:val="24"/>
        </w:rPr>
        <w:t>Canc</w:t>
      </w:r>
      <w:proofErr w:type="spellEnd"/>
      <w:r w:rsidR="00AC14CB" w:rsidRPr="000146D6">
        <w:rPr>
          <w:rFonts w:ascii="Times New Roman" w:eastAsia="Times New Roman" w:hAnsi="Times New Roman" w:cs="Times New Roman"/>
          <w:i/>
          <w:iCs/>
          <w:sz w:val="24"/>
          <w:szCs w:val="24"/>
        </w:rPr>
        <w:t xml:space="preserve"> </w:t>
      </w:r>
      <w:proofErr w:type="spellStart"/>
      <w:r w:rsidR="00AC14CB" w:rsidRPr="000146D6">
        <w:rPr>
          <w:rFonts w:ascii="Times New Roman" w:eastAsia="Times New Roman" w:hAnsi="Times New Roman" w:cs="Times New Roman"/>
          <w:i/>
          <w:iCs/>
          <w:sz w:val="24"/>
          <w:szCs w:val="24"/>
        </w:rPr>
        <w:t>Netw</w:t>
      </w:r>
      <w:proofErr w:type="spellEnd"/>
      <w:r w:rsidR="00AC14CB" w:rsidRPr="000146D6">
        <w:rPr>
          <w:rFonts w:ascii="Times New Roman" w:eastAsia="Times New Roman" w:hAnsi="Times New Roman" w:cs="Times New Roman"/>
          <w:i/>
          <w:iCs/>
          <w:sz w:val="24"/>
          <w:szCs w:val="24"/>
        </w:rPr>
        <w:t>.</w:t>
      </w:r>
      <w:r w:rsidR="00AC14CB" w:rsidRPr="000146D6">
        <w:rPr>
          <w:rFonts w:ascii="Times New Roman" w:eastAsia="Times New Roman" w:hAnsi="Times New Roman" w:cs="Times New Roman"/>
          <w:sz w:val="24"/>
          <w:szCs w:val="24"/>
        </w:rPr>
        <w:t xml:space="preserve"> 2022;20(2):167-192. doi:10.6004/jnccn.2022.0008.</w:t>
      </w:r>
    </w:p>
    <w:p w14:paraId="2F3556F6" w14:textId="65998B4E" w:rsidR="00AC14CB" w:rsidRPr="000146D6" w:rsidRDefault="000B3763"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146D6">
        <w:rPr>
          <w:rFonts w:ascii="Times New Roman" w:eastAsia="Times New Roman" w:hAnsi="Times New Roman" w:cs="Times New Roman"/>
          <w:sz w:val="24"/>
          <w:szCs w:val="24"/>
        </w:rPr>
        <w:t>Argüello</w:t>
      </w:r>
      <w:proofErr w:type="spellEnd"/>
      <w:r w:rsidRPr="000146D6">
        <w:rPr>
          <w:rFonts w:ascii="Times New Roman" w:eastAsia="Times New Roman" w:hAnsi="Times New Roman" w:cs="Times New Roman"/>
          <w:sz w:val="24"/>
          <w:szCs w:val="24"/>
        </w:rPr>
        <w:t xml:space="preserve"> </w:t>
      </w:r>
      <w:proofErr w:type="spellStart"/>
      <w:r w:rsidRPr="000146D6">
        <w:rPr>
          <w:rFonts w:ascii="Times New Roman" w:eastAsia="Times New Roman" w:hAnsi="Times New Roman" w:cs="Times New Roman"/>
          <w:sz w:val="24"/>
          <w:szCs w:val="24"/>
        </w:rPr>
        <w:t>Viúdez</w:t>
      </w:r>
      <w:proofErr w:type="spellEnd"/>
      <w:r w:rsidRPr="000146D6">
        <w:rPr>
          <w:rFonts w:ascii="Times New Roman" w:eastAsia="Times New Roman" w:hAnsi="Times New Roman" w:cs="Times New Roman"/>
          <w:sz w:val="24"/>
          <w:szCs w:val="24"/>
        </w:rPr>
        <w:t xml:space="preserve"> L, </w:t>
      </w:r>
      <w:proofErr w:type="spellStart"/>
      <w:r w:rsidRPr="000146D6">
        <w:rPr>
          <w:rFonts w:ascii="Times New Roman" w:eastAsia="Times New Roman" w:hAnsi="Times New Roman" w:cs="Times New Roman"/>
          <w:sz w:val="24"/>
          <w:szCs w:val="24"/>
        </w:rPr>
        <w:t>Córdova</w:t>
      </w:r>
      <w:proofErr w:type="spellEnd"/>
      <w:r w:rsidRPr="000146D6">
        <w:rPr>
          <w:rFonts w:ascii="Times New Roman" w:eastAsia="Times New Roman" w:hAnsi="Times New Roman" w:cs="Times New Roman"/>
          <w:sz w:val="24"/>
          <w:szCs w:val="24"/>
        </w:rPr>
        <w:t xml:space="preserve"> H, </w:t>
      </w:r>
      <w:proofErr w:type="spellStart"/>
      <w:r w:rsidRPr="000146D6">
        <w:rPr>
          <w:rFonts w:ascii="Times New Roman" w:eastAsia="Times New Roman" w:hAnsi="Times New Roman" w:cs="Times New Roman"/>
          <w:sz w:val="24"/>
          <w:szCs w:val="24"/>
        </w:rPr>
        <w:t>Uchima</w:t>
      </w:r>
      <w:proofErr w:type="spellEnd"/>
      <w:r w:rsidRPr="000146D6">
        <w:rPr>
          <w:rFonts w:ascii="Times New Roman" w:eastAsia="Times New Roman" w:hAnsi="Times New Roman" w:cs="Times New Roman"/>
          <w:sz w:val="24"/>
          <w:szCs w:val="24"/>
        </w:rPr>
        <w:t xml:space="preserve"> H,</w:t>
      </w:r>
      <w:r w:rsidR="00AC14CB" w:rsidRPr="000146D6">
        <w:rPr>
          <w:rFonts w:ascii="Times New Roman" w:eastAsia="Times New Roman" w:hAnsi="Times New Roman" w:cs="Times New Roman"/>
          <w:sz w:val="24"/>
          <w:szCs w:val="24"/>
        </w:rPr>
        <w:t xml:space="preserve"> et al. Gastric polyps: retrospective analysis of 41,253 upper endoscopies. </w:t>
      </w:r>
      <w:r w:rsidR="00AC14CB" w:rsidRPr="000146D6">
        <w:rPr>
          <w:rFonts w:ascii="Times New Roman" w:eastAsia="Times New Roman" w:hAnsi="Times New Roman" w:cs="Times New Roman"/>
          <w:i/>
          <w:iCs/>
          <w:sz w:val="24"/>
          <w:szCs w:val="24"/>
        </w:rPr>
        <w:t xml:space="preserve">Gastroenterol </w:t>
      </w:r>
      <w:proofErr w:type="spellStart"/>
      <w:r w:rsidR="00AC14CB" w:rsidRPr="000146D6">
        <w:rPr>
          <w:rFonts w:ascii="Times New Roman" w:eastAsia="Times New Roman" w:hAnsi="Times New Roman" w:cs="Times New Roman"/>
          <w:i/>
          <w:iCs/>
          <w:sz w:val="24"/>
          <w:szCs w:val="24"/>
        </w:rPr>
        <w:t>Hepatol</w:t>
      </w:r>
      <w:proofErr w:type="spellEnd"/>
      <w:r w:rsidR="00AC14CB" w:rsidRPr="000146D6">
        <w:rPr>
          <w:rFonts w:ascii="Times New Roman" w:eastAsia="Times New Roman" w:hAnsi="Times New Roman" w:cs="Times New Roman"/>
          <w:i/>
          <w:iCs/>
          <w:sz w:val="24"/>
          <w:szCs w:val="24"/>
        </w:rPr>
        <w:t>.</w:t>
      </w:r>
      <w:r w:rsidR="00AC14CB" w:rsidRPr="000146D6">
        <w:rPr>
          <w:rFonts w:ascii="Times New Roman" w:eastAsia="Times New Roman" w:hAnsi="Times New Roman" w:cs="Times New Roman"/>
          <w:sz w:val="24"/>
          <w:szCs w:val="24"/>
        </w:rPr>
        <w:t xml:space="preserve"> 2017;40(8):507-514. </w:t>
      </w:r>
      <w:proofErr w:type="gramStart"/>
      <w:r w:rsidR="00AC14CB" w:rsidRPr="000146D6">
        <w:rPr>
          <w:rFonts w:ascii="Times New Roman" w:eastAsia="Times New Roman" w:hAnsi="Times New Roman" w:cs="Times New Roman"/>
          <w:sz w:val="24"/>
          <w:szCs w:val="24"/>
        </w:rPr>
        <w:t>doi:10.1016/j.gastrohep</w:t>
      </w:r>
      <w:proofErr w:type="gramEnd"/>
      <w:r w:rsidR="00AC14CB" w:rsidRPr="000146D6">
        <w:rPr>
          <w:rFonts w:ascii="Times New Roman" w:eastAsia="Times New Roman" w:hAnsi="Times New Roman" w:cs="Times New Roman"/>
          <w:sz w:val="24"/>
          <w:szCs w:val="24"/>
        </w:rPr>
        <w:t>.2017.01.003.</w:t>
      </w:r>
    </w:p>
    <w:p w14:paraId="2C55DBE2" w14:textId="614F1D5A" w:rsidR="00AC14CB" w:rsidRPr="000146D6" w:rsidRDefault="000B3763"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146D6">
        <w:rPr>
          <w:rFonts w:ascii="Times New Roman" w:eastAsia="Times New Roman" w:hAnsi="Times New Roman" w:cs="Times New Roman"/>
          <w:sz w:val="24"/>
          <w:szCs w:val="24"/>
        </w:rPr>
        <w:t>Gao W, Huang Y, Lu S, Li C</w:t>
      </w:r>
      <w:r w:rsidR="00AC14CB" w:rsidRPr="000146D6">
        <w:rPr>
          <w:rFonts w:ascii="Times New Roman" w:eastAsia="Times New Roman" w:hAnsi="Times New Roman" w:cs="Times New Roman"/>
          <w:sz w:val="24"/>
          <w:szCs w:val="24"/>
        </w:rPr>
        <w:t xml:space="preserve">. The clinicopathological characteristics of gastric polyps and the relationship between fundic gland polyps, </w:t>
      </w:r>
      <w:r w:rsidR="00AC14CB" w:rsidRPr="000146D6">
        <w:rPr>
          <w:rFonts w:ascii="Times New Roman" w:eastAsia="Times New Roman" w:hAnsi="Times New Roman" w:cs="Times New Roman"/>
          <w:i/>
          <w:iCs/>
          <w:sz w:val="24"/>
          <w:szCs w:val="24"/>
        </w:rPr>
        <w:t>Helicobacter pylori</w:t>
      </w:r>
      <w:r w:rsidR="00AC14CB" w:rsidRPr="000146D6">
        <w:rPr>
          <w:rFonts w:ascii="Times New Roman" w:eastAsia="Times New Roman" w:hAnsi="Times New Roman" w:cs="Times New Roman"/>
          <w:sz w:val="24"/>
          <w:szCs w:val="24"/>
        </w:rPr>
        <w:t xml:space="preserve"> infection, and proton pump inhibitors. </w:t>
      </w:r>
      <w:r w:rsidR="00AC14CB" w:rsidRPr="000146D6">
        <w:rPr>
          <w:rFonts w:ascii="Times New Roman" w:eastAsia="Times New Roman" w:hAnsi="Times New Roman" w:cs="Times New Roman"/>
          <w:i/>
          <w:iCs/>
          <w:sz w:val="24"/>
          <w:szCs w:val="24"/>
        </w:rPr>
        <w:t xml:space="preserve">Ann </w:t>
      </w:r>
      <w:proofErr w:type="spellStart"/>
      <w:r w:rsidR="00AC14CB" w:rsidRPr="000146D6">
        <w:rPr>
          <w:rFonts w:ascii="Times New Roman" w:eastAsia="Times New Roman" w:hAnsi="Times New Roman" w:cs="Times New Roman"/>
          <w:i/>
          <w:iCs/>
          <w:sz w:val="24"/>
          <w:szCs w:val="24"/>
        </w:rPr>
        <w:t>Palliat</w:t>
      </w:r>
      <w:proofErr w:type="spellEnd"/>
      <w:r w:rsidR="00AC14CB" w:rsidRPr="000146D6">
        <w:rPr>
          <w:rFonts w:ascii="Times New Roman" w:eastAsia="Times New Roman" w:hAnsi="Times New Roman" w:cs="Times New Roman"/>
          <w:i/>
          <w:iCs/>
          <w:sz w:val="24"/>
          <w:szCs w:val="24"/>
        </w:rPr>
        <w:t xml:space="preserve"> Med.</w:t>
      </w:r>
      <w:r w:rsidR="00AC14CB" w:rsidRPr="000146D6">
        <w:rPr>
          <w:rFonts w:ascii="Times New Roman" w:eastAsia="Times New Roman" w:hAnsi="Times New Roman" w:cs="Times New Roman"/>
          <w:sz w:val="24"/>
          <w:szCs w:val="24"/>
        </w:rPr>
        <w:t xml:space="preserve"> 2021;10(2):2108-2114. doi:10.21037/apm-21-39.</w:t>
      </w:r>
    </w:p>
    <w:p w14:paraId="74E12FA3" w14:textId="289D867B" w:rsidR="00AC14CB" w:rsidRPr="000146D6" w:rsidRDefault="00AC14CB"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146D6">
        <w:rPr>
          <w:rFonts w:ascii="Times New Roman" w:eastAsia="Times New Roman" w:hAnsi="Times New Roman" w:cs="Times New Roman"/>
          <w:sz w:val="24"/>
          <w:szCs w:val="24"/>
        </w:rPr>
        <w:lastRenderedPageBreak/>
        <w:t xml:space="preserve">Le </w:t>
      </w:r>
      <w:proofErr w:type="spellStart"/>
      <w:r w:rsidRPr="000146D6">
        <w:rPr>
          <w:rFonts w:ascii="Times New Roman" w:eastAsia="Times New Roman" w:hAnsi="Times New Roman" w:cs="Times New Roman"/>
          <w:sz w:val="24"/>
          <w:szCs w:val="24"/>
        </w:rPr>
        <w:t>Dinh</w:t>
      </w:r>
      <w:proofErr w:type="spellEnd"/>
      <w:r w:rsidRPr="000146D6">
        <w:rPr>
          <w:rFonts w:ascii="Times New Roman" w:eastAsia="Times New Roman" w:hAnsi="Times New Roman" w:cs="Times New Roman"/>
          <w:sz w:val="24"/>
          <w:szCs w:val="24"/>
        </w:rPr>
        <w:t xml:space="preserve"> Quang, Quach </w:t>
      </w:r>
      <w:proofErr w:type="spellStart"/>
      <w:r w:rsidRPr="000146D6">
        <w:rPr>
          <w:rFonts w:ascii="Times New Roman" w:eastAsia="Times New Roman" w:hAnsi="Times New Roman" w:cs="Times New Roman"/>
          <w:sz w:val="24"/>
          <w:szCs w:val="24"/>
        </w:rPr>
        <w:t>Trong</w:t>
      </w:r>
      <w:proofErr w:type="spellEnd"/>
      <w:r w:rsidRPr="000146D6">
        <w:rPr>
          <w:rFonts w:ascii="Times New Roman" w:eastAsia="Times New Roman" w:hAnsi="Times New Roman" w:cs="Times New Roman"/>
          <w:sz w:val="24"/>
          <w:szCs w:val="24"/>
        </w:rPr>
        <w:t xml:space="preserve"> Duc. A study on the characteristics of gastric polyps. </w:t>
      </w:r>
      <w:r w:rsidRPr="000146D6">
        <w:rPr>
          <w:rFonts w:ascii="Times New Roman" w:eastAsia="Times New Roman" w:hAnsi="Times New Roman" w:cs="Times New Roman"/>
          <w:i/>
          <w:iCs/>
          <w:sz w:val="24"/>
          <w:szCs w:val="24"/>
        </w:rPr>
        <w:t>Ho Chi Minh City J Med.</w:t>
      </w:r>
      <w:r w:rsidRPr="000146D6">
        <w:rPr>
          <w:rFonts w:ascii="Times New Roman" w:eastAsia="Times New Roman" w:hAnsi="Times New Roman" w:cs="Times New Roman"/>
          <w:sz w:val="24"/>
          <w:szCs w:val="24"/>
        </w:rPr>
        <w:t xml:space="preserve"> 2017;</w:t>
      </w:r>
      <w:proofErr w:type="gramStart"/>
      <w:r w:rsidRPr="000146D6">
        <w:rPr>
          <w:rFonts w:ascii="Times New Roman" w:eastAsia="Times New Roman" w:hAnsi="Times New Roman" w:cs="Times New Roman"/>
          <w:sz w:val="24"/>
          <w:szCs w:val="24"/>
        </w:rPr>
        <w:t>21:xx</w:t>
      </w:r>
      <w:proofErr w:type="gramEnd"/>
      <w:r w:rsidRPr="000146D6">
        <w:rPr>
          <w:rFonts w:ascii="Times New Roman" w:eastAsia="Times New Roman" w:hAnsi="Times New Roman" w:cs="Times New Roman"/>
          <w:sz w:val="24"/>
          <w:szCs w:val="24"/>
        </w:rPr>
        <w:t>–xx.</w:t>
      </w:r>
    </w:p>
    <w:p w14:paraId="7DED6571" w14:textId="2CB46ADA" w:rsidR="00AC14CB" w:rsidRPr="000146D6" w:rsidRDefault="00485156"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146D6">
        <w:rPr>
          <w:rFonts w:ascii="Times New Roman" w:eastAsia="Times New Roman" w:hAnsi="Times New Roman" w:cs="Times New Roman"/>
          <w:sz w:val="24"/>
          <w:szCs w:val="24"/>
        </w:rPr>
        <w:t>Kővári</w:t>
      </w:r>
      <w:proofErr w:type="spellEnd"/>
      <w:r w:rsidRPr="000146D6">
        <w:rPr>
          <w:rFonts w:ascii="Times New Roman" w:eastAsia="Times New Roman" w:hAnsi="Times New Roman" w:cs="Times New Roman"/>
          <w:sz w:val="24"/>
          <w:szCs w:val="24"/>
        </w:rPr>
        <w:t xml:space="preserve"> B, Kim BH, </w:t>
      </w:r>
      <w:proofErr w:type="spellStart"/>
      <w:r w:rsidRPr="000146D6">
        <w:rPr>
          <w:rFonts w:ascii="Times New Roman" w:eastAsia="Times New Roman" w:hAnsi="Times New Roman" w:cs="Times New Roman"/>
          <w:sz w:val="24"/>
          <w:szCs w:val="24"/>
        </w:rPr>
        <w:t>Lauwers</w:t>
      </w:r>
      <w:proofErr w:type="spellEnd"/>
      <w:r w:rsidRPr="000146D6">
        <w:rPr>
          <w:rFonts w:ascii="Times New Roman" w:eastAsia="Times New Roman" w:hAnsi="Times New Roman" w:cs="Times New Roman"/>
          <w:sz w:val="24"/>
          <w:szCs w:val="24"/>
        </w:rPr>
        <w:t xml:space="preserve"> GY</w:t>
      </w:r>
      <w:r w:rsidR="00AC14CB" w:rsidRPr="000146D6">
        <w:rPr>
          <w:rFonts w:ascii="Times New Roman" w:eastAsia="Times New Roman" w:hAnsi="Times New Roman" w:cs="Times New Roman"/>
          <w:sz w:val="24"/>
          <w:szCs w:val="24"/>
        </w:rPr>
        <w:t xml:space="preserve">. The pathology of gastric and duodenal polyps: current concepts. </w:t>
      </w:r>
      <w:r w:rsidR="00AC14CB" w:rsidRPr="000146D6">
        <w:rPr>
          <w:rFonts w:ascii="Times New Roman" w:eastAsia="Times New Roman" w:hAnsi="Times New Roman" w:cs="Times New Roman"/>
          <w:i/>
          <w:iCs/>
          <w:sz w:val="24"/>
          <w:szCs w:val="24"/>
        </w:rPr>
        <w:t>Histopathology.</w:t>
      </w:r>
      <w:r w:rsidR="00AC14CB" w:rsidRPr="000146D6">
        <w:rPr>
          <w:rFonts w:ascii="Times New Roman" w:eastAsia="Times New Roman" w:hAnsi="Times New Roman" w:cs="Times New Roman"/>
          <w:sz w:val="24"/>
          <w:szCs w:val="24"/>
        </w:rPr>
        <w:t xml:space="preserve"> 2021;78(1):106-124. doi:10.1111/his.14275.</w:t>
      </w:r>
    </w:p>
    <w:p w14:paraId="1759892E" w14:textId="59D7E66B" w:rsidR="00AC14CB" w:rsidRPr="000146D6" w:rsidRDefault="00485156"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sidRPr="000146D6">
        <w:rPr>
          <w:rFonts w:ascii="Times New Roman" w:eastAsia="Times New Roman" w:hAnsi="Times New Roman" w:cs="Times New Roman"/>
          <w:sz w:val="24"/>
          <w:szCs w:val="24"/>
        </w:rPr>
        <w:t xml:space="preserve">Vos S, van der Post RS, </w:t>
      </w:r>
      <w:proofErr w:type="spellStart"/>
      <w:r w:rsidRPr="000146D6">
        <w:rPr>
          <w:rFonts w:ascii="Times New Roman" w:eastAsia="Times New Roman" w:hAnsi="Times New Roman" w:cs="Times New Roman"/>
          <w:sz w:val="24"/>
          <w:szCs w:val="24"/>
        </w:rPr>
        <w:t>Brosens</w:t>
      </w:r>
      <w:proofErr w:type="spellEnd"/>
      <w:r w:rsidRPr="000146D6">
        <w:rPr>
          <w:rFonts w:ascii="Times New Roman" w:eastAsia="Times New Roman" w:hAnsi="Times New Roman" w:cs="Times New Roman"/>
          <w:sz w:val="24"/>
          <w:szCs w:val="24"/>
        </w:rPr>
        <w:t xml:space="preserve"> LAA</w:t>
      </w:r>
      <w:r w:rsidR="00AC14CB" w:rsidRPr="000146D6">
        <w:rPr>
          <w:rFonts w:ascii="Times New Roman" w:eastAsia="Times New Roman" w:hAnsi="Times New Roman" w:cs="Times New Roman"/>
          <w:sz w:val="24"/>
          <w:szCs w:val="24"/>
        </w:rPr>
        <w:t xml:space="preserve">. Gastric epithelial polyps: when to ponder, when to panic. </w:t>
      </w:r>
      <w:r w:rsidR="00AC14CB" w:rsidRPr="000146D6">
        <w:rPr>
          <w:rFonts w:ascii="Times New Roman" w:eastAsia="Times New Roman" w:hAnsi="Times New Roman" w:cs="Times New Roman"/>
          <w:i/>
          <w:iCs/>
          <w:sz w:val="24"/>
          <w:szCs w:val="24"/>
        </w:rPr>
        <w:t xml:space="preserve">Surg </w:t>
      </w:r>
      <w:proofErr w:type="spellStart"/>
      <w:r w:rsidR="00AC14CB" w:rsidRPr="000146D6">
        <w:rPr>
          <w:rFonts w:ascii="Times New Roman" w:eastAsia="Times New Roman" w:hAnsi="Times New Roman" w:cs="Times New Roman"/>
          <w:i/>
          <w:iCs/>
          <w:sz w:val="24"/>
          <w:szCs w:val="24"/>
        </w:rPr>
        <w:t>Pathol</w:t>
      </w:r>
      <w:proofErr w:type="spellEnd"/>
      <w:r w:rsidR="00AC14CB" w:rsidRPr="000146D6">
        <w:rPr>
          <w:rFonts w:ascii="Times New Roman" w:eastAsia="Times New Roman" w:hAnsi="Times New Roman" w:cs="Times New Roman"/>
          <w:i/>
          <w:iCs/>
          <w:sz w:val="24"/>
          <w:szCs w:val="24"/>
        </w:rPr>
        <w:t xml:space="preserve"> Clin.</w:t>
      </w:r>
      <w:r w:rsidR="00AC14CB" w:rsidRPr="000146D6">
        <w:rPr>
          <w:rFonts w:ascii="Times New Roman" w:eastAsia="Times New Roman" w:hAnsi="Times New Roman" w:cs="Times New Roman"/>
          <w:sz w:val="24"/>
          <w:szCs w:val="24"/>
        </w:rPr>
        <w:t xml:space="preserve"> 2020;13(3):431-452. </w:t>
      </w:r>
      <w:proofErr w:type="gramStart"/>
      <w:r w:rsidR="00AC14CB" w:rsidRPr="000146D6">
        <w:rPr>
          <w:rFonts w:ascii="Times New Roman" w:eastAsia="Times New Roman" w:hAnsi="Times New Roman" w:cs="Times New Roman"/>
          <w:sz w:val="24"/>
          <w:szCs w:val="24"/>
        </w:rPr>
        <w:t>doi:10.1016/j.path</w:t>
      </w:r>
      <w:proofErr w:type="gramEnd"/>
      <w:r w:rsidR="00AC14CB" w:rsidRPr="000146D6">
        <w:rPr>
          <w:rFonts w:ascii="Times New Roman" w:eastAsia="Times New Roman" w:hAnsi="Times New Roman" w:cs="Times New Roman"/>
          <w:sz w:val="24"/>
          <w:szCs w:val="24"/>
        </w:rPr>
        <w:t>.2020.05.004.</w:t>
      </w:r>
    </w:p>
    <w:p w14:paraId="60F05731" w14:textId="2BCC4F59" w:rsidR="00AC14CB" w:rsidRDefault="0092694E"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0146D6">
        <w:rPr>
          <w:rFonts w:ascii="Times New Roman" w:eastAsia="Times New Roman" w:hAnsi="Times New Roman" w:cs="Times New Roman"/>
          <w:sz w:val="24"/>
          <w:szCs w:val="24"/>
        </w:rPr>
        <w:t>Bertz</w:t>
      </w:r>
      <w:proofErr w:type="spellEnd"/>
      <w:r w:rsidRPr="000146D6">
        <w:rPr>
          <w:rFonts w:ascii="Times New Roman" w:eastAsia="Times New Roman" w:hAnsi="Times New Roman" w:cs="Times New Roman"/>
          <w:sz w:val="24"/>
          <w:szCs w:val="24"/>
        </w:rPr>
        <w:t xml:space="preserve"> S, </w:t>
      </w:r>
      <w:proofErr w:type="spellStart"/>
      <w:r w:rsidRPr="000146D6">
        <w:rPr>
          <w:rFonts w:ascii="Times New Roman" w:eastAsia="Times New Roman" w:hAnsi="Times New Roman" w:cs="Times New Roman"/>
          <w:sz w:val="24"/>
          <w:szCs w:val="24"/>
        </w:rPr>
        <w:t>Angeloni</w:t>
      </w:r>
      <w:proofErr w:type="spellEnd"/>
      <w:r w:rsidRPr="000146D6">
        <w:rPr>
          <w:rFonts w:ascii="Times New Roman" w:eastAsia="Times New Roman" w:hAnsi="Times New Roman" w:cs="Times New Roman"/>
          <w:sz w:val="24"/>
          <w:szCs w:val="24"/>
        </w:rPr>
        <w:t xml:space="preserve"> M, </w:t>
      </w:r>
      <w:proofErr w:type="spellStart"/>
      <w:r w:rsidRPr="000146D6">
        <w:rPr>
          <w:rFonts w:ascii="Times New Roman" w:eastAsia="Times New Roman" w:hAnsi="Times New Roman" w:cs="Times New Roman"/>
          <w:sz w:val="24"/>
          <w:szCs w:val="24"/>
        </w:rPr>
        <w:t>Drgac</w:t>
      </w:r>
      <w:proofErr w:type="spellEnd"/>
      <w:r w:rsidRPr="000146D6">
        <w:rPr>
          <w:rFonts w:ascii="Times New Roman" w:eastAsia="Times New Roman" w:hAnsi="Times New Roman" w:cs="Times New Roman"/>
          <w:sz w:val="24"/>
          <w:szCs w:val="24"/>
        </w:rPr>
        <w:t xml:space="preserve"> J, et al</w:t>
      </w:r>
      <w:r w:rsidR="00AC14CB" w:rsidRPr="000146D6">
        <w:rPr>
          <w:rFonts w:ascii="Times New Roman" w:eastAsia="Times New Roman" w:hAnsi="Times New Roman" w:cs="Times New Roman"/>
          <w:sz w:val="24"/>
          <w:szCs w:val="24"/>
        </w:rPr>
        <w:t xml:space="preserve">. </w:t>
      </w:r>
      <w:r w:rsidR="00AC14CB" w:rsidRPr="000146D6">
        <w:rPr>
          <w:rFonts w:ascii="Times New Roman" w:eastAsia="Times New Roman" w:hAnsi="Times New Roman" w:cs="Times New Roman"/>
          <w:i/>
          <w:iCs/>
          <w:sz w:val="24"/>
          <w:szCs w:val="24"/>
        </w:rPr>
        <w:t>Helicobacter</w:t>
      </w:r>
      <w:r w:rsidR="00AC14CB" w:rsidRPr="000146D6">
        <w:rPr>
          <w:rFonts w:ascii="Times New Roman" w:eastAsia="Times New Roman" w:hAnsi="Times New Roman" w:cs="Times New Roman"/>
          <w:sz w:val="24"/>
          <w:szCs w:val="24"/>
        </w:rPr>
        <w:t xml:space="preserve"> infection and gastric adenoma. </w:t>
      </w:r>
      <w:r w:rsidR="00AC14CB" w:rsidRPr="000146D6">
        <w:rPr>
          <w:rFonts w:ascii="Times New Roman" w:eastAsia="Times New Roman" w:hAnsi="Times New Roman" w:cs="Times New Roman"/>
          <w:i/>
          <w:iCs/>
          <w:sz w:val="24"/>
          <w:szCs w:val="24"/>
        </w:rPr>
        <w:t>Microorganisms.</w:t>
      </w:r>
      <w:r w:rsidR="00AC14CB" w:rsidRPr="000146D6">
        <w:rPr>
          <w:rFonts w:ascii="Times New Roman" w:eastAsia="Times New Roman" w:hAnsi="Times New Roman" w:cs="Times New Roman"/>
          <w:sz w:val="24"/>
          <w:szCs w:val="24"/>
        </w:rPr>
        <w:t xml:space="preserve"> 2021;9(1):108. doi:10.3390/microorganisms9010108.</w:t>
      </w:r>
    </w:p>
    <w:p w14:paraId="580CDD40" w14:textId="7DDEF61C" w:rsidR="00FF2163" w:rsidRPr="00FF2163" w:rsidRDefault="00FF2163"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Pr>
          <w:rFonts w:ascii="Arial" w:hAnsi="Arial" w:cs="Arial"/>
          <w:color w:val="222222"/>
          <w:sz w:val="20"/>
          <w:szCs w:val="20"/>
          <w:shd w:val="clear" w:color="auto" w:fill="FFFFFF"/>
        </w:rPr>
        <w:t>Islam, R. S., Patel, N. C., Lam-</w:t>
      </w:r>
      <w:proofErr w:type="spellStart"/>
      <w:r>
        <w:rPr>
          <w:rFonts w:ascii="Arial" w:hAnsi="Arial" w:cs="Arial"/>
          <w:color w:val="222222"/>
          <w:sz w:val="20"/>
          <w:szCs w:val="20"/>
          <w:shd w:val="clear" w:color="auto" w:fill="FFFFFF"/>
        </w:rPr>
        <w:t>Himlin</w:t>
      </w:r>
      <w:proofErr w:type="spellEnd"/>
      <w:r>
        <w:rPr>
          <w:rFonts w:ascii="Arial" w:hAnsi="Arial" w:cs="Arial"/>
          <w:color w:val="222222"/>
          <w:sz w:val="20"/>
          <w:szCs w:val="20"/>
          <w:shd w:val="clear" w:color="auto" w:fill="FFFFFF"/>
        </w:rPr>
        <w:t>, D., &amp; Nguyen, C. C. (2013). Gastric polyps: a review of clinical, endoscopic, and histopathologic features and management decisions. </w:t>
      </w:r>
      <w:r>
        <w:rPr>
          <w:rFonts w:ascii="Arial" w:hAnsi="Arial" w:cs="Arial"/>
          <w:i/>
          <w:iCs/>
          <w:color w:val="222222"/>
          <w:sz w:val="20"/>
          <w:szCs w:val="20"/>
          <w:shd w:val="clear" w:color="auto" w:fill="FFFFFF"/>
        </w:rPr>
        <w:t>Gastroenterology &amp; hepatology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(10), 640.</w:t>
      </w:r>
    </w:p>
    <w:p w14:paraId="6D949086" w14:textId="3AC54A93" w:rsidR="00FF2163" w:rsidRPr="00FF2163" w:rsidRDefault="00FF2163"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r>
        <w:rPr>
          <w:rFonts w:ascii="Arial" w:hAnsi="Arial" w:cs="Arial"/>
          <w:color w:val="222222"/>
          <w:sz w:val="20"/>
          <w:szCs w:val="20"/>
          <w:shd w:val="clear" w:color="auto" w:fill="FFFFFF"/>
        </w:rPr>
        <w:t>García-Alonso, F. J., Martín-</w:t>
      </w:r>
      <w:proofErr w:type="spellStart"/>
      <w:r>
        <w:rPr>
          <w:rFonts w:ascii="Arial" w:hAnsi="Arial" w:cs="Arial"/>
          <w:color w:val="222222"/>
          <w:sz w:val="20"/>
          <w:szCs w:val="20"/>
          <w:shd w:val="clear" w:color="auto" w:fill="FFFFFF"/>
        </w:rPr>
        <w:t>Mateos</w:t>
      </w:r>
      <w:proofErr w:type="spellEnd"/>
      <w:r>
        <w:rPr>
          <w:rFonts w:ascii="Arial" w:hAnsi="Arial" w:cs="Arial"/>
          <w:color w:val="222222"/>
          <w:sz w:val="20"/>
          <w:szCs w:val="20"/>
          <w:shd w:val="clear" w:color="auto" w:fill="FFFFFF"/>
        </w:rPr>
        <w:t xml:space="preserve">, R. M., González-Martín, J. A., </w:t>
      </w:r>
      <w:proofErr w:type="spellStart"/>
      <w:r>
        <w:rPr>
          <w:rFonts w:ascii="Arial" w:hAnsi="Arial" w:cs="Arial"/>
          <w:color w:val="222222"/>
          <w:sz w:val="20"/>
          <w:szCs w:val="20"/>
          <w:shd w:val="clear" w:color="auto" w:fill="FFFFFF"/>
        </w:rPr>
        <w:t>Foruny</w:t>
      </w:r>
      <w:proofErr w:type="spellEnd"/>
      <w:r>
        <w:rPr>
          <w:rFonts w:ascii="Arial" w:hAnsi="Arial" w:cs="Arial"/>
          <w:color w:val="222222"/>
          <w:sz w:val="20"/>
          <w:szCs w:val="20"/>
          <w:shd w:val="clear" w:color="auto" w:fill="FFFFFF"/>
        </w:rPr>
        <w:t>, J. R., Vázquez-</w:t>
      </w:r>
      <w:proofErr w:type="spellStart"/>
      <w:r>
        <w:rPr>
          <w:rFonts w:ascii="Arial" w:hAnsi="Arial" w:cs="Arial"/>
          <w:color w:val="222222"/>
          <w:sz w:val="20"/>
          <w:szCs w:val="20"/>
          <w:shd w:val="clear" w:color="auto" w:fill="FFFFFF"/>
        </w:rPr>
        <w:t>Sequeiros</w:t>
      </w:r>
      <w:proofErr w:type="spellEnd"/>
      <w:r>
        <w:rPr>
          <w:rFonts w:ascii="Arial" w:hAnsi="Arial" w:cs="Arial"/>
          <w:color w:val="222222"/>
          <w:sz w:val="20"/>
          <w:szCs w:val="20"/>
          <w:shd w:val="clear" w:color="auto" w:fill="FFFFFF"/>
        </w:rPr>
        <w:t xml:space="preserve">, E., &amp; </w:t>
      </w:r>
      <w:proofErr w:type="spellStart"/>
      <w:r>
        <w:rPr>
          <w:rFonts w:ascii="Arial" w:hAnsi="Arial" w:cs="Arial"/>
          <w:color w:val="222222"/>
          <w:sz w:val="20"/>
          <w:szCs w:val="20"/>
          <w:shd w:val="clear" w:color="auto" w:fill="FFFFFF"/>
        </w:rPr>
        <w:t>Boixeda</w:t>
      </w:r>
      <w:proofErr w:type="spellEnd"/>
      <w:r>
        <w:rPr>
          <w:rFonts w:ascii="Arial" w:hAnsi="Arial" w:cs="Arial"/>
          <w:color w:val="222222"/>
          <w:sz w:val="20"/>
          <w:szCs w:val="20"/>
          <w:shd w:val="clear" w:color="auto" w:fill="FFFFFF"/>
        </w:rPr>
        <w:t>-de-Miquel, D. (2011). Gastric polyps: analysis of endoscopic and histological features in our center. </w:t>
      </w:r>
      <w:proofErr w:type="spellStart"/>
      <w:r>
        <w:rPr>
          <w:rFonts w:ascii="Arial" w:hAnsi="Arial" w:cs="Arial"/>
          <w:i/>
          <w:iCs/>
          <w:color w:val="222222"/>
          <w:sz w:val="20"/>
          <w:szCs w:val="20"/>
          <w:shd w:val="clear" w:color="auto" w:fill="FFFFFF"/>
        </w:rPr>
        <w:t>Revista</w:t>
      </w:r>
      <w:proofErr w:type="spellEnd"/>
      <w:r>
        <w:rPr>
          <w:rFonts w:ascii="Arial" w:hAnsi="Arial" w:cs="Arial"/>
          <w:i/>
          <w:iCs/>
          <w:color w:val="222222"/>
          <w:sz w:val="20"/>
          <w:szCs w:val="20"/>
          <w:shd w:val="clear" w:color="auto" w:fill="FFFFFF"/>
        </w:rPr>
        <w:t xml:space="preserve"> Espanola De </w:t>
      </w:r>
      <w:proofErr w:type="spellStart"/>
      <w:r>
        <w:rPr>
          <w:rFonts w:ascii="Arial" w:hAnsi="Arial" w:cs="Arial"/>
          <w:i/>
          <w:iCs/>
          <w:color w:val="222222"/>
          <w:sz w:val="20"/>
          <w:szCs w:val="20"/>
          <w:shd w:val="clear" w:color="auto" w:fill="FFFFFF"/>
        </w:rPr>
        <w:t>Enfermedades</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Digestivas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103</w:t>
      </w:r>
      <w:r>
        <w:rPr>
          <w:rFonts w:ascii="Arial" w:hAnsi="Arial" w:cs="Arial"/>
          <w:color w:val="222222"/>
          <w:sz w:val="20"/>
          <w:szCs w:val="20"/>
          <w:shd w:val="clear" w:color="auto" w:fill="FFFFFF"/>
        </w:rPr>
        <w:t>(8), 416.</w:t>
      </w:r>
    </w:p>
    <w:p w14:paraId="3DCAB0CF" w14:textId="65D6BAE3" w:rsidR="00FF2163" w:rsidRPr="00FF2163" w:rsidRDefault="00FF2163"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Morais</w:t>
      </w:r>
      <w:proofErr w:type="spellEnd"/>
      <w:r>
        <w:rPr>
          <w:rFonts w:ascii="Arial" w:hAnsi="Arial" w:cs="Arial"/>
          <w:color w:val="222222"/>
          <w:sz w:val="20"/>
          <w:szCs w:val="20"/>
          <w:shd w:val="clear" w:color="auto" w:fill="FFFFFF"/>
        </w:rPr>
        <w:t xml:space="preserve">, D. J., Yamanaka, A., </w:t>
      </w:r>
      <w:proofErr w:type="spellStart"/>
      <w:r>
        <w:rPr>
          <w:rFonts w:ascii="Arial" w:hAnsi="Arial" w:cs="Arial"/>
          <w:color w:val="222222"/>
          <w:sz w:val="20"/>
          <w:szCs w:val="20"/>
          <w:shd w:val="clear" w:color="auto" w:fill="FFFFFF"/>
        </w:rPr>
        <w:t>Zeitune</w:t>
      </w:r>
      <w:proofErr w:type="spellEnd"/>
      <w:r>
        <w:rPr>
          <w:rFonts w:ascii="Arial" w:hAnsi="Arial" w:cs="Arial"/>
          <w:color w:val="222222"/>
          <w:sz w:val="20"/>
          <w:szCs w:val="20"/>
          <w:shd w:val="clear" w:color="auto" w:fill="FFFFFF"/>
        </w:rPr>
        <w:t xml:space="preserve">, J. M. R., &amp; </w:t>
      </w:r>
      <w:proofErr w:type="spellStart"/>
      <w:r>
        <w:rPr>
          <w:rFonts w:ascii="Arial" w:hAnsi="Arial" w:cs="Arial"/>
          <w:color w:val="222222"/>
          <w:sz w:val="20"/>
          <w:szCs w:val="20"/>
          <w:shd w:val="clear" w:color="auto" w:fill="FFFFFF"/>
        </w:rPr>
        <w:t>Andreollo</w:t>
      </w:r>
      <w:proofErr w:type="spellEnd"/>
      <w:r>
        <w:rPr>
          <w:rFonts w:ascii="Arial" w:hAnsi="Arial" w:cs="Arial"/>
          <w:color w:val="222222"/>
          <w:sz w:val="20"/>
          <w:szCs w:val="20"/>
          <w:shd w:val="clear" w:color="auto" w:fill="FFFFFF"/>
        </w:rPr>
        <w:t>, N. A. (2007). Gastric polyps: a retrospective analysis of 26,000 digestive endoscopies. </w:t>
      </w:r>
      <w:proofErr w:type="spellStart"/>
      <w:r>
        <w:rPr>
          <w:rFonts w:ascii="Arial" w:hAnsi="Arial" w:cs="Arial"/>
          <w:i/>
          <w:iCs/>
          <w:color w:val="222222"/>
          <w:sz w:val="20"/>
          <w:szCs w:val="20"/>
          <w:shd w:val="clear" w:color="auto" w:fill="FFFFFF"/>
        </w:rPr>
        <w:t>Arquivos</w:t>
      </w:r>
      <w:proofErr w:type="spellEnd"/>
      <w:r>
        <w:rPr>
          <w:rFonts w:ascii="Arial" w:hAnsi="Arial" w:cs="Arial"/>
          <w:i/>
          <w:iCs/>
          <w:color w:val="222222"/>
          <w:sz w:val="20"/>
          <w:szCs w:val="20"/>
          <w:shd w:val="clear" w:color="auto" w:fill="FFFFFF"/>
        </w:rPr>
        <w:t xml:space="preserve"> de </w:t>
      </w:r>
      <w:proofErr w:type="spellStart"/>
      <w:r>
        <w:rPr>
          <w:rFonts w:ascii="Arial" w:hAnsi="Arial" w:cs="Arial"/>
          <w:i/>
          <w:iCs/>
          <w:color w:val="222222"/>
          <w:sz w:val="20"/>
          <w:szCs w:val="20"/>
          <w:shd w:val="clear" w:color="auto" w:fill="FFFFFF"/>
        </w:rPr>
        <w:t>gastroenterologia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44</w:t>
      </w:r>
      <w:r>
        <w:rPr>
          <w:rFonts w:ascii="Arial" w:hAnsi="Arial" w:cs="Arial"/>
          <w:color w:val="222222"/>
          <w:sz w:val="20"/>
          <w:szCs w:val="20"/>
          <w:shd w:val="clear" w:color="auto" w:fill="FFFFFF"/>
        </w:rPr>
        <w:t>, 14-17.</w:t>
      </w:r>
    </w:p>
    <w:p w14:paraId="79CC82E2" w14:textId="5B59808C" w:rsidR="00FF2163" w:rsidRPr="000146D6" w:rsidRDefault="00FF2163" w:rsidP="00D14E2F">
      <w:pPr>
        <w:pStyle w:val="ListParagraph"/>
        <w:numPr>
          <w:ilvl w:val="0"/>
          <w:numId w:val="18"/>
        </w:numPr>
        <w:spacing w:before="100" w:beforeAutospacing="1" w:after="100" w:afterAutospacing="1" w:line="240" w:lineRule="auto"/>
        <w:jc w:val="both"/>
        <w:rPr>
          <w:rFonts w:ascii="Times New Roman" w:eastAsia="Times New Roman" w:hAnsi="Times New Roman" w:cs="Times New Roman"/>
          <w:sz w:val="24"/>
          <w:szCs w:val="24"/>
        </w:rPr>
      </w:pPr>
      <w:proofErr w:type="spellStart"/>
      <w:r>
        <w:rPr>
          <w:rFonts w:ascii="Arial" w:hAnsi="Arial" w:cs="Arial"/>
          <w:color w:val="222222"/>
          <w:sz w:val="20"/>
          <w:szCs w:val="20"/>
          <w:shd w:val="clear" w:color="auto" w:fill="FFFFFF"/>
        </w:rPr>
        <w:t>Shaib</w:t>
      </w:r>
      <w:proofErr w:type="spellEnd"/>
      <w:r>
        <w:rPr>
          <w:rFonts w:ascii="Arial" w:hAnsi="Arial" w:cs="Arial"/>
          <w:color w:val="222222"/>
          <w:sz w:val="20"/>
          <w:szCs w:val="20"/>
          <w:shd w:val="clear" w:color="auto" w:fill="FFFFFF"/>
        </w:rPr>
        <w:t xml:space="preserve">, Y. H., </w:t>
      </w:r>
      <w:proofErr w:type="spellStart"/>
      <w:r>
        <w:rPr>
          <w:rFonts w:ascii="Arial" w:hAnsi="Arial" w:cs="Arial"/>
          <w:color w:val="222222"/>
          <w:sz w:val="20"/>
          <w:szCs w:val="20"/>
          <w:shd w:val="clear" w:color="auto" w:fill="FFFFFF"/>
        </w:rPr>
        <w:t>Rugge</w:t>
      </w:r>
      <w:proofErr w:type="spellEnd"/>
      <w:r>
        <w:rPr>
          <w:rFonts w:ascii="Arial" w:hAnsi="Arial" w:cs="Arial"/>
          <w:color w:val="222222"/>
          <w:sz w:val="20"/>
          <w:szCs w:val="20"/>
          <w:shd w:val="clear" w:color="auto" w:fill="FFFFFF"/>
        </w:rPr>
        <w:t xml:space="preserve">, M., Graham, D. Y., &amp; </w:t>
      </w:r>
      <w:proofErr w:type="spellStart"/>
      <w:r>
        <w:rPr>
          <w:rFonts w:ascii="Arial" w:hAnsi="Arial" w:cs="Arial"/>
          <w:color w:val="222222"/>
          <w:sz w:val="20"/>
          <w:szCs w:val="20"/>
          <w:shd w:val="clear" w:color="auto" w:fill="FFFFFF"/>
        </w:rPr>
        <w:t>Genta</w:t>
      </w:r>
      <w:proofErr w:type="spellEnd"/>
      <w:r>
        <w:rPr>
          <w:rFonts w:ascii="Arial" w:hAnsi="Arial" w:cs="Arial"/>
          <w:color w:val="222222"/>
          <w:sz w:val="20"/>
          <w:szCs w:val="20"/>
          <w:shd w:val="clear" w:color="auto" w:fill="FFFFFF"/>
        </w:rPr>
        <w:t>, R. M. (2013). Management of gastric polyps: an endoscopy-based approach. </w:t>
      </w:r>
      <w:r>
        <w:rPr>
          <w:rFonts w:ascii="Arial" w:hAnsi="Arial" w:cs="Arial"/>
          <w:i/>
          <w:iCs/>
          <w:color w:val="222222"/>
          <w:sz w:val="20"/>
          <w:szCs w:val="20"/>
          <w:shd w:val="clear" w:color="auto" w:fill="FFFFFF"/>
        </w:rPr>
        <w:t>Clinical gastroenterology and hepatology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(11), 1374-1384.</w:t>
      </w:r>
    </w:p>
    <w:p w14:paraId="18F24540" w14:textId="3F280D34" w:rsidR="00BB6C14" w:rsidRPr="000146D6" w:rsidRDefault="00BB6C14" w:rsidP="00D14E2F">
      <w:pPr>
        <w:pStyle w:val="ListParagraph"/>
        <w:spacing w:line="240" w:lineRule="auto"/>
        <w:ind w:right="418"/>
        <w:jc w:val="both"/>
        <w:rPr>
          <w:rFonts w:ascii="Times New Roman" w:hAnsi="Times New Roman" w:cs="Times New Roman"/>
          <w:noProof/>
          <w:sz w:val="24"/>
          <w:szCs w:val="24"/>
        </w:rPr>
      </w:pPr>
    </w:p>
    <w:sectPr w:rsidR="00BB6C14" w:rsidRPr="000146D6" w:rsidSect="00BE7920">
      <w:pgSz w:w="12240" w:h="15840"/>
      <w:pgMar w:top="1440" w:right="902"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0C41E3"/>
    <w:multiLevelType w:val="hybridMultilevel"/>
    <w:tmpl w:val="514E7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630AB5"/>
    <w:multiLevelType w:val="hybridMultilevel"/>
    <w:tmpl w:val="46046B7A"/>
    <w:lvl w:ilvl="0" w:tplc="54966CB8">
      <w:start w:val="1"/>
      <w:numFmt w:val="decimal"/>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6207D3A"/>
    <w:multiLevelType w:val="multilevel"/>
    <w:tmpl w:val="D2B04A90"/>
    <w:lvl w:ilvl="0">
      <w:start w:val="1"/>
      <w:numFmt w:val="decimal"/>
      <w:lvlText w:val="%1."/>
      <w:lvlJc w:val="left"/>
      <w:pPr>
        <w:ind w:left="644"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F10154"/>
    <w:multiLevelType w:val="multilevel"/>
    <w:tmpl w:val="2E0A8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04604"/>
    <w:multiLevelType w:val="hybridMultilevel"/>
    <w:tmpl w:val="CE483616"/>
    <w:lvl w:ilvl="0" w:tplc="03AADBDA">
      <w:start w:val="1"/>
      <w:numFmt w:val="upperLetter"/>
      <w:lvlText w:val="%1."/>
      <w:lvlJc w:val="left"/>
      <w:pPr>
        <w:ind w:left="1314" w:hanging="360"/>
      </w:pPr>
      <w:rPr>
        <w:rFonts w:hint="default"/>
      </w:rPr>
    </w:lvl>
    <w:lvl w:ilvl="1" w:tplc="04090019">
      <w:start w:val="1"/>
      <w:numFmt w:val="lowerLetter"/>
      <w:lvlText w:val="%2."/>
      <w:lvlJc w:val="left"/>
      <w:pPr>
        <w:ind w:left="2034" w:hanging="360"/>
      </w:pPr>
    </w:lvl>
    <w:lvl w:ilvl="2" w:tplc="0409001B">
      <w:start w:val="1"/>
      <w:numFmt w:val="lowerRoman"/>
      <w:lvlText w:val="%3."/>
      <w:lvlJc w:val="right"/>
      <w:pPr>
        <w:ind w:left="2754" w:hanging="180"/>
      </w:pPr>
    </w:lvl>
    <w:lvl w:ilvl="3" w:tplc="0409000F" w:tentative="1">
      <w:start w:val="1"/>
      <w:numFmt w:val="decimal"/>
      <w:lvlText w:val="%4."/>
      <w:lvlJc w:val="left"/>
      <w:pPr>
        <w:ind w:left="3474" w:hanging="360"/>
      </w:pPr>
    </w:lvl>
    <w:lvl w:ilvl="4" w:tplc="04090019" w:tentative="1">
      <w:start w:val="1"/>
      <w:numFmt w:val="lowerLetter"/>
      <w:lvlText w:val="%5."/>
      <w:lvlJc w:val="left"/>
      <w:pPr>
        <w:ind w:left="4194" w:hanging="360"/>
      </w:pPr>
    </w:lvl>
    <w:lvl w:ilvl="5" w:tplc="0409001B" w:tentative="1">
      <w:start w:val="1"/>
      <w:numFmt w:val="lowerRoman"/>
      <w:lvlText w:val="%6."/>
      <w:lvlJc w:val="right"/>
      <w:pPr>
        <w:ind w:left="4914" w:hanging="180"/>
      </w:pPr>
    </w:lvl>
    <w:lvl w:ilvl="6" w:tplc="0409000F">
      <w:start w:val="1"/>
      <w:numFmt w:val="decimal"/>
      <w:lvlText w:val="%7."/>
      <w:lvlJc w:val="left"/>
      <w:pPr>
        <w:ind w:left="5634" w:hanging="360"/>
      </w:pPr>
    </w:lvl>
    <w:lvl w:ilvl="7" w:tplc="04090019" w:tentative="1">
      <w:start w:val="1"/>
      <w:numFmt w:val="lowerLetter"/>
      <w:lvlText w:val="%8."/>
      <w:lvlJc w:val="left"/>
      <w:pPr>
        <w:ind w:left="6354" w:hanging="360"/>
      </w:pPr>
    </w:lvl>
    <w:lvl w:ilvl="8" w:tplc="0409001B" w:tentative="1">
      <w:start w:val="1"/>
      <w:numFmt w:val="lowerRoman"/>
      <w:lvlText w:val="%9."/>
      <w:lvlJc w:val="right"/>
      <w:pPr>
        <w:ind w:left="7074" w:hanging="180"/>
      </w:pPr>
    </w:lvl>
  </w:abstractNum>
  <w:abstractNum w:abstractNumId="14" w15:restartNumberingAfterBreak="0">
    <w:nsid w:val="27802273"/>
    <w:multiLevelType w:val="multilevel"/>
    <w:tmpl w:val="BCC45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BE6668"/>
    <w:multiLevelType w:val="multilevel"/>
    <w:tmpl w:val="FE2E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52093"/>
    <w:multiLevelType w:val="hybridMultilevel"/>
    <w:tmpl w:val="26445150"/>
    <w:lvl w:ilvl="0" w:tplc="2662E98C">
      <w:start w:val="545"/>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680F8F"/>
    <w:multiLevelType w:val="multilevel"/>
    <w:tmpl w:val="13C84A36"/>
    <w:lvl w:ilvl="0">
      <w:start w:val="3"/>
      <w:numFmt w:val="decimal"/>
      <w:lvlText w:val="%1."/>
      <w:lvlJc w:val="left"/>
      <w:pPr>
        <w:ind w:left="360" w:hanging="360"/>
      </w:pPr>
      <w:rPr>
        <w:rFonts w:hint="default"/>
      </w:rPr>
    </w:lvl>
    <w:lvl w:ilvl="1">
      <w:start w:val="1"/>
      <w:numFmt w:val="decimal"/>
      <w:lvlText w:val="%1.%2."/>
      <w:lvlJc w:val="left"/>
      <w:pPr>
        <w:ind w:left="2444" w:hanging="720"/>
      </w:pPr>
      <w:rPr>
        <w:rFonts w:hint="default"/>
      </w:rPr>
    </w:lvl>
    <w:lvl w:ilvl="2">
      <w:start w:val="1"/>
      <w:numFmt w:val="decimal"/>
      <w:lvlText w:val="%1.%2.%3."/>
      <w:lvlJc w:val="left"/>
      <w:pPr>
        <w:ind w:left="4168" w:hanging="720"/>
      </w:pPr>
      <w:rPr>
        <w:rFonts w:hint="default"/>
      </w:rPr>
    </w:lvl>
    <w:lvl w:ilvl="3">
      <w:start w:val="1"/>
      <w:numFmt w:val="decimal"/>
      <w:lvlText w:val="%1.%2.%3.%4."/>
      <w:lvlJc w:val="left"/>
      <w:pPr>
        <w:ind w:left="6252" w:hanging="1080"/>
      </w:pPr>
      <w:rPr>
        <w:rFonts w:hint="default"/>
      </w:rPr>
    </w:lvl>
    <w:lvl w:ilvl="4">
      <w:start w:val="1"/>
      <w:numFmt w:val="decimal"/>
      <w:lvlText w:val="%1.%2.%3.%4.%5."/>
      <w:lvlJc w:val="left"/>
      <w:pPr>
        <w:ind w:left="7976" w:hanging="1080"/>
      </w:pPr>
      <w:rPr>
        <w:rFonts w:hint="default"/>
      </w:rPr>
    </w:lvl>
    <w:lvl w:ilvl="5">
      <w:start w:val="1"/>
      <w:numFmt w:val="decimal"/>
      <w:lvlText w:val="%1.%2.%3.%4.%5.%6."/>
      <w:lvlJc w:val="left"/>
      <w:pPr>
        <w:ind w:left="10060" w:hanging="1440"/>
      </w:pPr>
      <w:rPr>
        <w:rFonts w:hint="default"/>
      </w:rPr>
    </w:lvl>
    <w:lvl w:ilvl="6">
      <w:start w:val="1"/>
      <w:numFmt w:val="decimal"/>
      <w:lvlText w:val="%1.%2.%3.%4.%5.%6.%7."/>
      <w:lvlJc w:val="left"/>
      <w:pPr>
        <w:ind w:left="11784" w:hanging="1440"/>
      </w:pPr>
      <w:rPr>
        <w:rFonts w:hint="default"/>
      </w:rPr>
    </w:lvl>
    <w:lvl w:ilvl="7">
      <w:start w:val="1"/>
      <w:numFmt w:val="decimal"/>
      <w:lvlText w:val="%1.%2.%3.%4.%5.%6.%7.%8."/>
      <w:lvlJc w:val="left"/>
      <w:pPr>
        <w:ind w:left="13868" w:hanging="1800"/>
      </w:pPr>
      <w:rPr>
        <w:rFonts w:hint="default"/>
      </w:rPr>
    </w:lvl>
    <w:lvl w:ilvl="8">
      <w:start w:val="1"/>
      <w:numFmt w:val="decimal"/>
      <w:lvlText w:val="%1.%2.%3.%4.%5.%6.%7.%8.%9."/>
      <w:lvlJc w:val="left"/>
      <w:pPr>
        <w:ind w:left="15592" w:hanging="1800"/>
      </w:pPr>
      <w:rPr>
        <w:rFonts w:hint="default"/>
      </w:rPr>
    </w:lvl>
  </w:abstractNum>
  <w:abstractNum w:abstractNumId="18" w15:restartNumberingAfterBreak="0">
    <w:nsid w:val="446C16D0"/>
    <w:multiLevelType w:val="hybridMultilevel"/>
    <w:tmpl w:val="C6425BB8"/>
    <w:lvl w:ilvl="0" w:tplc="F12261F4">
      <w:numFmt w:val="bullet"/>
      <w:lvlText w:val="-"/>
      <w:lvlJc w:val="left"/>
      <w:pPr>
        <w:ind w:left="720" w:hanging="360"/>
      </w:pPr>
      <w:rPr>
        <w:rFonts w:ascii="Times New Roman" w:eastAsia="Times New Roman"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61844B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672C7C"/>
    <w:multiLevelType w:val="hybridMultilevel"/>
    <w:tmpl w:val="B06CC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7A5CA8"/>
    <w:multiLevelType w:val="hybridMultilevel"/>
    <w:tmpl w:val="DBF02890"/>
    <w:lvl w:ilvl="0" w:tplc="1616B7EE">
      <w:start w:val="1"/>
      <w:numFmt w:val="upperRoman"/>
      <w:lvlText w:val="%1."/>
      <w:lvlJc w:val="left"/>
      <w:pPr>
        <w:ind w:left="1364" w:hanging="720"/>
      </w:pPr>
      <w:rPr>
        <w:rFonts w:hint="default"/>
      </w:r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15:restartNumberingAfterBreak="0">
    <w:nsid w:val="73500ED4"/>
    <w:multiLevelType w:val="hybridMultilevel"/>
    <w:tmpl w:val="360CE6A2"/>
    <w:lvl w:ilvl="0" w:tplc="51664D10">
      <w:start w:val="1"/>
      <w:numFmt w:val="decimal"/>
      <w:pStyle w:val="EndNote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9"/>
  </w:num>
  <w:num w:numId="12">
    <w:abstractNumId w:val="20"/>
  </w:num>
  <w:num w:numId="13">
    <w:abstractNumId w:val="14"/>
  </w:num>
  <w:num w:numId="14">
    <w:abstractNumId w:val="15"/>
  </w:num>
  <w:num w:numId="15">
    <w:abstractNumId w:val="22"/>
  </w:num>
  <w:num w:numId="16">
    <w:abstractNumId w:val="10"/>
  </w:num>
  <w:num w:numId="17">
    <w:abstractNumId w:val="12"/>
  </w:num>
  <w:num w:numId="18">
    <w:abstractNumId w:val="9"/>
  </w:num>
  <w:num w:numId="19">
    <w:abstractNumId w:val="21"/>
  </w:num>
  <w:num w:numId="20">
    <w:abstractNumId w:val="16"/>
  </w:num>
  <w:num w:numId="21">
    <w:abstractNumId w:val="18"/>
  </w:num>
  <w:num w:numId="22">
    <w:abstractNumId w:val="17"/>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yNDQzNzI2srCwsDRR0lEKTi0uzszPAykwrAUATWwoVywAAAA="/>
  </w:docVars>
  <w:rsids>
    <w:rsidRoot w:val="00B47730"/>
    <w:rsid w:val="000146D6"/>
    <w:rsid w:val="00015FA0"/>
    <w:rsid w:val="000174D8"/>
    <w:rsid w:val="00027A7C"/>
    <w:rsid w:val="00034616"/>
    <w:rsid w:val="00035032"/>
    <w:rsid w:val="00046FE7"/>
    <w:rsid w:val="00047B56"/>
    <w:rsid w:val="00053062"/>
    <w:rsid w:val="00057624"/>
    <w:rsid w:val="00060399"/>
    <w:rsid w:val="0006063C"/>
    <w:rsid w:val="00062305"/>
    <w:rsid w:val="00067A03"/>
    <w:rsid w:val="000831C7"/>
    <w:rsid w:val="00092341"/>
    <w:rsid w:val="000952CC"/>
    <w:rsid w:val="00095E34"/>
    <w:rsid w:val="000B338B"/>
    <w:rsid w:val="000B3763"/>
    <w:rsid w:val="000B5992"/>
    <w:rsid w:val="000B7D68"/>
    <w:rsid w:val="000C238B"/>
    <w:rsid w:val="000C5BDD"/>
    <w:rsid w:val="000C5F47"/>
    <w:rsid w:val="000C7924"/>
    <w:rsid w:val="000C7F62"/>
    <w:rsid w:val="000D5B05"/>
    <w:rsid w:val="000E3DD2"/>
    <w:rsid w:val="000E487A"/>
    <w:rsid w:val="000E6E70"/>
    <w:rsid w:val="000F4DB5"/>
    <w:rsid w:val="00120A97"/>
    <w:rsid w:val="00122D3D"/>
    <w:rsid w:val="0012427F"/>
    <w:rsid w:val="001242F0"/>
    <w:rsid w:val="00141F94"/>
    <w:rsid w:val="00144349"/>
    <w:rsid w:val="001444A5"/>
    <w:rsid w:val="0015074B"/>
    <w:rsid w:val="0015787E"/>
    <w:rsid w:val="00161A2E"/>
    <w:rsid w:val="0016378F"/>
    <w:rsid w:val="00165654"/>
    <w:rsid w:val="00171466"/>
    <w:rsid w:val="00174208"/>
    <w:rsid w:val="001746FF"/>
    <w:rsid w:val="0017511D"/>
    <w:rsid w:val="0017793E"/>
    <w:rsid w:val="00180E7B"/>
    <w:rsid w:val="00184CD2"/>
    <w:rsid w:val="00185829"/>
    <w:rsid w:val="00194A48"/>
    <w:rsid w:val="001960B7"/>
    <w:rsid w:val="001C0883"/>
    <w:rsid w:val="001C18FA"/>
    <w:rsid w:val="001D7D4E"/>
    <w:rsid w:val="001E49E8"/>
    <w:rsid w:val="001F0795"/>
    <w:rsid w:val="001F6FD4"/>
    <w:rsid w:val="0020232B"/>
    <w:rsid w:val="002044A6"/>
    <w:rsid w:val="0021273D"/>
    <w:rsid w:val="00213BBE"/>
    <w:rsid w:val="00234E9B"/>
    <w:rsid w:val="00235BDD"/>
    <w:rsid w:val="00241141"/>
    <w:rsid w:val="00256C1D"/>
    <w:rsid w:val="00257B68"/>
    <w:rsid w:val="00260A7C"/>
    <w:rsid w:val="0026193D"/>
    <w:rsid w:val="00273168"/>
    <w:rsid w:val="00283A66"/>
    <w:rsid w:val="00285325"/>
    <w:rsid w:val="002879C0"/>
    <w:rsid w:val="00287E87"/>
    <w:rsid w:val="00295B52"/>
    <w:rsid w:val="0029639D"/>
    <w:rsid w:val="002969C0"/>
    <w:rsid w:val="002A39DF"/>
    <w:rsid w:val="002A3DCA"/>
    <w:rsid w:val="002A6593"/>
    <w:rsid w:val="002B5514"/>
    <w:rsid w:val="002C4EA4"/>
    <w:rsid w:val="002C5663"/>
    <w:rsid w:val="002C701B"/>
    <w:rsid w:val="002D69D3"/>
    <w:rsid w:val="002D6B20"/>
    <w:rsid w:val="002E35EA"/>
    <w:rsid w:val="002E3C6D"/>
    <w:rsid w:val="002E4B3F"/>
    <w:rsid w:val="0030487A"/>
    <w:rsid w:val="00305B85"/>
    <w:rsid w:val="0031206A"/>
    <w:rsid w:val="0031411E"/>
    <w:rsid w:val="00323275"/>
    <w:rsid w:val="00323848"/>
    <w:rsid w:val="00326F90"/>
    <w:rsid w:val="003307A5"/>
    <w:rsid w:val="0034769F"/>
    <w:rsid w:val="00351EC3"/>
    <w:rsid w:val="00354647"/>
    <w:rsid w:val="0036385A"/>
    <w:rsid w:val="0036574E"/>
    <w:rsid w:val="0037306E"/>
    <w:rsid w:val="003850B9"/>
    <w:rsid w:val="003B3BB9"/>
    <w:rsid w:val="003B5BE7"/>
    <w:rsid w:val="003C5ED6"/>
    <w:rsid w:val="003D58B6"/>
    <w:rsid w:val="003E2489"/>
    <w:rsid w:val="003E4702"/>
    <w:rsid w:val="003E6F4E"/>
    <w:rsid w:val="003F067A"/>
    <w:rsid w:val="003F4B6E"/>
    <w:rsid w:val="003F62EB"/>
    <w:rsid w:val="003F7D0E"/>
    <w:rsid w:val="0040010A"/>
    <w:rsid w:val="004012DC"/>
    <w:rsid w:val="00402AA3"/>
    <w:rsid w:val="00402CCF"/>
    <w:rsid w:val="00403271"/>
    <w:rsid w:val="004066DD"/>
    <w:rsid w:val="0040734C"/>
    <w:rsid w:val="00426001"/>
    <w:rsid w:val="00431011"/>
    <w:rsid w:val="004359D3"/>
    <w:rsid w:val="0044776C"/>
    <w:rsid w:val="00451181"/>
    <w:rsid w:val="00461606"/>
    <w:rsid w:val="00462C37"/>
    <w:rsid w:val="00464C31"/>
    <w:rsid w:val="00466728"/>
    <w:rsid w:val="00467D3D"/>
    <w:rsid w:val="00485156"/>
    <w:rsid w:val="00494C8E"/>
    <w:rsid w:val="004A32DA"/>
    <w:rsid w:val="004A4759"/>
    <w:rsid w:val="004A6A50"/>
    <w:rsid w:val="004B2656"/>
    <w:rsid w:val="004C2308"/>
    <w:rsid w:val="004D74EA"/>
    <w:rsid w:val="004E20D4"/>
    <w:rsid w:val="004E5F4F"/>
    <w:rsid w:val="004F63E4"/>
    <w:rsid w:val="00503F63"/>
    <w:rsid w:val="00523FEE"/>
    <w:rsid w:val="00535F67"/>
    <w:rsid w:val="0053603D"/>
    <w:rsid w:val="005632A6"/>
    <w:rsid w:val="00567814"/>
    <w:rsid w:val="005729FB"/>
    <w:rsid w:val="00575B8C"/>
    <w:rsid w:val="005820C2"/>
    <w:rsid w:val="00590C2C"/>
    <w:rsid w:val="00592674"/>
    <w:rsid w:val="00593E9F"/>
    <w:rsid w:val="005943D7"/>
    <w:rsid w:val="005A3AE0"/>
    <w:rsid w:val="005B2886"/>
    <w:rsid w:val="005B2BA9"/>
    <w:rsid w:val="005D014F"/>
    <w:rsid w:val="005D1EED"/>
    <w:rsid w:val="005D771E"/>
    <w:rsid w:val="005E19BC"/>
    <w:rsid w:val="005E1F7D"/>
    <w:rsid w:val="005F1CFF"/>
    <w:rsid w:val="005F3860"/>
    <w:rsid w:val="005F42A8"/>
    <w:rsid w:val="0060031A"/>
    <w:rsid w:val="00601300"/>
    <w:rsid w:val="00601C13"/>
    <w:rsid w:val="00603C4F"/>
    <w:rsid w:val="00611177"/>
    <w:rsid w:val="00620244"/>
    <w:rsid w:val="00620BE0"/>
    <w:rsid w:val="00621EA0"/>
    <w:rsid w:val="00622F77"/>
    <w:rsid w:val="00644445"/>
    <w:rsid w:val="0066595E"/>
    <w:rsid w:val="006773AB"/>
    <w:rsid w:val="0069695B"/>
    <w:rsid w:val="006974CE"/>
    <w:rsid w:val="006A26C2"/>
    <w:rsid w:val="006B51E3"/>
    <w:rsid w:val="006B5339"/>
    <w:rsid w:val="006B6959"/>
    <w:rsid w:val="006D5F03"/>
    <w:rsid w:val="006E3F5A"/>
    <w:rsid w:val="00700774"/>
    <w:rsid w:val="007102CC"/>
    <w:rsid w:val="0074418F"/>
    <w:rsid w:val="00744EB2"/>
    <w:rsid w:val="0075109B"/>
    <w:rsid w:val="00751469"/>
    <w:rsid w:val="00753E4A"/>
    <w:rsid w:val="00767AE9"/>
    <w:rsid w:val="00771488"/>
    <w:rsid w:val="00772845"/>
    <w:rsid w:val="0077448A"/>
    <w:rsid w:val="00775A27"/>
    <w:rsid w:val="00781ECB"/>
    <w:rsid w:val="007858C4"/>
    <w:rsid w:val="007A2044"/>
    <w:rsid w:val="007A3ED7"/>
    <w:rsid w:val="007A4EC3"/>
    <w:rsid w:val="007C061A"/>
    <w:rsid w:val="007C3EC5"/>
    <w:rsid w:val="007C4F1D"/>
    <w:rsid w:val="007E0C41"/>
    <w:rsid w:val="007E34C7"/>
    <w:rsid w:val="007E5AEF"/>
    <w:rsid w:val="007E6059"/>
    <w:rsid w:val="007F3A1E"/>
    <w:rsid w:val="008049A5"/>
    <w:rsid w:val="0081000B"/>
    <w:rsid w:val="008103F9"/>
    <w:rsid w:val="00816E73"/>
    <w:rsid w:val="008244E7"/>
    <w:rsid w:val="0082451E"/>
    <w:rsid w:val="00827D2C"/>
    <w:rsid w:val="008306EC"/>
    <w:rsid w:val="008462D3"/>
    <w:rsid w:val="008501AD"/>
    <w:rsid w:val="00852C8B"/>
    <w:rsid w:val="008540CD"/>
    <w:rsid w:val="008627AA"/>
    <w:rsid w:val="00877E5D"/>
    <w:rsid w:val="00881B9D"/>
    <w:rsid w:val="00884DEF"/>
    <w:rsid w:val="00890032"/>
    <w:rsid w:val="008A61A8"/>
    <w:rsid w:val="008B3B28"/>
    <w:rsid w:val="008B4C31"/>
    <w:rsid w:val="008C1ED8"/>
    <w:rsid w:val="008C510E"/>
    <w:rsid w:val="008C6441"/>
    <w:rsid w:val="008D189A"/>
    <w:rsid w:val="008D6A44"/>
    <w:rsid w:val="008F2DAE"/>
    <w:rsid w:val="00900FEC"/>
    <w:rsid w:val="009037B9"/>
    <w:rsid w:val="00910D5F"/>
    <w:rsid w:val="00915FC3"/>
    <w:rsid w:val="009160C4"/>
    <w:rsid w:val="0092230C"/>
    <w:rsid w:val="0092694E"/>
    <w:rsid w:val="00927182"/>
    <w:rsid w:val="0092722F"/>
    <w:rsid w:val="00936236"/>
    <w:rsid w:val="00940586"/>
    <w:rsid w:val="00940A12"/>
    <w:rsid w:val="00941CBC"/>
    <w:rsid w:val="00942C46"/>
    <w:rsid w:val="00944FA9"/>
    <w:rsid w:val="00947708"/>
    <w:rsid w:val="00947B19"/>
    <w:rsid w:val="00947BC7"/>
    <w:rsid w:val="00951FA1"/>
    <w:rsid w:val="009630C8"/>
    <w:rsid w:val="00966FBE"/>
    <w:rsid w:val="009841A0"/>
    <w:rsid w:val="009876B3"/>
    <w:rsid w:val="00990E73"/>
    <w:rsid w:val="00996D68"/>
    <w:rsid w:val="009A3F3A"/>
    <w:rsid w:val="009A4E53"/>
    <w:rsid w:val="009C2F2C"/>
    <w:rsid w:val="009C5240"/>
    <w:rsid w:val="009D1610"/>
    <w:rsid w:val="009D7363"/>
    <w:rsid w:val="009E0941"/>
    <w:rsid w:val="009E723A"/>
    <w:rsid w:val="009F3B4F"/>
    <w:rsid w:val="00A00443"/>
    <w:rsid w:val="00A07476"/>
    <w:rsid w:val="00A153A0"/>
    <w:rsid w:val="00A1639B"/>
    <w:rsid w:val="00A2521F"/>
    <w:rsid w:val="00A254B3"/>
    <w:rsid w:val="00A3111C"/>
    <w:rsid w:val="00A32759"/>
    <w:rsid w:val="00A37DF9"/>
    <w:rsid w:val="00A42C27"/>
    <w:rsid w:val="00A5210A"/>
    <w:rsid w:val="00A6296F"/>
    <w:rsid w:val="00A63761"/>
    <w:rsid w:val="00A6786E"/>
    <w:rsid w:val="00A67EC8"/>
    <w:rsid w:val="00A70EE4"/>
    <w:rsid w:val="00A75458"/>
    <w:rsid w:val="00A76C6C"/>
    <w:rsid w:val="00A800BB"/>
    <w:rsid w:val="00A82181"/>
    <w:rsid w:val="00A979E5"/>
    <w:rsid w:val="00AA12B7"/>
    <w:rsid w:val="00AA1D8D"/>
    <w:rsid w:val="00AB3EBA"/>
    <w:rsid w:val="00AB7619"/>
    <w:rsid w:val="00AC14CB"/>
    <w:rsid w:val="00AC48E3"/>
    <w:rsid w:val="00AC615E"/>
    <w:rsid w:val="00AD63A2"/>
    <w:rsid w:val="00AE68B7"/>
    <w:rsid w:val="00AE6EAE"/>
    <w:rsid w:val="00AF2846"/>
    <w:rsid w:val="00B017D5"/>
    <w:rsid w:val="00B04483"/>
    <w:rsid w:val="00B04A51"/>
    <w:rsid w:val="00B0787F"/>
    <w:rsid w:val="00B21D08"/>
    <w:rsid w:val="00B21E27"/>
    <w:rsid w:val="00B272C5"/>
    <w:rsid w:val="00B3639E"/>
    <w:rsid w:val="00B370A9"/>
    <w:rsid w:val="00B41440"/>
    <w:rsid w:val="00B41839"/>
    <w:rsid w:val="00B422B0"/>
    <w:rsid w:val="00B47730"/>
    <w:rsid w:val="00B60291"/>
    <w:rsid w:val="00B62B8D"/>
    <w:rsid w:val="00B653AC"/>
    <w:rsid w:val="00B714B6"/>
    <w:rsid w:val="00B73BEF"/>
    <w:rsid w:val="00B7634A"/>
    <w:rsid w:val="00B9703B"/>
    <w:rsid w:val="00B9791B"/>
    <w:rsid w:val="00B97B2E"/>
    <w:rsid w:val="00BA4B3C"/>
    <w:rsid w:val="00BB02AB"/>
    <w:rsid w:val="00BB4D83"/>
    <w:rsid w:val="00BB6C14"/>
    <w:rsid w:val="00BB6C1A"/>
    <w:rsid w:val="00BC40A6"/>
    <w:rsid w:val="00BD6ADF"/>
    <w:rsid w:val="00BD7CBF"/>
    <w:rsid w:val="00BE047E"/>
    <w:rsid w:val="00BE7920"/>
    <w:rsid w:val="00BF39C5"/>
    <w:rsid w:val="00BF5341"/>
    <w:rsid w:val="00C06C09"/>
    <w:rsid w:val="00C07BA1"/>
    <w:rsid w:val="00C10010"/>
    <w:rsid w:val="00C14D72"/>
    <w:rsid w:val="00C2024A"/>
    <w:rsid w:val="00C25E5A"/>
    <w:rsid w:val="00C27997"/>
    <w:rsid w:val="00C34B56"/>
    <w:rsid w:val="00C34FE7"/>
    <w:rsid w:val="00C422DB"/>
    <w:rsid w:val="00C50E8B"/>
    <w:rsid w:val="00C555DD"/>
    <w:rsid w:val="00C632E0"/>
    <w:rsid w:val="00C71919"/>
    <w:rsid w:val="00C81B76"/>
    <w:rsid w:val="00C8205C"/>
    <w:rsid w:val="00C959EF"/>
    <w:rsid w:val="00CA228B"/>
    <w:rsid w:val="00CA68CB"/>
    <w:rsid w:val="00CB0664"/>
    <w:rsid w:val="00CB12E7"/>
    <w:rsid w:val="00CD05B4"/>
    <w:rsid w:val="00CE1F0E"/>
    <w:rsid w:val="00CE7375"/>
    <w:rsid w:val="00D06480"/>
    <w:rsid w:val="00D07D49"/>
    <w:rsid w:val="00D1333B"/>
    <w:rsid w:val="00D14E2F"/>
    <w:rsid w:val="00D151E5"/>
    <w:rsid w:val="00D32993"/>
    <w:rsid w:val="00D3377B"/>
    <w:rsid w:val="00D356B0"/>
    <w:rsid w:val="00D4008B"/>
    <w:rsid w:val="00D42274"/>
    <w:rsid w:val="00D5711C"/>
    <w:rsid w:val="00D70BA0"/>
    <w:rsid w:val="00D7222A"/>
    <w:rsid w:val="00D915C9"/>
    <w:rsid w:val="00D948DF"/>
    <w:rsid w:val="00DA0B65"/>
    <w:rsid w:val="00DA157B"/>
    <w:rsid w:val="00DB0172"/>
    <w:rsid w:val="00DB2189"/>
    <w:rsid w:val="00DB280D"/>
    <w:rsid w:val="00DC7F51"/>
    <w:rsid w:val="00DD09BA"/>
    <w:rsid w:val="00DD27B9"/>
    <w:rsid w:val="00DD37DE"/>
    <w:rsid w:val="00DE2F27"/>
    <w:rsid w:val="00DF42FA"/>
    <w:rsid w:val="00DF49E6"/>
    <w:rsid w:val="00DF564A"/>
    <w:rsid w:val="00DF7BA2"/>
    <w:rsid w:val="00E03AEB"/>
    <w:rsid w:val="00E1124D"/>
    <w:rsid w:val="00E13DB7"/>
    <w:rsid w:val="00E14050"/>
    <w:rsid w:val="00E16636"/>
    <w:rsid w:val="00E23CA1"/>
    <w:rsid w:val="00E24BD6"/>
    <w:rsid w:val="00E4235D"/>
    <w:rsid w:val="00E43929"/>
    <w:rsid w:val="00E475B2"/>
    <w:rsid w:val="00E60C24"/>
    <w:rsid w:val="00E6319A"/>
    <w:rsid w:val="00E707CD"/>
    <w:rsid w:val="00E70B7C"/>
    <w:rsid w:val="00E72134"/>
    <w:rsid w:val="00E741CD"/>
    <w:rsid w:val="00E75EEA"/>
    <w:rsid w:val="00E86C80"/>
    <w:rsid w:val="00E90A21"/>
    <w:rsid w:val="00E92EFF"/>
    <w:rsid w:val="00E944C0"/>
    <w:rsid w:val="00E947C6"/>
    <w:rsid w:val="00EB0B18"/>
    <w:rsid w:val="00EB37AF"/>
    <w:rsid w:val="00EC11D8"/>
    <w:rsid w:val="00EC3508"/>
    <w:rsid w:val="00EC7CB9"/>
    <w:rsid w:val="00ED4032"/>
    <w:rsid w:val="00EF0609"/>
    <w:rsid w:val="00EF3D3F"/>
    <w:rsid w:val="00F03FAF"/>
    <w:rsid w:val="00F06CB6"/>
    <w:rsid w:val="00F12DF2"/>
    <w:rsid w:val="00F166F5"/>
    <w:rsid w:val="00F20CE2"/>
    <w:rsid w:val="00F22EC0"/>
    <w:rsid w:val="00F3188F"/>
    <w:rsid w:val="00F32614"/>
    <w:rsid w:val="00F34EE0"/>
    <w:rsid w:val="00F556D9"/>
    <w:rsid w:val="00F5687D"/>
    <w:rsid w:val="00F63775"/>
    <w:rsid w:val="00F7204D"/>
    <w:rsid w:val="00F72FEE"/>
    <w:rsid w:val="00F813E0"/>
    <w:rsid w:val="00F8140F"/>
    <w:rsid w:val="00F82FDE"/>
    <w:rsid w:val="00F85544"/>
    <w:rsid w:val="00F8761F"/>
    <w:rsid w:val="00F87B32"/>
    <w:rsid w:val="00FA37A6"/>
    <w:rsid w:val="00FB53A3"/>
    <w:rsid w:val="00FB6550"/>
    <w:rsid w:val="00FC044F"/>
    <w:rsid w:val="00FC693F"/>
    <w:rsid w:val="00FE27B8"/>
    <w:rsid w:val="00FE3390"/>
    <w:rsid w:val="00FF2163"/>
    <w:rsid w:val="00FF2402"/>
    <w:rsid w:val="00FF3FAA"/>
    <w:rsid w:val="00FF62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247B1B"/>
  <w14:defaultImageDpi w14:val="300"/>
  <w15:docId w15:val="{4DA814CC-9D43-495F-A7E3-A2F2767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rsid w:val="007F3A1E"/>
    <w:pPr>
      <w:spacing w:after="0" w:line="280" w:lineRule="exact"/>
      <w:jc w:val="right"/>
    </w:pPr>
    <w:rPr>
      <w:rFonts w:ascii="Helvetica" w:eastAsia="Times New Roman" w:hAnsi="Helvetica" w:cs="Times New Roman"/>
      <w:b/>
      <w:sz w:val="24"/>
      <w:szCs w:val="20"/>
    </w:rPr>
  </w:style>
  <w:style w:type="paragraph" w:customStyle="1" w:styleId="Affiliation">
    <w:name w:val="Affiliation"/>
    <w:basedOn w:val="Normal"/>
    <w:rsid w:val="007F3A1E"/>
    <w:pPr>
      <w:spacing w:after="240" w:line="240" w:lineRule="exact"/>
      <w:jc w:val="right"/>
    </w:pPr>
    <w:rPr>
      <w:rFonts w:ascii="Helvetica" w:eastAsia="Times New Roman" w:hAnsi="Helvetica" w:cs="Times New Roman"/>
      <w:sz w:val="20"/>
      <w:szCs w:val="20"/>
    </w:rPr>
  </w:style>
  <w:style w:type="paragraph" w:styleId="NormalWeb">
    <w:name w:val="Normal (Web)"/>
    <w:basedOn w:val="Normal"/>
    <w:uiPriority w:val="99"/>
    <w:unhideWhenUsed/>
    <w:rsid w:val="00E14050"/>
    <w:pPr>
      <w:spacing w:before="100" w:beforeAutospacing="1" w:after="100" w:afterAutospacing="1" w:line="240" w:lineRule="auto"/>
    </w:pPr>
    <w:rPr>
      <w:rFonts w:ascii="Times New Roman" w:eastAsia="Times New Roman" w:hAnsi="Times New Roman" w:cs="Times New Roman"/>
      <w:sz w:val="28"/>
      <w:szCs w:val="24"/>
    </w:rPr>
  </w:style>
  <w:style w:type="paragraph" w:customStyle="1" w:styleId="AcknHead">
    <w:name w:val="Ackn Head"/>
    <w:basedOn w:val="Normal"/>
    <w:rsid w:val="005729FB"/>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5729FB"/>
    <w:pPr>
      <w:keepNext/>
      <w:spacing w:after="240" w:line="240" w:lineRule="auto"/>
    </w:pPr>
    <w:rPr>
      <w:rFonts w:ascii="Helvetica" w:eastAsia="Times New Roman" w:hAnsi="Helvetica" w:cs="Times New Roman"/>
      <w:b/>
      <w:caps/>
      <w:szCs w:val="20"/>
    </w:rPr>
  </w:style>
  <w:style w:type="paragraph" w:customStyle="1" w:styleId="EndNoteBibliography">
    <w:name w:val="EndNote Bibliography"/>
    <w:basedOn w:val="Normal"/>
    <w:link w:val="EndNoteBibliographyChar"/>
    <w:autoRedefine/>
    <w:qFormat/>
    <w:rsid w:val="00BB6C14"/>
    <w:pPr>
      <w:numPr>
        <w:numId w:val="15"/>
      </w:numPr>
      <w:spacing w:after="0" w:line="240" w:lineRule="auto"/>
      <w:jc w:val="both"/>
    </w:pPr>
    <w:rPr>
      <w:rFonts w:ascii="Arial" w:eastAsia="MS Mincho" w:hAnsi="Arial" w:cs="Arial"/>
      <w:noProof/>
      <w:sz w:val="20"/>
      <w:szCs w:val="20"/>
      <w:lang w:eastAsia="ja-JP"/>
    </w:rPr>
  </w:style>
  <w:style w:type="character" w:customStyle="1" w:styleId="EndNoteBibliographyChar">
    <w:name w:val="EndNote Bibliography Char"/>
    <w:basedOn w:val="DefaultParagraphFont"/>
    <w:link w:val="EndNoteBibliography"/>
    <w:rsid w:val="00BB6C14"/>
    <w:rPr>
      <w:rFonts w:ascii="Arial" w:eastAsia="MS Mincho" w:hAnsi="Arial" w:cs="Arial"/>
      <w:noProof/>
      <w:sz w:val="20"/>
      <w:szCs w:val="20"/>
      <w:lang w:eastAsia="ja-JP"/>
    </w:rPr>
  </w:style>
  <w:style w:type="character" w:styleId="Hyperlink">
    <w:name w:val="Hyperlink"/>
    <w:basedOn w:val="DefaultParagraphFont"/>
    <w:uiPriority w:val="99"/>
    <w:unhideWhenUsed/>
    <w:rsid w:val="0075109B"/>
    <w:rPr>
      <w:color w:val="0000FF" w:themeColor="hyperlink"/>
      <w:u w:val="single"/>
    </w:rPr>
  </w:style>
  <w:style w:type="character" w:customStyle="1" w:styleId="normaltextrun">
    <w:name w:val="normaltextrun"/>
    <w:basedOn w:val="DefaultParagraphFont"/>
    <w:qFormat/>
    <w:rsid w:val="004A4759"/>
    <w:rPr>
      <w:rFonts w:ascii="Times New Roman" w:hAnsi="Times New Roman"/>
      <w:b w:val="0"/>
      <w:sz w:val="26"/>
    </w:rPr>
  </w:style>
  <w:style w:type="character" w:styleId="UnresolvedMention">
    <w:name w:val="Unresolved Mention"/>
    <w:basedOn w:val="DefaultParagraphFont"/>
    <w:uiPriority w:val="99"/>
    <w:semiHidden/>
    <w:unhideWhenUsed/>
    <w:rsid w:val="00523FEE"/>
    <w:rPr>
      <w:color w:val="605E5C"/>
      <w:shd w:val="clear" w:color="auto" w:fill="E1DFDD"/>
    </w:rPr>
  </w:style>
  <w:style w:type="character" w:customStyle="1" w:styleId="whitespace-normal">
    <w:name w:val="whitespace-normal"/>
    <w:basedOn w:val="DefaultParagraphFont"/>
    <w:rsid w:val="00AC14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books/NBK56070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E590F-F8DE-492A-A23E-D5DF987B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537</TotalTime>
  <Pages>11</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PC New 16</cp:lastModifiedBy>
  <cp:revision>27</cp:revision>
  <dcterms:created xsi:type="dcterms:W3CDTF">2026-01-23T05:26:00Z</dcterms:created>
  <dcterms:modified xsi:type="dcterms:W3CDTF">2026-03-17T09:05:00Z</dcterms:modified>
  <cp:category/>
</cp:coreProperties>
</file>