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3F9" w:rsidRDefault="00E97B5E">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Effectiveness of Flood Disaster Management Strategies in Benue State, Nigeria: Evidence from the 2022 Makurdi Flood Event</w:t>
      </w:r>
    </w:p>
    <w:p w:rsidR="00E353F9" w:rsidRDefault="00E353F9">
      <w:pPr>
        <w:spacing w:after="0" w:line="240" w:lineRule="auto"/>
        <w:ind w:left="2160" w:firstLine="720"/>
        <w:jc w:val="both"/>
        <w:rPr>
          <w:rFonts w:ascii="Times New Roman" w:hAnsi="Times New Roman" w:cs="Times New Roman"/>
          <w:b/>
          <w:bCs/>
          <w:sz w:val="24"/>
          <w:szCs w:val="24"/>
        </w:rPr>
      </w:pPr>
    </w:p>
    <w:p w:rsidR="00E353F9" w:rsidRDefault="00E97B5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rsidR="00E353F9" w:rsidRDefault="00E97B5E">
      <w:pPr>
        <w:spacing w:line="240" w:lineRule="auto"/>
        <w:jc w:val="both"/>
      </w:pPr>
      <w:r>
        <w:t>This study evaluated the effectiveness of flood disaster management strategies during the 2022 Makurdi flood in Benue State, Nigeria. A mixed</w:t>
      </w:r>
      <w:r>
        <w:rPr>
          <w:rFonts w:ascii="Cambria Math" w:hAnsi="Cambria Math" w:cs="Cambria Math"/>
        </w:rPr>
        <w:t>‑</w:t>
      </w:r>
      <w:r>
        <w:t>methods design was used, involving 384 household questionnaires (365 retrieved) and 12 key</w:t>
      </w:r>
      <w:r>
        <w:rPr>
          <w:rFonts w:ascii="Cambria Math" w:hAnsi="Cambria Math" w:cs="Cambria Math"/>
        </w:rPr>
        <w:t>‑</w:t>
      </w:r>
      <w:r>
        <w:t>informant interviews. Quantitative data were analyzed using frequencies, percentages, means, standard deviations, and effectiveness indices, while qualitative data were examined thematically. Findings show that 68% of households relied on sandbags or wooden barriers and 60.5% cleared drains, but only 15.6% monitored rainfall and 15.1% stored food and water. Early warnings reached 77.3% of respondents, yet 33.7% received them only a few days before flooding; radio (58.4%) and social media (46%) were the main channels. The Household Preparedness Effectiveness Index (HPEI) was 3.40 (moderate) and the Early Warning Effectiveness Index (EWEI) was 3.49 (moderate). Response actions were largely reactive: 34.5% stayed at home, 27.1% moved to higher ground, and only 11% evacuated to camps, with just 20% acting immediately after warnings. Major challenges included poor drainage maintenance (mean = 3.12), late warnings (mean = 3.00), and weak institutional coordination (mean = 3.11). The Composite Flood Management Effectiveness Index (CFMEI) was 0.55, indicating moderate overall effectiveness. To improve outcomes, the study recommends strengthening early warning systems (radio, SMS, community networks) and integrating NiMet/NIHSA forecasts; promoting household preparedness through awareness, evacuation training, and support for sandbags and door</w:t>
      </w:r>
      <w:r>
        <w:rPr>
          <w:rFonts w:ascii="Cambria Math" w:hAnsi="Cambria Math" w:cs="Cambria Math"/>
        </w:rPr>
        <w:t>‑</w:t>
      </w:r>
      <w:r>
        <w:t>step raising; clarifying roles of NEMA, SEMA, local government, and community leaders and establishing joint response frameworks; investing in drainage infrastructure, enforcing land</w:t>
      </w:r>
      <w:r>
        <w:rPr>
          <w:rFonts w:ascii="Cambria Math" w:hAnsi="Cambria Math" w:cs="Cambria Math"/>
        </w:rPr>
        <w:t>‑</w:t>
      </w:r>
      <w:r>
        <w:t>use regulations, and pre</w:t>
      </w:r>
      <w:r>
        <w:rPr>
          <w:rFonts w:ascii="Cambria Math" w:hAnsi="Cambria Math" w:cs="Cambria Math"/>
        </w:rPr>
        <w:t>‑</w:t>
      </w:r>
      <w:r>
        <w:t>positioning relief materials; and developing sustainable recovery programs that restore livelihoods and housing with community participation.</w:t>
      </w:r>
    </w:p>
    <w:p w:rsidR="00E353F9" w:rsidRDefault="00E97B5E">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Effectiveness, Flood Disaster, Management Strategies, Flood Event</w:t>
      </w:r>
    </w:p>
    <w:p w:rsidR="00E353F9" w:rsidRDefault="00E97B5E">
      <w:pPr>
        <w:spacing w:before="240" w:after="0" w:line="276"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Introduction</w:t>
      </w:r>
    </w:p>
    <w:p w:rsidR="00E353F9" w:rsidRDefault="00E97B5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Flooding is one of the most destructive natural hazards affecting human settlements, infrastructure, livelihoods, and ecosystems across the world. It occurs when excessive water from rainfall, river overflow, or dam releases inundates normally dry land, resulting in loss of lives, displacement of populations, destruction of property, and disruption of socio-economic activities. Globally, floods account for nearly 40% of all recorded natural disasters, making them the most frequent hydrometeorological hazard (UNDRR, 2020). The increasing frequency and magnitude of flood events have been linked to climate variability and change, rapid urbanization, land-use modification, and weak environmental governance, particularly in developing countries (IPCC, 2021). These realities have shifted global attention from the mere occurrence of floods to the </w:t>
      </w:r>
      <w:r>
        <w:rPr>
          <w:rFonts w:ascii="Times New Roman" w:eastAsia="Times New Roman" w:hAnsi="Times New Roman" w:cs="Times New Roman"/>
          <w:bCs/>
          <w:sz w:val="24"/>
          <w:szCs w:val="24"/>
        </w:rPr>
        <w:t>effectiveness of flood management strategies</w:t>
      </w:r>
      <w:r>
        <w:rPr>
          <w:rFonts w:ascii="Times New Roman" w:eastAsia="Times New Roman" w:hAnsi="Times New Roman" w:cs="Times New Roman"/>
          <w:sz w:val="24"/>
          <w:szCs w:val="24"/>
        </w:rPr>
        <w:t xml:space="preserve"> in reducing impacts and enhancing resilience.</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Flooding becomes a disaster not solely because of the volume of water involved, but because it overwhelms the coping capacity of affected communities and institutions. The World Bank (2019) estimates that over 1.5 billion people worldwide have been affected by floods in the last two decades, with the most severe impacts recorded in low- and middle-income countries where institutional capacity and disaster preparedness are often weak. In Africa, floods pose significant </w:t>
      </w:r>
      <w:r>
        <w:rPr>
          <w:rFonts w:ascii="Times New Roman" w:eastAsia="Times New Roman" w:hAnsi="Times New Roman" w:cs="Times New Roman"/>
          <w:sz w:val="24"/>
          <w:szCs w:val="24"/>
        </w:rPr>
        <w:lastRenderedPageBreak/>
        <w:t xml:space="preserve">threats to food security, livelihoods, and development, particularly in agrarian regions where climate-sensitive activities dominate local economies (Opere, 2019). Nigeria ranks among the most flood-prone countries in West Africa, having experienced several devastating flood events, notably in 2012 and 2022, which caused extensive displacement and economic losses running into billions of naira (NEMA, 2022). These recurring flood events underscore the need not just for flood management interventions, but for a critical evaluation of how </w:t>
      </w:r>
      <w:r>
        <w:rPr>
          <w:rFonts w:ascii="Times New Roman" w:eastAsia="Times New Roman" w:hAnsi="Times New Roman" w:cs="Times New Roman"/>
          <w:bCs/>
          <w:sz w:val="24"/>
          <w:szCs w:val="24"/>
        </w:rPr>
        <w:t>effective</w:t>
      </w:r>
      <w:r>
        <w:rPr>
          <w:rFonts w:ascii="Times New Roman" w:eastAsia="Times New Roman" w:hAnsi="Times New Roman" w:cs="Times New Roman"/>
          <w:sz w:val="24"/>
          <w:szCs w:val="24"/>
        </w:rPr>
        <w:t xml:space="preserve"> such interventions are in practice.</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Nigeria, flood management is coordinated primarily by the National Emergency Management Agency (NEMA), in collaboration with State Emergency Management Agencies (SEMAs) and other stakeholders. Instruments such as the Annual Flood Outlook issued by the Nigeria Hydrological Services Agency (NIHSA) are intended to support flood preparedness through early warning and risk information (NIHSA, 2022). Despite these frameworks, flood management outcomes in many Nigerian cities remain unsatisfactory, with repeated losses suggesting gaps between policy intentions and on-ground effectiveness. Hence, the need to understand management strategies adopted by affected population.  Urban centres such as Makurdi, Lagos, and Port Harcourt continue to experience severe flood impacts due to weak preparedness, delayed response, and inadequate post-disaster recovery support (Olanrewaju et al., 2019).</w:t>
      </w:r>
    </w:p>
    <w:p w:rsidR="00E353F9" w:rsidRDefault="00E97B5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Benue State is particularly vulnerable to flooding because of its location along the River Benue and its tributaries. Makurdi, the state capital, experiences recurrent flooding during peak rainfall periods, with the 2012 and 2022 flood events being among the most severe in recent history (Benue SEMA, 2022). The 2022 flood event caused widespread displacement, destruction of farmlands and housing, and disruption of livelihoods. While various preparedness measures, emergency response actions, and recovery interventions were undertaken by government agencies, non-governmental organizations, and community groups, the </w:t>
      </w:r>
      <w:r>
        <w:rPr>
          <w:rFonts w:ascii="Times New Roman" w:eastAsia="Times New Roman" w:hAnsi="Times New Roman" w:cs="Times New Roman"/>
          <w:bCs/>
          <w:sz w:val="24"/>
          <w:szCs w:val="24"/>
        </w:rPr>
        <w:t>extent to which these strategies were effective remains unclear</w:t>
      </w:r>
      <w:r>
        <w:rPr>
          <w:rFonts w:ascii="Times New Roman" w:eastAsia="Times New Roman" w:hAnsi="Times New Roman" w:cs="Times New Roman"/>
          <w:sz w:val="24"/>
          <w:szCs w:val="24"/>
        </w:rPr>
        <w:t xml:space="preserve">. </w:t>
      </w:r>
    </w:p>
    <w:p w:rsidR="00E353F9" w:rsidRDefault="00E97B5E">
      <w:pPr>
        <w:spacing w:before="240" w:after="0" w:line="276"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of the Research Problem</w:t>
      </w:r>
    </w:p>
    <w:p w:rsidR="00E353F9" w:rsidRDefault="00E97B5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Flooding remains one of Nigeria's most persistent environmental challenges, particularly in urban and riverine areas like Makurdi, Benue State, where population growth, unplanned development, and inadequate infrastructure increase vulnerability. Despite existing disaster management institutions and early warning frameworks, flood impacts continue to escalate, suggesting that the problem lies in the effectiveness of flood management strategies. The 2022 flood event in Makurdi was severe, displacing thousands and exposing weaknesses in preparedness, emergency response, and post-flood recovery.</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 management in Nigeria is structured around preparedness, response, recovery, and mitigation, but evidence shows these components are often poorly coordinated and unevenly implemented. In Makurdi, preparedness is weak, with late or inadequate warnings, delayed emergency responses, and insufficient relief materials. Post-flood recovery efforts are often short-term, failing to support rebuilding livelihoods and infrastructure sustainably.</w:t>
      </w:r>
    </w:p>
    <w:p w:rsidR="00E353F9" w:rsidRDefault="00E97B5E">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While studies have examined flood risk and disaster management in Nigeria, few evaluate the effectiveness of specific flood management strategies, particularly from the 2022 Makurdi flood. This study addresses this gap by evaluating preparedness, and response strategies, providing evidence-based insights to improve flood management in Benue State and similar settings.</w:t>
      </w:r>
    </w:p>
    <w:p w:rsidR="00E353F9" w:rsidRDefault="00E97B5E">
      <w:pPr>
        <w:spacing w:before="240"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Aim and Objectives of the Study:</w:t>
      </w:r>
    </w:p>
    <w:p w:rsidR="00E353F9" w:rsidRDefault="00E97B5E">
      <w:pPr>
        <w:spacing w:before="240"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This study is aimed at assessing the effectiveness of flood disaster management strategies employed in Makurdi Local Government Area (LGA) during the 2022 flood event. The following are the specific objectives:</w:t>
      </w:r>
    </w:p>
    <w:p w:rsidR="00E353F9" w:rsidRDefault="00E97B5E">
      <w:pPr>
        <w:pStyle w:val="ListParagraph"/>
        <w:numPr>
          <w:ilvl w:val="0"/>
          <w:numId w:val="1"/>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To assess the preparedness measures implemented by residents of Flood-prone areas before the 2022 flood event in Makurdi LGA and evaluate their effectiveness; </w:t>
      </w:r>
    </w:p>
    <w:p w:rsidR="00E353F9" w:rsidRDefault="00E97B5E">
      <w:pPr>
        <w:pStyle w:val="ListParagraph"/>
        <w:numPr>
          <w:ilvl w:val="0"/>
          <w:numId w:val="1"/>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To examine the response strategies employed by residents of Flood-prone areas during the 2022 flood disaster in Makurdi LGA and assess their timeliness and efficiency; </w:t>
      </w:r>
    </w:p>
    <w:p w:rsidR="00E353F9" w:rsidRDefault="00E97B5E">
      <w:pPr>
        <w:pStyle w:val="ListParagraph"/>
        <w:numPr>
          <w:ilvl w:val="0"/>
          <w:numId w:val="1"/>
        </w:numPr>
        <w:spacing w:after="0" w:line="276" w:lineRule="auto"/>
        <w:jc w:val="both"/>
        <w:rPr>
          <w:rFonts w:ascii="Times New Roman" w:hAnsi="Times New Roman" w:cs="Times New Roman"/>
          <w:sz w:val="24"/>
          <w:szCs w:val="24"/>
        </w:rPr>
      </w:pPr>
      <w:r>
        <w:rPr>
          <w:rFonts w:ascii="Times New Roman" w:eastAsia="Times New Roman" w:hAnsi="Times New Roman" w:cs="Times New Roman"/>
          <w:kern w:val="0"/>
          <w:sz w:val="24"/>
          <w:szCs w:val="24"/>
          <w14:ligatures w14:val="none"/>
        </w:rPr>
        <w:t xml:space="preserve">To identify key challenges/factors in flood disaster management strategies in Makurdi LGA. </w:t>
      </w:r>
    </w:p>
    <w:p w:rsidR="00E353F9" w:rsidRDefault="00E97B5E">
      <w:pPr>
        <w:spacing w:before="24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Research Questions </w:t>
      </w:r>
    </w:p>
    <w:p w:rsidR="00E353F9" w:rsidRDefault="00E97B5E">
      <w:pPr>
        <w:pStyle w:val="ListParagraph"/>
        <w:numPr>
          <w:ilvl w:val="0"/>
          <w:numId w:val="2"/>
        </w:numPr>
        <w:spacing w:before="24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preparedness measures were implemented by residents of flood-prone areas in Makurdi Local Government Area prior to the 2022 flood event, and how effective were these measures?</w:t>
      </w:r>
    </w:p>
    <w:p w:rsidR="00E353F9" w:rsidRDefault="00E97B5E">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response strategies were employed by residents of flood-prone areas during the 2022 flood disaster in Makurdi Local Government Area, and how timely and efficient were these strategies?</w:t>
      </w:r>
    </w:p>
    <w:p w:rsidR="00E353F9" w:rsidRDefault="00E97B5E">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key challenges and factors influenced the effectiveness of flood disaster management strategies in Makurdi Local Government Area during the 2022 flood event?</w:t>
      </w:r>
    </w:p>
    <w:p w:rsidR="00E353F9" w:rsidRDefault="00E97B5E">
      <w:pPr>
        <w:spacing w:line="276"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Literature Review </w:t>
      </w:r>
    </w:p>
    <w:p w:rsidR="00E353F9" w:rsidRDefault="00E97B5E">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Flooding, a natural event in which normally dry land becomes submerged, is driven by heavy rainfall, river overflow, storm surges, or dam failure and can be classified as fluvial, pluvial, coastal, or flash (Smith &amp; Ward, 2020; Kundzewicz et al., 2019). Urbanization, deforestation, and climate change intensify runoff and increase flood frequency (Douglas et al., 2020). A disaster overwhelms a community’s coping capacity, whereas an emergency is a sudden, manageable incident (Alexander, 2017). Disaster management follows a four‑phase cycle—mitigation, preparedness, response, and recovery—encompassing structural measures (levees, dams) and non‑structural actions (zoning, afforestation), early‑warning systems, public education, rapid search‑and‑rescue, relief distribution, and long‑term reconstruction (Coppola, 2021). High‑income nations employ advanced early‑warning, GIS mapping, and well‑funded agencies (e.g., FEMA, Japan’s MLIT) and maintain robust defenses such as the Netherlands’ Delta Works and the Thames Barrier, resulting in relatively low flood mortality (Hooijer et al., 2021). In Nigeria, flood preparedness is limited by scarce resources, weak institutional coordination, poor enforcement of land‑use regulations, and inadequate maintenance of drainage and embankments (Adelekan, </w:t>
      </w:r>
      <w:r>
        <w:rPr>
          <w:rFonts w:ascii="Times New Roman" w:eastAsia="Times New Roman" w:hAnsi="Times New Roman" w:cs="Times New Roman"/>
          <w:kern w:val="0"/>
          <w:sz w:val="24"/>
          <w:szCs w:val="24"/>
          <w14:ligatures w14:val="none"/>
        </w:rPr>
        <w:lastRenderedPageBreak/>
        <w:t xml:space="preserve">2022). Early‑warning coverage is patchy, public awareness low, and response to the 2022 flood was reactive and fragmented (Agada, 2021). Recovery suffers from insufficient funding, corruption, and lack of flood‑insurance, prolonging economic hardship (Olanrewaju et al., 2021). </w:t>
      </w:r>
    </w:p>
    <w:p w:rsidR="00E353F9" w:rsidRDefault="00E97B5E">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Empirical studies in Benue State show heavy rainfall, drainage silting, and waste blockage as primary flood causes, with property loss as the main impact; community coping actions (clearing drains, sandbanks) are often ineffective (Shabu &amp; Tyonum, 2013). Bridge and Oguno (2023) found a strong positive link between self‑funded drainage construction and perceived effectiveness, while government role remains limited. Mbese et al. (2024) reported that flooding severely disrupts agricultural input supply and inflates prices, underscoring the need for resilient infrastructure, early warning, and financial support. Elum and Lawal (2022) revealed low flood‑risk awareness and limited adaptive capacity, with preparedness driven by risk perception, age, and household size, suggesting integrated flood‑risk management and public education. </w:t>
      </w:r>
    </w:p>
    <w:p w:rsidR="00E353F9" w:rsidRDefault="00E97B5E">
      <w:pPr>
        <w:jc w:val="both"/>
      </w:pPr>
      <w:r>
        <w:rPr>
          <w:rFonts w:ascii="Times New Roman" w:eastAsia="Times New Roman" w:hAnsi="Times New Roman" w:cs="Times New Roman"/>
          <w:kern w:val="0"/>
          <w:sz w:val="24"/>
          <w:szCs w:val="24"/>
          <w14:ligatures w14:val="none"/>
        </w:rPr>
        <w:t>The study draws on three theoretical lenses: the Disaster Management Cycle, which structures analysis across mitigation, preparedness, response, and recovery (Alexander, 2002); Protection Motivation Theory, which explains how threat appraisal and coping appraisal shape protective behavior (Rogers, 1975, 1983); and the Sustainable Livelihoods Framework, which examines how five capital assets (human, social, natural, physical, financial) interact with vulnerability contexts and institutions to influence resilience (Chambers &amp; Conway, 1992). Together, these concepts and theories frame an assessment of flood management in Benue State, highlighting gaps in institutional capacity, community engagement, and resource allocation, and pointing to a holistic approach that integrates early‑warning, GIS mapping, maintained structural defenses, enforceable land‑use planning, and community‑based preparedness.</w:t>
      </w:r>
    </w:p>
    <w:p w:rsidR="00E353F9" w:rsidRDefault="00E97B5E">
      <w:pPr>
        <w:spacing w:line="276" w:lineRule="auto"/>
        <w:jc w:val="both"/>
        <w:rPr>
          <w:rFonts w:ascii="Times New Roman" w:hAnsi="Times New Roman" w:cs="Times New Roman"/>
          <w:b/>
        </w:rPr>
      </w:pPr>
      <w:r>
        <w:rPr>
          <w:rFonts w:ascii="Times New Roman" w:hAnsi="Times New Roman" w:cs="Times New Roman"/>
          <w:b/>
        </w:rPr>
        <w:t>Methodology</w:t>
      </w:r>
    </w:p>
    <w:p w:rsidR="00E353F9" w:rsidRDefault="00E97B5E">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The study used a survey research design with a mixed‑methods approach, combining quantitative questionnaires and qualitative key‑informant interviews (KIIs) which enable the researchers to leverage the strengths of each approach and produce more accurate and reliable results. It focused on residents lived experiences of preparedness, response, and recovery during the 2022 flood in Makurdi LGA, deliberately excluding institutional actors to avoid reporting bias.</w:t>
      </w:r>
    </w:p>
    <w:p w:rsidR="00E353F9" w:rsidRDefault="00E97B5E">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Data needs covered four domains: (1) household preparedness (early‑warning receipt, risk awareness); (2) response actions (evacuation, rescue, relief timeliness); (3) recovery outcomes (livelihood restoration, coping capacity); and (4) challenges to flood management. Primary data were gathered through structured household questionnaires and semi‑structured KIIs with community leaders, traders, farmers, and long‑term residents. Instrument Development and Validation which further have subsections like: source/adaptation, pilot testing and reliability test (Cronbach alpha).</w:t>
      </w:r>
    </w:p>
    <w:p w:rsidR="00E353F9" w:rsidRDefault="00E97B5E">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The study population comprised flood‑affected households in six purposively selected neighborhoods (Idye, Wurukum, Industrial Layout, Gyado Villa, Logo I &amp; II, Kucha Utebe). Because the exact number of affected households was unknown, the sample size was calculated with Cochran’s (1977).</w:t>
      </w:r>
    </w:p>
    <w:p w:rsidR="00E353F9" w:rsidRDefault="00E97B5E">
      <w:pPr>
        <w:spacing w:after="0" w:line="276"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Cochran’s (1977) Formula:</w:t>
      </w:r>
    </w:p>
    <w:p w:rsidR="00E353F9" w:rsidRDefault="00E97B5E">
      <w:pPr>
        <w:spacing w:after="0" w:line="276" w:lineRule="auto"/>
        <w:jc w:val="both"/>
        <w:rPr>
          <w:rFonts w:ascii="Times New Roman" w:eastAsia="Times New Roman" w:hAnsi="Times New Roman" w:cs="Times New Roman"/>
          <w:kern w:val="0"/>
          <w:sz w:val="24"/>
          <w:szCs w:val="24"/>
          <w14:ligatures w14:val="none"/>
        </w:rPr>
      </w:pPr>
      <m:oMath>
        <m:r>
          <w:rPr>
            <w:rFonts w:ascii="Cambria Math" w:eastAsia="Times New Roman" w:hAnsi="Cambria Math" w:cs="Times New Roman"/>
            <w:kern w:val="0"/>
            <w:sz w:val="24"/>
            <w:szCs w:val="24"/>
            <w14:ligatures w14:val="none"/>
          </w:rPr>
          <m:t>n=</m:t>
        </m:r>
        <m:f>
          <m:fPr>
            <m:ctrlPr>
              <w:rPr>
                <w:rFonts w:ascii="Cambria Math" w:eastAsia="Times New Roman" w:hAnsi="Cambria Math" w:cs="Times New Roman"/>
                <w:kern w:val="0"/>
                <w:sz w:val="24"/>
                <w:szCs w:val="24"/>
                <w14:ligatures w14:val="none"/>
              </w:rPr>
            </m:ctrlPr>
          </m:fPr>
          <m:num>
            <m:sSup>
              <m:sSupPr>
                <m:ctrlPr>
                  <w:rPr>
                    <w:rFonts w:ascii="Cambria Math" w:eastAsia="Times New Roman" w:hAnsi="Cambria Math" w:cs="Times New Roman"/>
                    <w:kern w:val="0"/>
                    <w:sz w:val="24"/>
                    <w:szCs w:val="24"/>
                    <w14:ligatures w14:val="none"/>
                  </w:rPr>
                </m:ctrlPr>
              </m:sSupPr>
              <m:e>
                <m:r>
                  <w:rPr>
                    <w:rFonts w:ascii="Cambria Math" w:eastAsia="Times New Roman" w:hAnsi="Cambria Math" w:cs="Times New Roman"/>
                    <w:sz w:val="24"/>
                    <w:szCs w:val="24"/>
                  </w:rPr>
                  <m:t>Z</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sz w:val="24"/>
                <w:szCs w:val="24"/>
              </w:rPr>
              <m:t>p</m:t>
            </m:r>
            <m:r>
              <w:rPr>
                <w:rFonts w:ascii="Cambria Math" w:eastAsia="Times New Roman" w:hAnsi="Cambria Math" w:cs="Times New Roman"/>
                <w:kern w:val="0"/>
                <w:sz w:val="24"/>
                <w:szCs w:val="24"/>
                <w14:ligatures w14:val="none"/>
              </w:rPr>
              <m:t xml:space="preserve"> (1-</m:t>
            </m:r>
            <m:r>
              <w:rPr>
                <w:rFonts w:ascii="Cambria Math" w:eastAsia="Times New Roman" w:hAnsi="Cambria Math" w:cs="Times New Roman"/>
                <w:sz w:val="24"/>
                <w:szCs w:val="24"/>
              </w:rPr>
              <m:t>p</m:t>
            </m:r>
            <m:r>
              <w:rPr>
                <w:rFonts w:ascii="Cambria Math" w:eastAsia="Times New Roman" w:hAnsi="Cambria Math" w:cs="Times New Roman"/>
                <w:kern w:val="0"/>
                <w:sz w:val="24"/>
                <w:szCs w:val="24"/>
                <w14:ligatures w14:val="none"/>
              </w:rPr>
              <m:t>)</m:t>
            </m:r>
          </m:num>
          <m:den>
            <m:r>
              <w:rPr>
                <w:rFonts w:ascii="Cambria Math" w:eastAsia="Times New Roman" w:hAnsi="Cambria Math" w:cs="Times New Roman"/>
                <w:kern w:val="0"/>
                <w:sz w:val="24"/>
                <w:szCs w:val="24"/>
                <w14:ligatures w14:val="none"/>
              </w:rPr>
              <m:t>e2</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353F9" w:rsidRDefault="00E97B5E">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Where:</w:t>
      </w:r>
    </w:p>
    <w:p w:rsidR="00E353F9" w:rsidRDefault="00E97B5E">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n</w:t>
      </w:r>
      <w:r>
        <w:rPr>
          <w:rFonts w:ascii="Times New Roman" w:eastAsia="Times New Roman" w:hAnsi="Times New Roman" w:cs="Times New Roman"/>
          <w:kern w:val="0"/>
          <w:sz w:val="24"/>
          <w:szCs w:val="24"/>
          <w14:ligatures w14:val="none"/>
        </w:rPr>
        <w:t xml:space="preserve"> = Required sample size</w:t>
      </w:r>
    </w:p>
    <w:p w:rsidR="00E353F9" w:rsidRDefault="00E97B5E">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Z</w:t>
      </w:r>
      <w:r>
        <w:rPr>
          <w:rFonts w:ascii="Times New Roman" w:eastAsia="Times New Roman" w:hAnsi="Times New Roman" w:cs="Times New Roman"/>
          <w:i/>
          <w:iCs/>
          <w:kern w:val="0"/>
          <w:sz w:val="24"/>
          <w:szCs w:val="24"/>
          <w:vertAlign w:val="superscript"/>
          <w14:ligatures w14:val="none"/>
        </w:rPr>
        <w:t>2</w:t>
      </w:r>
      <w:r>
        <w:rPr>
          <w:rFonts w:ascii="Times New Roman" w:eastAsia="Times New Roman" w:hAnsi="Times New Roman" w:cs="Times New Roman"/>
          <w:kern w:val="0"/>
          <w:sz w:val="24"/>
          <w:szCs w:val="24"/>
          <w14:ligatures w14:val="none"/>
        </w:rPr>
        <w:t xml:space="preserve"> = Z-score corresponding to the confidence level (e.g., 1.96 for 95% confidence)</w:t>
      </w:r>
    </w:p>
    <w:p w:rsidR="00E353F9" w:rsidRDefault="00E97B5E">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p</w:t>
      </w:r>
      <w:r>
        <w:rPr>
          <w:rFonts w:ascii="Times New Roman" w:eastAsia="Times New Roman" w:hAnsi="Times New Roman" w:cs="Times New Roman"/>
          <w:kern w:val="0"/>
          <w:sz w:val="24"/>
          <w:szCs w:val="24"/>
          <w14:ligatures w14:val="none"/>
        </w:rPr>
        <w:t xml:space="preserve"> = Estimated proportion of the population with the characteristic of interest (usually 0.5 when unknown)</w:t>
      </w:r>
    </w:p>
    <w:p w:rsidR="00E353F9" w:rsidRDefault="00E97B5E">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w:t>
      </w:r>
      <w:r>
        <w:rPr>
          <w:rFonts w:ascii="Times New Roman" w:eastAsia="Times New Roman" w:hAnsi="Times New Roman" w:cs="Times New Roman"/>
          <w:kern w:val="0"/>
          <w:sz w:val="24"/>
          <w:szCs w:val="24"/>
          <w:vertAlign w:val="superscript"/>
          <w14:ligatures w14:val="none"/>
        </w:rPr>
        <w:t>2</w:t>
      </w:r>
      <w:r>
        <w:rPr>
          <w:rFonts w:ascii="Times New Roman" w:eastAsia="Times New Roman" w:hAnsi="Times New Roman" w:cs="Times New Roman"/>
          <w:kern w:val="0"/>
          <w:sz w:val="24"/>
          <w:szCs w:val="24"/>
          <w14:ligatures w14:val="none"/>
        </w:rPr>
        <w:t xml:space="preserve"> = Desired margin of error (commonly 0.05 for 95% confidence)</w:t>
      </w:r>
    </w:p>
    <w:p w:rsidR="00E353F9" w:rsidRDefault="00E97B5E">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Using Z = 1.96, p = 0.5, e = 0.05, the required sample was 384 respondents using Cochran’s formula. Questionnaires were evenly allocated (64 per neighborhood). Within each area, households were identified with community leaders and one adult (≥18 y) per household was randomly selected. For KIIs, 12 informants (2 per neighborhood) were purposively chosen.</w:t>
      </w:r>
    </w:p>
    <w:p w:rsidR="00E353F9" w:rsidRDefault="00E97B5E">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Data collection involved administering the 384 questionnaires (365 retrieved) and conducting the 12 KIIs.</w:t>
      </w:r>
    </w:p>
    <w:p w:rsidR="00E353F9" w:rsidRDefault="00E97B5E">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Effectiveness indices were constructed:</w:t>
      </w:r>
    </w:p>
    <w:p w:rsidR="00E353F9" w:rsidRDefault="00E97B5E">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Household Preparedness Effectiveness Index (HPEI)</w:t>
      </w:r>
    </w:p>
    <w:p w:rsidR="00E353F9" w:rsidRDefault="00E97B5E">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Early Warning Effectiveness Index (EWEI)</w:t>
      </w:r>
    </w:p>
    <w:p w:rsidR="00E353F9" w:rsidRDefault="00E97B5E">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Combined Preparedness–Outcome Effectiveness Index (CPOEI)</w:t>
      </w:r>
    </w:p>
    <w:p w:rsidR="00E353F9" w:rsidRDefault="00E97B5E">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Recovery Effectiveness Index (REI) (scale 1–5)</w:t>
      </w:r>
    </w:p>
    <w:p w:rsidR="00E353F9" w:rsidRDefault="00E97B5E">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Composite Flood Management Effectiveness Index (CFMEI) = (PEI + RSEI + REI)/3, normalized to 0–1.</w:t>
      </w:r>
    </w:p>
    <w:p w:rsidR="00E353F9" w:rsidRDefault="00E97B5E">
      <w:pPr>
        <w:spacing w:line="276" w:lineRule="auto"/>
        <w:jc w:val="both"/>
        <w:rPr>
          <w:rFonts w:ascii="Times New Roman" w:hAnsi="Times New Roman" w:cs="Times New Roman"/>
          <w:bCs/>
          <w:sz w:val="24"/>
          <w:szCs w:val="24"/>
        </w:rPr>
      </w:pPr>
      <w:r>
        <w:rPr>
          <w:rFonts w:ascii="Times New Roman" w:eastAsia="SimSun" w:hAnsi="Times New Roman" w:cs="Times New Roman"/>
          <w:bCs/>
          <w:sz w:val="24"/>
          <w:szCs w:val="24"/>
        </w:rPr>
        <w:t>Analysis: quantitative data were summarized with frequencies, percentages, means, and standard deviations; indices were calculated to rate effectiveness. Qualitative KII data were analyzed thematically to contextualize quantitative findings. Results are presented in tables and narrative form.</w:t>
      </w:r>
    </w:p>
    <w:p w:rsidR="00E353F9" w:rsidRDefault="00E97B5E">
      <w:pPr>
        <w:spacing w:line="276" w:lineRule="auto"/>
        <w:jc w:val="both"/>
        <w:rPr>
          <w:rFonts w:ascii="Times New Roman" w:hAnsi="Times New Roman" w:cs="Times New Roman"/>
          <w:b/>
          <w:sz w:val="24"/>
          <w:szCs w:val="24"/>
        </w:rPr>
      </w:pPr>
      <w:r>
        <w:rPr>
          <w:rFonts w:ascii="Times New Roman" w:hAnsi="Times New Roman" w:cs="Times New Roman"/>
          <w:b/>
          <w:sz w:val="24"/>
          <w:szCs w:val="24"/>
        </w:rPr>
        <w:t>Results</w:t>
      </w:r>
    </w:p>
    <w:p w:rsidR="00E353F9" w:rsidRDefault="00E97B5E">
      <w:pPr>
        <w:spacing w:after="0" w:line="276" w:lineRule="auto"/>
        <w:jc w:val="both"/>
        <w:rPr>
          <w:rFonts w:ascii="Times New Roman" w:eastAsia="Times New Roman" w:hAnsi="Times New Roman" w:cs="Times New Roman"/>
          <w:b/>
          <w:bCs/>
          <w:sz w:val="24"/>
          <w:szCs w:val="24"/>
        </w:rPr>
      </w:pPr>
      <w:bookmarkStart w:id="0" w:name="_Hlk219727402"/>
      <w:r>
        <w:rPr>
          <w:rFonts w:ascii="Times New Roman" w:eastAsia="Times New Roman" w:hAnsi="Times New Roman" w:cs="Times New Roman"/>
          <w:b/>
          <w:bCs/>
          <w:sz w:val="24"/>
          <w:szCs w:val="24"/>
        </w:rPr>
        <w:t>Preparedness Measures Adopted by the Residents Before The 2022 Flood</w:t>
      </w:r>
    </w:p>
    <w:p w:rsidR="00E353F9" w:rsidRDefault="00E97B5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Household Flood Preparedness Measures </w:t>
      </w:r>
    </w:p>
    <w:p w:rsidR="00E353F9" w:rsidRDefault="00E97B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indicate that the most commonly adopted measure was the use of sandbags or wooden barriers (68.0%), suggesting a strong reliance on physical and immediate flood control methods. Clearing of drainage channels was also widely practiced (60.5%), reflecting awareness of the role of blocked drains in exacerbating flood impacts in Makurdi. Nearly half of the respondents reported having temporary relocation plans (48.2%) and raised doorsteps or verandas (44.7%), indicating moderate levels of anticipatory adaptation. Temporary water diversion trenches (38.9%) and strengthening of house structures (32.6%) were less frequently adopted, possibly due to technical and financial constraints. Monitoring rainfall or river levels (15.6%) and storing food and water (15.1%) were relatively low, suggesting limited emphasis on information-based and household-level contingency planning. Community-based collective action (26.8%) was </w:t>
      </w:r>
      <w:r>
        <w:rPr>
          <w:rFonts w:ascii="Times New Roman" w:eastAsia="Times New Roman" w:hAnsi="Times New Roman" w:cs="Times New Roman"/>
          <w:sz w:val="24"/>
          <w:szCs w:val="24"/>
        </w:rPr>
        <w:lastRenderedPageBreak/>
        <w:t>moderately practiced, showing some level of communal response to flood risk. Early movement of vulnerable persons (10.4%) and contacting authorities or emergency responders (20.3%) were among the least adopted measures, indicating weak institutional engagement at the household level. Notably, 15.6% of respondents reported taking no preparedness measures at all, highlighting significant vulnerability among a segment of the population. Overall, the results suggest that preparedness was largely reactive and structural in nature, with limited use of early planning, information, and institutional support mechanisms.</w:t>
      </w:r>
    </w:p>
    <w:p w:rsidR="00E353F9" w:rsidRDefault="00E97B5E">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Household Flood Preparedness Measures</w:t>
      </w:r>
    </w:p>
    <w:tbl>
      <w:tblPr>
        <w:tblW w:w="8280" w:type="dxa"/>
        <w:tblLook w:val="04A0" w:firstRow="1" w:lastRow="0" w:firstColumn="1" w:lastColumn="0" w:noHBand="0" w:noVBand="1"/>
      </w:tblPr>
      <w:tblGrid>
        <w:gridCol w:w="4847"/>
        <w:gridCol w:w="1633"/>
        <w:gridCol w:w="1800"/>
      </w:tblGrid>
      <w:tr w:rsidR="00E353F9">
        <w:trPr>
          <w:trHeight w:val="315"/>
        </w:trPr>
        <w:tc>
          <w:tcPr>
            <w:tcW w:w="4847"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Measure</w:t>
            </w:r>
          </w:p>
        </w:tc>
        <w:tc>
          <w:tcPr>
            <w:tcW w:w="1633"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80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E353F9">
        <w:trPr>
          <w:trHeight w:val="315"/>
        </w:trPr>
        <w:tc>
          <w:tcPr>
            <w:tcW w:w="4847"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Raising household items/furniture</w:t>
            </w:r>
          </w:p>
        </w:tc>
        <w:tc>
          <w:tcPr>
            <w:tcW w:w="1633"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80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Clearing drainage channels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relocation plans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48.2</w:t>
            </w:r>
          </w:p>
        </w:tc>
      </w:tr>
      <w:bookmarkEnd w:id="0"/>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sandbags/wooden barriers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Raised doorsteps/verandas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water diversion trenches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rainfall/river levels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Storing food and water</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house structures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Community-based collective action</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movement of vulnerable persons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E353F9">
        <w:trPr>
          <w:trHeight w:val="315"/>
        </w:trPr>
        <w:tc>
          <w:tcPr>
            <w:tcW w:w="484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Contacting authorities/emergency responders</w:t>
            </w:r>
          </w:p>
        </w:tc>
        <w:tc>
          <w:tcPr>
            <w:tcW w:w="163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80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E353F9">
        <w:trPr>
          <w:trHeight w:val="315"/>
        </w:trPr>
        <w:tc>
          <w:tcPr>
            <w:tcW w:w="4847"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preparedness measures taken</w:t>
            </w:r>
          </w:p>
        </w:tc>
        <w:tc>
          <w:tcPr>
            <w:tcW w:w="1633"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0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bl>
    <w:p w:rsidR="00E353F9" w:rsidRDefault="00E97B5E">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(Multiple responses allowed; n = 365)</w:t>
      </w:r>
    </w:p>
    <w:p w:rsidR="00E353F9" w:rsidRDefault="00E97B5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Effectiveness of Preparedness and Early Warning Measures</w:t>
      </w:r>
    </w:p>
    <w:p w:rsidR="00E353F9" w:rsidRDefault="00E97B5E">
      <w:pPr>
        <w:pStyle w:val="NormalWeb"/>
        <w:spacing w:before="0" w:beforeAutospacing="0" w:after="0" w:afterAutospacing="0" w:line="276" w:lineRule="auto"/>
        <w:jc w:val="both"/>
      </w:pPr>
      <w:r>
        <w:t>The result shows respondents’ perceptions of how household preparedness and early warning systems influenced flood outcomes during the 2022 Makurdi flood event. For preparedness measures, the mean score for reduction in household property damage (Q1) was 3.47, indicating a moderate to high level of effectiveness. Similarly, respondents moderately agreed that preparedness in 2022 was more effective than in previous flood events (Q2), with a mean value of 3.34. The perception that preparedness significantly reduced the overall flood impact (Q3) also recorded a moderate mean score of 3.40.</w:t>
      </w:r>
    </w:p>
    <w:p w:rsidR="00E353F9" w:rsidRDefault="00E97B5E">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Distribution of Responses on Effectiveness of Preparedness and Early Warning Measures</w:t>
      </w:r>
    </w:p>
    <w:tbl>
      <w:tblPr>
        <w:tblW w:w="8370" w:type="dxa"/>
        <w:tblLook w:val="04A0" w:firstRow="1" w:lastRow="0" w:firstColumn="1" w:lastColumn="0" w:noHBand="0" w:noVBand="1"/>
      </w:tblPr>
      <w:tblGrid>
        <w:gridCol w:w="590"/>
        <w:gridCol w:w="3910"/>
        <w:gridCol w:w="630"/>
        <w:gridCol w:w="540"/>
        <w:gridCol w:w="630"/>
        <w:gridCol w:w="630"/>
        <w:gridCol w:w="630"/>
        <w:gridCol w:w="810"/>
      </w:tblGrid>
      <w:tr w:rsidR="00E353F9">
        <w:trPr>
          <w:trHeight w:val="315"/>
        </w:trPr>
        <w:tc>
          <w:tcPr>
            <w:tcW w:w="59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391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1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r>
      <w:tr w:rsidR="00E353F9">
        <w:trPr>
          <w:trHeight w:val="315"/>
        </w:trPr>
        <w:tc>
          <w:tcPr>
            <w:tcW w:w="59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Q1</w:t>
            </w:r>
          </w:p>
        </w:tc>
        <w:tc>
          <w:tcPr>
            <w:tcW w:w="391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measures reduced damage to household property</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4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63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1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r>
      <w:tr w:rsidR="00E353F9">
        <w:trPr>
          <w:trHeight w:val="315"/>
        </w:trPr>
        <w:tc>
          <w:tcPr>
            <w:tcW w:w="59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Q2</w:t>
            </w:r>
          </w:p>
        </w:tc>
        <w:tc>
          <w:tcPr>
            <w:tcW w:w="39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in 2022 was more effective than previous floods</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4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r w:rsidR="00E353F9">
        <w:trPr>
          <w:trHeight w:val="315"/>
        </w:trPr>
        <w:tc>
          <w:tcPr>
            <w:tcW w:w="59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Q3</w:t>
            </w:r>
          </w:p>
        </w:tc>
        <w:tc>
          <w:tcPr>
            <w:tcW w:w="39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significantly reduced overall flood impact</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4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r w:rsidR="00E353F9">
        <w:trPr>
          <w:trHeight w:val="315"/>
        </w:trPr>
        <w:tc>
          <w:tcPr>
            <w:tcW w:w="59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Q4</w:t>
            </w:r>
          </w:p>
        </w:tc>
        <w:tc>
          <w:tcPr>
            <w:tcW w:w="39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warning enabled timely preparedness actions</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4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E353F9">
        <w:trPr>
          <w:trHeight w:val="315"/>
        </w:trPr>
        <w:tc>
          <w:tcPr>
            <w:tcW w:w="59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Q5</w:t>
            </w:r>
          </w:p>
        </w:tc>
        <w:tc>
          <w:tcPr>
            <w:tcW w:w="39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Timing of early warning helped protect lives and property</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4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8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E353F9">
        <w:trPr>
          <w:trHeight w:val="315"/>
        </w:trPr>
        <w:tc>
          <w:tcPr>
            <w:tcW w:w="59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Q6</w:t>
            </w:r>
          </w:p>
        </w:tc>
        <w:tc>
          <w:tcPr>
            <w:tcW w:w="39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warning information was useful to my household</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4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63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1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r>
      <w:tr w:rsidR="00E353F9">
        <w:trPr>
          <w:trHeight w:val="315"/>
        </w:trPr>
        <w:tc>
          <w:tcPr>
            <w:tcW w:w="59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Q7</w:t>
            </w:r>
          </w:p>
        </w:tc>
        <w:tc>
          <w:tcPr>
            <w:tcW w:w="391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with early warning and preparedness suffered less damage</w:t>
            </w:r>
          </w:p>
        </w:tc>
        <w:tc>
          <w:tcPr>
            <w:tcW w:w="63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4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63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63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63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1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bl>
    <w:p w:rsidR="00E353F9" w:rsidRDefault="00E97B5E">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Source: Researcher’s Field Survey, 2025; </w:t>
      </w:r>
      <w:r>
        <w:rPr>
          <w:rFonts w:ascii="Times New Roman" w:eastAsia="Times New Roman" w:hAnsi="Times New Roman" w:cs="Times New Roman"/>
          <w:bCs/>
          <w:sz w:val="24"/>
          <w:szCs w:val="24"/>
        </w:rPr>
        <w:t>(n = 365)</w:t>
      </w:r>
    </w:p>
    <w:p w:rsidR="00E353F9" w:rsidRDefault="00E97B5E">
      <w:pPr>
        <w:spacing w:after="0" w:line="276" w:lineRule="auto"/>
        <w:jc w:val="both"/>
        <w:rPr>
          <w:rFonts w:ascii="Times New Roman" w:eastAsia="Times New Roman" w:hAnsi="Times New Roman" w:cs="Times New Roman"/>
          <w:i/>
          <w:sz w:val="20"/>
          <w:szCs w:val="24"/>
        </w:rPr>
      </w:pPr>
      <w:r>
        <w:rPr>
          <w:rFonts w:ascii="Times New Roman" w:eastAsia="Times New Roman" w:hAnsi="Times New Roman" w:cs="Times New Roman"/>
          <w:bCs/>
          <w:i/>
          <w:sz w:val="20"/>
          <w:szCs w:val="24"/>
        </w:rPr>
        <w:t>Response Scale</w:t>
      </w:r>
      <w:r>
        <w:rPr>
          <w:rFonts w:ascii="Times New Roman" w:eastAsia="Times New Roman" w:hAnsi="Times New Roman" w:cs="Times New Roman"/>
          <w:b/>
          <w:bCs/>
          <w:i/>
          <w:sz w:val="20"/>
          <w:szCs w:val="24"/>
        </w:rPr>
        <w:t>:</w:t>
      </w:r>
      <w:r>
        <w:rPr>
          <w:rFonts w:ascii="Times New Roman" w:eastAsia="Times New Roman" w:hAnsi="Times New Roman" w:cs="Times New Roman"/>
          <w:i/>
          <w:sz w:val="20"/>
          <w:szCs w:val="24"/>
        </w:rPr>
        <w:t xml:space="preserve"> 1 = Very low/Strongly disagree; 2 = Low/Disagree; 3 = Moderate/Neutral; 4 = High/Agree; 5 = Very high/Strongly agree</w:t>
      </w:r>
    </w:p>
    <w:p w:rsidR="00E353F9" w:rsidRDefault="00E97B5E">
      <w:pPr>
        <w:pStyle w:val="NormalWeb"/>
        <w:spacing w:before="0" w:beforeAutospacing="0" w:after="0" w:afterAutospacing="0" w:line="276" w:lineRule="auto"/>
        <w:jc w:val="both"/>
      </w:pPr>
      <w:r>
        <w:t>The Household Preparedness Effectiveness Index (HPEI), computed from Q1–Q3, yielded a value of 3.40, which falls within the moderate effectiveness category. This suggests that while preparedness actions such as raising household items and relocation planning were beneficial, their impact was not sufficiently strong to eliminate flood losses entirely. Regarding early warning measures, Q4 recorded a mean score of 3.51, indicating that early warnings generally enabled timely preparedness actions. The timing of early warning information (Q5) was also perceived as moderately effective in protecting lives and property, with a mean score of 3.41. Furthermore, the usefulness of early warning information to households (Q6) recorded a mean of 3.53, reflecting relatively stronger agreement among respondents.</w:t>
      </w:r>
    </w:p>
    <w:p w:rsidR="00E353F9" w:rsidRDefault="00E97B5E">
      <w:pPr>
        <w:spacing w:after="0" w:line="276"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Response Strategies employed by Residents of Flood-prone areas during the 2022 Flood </w:t>
      </w:r>
    </w:p>
    <w:p w:rsidR="00E353F9" w:rsidRDefault="00E97B5E">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Organizations that Provided Guidance to Residents During the 2022 Flood </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 indicates that Civil Society Organizations/Faith-Based Organizations (CSOs/FBOs) were the most prominent source of guidance, accounting for 39.7% of responses across all communities. This suggests that non-governmental and community-based structures played a critical role in disseminating flood-related information during the disaster. Community leaders also constituted a major source of guidance, with 32.1% of respondents indicating reliance on them, highlighting the importance of traditional and local leadership in emergency situations. In contrast, the State Emergency Management Agency (SEMA) accounted for 22.2% of guidance received, indicating moderate involvement at the state level. The National Emergency Management Agency (NEMA) contributed only 10.1%, reflecting limited federal-level engagement in direct community guidance. International NGOs recorded the lowest involvement at 6.6%, suggesting minimal presence or outreach at the community scale. Notably, 34.8% of respondents reported receiving no instructions at all during the flood event. </w:t>
      </w:r>
    </w:p>
    <w:p w:rsidR="00E353F9" w:rsidRDefault="00E97B5E">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Immediate Action Taken by Residents during 2022 Flooding </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 that the most common response was staying at home, reported by 34.5% of respondents. This suggests that a significant proportion of residents either underestimated the severity of the flood or lacked viable evacuation alternatives. Moving to higher ground was the second most common response, accounting for 27.1% of the total responses, indicating some level of adaptive behaviour among residents. Relocation to relatives’ or friends’ houses was reported by 20.5% of respondents, reflecting reliance on social networks for temporary safety. Only 11.0% of </w:t>
      </w:r>
      <w:r>
        <w:rPr>
          <w:rFonts w:ascii="Times New Roman" w:eastAsia="Times New Roman" w:hAnsi="Times New Roman" w:cs="Times New Roman"/>
          <w:sz w:val="24"/>
          <w:szCs w:val="24"/>
        </w:rPr>
        <w:lastRenderedPageBreak/>
        <w:t>residents evacuated to designated camps, which may indicate limited availability, accessibility, or awareness of formal evacuation centres (Plate 1 and 2). Other unspecified actions accounted for 6.8% of responses, suggesting diverse but less common coping strategies. The distribution of responses is fairly uniform across the six communities, showing similar behavioural patterns during the onset of flooding. The relatively high proportion of residents who stayed at home raises concerns about exposure to flood risks and potential loss of life and property. These findings indicate that evacuation compliance was generally low and that informal coping strategies were preferred over organized emergency responses.</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w:t>
      </w:r>
      <w:r w:rsidR="00706D11">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Immediate Action Taken by Residents When Flooding Started</w:t>
      </w:r>
    </w:p>
    <w:tbl>
      <w:tblPr>
        <w:tblW w:w="10004" w:type="dxa"/>
        <w:tblLook w:val="04A0" w:firstRow="1" w:lastRow="0" w:firstColumn="1" w:lastColumn="0" w:noHBand="0" w:noVBand="1"/>
      </w:tblPr>
      <w:tblGrid>
        <w:gridCol w:w="1505"/>
        <w:gridCol w:w="1083"/>
        <w:gridCol w:w="1257"/>
        <w:gridCol w:w="1212"/>
        <w:gridCol w:w="1084"/>
        <w:gridCol w:w="1084"/>
        <w:gridCol w:w="1084"/>
        <w:gridCol w:w="1695"/>
      </w:tblGrid>
      <w:tr w:rsidR="00E353F9">
        <w:trPr>
          <w:trHeight w:val="344"/>
        </w:trPr>
        <w:tc>
          <w:tcPr>
            <w:tcW w:w="1505" w:type="dxa"/>
            <w:tcBorders>
              <w:top w:val="single" w:sz="4" w:space="0" w:color="auto"/>
              <w:left w:val="nil"/>
              <w:bottom w:val="nil"/>
              <w:right w:val="nil"/>
            </w:tcBorders>
            <w:noWrap/>
            <w:vAlign w:val="bottom"/>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Response Action</w:t>
            </w:r>
          </w:p>
        </w:tc>
        <w:tc>
          <w:tcPr>
            <w:tcW w:w="1083"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Idye</w:t>
            </w:r>
          </w:p>
        </w:tc>
        <w:tc>
          <w:tcPr>
            <w:tcW w:w="1257"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Wurukum</w:t>
            </w:r>
          </w:p>
        </w:tc>
        <w:tc>
          <w:tcPr>
            <w:tcW w:w="1212"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Industrial Layout</w:t>
            </w:r>
          </w:p>
        </w:tc>
        <w:tc>
          <w:tcPr>
            <w:tcW w:w="1084"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Gyado Villa</w:t>
            </w:r>
          </w:p>
        </w:tc>
        <w:tc>
          <w:tcPr>
            <w:tcW w:w="1084"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Logo I &amp; II</w:t>
            </w:r>
          </w:p>
        </w:tc>
        <w:tc>
          <w:tcPr>
            <w:tcW w:w="1084"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Kucha Utebe</w:t>
            </w:r>
          </w:p>
        </w:tc>
        <w:tc>
          <w:tcPr>
            <w:tcW w:w="1695"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w:t>
            </w:r>
          </w:p>
        </w:tc>
      </w:tr>
      <w:tr w:rsidR="00E353F9">
        <w:trPr>
          <w:trHeight w:val="344"/>
        </w:trPr>
        <w:tc>
          <w:tcPr>
            <w:tcW w:w="1505" w:type="dxa"/>
            <w:tcBorders>
              <w:top w:val="single" w:sz="4" w:space="0" w:color="auto"/>
              <w:left w:val="nil"/>
              <w:bottom w:val="nil"/>
              <w:right w:val="nil"/>
            </w:tcBorders>
            <w:noWrap/>
            <w:vAlign w:val="bottom"/>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Stayed at home</w:t>
            </w:r>
          </w:p>
        </w:tc>
        <w:tc>
          <w:tcPr>
            <w:tcW w:w="1083"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 (32.8)</w:t>
            </w:r>
          </w:p>
        </w:tc>
        <w:tc>
          <w:tcPr>
            <w:tcW w:w="1257"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(35.0)</w:t>
            </w:r>
          </w:p>
        </w:tc>
        <w:tc>
          <w:tcPr>
            <w:tcW w:w="1212"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(35.6)</w:t>
            </w:r>
          </w:p>
        </w:tc>
        <w:tc>
          <w:tcPr>
            <w:tcW w:w="1084"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 (34.4)</w:t>
            </w:r>
          </w:p>
        </w:tc>
        <w:tc>
          <w:tcPr>
            <w:tcW w:w="1084"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 (34.9)</w:t>
            </w:r>
          </w:p>
        </w:tc>
        <w:tc>
          <w:tcPr>
            <w:tcW w:w="1084"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 (34.5)</w:t>
            </w:r>
          </w:p>
        </w:tc>
        <w:tc>
          <w:tcPr>
            <w:tcW w:w="1695"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126 (34.5)</w:t>
            </w:r>
          </w:p>
        </w:tc>
      </w:tr>
      <w:tr w:rsidR="00E353F9">
        <w:trPr>
          <w:trHeight w:val="344"/>
        </w:trPr>
        <w:tc>
          <w:tcPr>
            <w:tcW w:w="1505" w:type="dxa"/>
            <w:tcBorders>
              <w:top w:val="nil"/>
              <w:left w:val="nil"/>
              <w:bottom w:val="nil"/>
              <w:right w:val="nil"/>
            </w:tcBorders>
            <w:noWrap/>
            <w:vAlign w:val="bottom"/>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Moved to higher ground</w:t>
            </w:r>
          </w:p>
        </w:tc>
        <w:tc>
          <w:tcPr>
            <w:tcW w:w="108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(29.5)</w:t>
            </w:r>
          </w:p>
        </w:tc>
        <w:tc>
          <w:tcPr>
            <w:tcW w:w="125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 (26.7)</w:t>
            </w:r>
          </w:p>
        </w:tc>
        <w:tc>
          <w:tcPr>
            <w:tcW w:w="1212"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(25.4)</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(28.1)</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(27.0)</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(25.9)</w:t>
            </w:r>
          </w:p>
        </w:tc>
        <w:tc>
          <w:tcPr>
            <w:tcW w:w="1695"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 (27.1)</w:t>
            </w:r>
          </w:p>
        </w:tc>
      </w:tr>
      <w:tr w:rsidR="00E353F9">
        <w:trPr>
          <w:trHeight w:val="344"/>
        </w:trPr>
        <w:tc>
          <w:tcPr>
            <w:tcW w:w="1505" w:type="dxa"/>
            <w:tcBorders>
              <w:top w:val="nil"/>
              <w:left w:val="nil"/>
              <w:bottom w:val="nil"/>
              <w:right w:val="nil"/>
            </w:tcBorders>
            <w:noWrap/>
            <w:vAlign w:val="bottom"/>
          </w:tcPr>
          <w:p w:rsidR="00E353F9" w:rsidRDefault="00E353F9">
            <w:pPr>
              <w:spacing w:after="0" w:line="276" w:lineRule="auto"/>
              <w:jc w:val="both"/>
              <w:rPr>
                <w:rFonts w:ascii="Times New Roman" w:eastAsia="Times New Roman" w:hAnsi="Times New Roman" w:cs="Times New Roman"/>
                <w:sz w:val="20"/>
                <w:szCs w:val="20"/>
              </w:rPr>
            </w:pPr>
          </w:p>
        </w:tc>
        <w:tc>
          <w:tcPr>
            <w:tcW w:w="1083" w:type="dxa"/>
            <w:tcBorders>
              <w:top w:val="nil"/>
              <w:left w:val="nil"/>
              <w:bottom w:val="nil"/>
              <w:right w:val="nil"/>
            </w:tcBorders>
            <w:noWrap/>
          </w:tcPr>
          <w:p w:rsidR="00E353F9" w:rsidRDefault="00E353F9">
            <w:pPr>
              <w:spacing w:after="0" w:line="276" w:lineRule="auto"/>
              <w:jc w:val="both"/>
              <w:rPr>
                <w:rFonts w:ascii="Times New Roman" w:eastAsia="Times New Roman" w:hAnsi="Times New Roman" w:cs="Times New Roman"/>
                <w:sz w:val="20"/>
                <w:szCs w:val="20"/>
              </w:rPr>
            </w:pPr>
          </w:p>
        </w:tc>
        <w:tc>
          <w:tcPr>
            <w:tcW w:w="1257" w:type="dxa"/>
            <w:tcBorders>
              <w:top w:val="nil"/>
              <w:left w:val="nil"/>
              <w:bottom w:val="nil"/>
              <w:right w:val="nil"/>
            </w:tcBorders>
            <w:noWrap/>
          </w:tcPr>
          <w:p w:rsidR="00E353F9" w:rsidRDefault="00E353F9">
            <w:pPr>
              <w:spacing w:after="0" w:line="276" w:lineRule="auto"/>
              <w:jc w:val="both"/>
              <w:rPr>
                <w:rFonts w:ascii="Times New Roman" w:eastAsia="Times New Roman" w:hAnsi="Times New Roman" w:cs="Times New Roman"/>
                <w:sz w:val="20"/>
                <w:szCs w:val="20"/>
              </w:rPr>
            </w:pPr>
          </w:p>
        </w:tc>
        <w:tc>
          <w:tcPr>
            <w:tcW w:w="1212" w:type="dxa"/>
            <w:tcBorders>
              <w:top w:val="nil"/>
              <w:left w:val="nil"/>
              <w:bottom w:val="nil"/>
              <w:right w:val="nil"/>
            </w:tcBorders>
            <w:noWrap/>
          </w:tcPr>
          <w:p w:rsidR="00E353F9" w:rsidRDefault="00E353F9">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rsidR="00E353F9" w:rsidRDefault="00E353F9">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rsidR="00E353F9" w:rsidRDefault="00E353F9">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rsidR="00E353F9" w:rsidRDefault="00E353F9">
            <w:pPr>
              <w:spacing w:after="0" w:line="276" w:lineRule="auto"/>
              <w:jc w:val="both"/>
              <w:rPr>
                <w:rFonts w:ascii="Times New Roman" w:eastAsia="Times New Roman" w:hAnsi="Times New Roman" w:cs="Times New Roman"/>
                <w:sz w:val="20"/>
                <w:szCs w:val="20"/>
              </w:rPr>
            </w:pPr>
          </w:p>
        </w:tc>
        <w:tc>
          <w:tcPr>
            <w:tcW w:w="1695" w:type="dxa"/>
            <w:tcBorders>
              <w:top w:val="nil"/>
              <w:left w:val="nil"/>
              <w:bottom w:val="nil"/>
              <w:right w:val="nil"/>
            </w:tcBorders>
            <w:noWrap/>
          </w:tcPr>
          <w:p w:rsidR="00E353F9" w:rsidRDefault="00E353F9">
            <w:pPr>
              <w:spacing w:after="0" w:line="276" w:lineRule="auto"/>
              <w:jc w:val="both"/>
              <w:rPr>
                <w:rFonts w:ascii="Times New Roman" w:eastAsia="Times New Roman" w:hAnsi="Times New Roman" w:cs="Times New Roman"/>
                <w:sz w:val="20"/>
                <w:szCs w:val="20"/>
              </w:rPr>
            </w:pPr>
          </w:p>
        </w:tc>
      </w:tr>
      <w:tr w:rsidR="00E353F9">
        <w:trPr>
          <w:trHeight w:val="344"/>
        </w:trPr>
        <w:tc>
          <w:tcPr>
            <w:tcW w:w="1505" w:type="dxa"/>
            <w:tcBorders>
              <w:top w:val="nil"/>
              <w:left w:val="nil"/>
              <w:bottom w:val="nil"/>
              <w:right w:val="nil"/>
            </w:tcBorders>
            <w:noWrap/>
            <w:vAlign w:val="bottom"/>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Relocated to relatives/friends</w:t>
            </w:r>
          </w:p>
        </w:tc>
        <w:tc>
          <w:tcPr>
            <w:tcW w:w="108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(19.7)</w:t>
            </w:r>
          </w:p>
        </w:tc>
        <w:tc>
          <w:tcPr>
            <w:tcW w:w="125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212"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(20.3)</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(21.9)</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(20.6)</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(22.4)</w:t>
            </w:r>
          </w:p>
        </w:tc>
        <w:tc>
          <w:tcPr>
            <w:tcW w:w="1695"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75 (20.5)</w:t>
            </w:r>
          </w:p>
        </w:tc>
      </w:tr>
      <w:tr w:rsidR="00E353F9">
        <w:trPr>
          <w:trHeight w:val="344"/>
        </w:trPr>
        <w:tc>
          <w:tcPr>
            <w:tcW w:w="1505" w:type="dxa"/>
            <w:tcBorders>
              <w:top w:val="nil"/>
              <w:left w:val="nil"/>
              <w:bottom w:val="nil"/>
              <w:right w:val="nil"/>
            </w:tcBorders>
            <w:noWrap/>
            <w:vAlign w:val="bottom"/>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Evacuated to designated camp</w:t>
            </w:r>
          </w:p>
        </w:tc>
        <w:tc>
          <w:tcPr>
            <w:tcW w:w="108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(11.5)</w:t>
            </w:r>
          </w:p>
        </w:tc>
        <w:tc>
          <w:tcPr>
            <w:tcW w:w="125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(11.7)</w:t>
            </w:r>
          </w:p>
        </w:tc>
        <w:tc>
          <w:tcPr>
            <w:tcW w:w="1212"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(10.2)</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(10.9)</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(11.1)</w:t>
            </w:r>
          </w:p>
        </w:tc>
        <w:tc>
          <w:tcPr>
            <w:tcW w:w="1084"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(10.3)</w:t>
            </w:r>
          </w:p>
        </w:tc>
        <w:tc>
          <w:tcPr>
            <w:tcW w:w="1695"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 (11.0)</w:t>
            </w:r>
          </w:p>
        </w:tc>
      </w:tr>
      <w:tr w:rsidR="00E353F9">
        <w:trPr>
          <w:trHeight w:val="344"/>
        </w:trPr>
        <w:tc>
          <w:tcPr>
            <w:tcW w:w="1505" w:type="dxa"/>
            <w:tcBorders>
              <w:top w:val="nil"/>
              <w:left w:val="nil"/>
              <w:bottom w:val="single" w:sz="4" w:space="0" w:color="auto"/>
              <w:right w:val="nil"/>
            </w:tcBorders>
            <w:noWrap/>
            <w:vAlign w:val="bottom"/>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1083"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(6.6)</w:t>
            </w:r>
          </w:p>
        </w:tc>
        <w:tc>
          <w:tcPr>
            <w:tcW w:w="1257"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(8.3)</w:t>
            </w:r>
          </w:p>
        </w:tc>
        <w:tc>
          <w:tcPr>
            <w:tcW w:w="1212"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(8.5)</w:t>
            </w:r>
          </w:p>
        </w:tc>
        <w:tc>
          <w:tcPr>
            <w:tcW w:w="1084"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(4.7)</w:t>
            </w:r>
          </w:p>
        </w:tc>
        <w:tc>
          <w:tcPr>
            <w:tcW w:w="1084"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(6.3)</w:t>
            </w:r>
          </w:p>
        </w:tc>
        <w:tc>
          <w:tcPr>
            <w:tcW w:w="1084"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(6.9)</w:t>
            </w:r>
          </w:p>
        </w:tc>
        <w:tc>
          <w:tcPr>
            <w:tcW w:w="1695"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 (6.8)</w:t>
            </w:r>
          </w:p>
        </w:tc>
      </w:tr>
    </w:tbl>
    <w:p w:rsidR="00E353F9" w:rsidRDefault="00E97B5E">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rsidR="00E353F9" w:rsidRDefault="00E97B5E">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92891" cy="3448050"/>
            <wp:effectExtent l="0" t="0" r="8255" b="0"/>
            <wp:docPr id="1026" name="Picture 8" descr="C:\Users\USER\Desktop\New folder\OTG $GB Flash Contents\Files are hidden by Trojan\ONAH PhD Materials\Flood Pictures\DSC_1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 cstate="print"/>
                    <a:srcRect/>
                    <a:stretch/>
                  </pic:blipFill>
                  <pic:spPr>
                    <a:xfrm>
                      <a:off x="0" y="0"/>
                      <a:ext cx="5192891" cy="3448050"/>
                    </a:xfrm>
                    <a:prstGeom prst="rect">
                      <a:avLst/>
                    </a:prstGeom>
                    <a:ln>
                      <a:noFill/>
                    </a:ln>
                  </pic:spPr>
                </pic:pic>
              </a:graphicData>
            </a:graphic>
          </wp:inline>
        </w:drawing>
      </w:r>
    </w:p>
    <w:p w:rsidR="00E353F9" w:rsidRDefault="00E97B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Plate 1: Residents Evacuating/Relocating from Flooded Area of Fiidi, Makurdi (Photo: Onah, 2022)</w:t>
      </w:r>
    </w:p>
    <w:p w:rsidR="00E353F9" w:rsidRDefault="00E97B5E">
      <w:pPr>
        <w:spacing w:after="0"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172075" cy="3434228"/>
            <wp:effectExtent l="0" t="0" r="0" b="0"/>
            <wp:docPr id="1027" name="Picture 9" descr="C:\Users\USER\Desktop\New folder\OTG $GB Flash Contents\Files are hidden by Trojan\ONAH PhD Materials\Flood Pictures\DSC_11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6" cstate="print"/>
                    <a:srcRect/>
                    <a:stretch/>
                  </pic:blipFill>
                  <pic:spPr>
                    <a:xfrm>
                      <a:off x="0" y="0"/>
                      <a:ext cx="5172075" cy="3434228"/>
                    </a:xfrm>
                    <a:prstGeom prst="rect">
                      <a:avLst/>
                    </a:prstGeom>
                    <a:ln>
                      <a:noFill/>
                    </a:ln>
                  </pic:spPr>
                </pic:pic>
              </a:graphicData>
            </a:graphic>
          </wp:inline>
        </w:drawing>
      </w:r>
    </w:p>
    <w:p w:rsidR="00E353F9" w:rsidRDefault="00E97B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Plate 2: Abandoned Flooded Area of Fiidi, Makurdi (Photo: Onah, 2022)</w:t>
      </w:r>
    </w:p>
    <w:p w:rsidR="00E353F9" w:rsidRDefault="00E97B5E">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Response Time After Flood Warning</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show that only 20.0% of respondents responded immediately to flood warnings, indicating limited prompt action. About 22.2% of residents responded within six hours, suggesting some degree of timely reaction among a segment of the population. The largest proportion of respondents, 24.1%, responded within 24 hours, which may be considered delayed given the rapid onset of flood impacts. A further 16.4% of residents responded after more than 24 hours, reflecting significant delays in decision-making or constraints to action. Additionally, 17.3% of respondents reported that they did not respond at all to flood warnings. This lack of response may be linked to distrust of warnings, poor communication, or socio-economic limitations. </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 Response Time After Flood Warning</w:t>
      </w:r>
    </w:p>
    <w:tbl>
      <w:tblPr>
        <w:tblW w:w="9360" w:type="dxa"/>
        <w:tblLook w:val="04A0" w:firstRow="1" w:lastRow="0" w:firstColumn="1" w:lastColumn="0" w:noHBand="0" w:noVBand="1"/>
      </w:tblPr>
      <w:tblGrid>
        <w:gridCol w:w="1227"/>
        <w:gridCol w:w="960"/>
        <w:gridCol w:w="1113"/>
        <w:gridCol w:w="1072"/>
        <w:gridCol w:w="960"/>
        <w:gridCol w:w="960"/>
        <w:gridCol w:w="960"/>
        <w:gridCol w:w="2108"/>
      </w:tblGrid>
      <w:tr w:rsidR="00E353F9">
        <w:trPr>
          <w:trHeight w:val="300"/>
        </w:trPr>
        <w:tc>
          <w:tcPr>
            <w:tcW w:w="1227"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Response Time</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Idye</w:t>
            </w:r>
          </w:p>
        </w:tc>
        <w:tc>
          <w:tcPr>
            <w:tcW w:w="1113"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Wurukum</w:t>
            </w:r>
          </w:p>
        </w:tc>
        <w:tc>
          <w:tcPr>
            <w:tcW w:w="1072"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Industrial Layout</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Gyado Villa</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Logo I &amp; II</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Kucha Utebe</w:t>
            </w:r>
          </w:p>
        </w:tc>
        <w:tc>
          <w:tcPr>
            <w:tcW w:w="2108"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w:t>
            </w:r>
          </w:p>
        </w:tc>
      </w:tr>
      <w:tr w:rsidR="00E353F9">
        <w:trPr>
          <w:trHeight w:val="300"/>
        </w:trPr>
        <w:tc>
          <w:tcPr>
            <w:tcW w:w="1227"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Immediately</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(19.7)</w:t>
            </w:r>
          </w:p>
        </w:tc>
        <w:tc>
          <w:tcPr>
            <w:tcW w:w="1113"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(21.9)</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(20.6)</w:t>
            </w:r>
          </w:p>
        </w:tc>
        <w:tc>
          <w:tcPr>
            <w:tcW w:w="960"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(20.7)</w:t>
            </w:r>
          </w:p>
        </w:tc>
        <w:tc>
          <w:tcPr>
            <w:tcW w:w="2108" w:type="dxa"/>
            <w:tcBorders>
              <w:top w:val="single" w:sz="4" w:space="0" w:color="auto"/>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 (20.0)</w:t>
            </w:r>
          </w:p>
        </w:tc>
      </w:tr>
      <w:tr w:rsidR="00E353F9">
        <w:trPr>
          <w:trHeight w:val="300"/>
        </w:trPr>
        <w:tc>
          <w:tcPr>
            <w:tcW w:w="122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Within 6 hours</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(23.0)</w:t>
            </w:r>
          </w:p>
        </w:tc>
        <w:tc>
          <w:tcPr>
            <w:tcW w:w="111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(21.7)</w:t>
            </w:r>
          </w:p>
        </w:tc>
        <w:tc>
          <w:tcPr>
            <w:tcW w:w="1072"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(20.3)</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(23.4)</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(22.2)</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(22.4)</w:t>
            </w:r>
          </w:p>
        </w:tc>
        <w:tc>
          <w:tcPr>
            <w:tcW w:w="2108"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81 (22.2)</w:t>
            </w:r>
          </w:p>
        </w:tc>
      </w:tr>
      <w:tr w:rsidR="00E353F9">
        <w:trPr>
          <w:trHeight w:val="612"/>
        </w:trPr>
        <w:tc>
          <w:tcPr>
            <w:tcW w:w="122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Within 24 hours</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(24.6)</w:t>
            </w:r>
          </w:p>
        </w:tc>
        <w:tc>
          <w:tcPr>
            <w:tcW w:w="111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(23.3)</w:t>
            </w:r>
          </w:p>
        </w:tc>
        <w:tc>
          <w:tcPr>
            <w:tcW w:w="1072"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(23.7)</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 (25.0)</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(23.8)</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(24.1)</w:t>
            </w:r>
          </w:p>
        </w:tc>
        <w:tc>
          <w:tcPr>
            <w:tcW w:w="2108"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 (24.1)</w:t>
            </w:r>
          </w:p>
        </w:tc>
      </w:tr>
      <w:tr w:rsidR="00E353F9">
        <w:trPr>
          <w:trHeight w:val="300"/>
        </w:trPr>
        <w:tc>
          <w:tcPr>
            <w:tcW w:w="1227"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After more than 24 hours</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(16.4)</w:t>
            </w:r>
          </w:p>
        </w:tc>
        <w:tc>
          <w:tcPr>
            <w:tcW w:w="1113"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(14.1)</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(15.9)</w:t>
            </w:r>
          </w:p>
        </w:tc>
        <w:tc>
          <w:tcPr>
            <w:tcW w:w="960"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(15.5)</w:t>
            </w:r>
          </w:p>
        </w:tc>
        <w:tc>
          <w:tcPr>
            <w:tcW w:w="2108" w:type="dxa"/>
            <w:tcBorders>
              <w:top w:val="nil"/>
              <w:left w:val="nil"/>
              <w:bottom w:val="nil"/>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 (16.4)</w:t>
            </w:r>
          </w:p>
        </w:tc>
      </w:tr>
      <w:tr w:rsidR="00E353F9">
        <w:trPr>
          <w:trHeight w:val="300"/>
        </w:trPr>
        <w:tc>
          <w:tcPr>
            <w:tcW w:w="1227"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Did not respond</w:t>
            </w:r>
          </w:p>
        </w:tc>
        <w:tc>
          <w:tcPr>
            <w:tcW w:w="96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(16.4)</w:t>
            </w:r>
          </w:p>
        </w:tc>
        <w:tc>
          <w:tcPr>
            <w:tcW w:w="1113"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(15.6)</w:t>
            </w:r>
          </w:p>
        </w:tc>
        <w:tc>
          <w:tcPr>
            <w:tcW w:w="96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(17.5)</w:t>
            </w:r>
          </w:p>
        </w:tc>
        <w:tc>
          <w:tcPr>
            <w:tcW w:w="960"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(17.2)</w:t>
            </w:r>
          </w:p>
        </w:tc>
        <w:tc>
          <w:tcPr>
            <w:tcW w:w="2108" w:type="dxa"/>
            <w:tcBorders>
              <w:top w:val="nil"/>
              <w:left w:val="nil"/>
              <w:bottom w:val="single" w:sz="4" w:space="0" w:color="auto"/>
              <w:right w:val="nil"/>
            </w:tcBorders>
            <w:noWrap/>
            <w:hideMark/>
          </w:tcPr>
          <w:p w:rsidR="00E353F9" w:rsidRDefault="00E97B5E">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 (17.3)</w:t>
            </w:r>
          </w:p>
        </w:tc>
      </w:tr>
    </w:tbl>
    <w:p w:rsidR="00E353F9" w:rsidRDefault="00E97B5E">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response pattern is consistent across the communities, indicating a general challenge in achieving timely action. Therefore, the results suggest that flood warnings did not translate effectively into rapid response among residents. This indicates deficiencies in early warning systems, risk perception, and preparedness levels. The findings imply that improving the clarity, credibility, and accessibility of flood warnings is crucial for enhancing response timeliness during future flood events.</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95875" cy="2943005"/>
            <wp:effectExtent l="0" t="0" r="0" b="0"/>
            <wp:docPr id="1028" name="Picture 10" descr="C:\Users\USER\Desktop\New folder\OTG $GB Flash Contents\Files are hidden by Trojan\ONAH PhD Materials\Flood Pictures\DSC_1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7" cstate="print"/>
                    <a:srcRect/>
                    <a:stretch/>
                  </pic:blipFill>
                  <pic:spPr>
                    <a:xfrm>
                      <a:off x="0" y="0"/>
                      <a:ext cx="5095875" cy="2943005"/>
                    </a:xfrm>
                    <a:prstGeom prst="rect">
                      <a:avLst/>
                    </a:prstGeom>
                    <a:ln>
                      <a:noFill/>
                    </a:ln>
                  </pic:spPr>
                </pic:pic>
              </a:graphicData>
            </a:graphic>
          </wp:inline>
        </w:drawing>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3: Residents Watching and contemplating their response options (Onah, 2022)</w:t>
      </w:r>
    </w:p>
    <w:p w:rsidR="00E353F9" w:rsidRDefault="00E353F9">
      <w:pPr>
        <w:spacing w:after="0" w:line="276" w:lineRule="auto"/>
        <w:jc w:val="both"/>
        <w:rPr>
          <w:rFonts w:ascii="Times New Roman" w:eastAsia="Times New Roman" w:hAnsi="Times New Roman" w:cs="Times New Roman"/>
          <w:sz w:val="24"/>
          <w:szCs w:val="24"/>
        </w:rPr>
      </w:pPr>
    </w:p>
    <w:p w:rsidR="00E353F9" w:rsidRDefault="00E97B5E">
      <w:pPr>
        <w:spacing w:after="0" w:line="276" w:lineRule="auto"/>
        <w:jc w:val="both"/>
        <w:rPr>
          <w:rFonts w:ascii="Times New Roman" w:eastAsia="Times New Roman" w:hAnsi="Times New Roman" w:cs="Times New Roman"/>
          <w:sz w:val="24"/>
          <w:szCs w:val="24"/>
        </w:rPr>
      </w:pPr>
      <w:r>
        <w:rPr>
          <w:rFonts w:ascii="Times New Roman" w:hAnsi="Times New Roman" w:cs="Times New Roman"/>
          <w:noProof/>
        </w:rPr>
        <w:drawing>
          <wp:inline distT="0" distB="0" distL="0" distR="0">
            <wp:extent cx="2552700" cy="2162520"/>
            <wp:effectExtent l="0" t="0" r="0" b="9525"/>
            <wp:docPr id="1029" name="Picture 11" descr="C:\Users\USER\Desktop\New folder\Onah PhD work AD\Onah PhD1\Onah PhD Flood Pictures\IMG_20211024_091146_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8" cstate="print"/>
                    <a:srcRect/>
                    <a:stretch/>
                  </pic:blipFill>
                  <pic:spPr>
                    <a:xfrm>
                      <a:off x="0" y="0"/>
                      <a:ext cx="2552700" cy="2162520"/>
                    </a:xfrm>
                    <a:prstGeom prst="rect">
                      <a:avLst/>
                    </a:prstGeom>
                    <a:ln>
                      <a:noFill/>
                    </a:ln>
                  </pic:spPr>
                </pic:pic>
              </a:graphicData>
            </a:graphic>
          </wp:inline>
        </w:drawing>
      </w:r>
      <w:r>
        <w:rPr>
          <w:rFonts w:ascii="Times New Roman" w:eastAsia="Times New Roman" w:hAnsi="Times New Roman" w:cs="Times New Roman"/>
          <w:noProof/>
          <w:sz w:val="24"/>
          <w:szCs w:val="24"/>
        </w:rPr>
        <w:drawing>
          <wp:inline distT="0" distB="0" distL="0" distR="0">
            <wp:extent cx="2571115" cy="2166448"/>
            <wp:effectExtent l="0" t="0" r="635" b="5715"/>
            <wp:docPr id="1030" name="Picture 12" descr="C:\Users\USER\Desktop\New folder\Onah PhD work AD\Onah PhD1\Onah PhD Flood Pictures\IMG_20211024_090422_2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9" cstate="print"/>
                    <a:srcRect/>
                    <a:stretch/>
                  </pic:blipFill>
                  <pic:spPr>
                    <a:xfrm>
                      <a:off x="0" y="0"/>
                      <a:ext cx="2571115" cy="2166448"/>
                    </a:xfrm>
                    <a:prstGeom prst="rect">
                      <a:avLst/>
                    </a:prstGeom>
                    <a:ln>
                      <a:noFill/>
                    </a:ln>
                  </pic:spPr>
                </pic:pic>
              </a:graphicData>
            </a:graphic>
          </wp:inline>
        </w:drawing>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4: Idye Area (Onah, 2022)</w:t>
      </w:r>
    </w:p>
    <w:p w:rsidR="00E353F9" w:rsidRDefault="00E97B5E">
      <w:pPr>
        <w:spacing w:after="0" w:line="276" w:lineRule="auto"/>
        <w:jc w:val="both"/>
        <w:outlineLvl w:val="2"/>
        <w:rPr>
          <w:rFonts w:ascii="Times New Roman" w:eastAsia="Times New Roman" w:hAnsi="Times New Roman" w:cs="Times New Roman"/>
          <w:b/>
          <w:bCs/>
          <w:sz w:val="24"/>
          <w:szCs w:val="24"/>
        </w:rPr>
      </w:pPr>
      <w:bookmarkStart w:id="1" w:name="_Hlk218596101"/>
      <w:r>
        <w:rPr>
          <w:rFonts w:ascii="Times New Roman" w:eastAsia="Times New Roman" w:hAnsi="Times New Roman" w:cs="Times New Roman"/>
          <w:b/>
          <w:sz w:val="24"/>
          <w:szCs w:val="24"/>
        </w:rPr>
        <w:t xml:space="preserve">Challenges and Factors at the </w:t>
      </w:r>
      <w:r>
        <w:rPr>
          <w:rFonts w:ascii="Times New Roman" w:eastAsia="Times New Roman" w:hAnsi="Times New Roman" w:cs="Times New Roman"/>
          <w:b/>
          <w:bCs/>
          <w:sz w:val="24"/>
          <w:szCs w:val="24"/>
        </w:rPr>
        <w:t>Preparedness Phase</w:t>
      </w:r>
      <w:bookmarkEnd w:id="1"/>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Table 5 presents the descriptive statistics for preparedness-related challenges prior to the 2022 flood event in Makurdi LGA.</w:t>
      </w:r>
      <w:r>
        <w:rPr>
          <w:rFonts w:ascii="Times New Roman" w:eastAsia="Times New Roman" w:hAnsi="Times New Roman" w:cs="Times New Roman"/>
          <w:sz w:val="24"/>
          <w:szCs w:val="24"/>
        </w:rPr>
        <w:t xml:space="preserve"> </w:t>
      </w:r>
    </w:p>
    <w:p w:rsidR="00E353F9" w:rsidRDefault="00E97B5E">
      <w:pPr>
        <w:spacing w:after="0" w:line="276" w:lineRule="auto"/>
        <w:jc w:val="both"/>
        <w:rPr>
          <w:rFonts w:ascii="Times New Roman" w:hAnsi="Times New Roman" w:cs="Times New Roman"/>
          <w:b/>
        </w:rPr>
      </w:pPr>
      <w:r>
        <w:rPr>
          <w:rFonts w:ascii="Times New Roman" w:hAnsi="Times New Roman" w:cs="Times New Roman"/>
          <w:b/>
        </w:rPr>
        <w:t xml:space="preserve">Table 5: </w:t>
      </w:r>
      <w:r>
        <w:rPr>
          <w:rFonts w:ascii="Times New Roman" w:hAnsi="Times New Roman" w:cs="Times New Roman"/>
          <w:b/>
          <w:bCs/>
        </w:rPr>
        <w:t>Descriptive Statistics - Preparedness Phase</w:t>
      </w:r>
    </w:p>
    <w:tbl>
      <w:tblPr>
        <w:tblW w:w="836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57"/>
        <w:gridCol w:w="720"/>
        <w:gridCol w:w="810"/>
        <w:gridCol w:w="900"/>
        <w:gridCol w:w="994"/>
        <w:gridCol w:w="986"/>
      </w:tblGrid>
      <w:tr w:rsidR="00E353F9">
        <w:trPr>
          <w:cantSplit/>
        </w:trPr>
        <w:tc>
          <w:tcPr>
            <w:tcW w:w="3957" w:type="dxa"/>
            <w:tcBorders>
              <w:top w:val="single" w:sz="18" w:space="0" w:color="000000"/>
              <w:left w:val="single" w:sz="18" w:space="0" w:color="000000"/>
              <w:bottom w:val="single" w:sz="8" w:space="0" w:color="000000"/>
              <w:right w:val="single" w:sz="18" w:space="0" w:color="000000"/>
            </w:tcBorders>
            <w:shd w:val="clear" w:color="auto" w:fill="FFFFFF"/>
            <w:hideMark/>
          </w:tcPr>
          <w:p w:rsidR="00E353F9" w:rsidRDefault="00E97B5E">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lastRenderedPageBreak/>
              <w:t>Variables</w:t>
            </w:r>
          </w:p>
        </w:tc>
        <w:tc>
          <w:tcPr>
            <w:tcW w:w="720" w:type="dxa"/>
            <w:tcBorders>
              <w:top w:val="single" w:sz="18" w:space="0" w:color="000000"/>
              <w:left w:val="single" w:sz="1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N</w:t>
            </w:r>
          </w:p>
        </w:tc>
        <w:tc>
          <w:tcPr>
            <w:tcW w:w="810"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Mean</w:t>
            </w:r>
          </w:p>
        </w:tc>
        <w:tc>
          <w:tcPr>
            <w:tcW w:w="900"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Std. Deviation</w:t>
            </w:r>
          </w:p>
        </w:tc>
        <w:tc>
          <w:tcPr>
            <w:tcW w:w="994"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Skewness</w:t>
            </w:r>
          </w:p>
        </w:tc>
        <w:tc>
          <w:tcPr>
            <w:tcW w:w="986"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Kurtosis</w:t>
            </w:r>
          </w:p>
        </w:tc>
      </w:tr>
      <w:tr w:rsidR="00E353F9">
        <w:trPr>
          <w:cantSplit/>
        </w:trPr>
        <w:tc>
          <w:tcPr>
            <w:tcW w:w="3957" w:type="dxa"/>
            <w:tcBorders>
              <w:top w:val="single" w:sz="18" w:space="0" w:color="000000"/>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No early flood warning before the 2022 flood</w:t>
            </w:r>
          </w:p>
        </w:tc>
        <w:tc>
          <w:tcPr>
            <w:tcW w:w="720" w:type="dxa"/>
            <w:tcBorders>
              <w:top w:val="single" w:sz="18" w:space="0" w:color="000000"/>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3.00</w:t>
            </w:r>
          </w:p>
        </w:tc>
        <w:tc>
          <w:tcPr>
            <w:tcW w:w="900"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1.430</w:t>
            </w:r>
          </w:p>
        </w:tc>
        <w:tc>
          <w:tcPr>
            <w:tcW w:w="994"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-.011</w:t>
            </w:r>
          </w:p>
        </w:tc>
        <w:tc>
          <w:tcPr>
            <w:tcW w:w="986"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-1.340</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Flood warnings were received too late</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3.00</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1.420</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-.023</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-1.268</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Flood warnings were poorly communicated</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2.97</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1.402</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.071</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-1.290</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Community flood awareness programmes were inadequate</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2.85</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1.437</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-1.361</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Lack of knowledge of evacuation routes before the flood</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3.07</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1.440</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-.037</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-1.365</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Households lacked preparedness plans</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3.06</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1.454</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-.036</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-1.363</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Poor drainage maintenance before rainy season</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3.12</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1.421</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-.081</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-1.308</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Inadequate land-use planning in flood-prone areas</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3.02</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1.366</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-.012</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-1.237</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Poor enforcement of building regulations</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3.01</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1.444</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-.008</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-1.358</w:t>
            </w:r>
          </w:p>
        </w:tc>
      </w:tr>
      <w:tr w:rsidR="00E353F9">
        <w:trPr>
          <w:cantSplit/>
        </w:trPr>
        <w:tc>
          <w:tcPr>
            <w:tcW w:w="395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Lack of community involvement in preparedness planning</w:t>
            </w:r>
          </w:p>
        </w:tc>
        <w:tc>
          <w:tcPr>
            <w:tcW w:w="72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2.92</w:t>
            </w:r>
          </w:p>
        </w:tc>
        <w:tc>
          <w:tcPr>
            <w:tcW w:w="90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1.432</w:t>
            </w:r>
          </w:p>
        </w:tc>
        <w:tc>
          <w:tcPr>
            <w:tcW w:w="994"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w:t>
            </w:r>
          </w:p>
        </w:tc>
        <w:tc>
          <w:tcPr>
            <w:tcW w:w="986"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-1.307</w:t>
            </w:r>
          </w:p>
        </w:tc>
      </w:tr>
      <w:tr w:rsidR="00E353F9">
        <w:trPr>
          <w:cantSplit/>
        </w:trPr>
        <w:tc>
          <w:tcPr>
            <w:tcW w:w="3957" w:type="dxa"/>
            <w:tcBorders>
              <w:top w:val="nil"/>
              <w:left w:val="single" w:sz="18" w:space="0" w:color="000000"/>
              <w:bottom w:val="single" w:sz="18" w:space="0" w:color="000000"/>
              <w:right w:val="single" w:sz="18" w:space="0" w:color="000000"/>
            </w:tcBorders>
            <w:shd w:val="clear" w:color="auto" w:fill="FFFFFF"/>
            <w:vAlign w:val="center"/>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Valid N (listwise)</w:t>
            </w:r>
          </w:p>
        </w:tc>
        <w:tc>
          <w:tcPr>
            <w:tcW w:w="720" w:type="dxa"/>
            <w:tcBorders>
              <w:top w:val="nil"/>
              <w:left w:val="single" w:sz="18" w:space="0" w:color="000000"/>
              <w:bottom w:val="single" w:sz="1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c>
          <w:tcPr>
            <w:tcW w:w="900"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c>
          <w:tcPr>
            <w:tcW w:w="994"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c>
          <w:tcPr>
            <w:tcW w:w="986"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r>
    </w:tbl>
    <w:p w:rsidR="00E353F9" w:rsidRDefault="00E97B5E">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indicate generally </w:t>
      </w:r>
      <w:r>
        <w:rPr>
          <w:rFonts w:ascii="Times New Roman" w:eastAsia="Times New Roman" w:hAnsi="Times New Roman" w:cs="Times New Roman"/>
          <w:bCs/>
          <w:sz w:val="24"/>
          <w:szCs w:val="24"/>
        </w:rPr>
        <w:t>moderate to high mean scores</w:t>
      </w:r>
      <w:r>
        <w:rPr>
          <w:rFonts w:ascii="Times New Roman" w:eastAsia="Times New Roman" w:hAnsi="Times New Roman" w:cs="Times New Roman"/>
          <w:sz w:val="24"/>
          <w:szCs w:val="24"/>
        </w:rPr>
        <w:t>, ranging from 2.85 to 3.12, suggesting that respondents largely agreed that several preparedness gaps existed before the flood. Poor drainage maintenance before the rainy season recorded the highest mean (M = 3.12), highlighting infrastructural neglect as a major preparedness challenge. This was closely followed by lack of knowledge of evacuation routes (M = 3.07) and households lacking preparedness plans (M = 3.06), indicating weak household-level readiness. Issues related to flood warning systems, including absence of early warnings (M = 3.00), late receipt of warnings (M = 3.00), and poor communication of warnings (M = 2.97), further reveal deficiencies in early warning dissemination. Inadequate land-use planning (M = 3.02) and poor enforcement of building regulations (M = 3.01) point to institutional and regulatory failures that increase exposure to flood risk. The relatively low mean for community flood awareness programmes (M = 2.85) suggests insufficient public sensitisation efforts. The negative kurtosis values across variables indicate a flat distribution, implying varied experiences among respondents. Overall, Table 32 underscores systemic weaknesses in preparedness mechanisms, contributing to heightened vulnerability during the 2022 flood event.</w:t>
      </w: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The result presents the PCA results for the preparedness phase, with six components cumulatively explaining 68.29% of the total variance.</w:t>
      </w:r>
      <w:r>
        <w:rPr>
          <w:rFonts w:ascii="Times New Roman" w:eastAsia="Times New Roman" w:hAnsi="Times New Roman" w:cs="Times New Roman"/>
          <w:sz w:val="24"/>
          <w:szCs w:val="24"/>
        </w:rPr>
        <w:t xml:space="preserve"> This cumulative variance indicates a strong explanatory power of the extracted components in capturing preparedness-related challenges.</w:t>
      </w:r>
    </w:p>
    <w:p w:rsidR="00E353F9" w:rsidRDefault="00E97B5E">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Challenges and Factors at the</w:t>
      </w:r>
      <w:r>
        <w:rPr>
          <w:rFonts w:ascii="Times New Roman" w:eastAsia="Times New Roman" w:hAnsi="Times New Roman" w:cs="Times New Roman"/>
          <w:b/>
          <w:bCs/>
          <w:sz w:val="24"/>
          <w:szCs w:val="24"/>
        </w:rPr>
        <w:t xml:space="preserve"> Response Phase</w:t>
      </w:r>
    </w:p>
    <w:p w:rsidR="00E353F9" w:rsidRDefault="00E97B5E">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6 presents the descriptive statistics for response-related challenges during the 2022 flood event.</w:t>
      </w:r>
    </w:p>
    <w:p w:rsidR="00E353F9" w:rsidRDefault="00E97B5E">
      <w:pPr>
        <w:spacing w:after="0" w:line="276" w:lineRule="auto"/>
        <w:jc w:val="both"/>
        <w:rPr>
          <w:rFonts w:ascii="Times New Roman" w:hAnsi="Times New Roman" w:cs="Times New Roman"/>
          <w:b/>
        </w:rPr>
      </w:pPr>
      <w:r>
        <w:rPr>
          <w:rFonts w:ascii="Times New Roman" w:hAnsi="Times New Roman" w:cs="Times New Roman"/>
          <w:b/>
        </w:rPr>
        <w:lastRenderedPageBreak/>
        <w:t xml:space="preserve">Table 6: </w:t>
      </w:r>
      <w:bookmarkStart w:id="2" w:name="_Hlk218600136"/>
      <w:r>
        <w:rPr>
          <w:rFonts w:ascii="Times New Roman" w:hAnsi="Times New Roman" w:cs="Times New Roman"/>
          <w:b/>
          <w:bCs/>
        </w:rPr>
        <w:t>Descriptive Statistics - Response Phase</w:t>
      </w:r>
      <w:bookmarkEnd w:id="2"/>
    </w:p>
    <w:tbl>
      <w:tblPr>
        <w:tblW w:w="821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17"/>
        <w:gridCol w:w="810"/>
        <w:gridCol w:w="810"/>
        <w:gridCol w:w="1042"/>
        <w:gridCol w:w="1059"/>
        <w:gridCol w:w="1081"/>
      </w:tblGrid>
      <w:tr w:rsidR="00E353F9">
        <w:trPr>
          <w:cantSplit/>
        </w:trPr>
        <w:tc>
          <w:tcPr>
            <w:tcW w:w="3417" w:type="dxa"/>
            <w:tcBorders>
              <w:top w:val="single" w:sz="18" w:space="0" w:color="000000"/>
              <w:left w:val="single" w:sz="18" w:space="0" w:color="000000"/>
              <w:bottom w:val="single" w:sz="8" w:space="0" w:color="000000"/>
              <w:right w:val="single" w:sz="18" w:space="0" w:color="000000"/>
            </w:tcBorders>
            <w:shd w:val="clear" w:color="auto" w:fill="FFFFFF"/>
            <w:hideMark/>
          </w:tcPr>
          <w:p w:rsidR="00E353F9" w:rsidRDefault="00E97B5E">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Variable</w:t>
            </w:r>
          </w:p>
        </w:tc>
        <w:tc>
          <w:tcPr>
            <w:tcW w:w="810" w:type="dxa"/>
            <w:tcBorders>
              <w:top w:val="single" w:sz="18" w:space="0" w:color="000000"/>
              <w:left w:val="single" w:sz="1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N</w:t>
            </w:r>
          </w:p>
        </w:tc>
        <w:tc>
          <w:tcPr>
            <w:tcW w:w="810"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Mean</w:t>
            </w:r>
          </w:p>
        </w:tc>
        <w:tc>
          <w:tcPr>
            <w:tcW w:w="1042"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 xml:space="preserve">Std. Deviation                </w:t>
            </w:r>
          </w:p>
        </w:tc>
        <w:tc>
          <w:tcPr>
            <w:tcW w:w="1059"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Skewness</w:t>
            </w:r>
          </w:p>
        </w:tc>
        <w:tc>
          <w:tcPr>
            <w:tcW w:w="1081" w:type="dxa"/>
            <w:tcBorders>
              <w:top w:val="single" w:sz="18" w:space="0" w:color="000000"/>
              <w:left w:val="single" w:sz="8" w:space="0" w:color="000000"/>
              <w:bottom w:val="single" w:sz="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Kurtosis</w:t>
            </w:r>
          </w:p>
        </w:tc>
      </w:tr>
      <w:tr w:rsidR="00E353F9">
        <w:trPr>
          <w:cantSplit/>
        </w:trPr>
        <w:tc>
          <w:tcPr>
            <w:tcW w:w="3417" w:type="dxa"/>
            <w:tcBorders>
              <w:top w:val="single" w:sz="18" w:space="0" w:color="000000"/>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Emergency response to flood was delayed</w:t>
            </w:r>
          </w:p>
        </w:tc>
        <w:tc>
          <w:tcPr>
            <w:tcW w:w="810" w:type="dxa"/>
            <w:tcBorders>
              <w:top w:val="single" w:sz="18" w:space="0" w:color="000000"/>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2.92</w:t>
            </w:r>
          </w:p>
        </w:tc>
        <w:tc>
          <w:tcPr>
            <w:tcW w:w="1042"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1.440</w:t>
            </w:r>
          </w:p>
        </w:tc>
        <w:tc>
          <w:tcPr>
            <w:tcW w:w="1059"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-.005</w:t>
            </w:r>
          </w:p>
        </w:tc>
        <w:tc>
          <w:tcPr>
            <w:tcW w:w="1081" w:type="dxa"/>
            <w:tcBorders>
              <w:top w:val="single" w:sz="18" w:space="0" w:color="000000"/>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-1.352</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Evacuation support during flood was inadequate</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3.20</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1.493</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-.172</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-1.404</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Insufficient evacuation centres</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2.99</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1.441</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.019</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-1.338</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Overcrowding in temporary shelters</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2.97</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1.418</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.058</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-1.322</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Relief materials were inadequate</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2.90</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1.475</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.098</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-1.369</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Poor coordination among response agencies</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3.11</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1.450</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-.051</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-1.376</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Unfair distribution of relief materials</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3.03</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1.352</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-.077</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-1.142</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Poor road access during flood</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3.02</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1.412</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.026</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-1.279</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Inadequate medical emergency services</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2.96</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1.485</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-.005</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-1.417</w:t>
            </w:r>
          </w:p>
        </w:tc>
      </w:tr>
      <w:tr w:rsidR="00E353F9">
        <w:trPr>
          <w:cantSplit/>
        </w:trPr>
        <w:tc>
          <w:tcPr>
            <w:tcW w:w="3417" w:type="dxa"/>
            <w:tcBorders>
              <w:top w:val="nil"/>
              <w:left w:val="single" w:sz="18" w:space="0" w:color="000000"/>
              <w:bottom w:val="nil"/>
              <w:right w:val="single" w:sz="18" w:space="0" w:color="000000"/>
            </w:tcBorders>
            <w:shd w:val="clear" w:color="auto" w:fill="FFFFFF"/>
            <w:hideMark/>
          </w:tcPr>
          <w:p w:rsidR="00E353F9" w:rsidRDefault="00E97B5E">
            <w:pPr>
              <w:spacing w:after="0" w:line="276" w:lineRule="auto"/>
              <w:jc w:val="both"/>
              <w:rPr>
                <w:rFonts w:ascii="Times New Roman" w:hAnsi="Times New Roman" w:cs="Times New Roman"/>
              </w:rPr>
            </w:pPr>
            <w:r>
              <w:rPr>
                <w:rFonts w:ascii="Times New Roman" w:hAnsi="Times New Roman" w:cs="Times New Roman"/>
              </w:rPr>
              <w:t>Inadequate security at evacuation centres</w:t>
            </w:r>
          </w:p>
        </w:tc>
        <w:tc>
          <w:tcPr>
            <w:tcW w:w="810" w:type="dxa"/>
            <w:tcBorders>
              <w:top w:val="nil"/>
              <w:left w:val="single" w:sz="1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3.01</w:t>
            </w:r>
          </w:p>
        </w:tc>
        <w:tc>
          <w:tcPr>
            <w:tcW w:w="1042"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1.423</w:t>
            </w:r>
          </w:p>
        </w:tc>
        <w:tc>
          <w:tcPr>
            <w:tcW w:w="1059"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.022</w:t>
            </w:r>
          </w:p>
        </w:tc>
        <w:tc>
          <w:tcPr>
            <w:tcW w:w="1081" w:type="dxa"/>
            <w:tcBorders>
              <w:top w:val="nil"/>
              <w:left w:val="single" w:sz="8" w:space="0" w:color="000000"/>
              <w:bottom w:val="nil"/>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-1.330</w:t>
            </w:r>
          </w:p>
        </w:tc>
      </w:tr>
      <w:tr w:rsidR="00E353F9">
        <w:trPr>
          <w:cantSplit/>
        </w:trPr>
        <w:tc>
          <w:tcPr>
            <w:tcW w:w="3417" w:type="dxa"/>
            <w:tcBorders>
              <w:top w:val="nil"/>
              <w:left w:val="single" w:sz="18" w:space="0" w:color="000000"/>
              <w:bottom w:val="single" w:sz="18" w:space="0" w:color="000000"/>
              <w:right w:val="single" w:sz="18" w:space="0" w:color="000000"/>
            </w:tcBorders>
            <w:shd w:val="clear" w:color="auto" w:fill="FFFFFF"/>
            <w:vAlign w:val="center"/>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Valid N (listwise)</w:t>
            </w:r>
          </w:p>
        </w:tc>
        <w:tc>
          <w:tcPr>
            <w:tcW w:w="810" w:type="dxa"/>
            <w:tcBorders>
              <w:top w:val="nil"/>
              <w:left w:val="single" w:sz="18" w:space="0" w:color="000000"/>
              <w:bottom w:val="single" w:sz="18" w:space="0" w:color="000000"/>
              <w:right w:val="single" w:sz="8" w:space="0" w:color="000000"/>
            </w:tcBorders>
            <w:shd w:val="clear" w:color="auto" w:fill="FFFFFF"/>
            <w:hideMark/>
          </w:tcPr>
          <w:p w:rsidR="00E353F9" w:rsidRDefault="00E97B5E">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c>
          <w:tcPr>
            <w:tcW w:w="1042"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c>
          <w:tcPr>
            <w:tcW w:w="1059"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c>
          <w:tcPr>
            <w:tcW w:w="1081" w:type="dxa"/>
            <w:tcBorders>
              <w:top w:val="nil"/>
              <w:left w:val="single" w:sz="8" w:space="0" w:color="000000"/>
              <w:bottom w:val="single" w:sz="18" w:space="0" w:color="000000"/>
              <w:right w:val="single" w:sz="8" w:space="0" w:color="000000"/>
            </w:tcBorders>
            <w:shd w:val="clear" w:color="auto" w:fill="FFFFFF"/>
          </w:tcPr>
          <w:p w:rsidR="00E353F9" w:rsidRDefault="00E353F9">
            <w:pPr>
              <w:autoSpaceDE w:val="0"/>
              <w:autoSpaceDN w:val="0"/>
              <w:adjustRightInd w:val="0"/>
              <w:spacing w:after="0" w:line="276" w:lineRule="auto"/>
              <w:jc w:val="both"/>
              <w:rPr>
                <w:rFonts w:ascii="Times New Roman" w:hAnsi="Times New Roman" w:cs="Times New Roman"/>
              </w:rPr>
            </w:pPr>
          </w:p>
        </w:tc>
      </w:tr>
    </w:tbl>
    <w:p w:rsidR="00E353F9" w:rsidRDefault="00E97B5E">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rsidR="00E353F9" w:rsidRDefault="00E97B5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values range between 2.90 and 3.20, indicating moderate inadequacies in emergency response mechanisms. Evacuation support inadequacy recorded the highest mean (M = 3.20), suggesting that many residents experienced insufficient assistance during evacuation. Poor coordination among response agencies (M = 3.11) further highlights institutional inefficiencies during emergency operations. Unfair distribution of relief materials (M = 3.03) and poor road access during the flood (M = 3.02) indicate logistical and equity challenges in relief delivery. Delayed emergency response (M = 2.92) and inadequate relief materials (M = 2.90) suggest capacity constraints among responding agencies. The consistently negative kurtosis values again indicate wide variations in respondents’ experiences. Collectively, Table 35 shows that response efforts during the flood were constrained by coordination, logistics, and service delivery challenges.</w:t>
      </w:r>
    </w:p>
    <w:p w:rsidR="00E353F9" w:rsidRDefault="00E97B5E">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bookmarkStart w:id="3" w:name="_GoBack"/>
      <w:bookmarkEnd w:id="3"/>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that residents of flood-prone areas in Makurdi, Nigeria, employed various preparedness measures before the 2022 flood event. The most common measures included using sandbags or wooden barriers (68.0%) and clearing drainage channels (60.5%). However, there were gaps in preparedness, such as limited monitoring of rainfall or river levels (15.6%) and inadequate storing of food and water (15.1%).</w:t>
      </w:r>
    </w:p>
    <w:p w:rsidR="00E353F9" w:rsidRDefault="00E353F9">
      <w:pPr>
        <w:spacing w:after="0" w:line="276" w:lineRule="auto"/>
        <w:jc w:val="both"/>
        <w:rPr>
          <w:rFonts w:ascii="Times New Roman" w:eastAsia="Times New Roman" w:hAnsi="Times New Roman" w:cs="Times New Roman"/>
          <w:sz w:val="24"/>
          <w:szCs w:val="24"/>
        </w:rPr>
      </w:pPr>
    </w:p>
    <w:p w:rsidR="00E353F9" w:rsidRDefault="00E97B5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effectiveness of preparedness measures was moderate, with a Household Preparedness Effectiveness Index (HPEI) of 3.40. Early warning systems played a crucial role in enabling timely preparedness actions, with a mean score of 3.51. During the flood, residents employed various </w:t>
      </w:r>
      <w:r>
        <w:rPr>
          <w:rFonts w:ascii="Times New Roman" w:eastAsia="Times New Roman" w:hAnsi="Times New Roman" w:cs="Times New Roman"/>
          <w:sz w:val="24"/>
          <w:szCs w:val="24"/>
        </w:rPr>
        <w:lastRenderedPageBreak/>
        <w:t>response strategies, including staying at home (34.5%), moving to higher ground (27.1%), and relocating to relatives' or friends' houses (20.5%). However, evacuation compliance was low, with only 11.0% of residents evacuating to designated camps. The response time after flood warning was also a concern, with only 20.0% of respondents responding immediately. About 24.1% responded within 24 hours, while 17.3% did not respond at all. The study identified several challenges that contributed to the vulnerability of residents during the flood, including poor drainage maintenance (M = 3.12), lack of knowledge of evacuation routes (M = 3.07), inadequate household preparedness plans (M = 3.06), poor communication of flood warnings (M = 2.97), and inadequate community flood awareness programs (M = 2.85). During the response phase, challenges included delayed emergency response (M = 2.92), inadequate evacuation support (M = 3.20), poor coordination among response agencies (M = 3.11), and unfair distribution of relief materials (M = 3.03).</w:t>
      </w:r>
    </w:p>
    <w:p w:rsidR="00E353F9" w:rsidRDefault="00E97B5E">
      <w:pPr>
        <w:spacing w:before="240"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rsidR="00E353F9" w:rsidRDefault="00E97B5E">
      <w:pPr>
        <w:spacing w:line="276" w:lineRule="auto"/>
        <w:jc w:val="both"/>
        <w:rPr>
          <w:rFonts w:ascii="Times New Roman" w:hAnsi="Times New Roman" w:cs="Times New Roman"/>
          <w:sz w:val="24"/>
          <w:szCs w:val="24"/>
        </w:rPr>
      </w:pPr>
      <w:r>
        <w:rPr>
          <w:rFonts w:ascii="Times New Roman" w:hAnsi="Times New Roman" w:cs="Times New Roman"/>
          <w:sz w:val="24"/>
          <w:szCs w:val="24"/>
        </w:rPr>
        <w:t>The 2022 Makurdi flood showed that flood disaster management in Benue State was only moderately effective. Households relied heavily on physical measures like sandbags and drainage clearing, while early warnings were often delayed, poorly communicated, or not received at all. Response actions were largely reactive, with many residents staying at home, and evacuation and relief efforts were constrained by weak institutional coordination, inadequate shelters, and inequitable distribution of aid. Recovery was short‑term and unsustainable, leaving communities vulnerable to future floods. Overall, preparedness, response, and recovery were limited by weak early warning systems, poor drainage maintenance, low household readiness, and fragmented institutional collaboration.</w:t>
      </w:r>
    </w:p>
    <w:p w:rsidR="00E353F9" w:rsidRDefault="00E97B5E">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Recommendations</w:t>
      </w:r>
    </w:p>
    <w:p w:rsidR="00E353F9" w:rsidRDefault="00E97B5E">
      <w:pPr>
        <w:spacing w:line="276" w:lineRule="auto"/>
        <w:jc w:val="both"/>
        <w:rPr>
          <w:rFonts w:ascii="Times New Roman" w:hAnsi="Times New Roman" w:cs="Times New Roman"/>
          <w:sz w:val="24"/>
          <w:szCs w:val="24"/>
        </w:rPr>
      </w:pPr>
      <w:r>
        <w:rPr>
          <w:rFonts w:ascii="Times New Roman" w:hAnsi="Times New Roman" w:cs="Times New Roman"/>
          <w:sz w:val="24"/>
          <w:szCs w:val="24"/>
        </w:rPr>
        <w:t>Based on the findings of the study, the following recommendations are made:</w:t>
      </w:r>
    </w:p>
    <w:p w:rsidR="00E353F9" w:rsidRDefault="00E97B5E">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Strengthen early warning systems by ensuring timely, clear, and widely accessible alerts through radio, mobile SMS, and community networks, with integration of NiMet and NIHSA forecasts.</w:t>
      </w:r>
    </w:p>
    <w:p w:rsidR="00E353F9" w:rsidRDefault="00E97B5E">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Improve household and community preparedness through regular flood awareness programs, training on evacuation routes, and support for simple protective measures like sandbags and raised structures.</w:t>
      </w:r>
    </w:p>
    <w:p w:rsidR="00E353F9" w:rsidRDefault="00E97B5E">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Enhance institutional coordination by clarifying roles of NEMA, SEMA, local government, and community leaders, and establishing joint emergency response frameworks.</w:t>
      </w:r>
    </w:p>
    <w:p w:rsidR="00E353F9" w:rsidRDefault="00E97B5E">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Invest in drainage infrastructure and enforce land‑use regulations to reduce flood exposure, alongside pre‑positioned relief materials and well‑equipped evacuation centers.</w:t>
      </w:r>
    </w:p>
    <w:p w:rsidR="00E353F9" w:rsidRDefault="00E97B5E">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Develop long‑term recovery strategies that restore livelihoods, housing, and infrastructure, supported by community participation and sustainable funding mechanism</w:t>
      </w:r>
    </w:p>
    <w:p w:rsidR="000E5A18" w:rsidRPr="00E97B5E" w:rsidRDefault="000E5A18" w:rsidP="00E97B5E">
      <w:pPr>
        <w:ind w:left="180"/>
        <w:rPr>
          <w:highlight w:val="yellow"/>
        </w:rPr>
      </w:pPr>
      <w:r w:rsidRPr="00E97B5E">
        <w:rPr>
          <w:highlight w:val="yellow"/>
        </w:rPr>
        <w:t>Disclaimer (Artificial intelligence)</w:t>
      </w:r>
    </w:p>
    <w:p w:rsidR="000E5A18" w:rsidRPr="000E5A18" w:rsidRDefault="000E5A18" w:rsidP="000E5A18">
      <w:pPr>
        <w:pStyle w:val="ListParagraph"/>
        <w:numPr>
          <w:ilvl w:val="0"/>
          <w:numId w:val="4"/>
        </w:numPr>
        <w:rPr>
          <w:highlight w:val="yellow"/>
        </w:rPr>
      </w:pPr>
      <w:r w:rsidRPr="000E5A18">
        <w:rPr>
          <w:highlight w:val="yellow"/>
        </w:rPr>
        <w:lastRenderedPageBreak/>
        <w:t>Author(s) hereby declare that NO generative AI technologies such as Large Language Models (</w:t>
      </w:r>
      <w:proofErr w:type="spellStart"/>
      <w:r w:rsidRPr="000E5A18">
        <w:rPr>
          <w:highlight w:val="yellow"/>
        </w:rPr>
        <w:t>ChatGPT</w:t>
      </w:r>
      <w:proofErr w:type="spellEnd"/>
      <w:r w:rsidRPr="000E5A18">
        <w:rPr>
          <w:highlight w:val="yellow"/>
        </w:rPr>
        <w:t xml:space="preserve">, COPILOT, etc.) and text-to-image generators have been used during the writing or editing of this manuscript. </w:t>
      </w:r>
    </w:p>
    <w:p w:rsidR="000E5A18" w:rsidRPr="000E5A18" w:rsidRDefault="000E5A18" w:rsidP="000E5A18">
      <w:pPr>
        <w:spacing w:line="276" w:lineRule="auto"/>
        <w:ind w:left="180"/>
        <w:jc w:val="both"/>
        <w:rPr>
          <w:rFonts w:ascii="Times New Roman" w:hAnsi="Times New Roman" w:cs="Times New Roman"/>
          <w:sz w:val="24"/>
          <w:szCs w:val="24"/>
        </w:rPr>
      </w:pPr>
    </w:p>
    <w:p w:rsidR="00E353F9" w:rsidRDefault="00E97B5E">
      <w:pPr>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rsidR="00E353F9" w:rsidRDefault="00E97B5E">
      <w:pPr>
        <w:pStyle w:val="NormalWeb"/>
        <w:spacing w:before="0" w:beforeAutospacing="0" w:after="0" w:afterAutospacing="0" w:line="360" w:lineRule="auto"/>
        <w:ind w:left="540" w:hanging="720"/>
        <w:jc w:val="both"/>
      </w:pPr>
      <w:r>
        <w:t xml:space="preserve">Abaje, I. B., Ati, O. F., &amp; Iguisi, E. O. (2015). Floods and their impact on rural households in Benue State, Nigeria. </w:t>
      </w:r>
      <w:r>
        <w:rPr>
          <w:i/>
          <w:iCs/>
        </w:rPr>
        <w:t>Journal of Geography and Regional Planning</w:t>
      </w:r>
      <w:r>
        <w:t>, 8(2), 32–40.</w:t>
      </w:r>
    </w:p>
    <w:p w:rsidR="00E353F9" w:rsidRDefault="00E97B5E">
      <w:pPr>
        <w:pStyle w:val="NormalWeb"/>
        <w:spacing w:before="0" w:beforeAutospacing="0" w:after="0" w:afterAutospacing="0" w:line="360" w:lineRule="auto"/>
        <w:ind w:left="540" w:hanging="720"/>
        <w:jc w:val="both"/>
      </w:pPr>
      <w:r>
        <w:t xml:space="preserve">Adelekan, I. O. (2022). Flood preparedness and response in Nigeria: Challenges and prospects. </w:t>
      </w:r>
      <w:r>
        <w:rPr>
          <w:i/>
          <w:iCs/>
        </w:rPr>
        <w:t>International Journal of Disaster Risk Reduction</w:t>
      </w:r>
      <w:r>
        <w:t xml:space="preserve">, 66, 102596. </w:t>
      </w:r>
    </w:p>
    <w:p w:rsidR="00E353F9" w:rsidRDefault="00E97B5E">
      <w:pPr>
        <w:pStyle w:val="NormalWeb"/>
        <w:spacing w:before="0" w:beforeAutospacing="0" w:after="0" w:afterAutospacing="0" w:line="360" w:lineRule="auto"/>
        <w:ind w:left="540" w:hanging="720"/>
        <w:jc w:val="both"/>
      </w:pPr>
      <w:r>
        <w:t xml:space="preserve">Aderogba, K. A. (2023). Post‑flood recovery and livelihood resilience in Nigerian urban centers. GeoJournal, 88(1), 101–119. </w:t>
      </w:r>
    </w:p>
    <w:p w:rsidR="00E353F9" w:rsidRDefault="00E97B5E">
      <w:pPr>
        <w:pStyle w:val="NormalWeb"/>
        <w:spacing w:before="0" w:beforeAutospacing="0" w:after="0" w:afterAutospacing="0" w:line="360" w:lineRule="auto"/>
        <w:ind w:left="540" w:hanging="720"/>
        <w:jc w:val="both"/>
      </w:pPr>
      <w:r>
        <w:t xml:space="preserve">Agada, S., &amp; Zuwu, G. (2021). Early warning systems and community awareness in flood‑prone areas of Nigeria. </w:t>
      </w:r>
      <w:r>
        <w:rPr>
          <w:i/>
          <w:iCs/>
        </w:rPr>
        <w:t>Journal of Environmental Management and Safety</w:t>
      </w:r>
      <w:r>
        <w:t>, 12(4), 45–58.</w:t>
      </w:r>
    </w:p>
    <w:p w:rsidR="00E353F9" w:rsidRDefault="00E97B5E">
      <w:pPr>
        <w:pStyle w:val="NormalWeb"/>
        <w:spacing w:before="0" w:beforeAutospacing="0" w:after="0" w:afterAutospacing="0" w:line="360" w:lineRule="auto"/>
        <w:ind w:left="540" w:hanging="720"/>
        <w:jc w:val="both"/>
      </w:pPr>
      <w:r>
        <w:t xml:space="preserve">Agbor, C. F., Odoh, B. I., &amp; Okeke, C. U. (2019). Urban planning and flood vulnerability in Makurdi, Nigeria. </w:t>
      </w:r>
      <w:r>
        <w:rPr>
          <w:i/>
          <w:iCs/>
        </w:rPr>
        <w:t>Journal of Urban Affairs</w:t>
      </w:r>
      <w:r>
        <w:t xml:space="preserve">, 41(6), 789–805. </w:t>
      </w:r>
    </w:p>
    <w:p w:rsidR="00E353F9" w:rsidRDefault="00E97B5E">
      <w:pPr>
        <w:pStyle w:val="NormalWeb"/>
        <w:spacing w:before="0" w:beforeAutospacing="0" w:after="0" w:afterAutospacing="0" w:line="360" w:lineRule="auto"/>
        <w:ind w:left="540" w:hanging="720"/>
        <w:jc w:val="both"/>
      </w:pPr>
      <w:r>
        <w:t>Alexander, D. (2017). Disaster and emergency: Definitions and differences. In Handbook of Disaster Research (pp. 3–18). Springer.</w:t>
      </w:r>
    </w:p>
    <w:p w:rsidR="00E353F9" w:rsidRDefault="00E97B5E">
      <w:pPr>
        <w:pStyle w:val="NormalWeb"/>
        <w:spacing w:before="0" w:beforeAutospacing="0" w:after="0" w:afterAutospacing="0" w:line="360" w:lineRule="auto"/>
        <w:ind w:left="540" w:hanging="720"/>
        <w:jc w:val="both"/>
      </w:pPr>
      <w:r>
        <w:t xml:space="preserve">Anyanyu, J. C. (2025). Assessment of flood management institutions in Nigeria: A case study of Benue State. </w:t>
      </w:r>
      <w:r>
        <w:rPr>
          <w:i/>
          <w:iCs/>
        </w:rPr>
        <w:t>Nigerian Journal of Environmental Studies</w:t>
      </w:r>
      <w:r>
        <w:t>, 14(1), 22–35.</w:t>
      </w:r>
    </w:p>
    <w:p w:rsidR="00E353F9" w:rsidRDefault="00E97B5E">
      <w:pPr>
        <w:pStyle w:val="NormalWeb"/>
        <w:spacing w:before="0" w:beforeAutospacing="0" w:after="0" w:afterAutospacing="0" w:line="360" w:lineRule="auto"/>
        <w:ind w:left="540" w:hanging="720"/>
        <w:jc w:val="both"/>
      </w:pPr>
      <w:r>
        <w:t>Benue State Emergency Management Agency (SEMA). (2022). 2022 Flood Situation Report. Makurdi: Benue SEMA.</w:t>
      </w:r>
    </w:p>
    <w:p w:rsidR="00E353F9" w:rsidRDefault="00E97B5E">
      <w:pPr>
        <w:pStyle w:val="NormalWeb"/>
        <w:spacing w:before="0" w:beforeAutospacing="0" w:after="0" w:afterAutospacing="0" w:line="360" w:lineRule="auto"/>
        <w:ind w:left="540" w:hanging="720"/>
        <w:jc w:val="both"/>
      </w:pPr>
      <w:r>
        <w:t xml:space="preserve">Bridge, A., &amp; Oguno, A. (2023). Community‑driven flood control measures and their perceived effectiveness in Nigeria. </w:t>
      </w:r>
      <w:r>
        <w:rPr>
          <w:i/>
          <w:iCs/>
        </w:rPr>
        <w:t>International Journal of Disaster Resilience</w:t>
      </w:r>
      <w:r>
        <w:t>, 9(2), 112–128.</w:t>
      </w:r>
    </w:p>
    <w:p w:rsidR="00E353F9" w:rsidRDefault="00E97B5E">
      <w:pPr>
        <w:pStyle w:val="NormalWeb"/>
        <w:spacing w:before="0" w:beforeAutospacing="0" w:after="0" w:afterAutospacing="0" w:line="360" w:lineRule="auto"/>
        <w:ind w:left="540" w:hanging="720"/>
        <w:jc w:val="both"/>
      </w:pPr>
      <w:r>
        <w:t>Chambers, R., &amp; Conway, G. R. (1992). Sustainable rural livelihoods: Practical concepts for the 21st century. Institute of Development Studies, University of Sussex.</w:t>
      </w:r>
    </w:p>
    <w:p w:rsidR="00E353F9" w:rsidRDefault="00E97B5E">
      <w:pPr>
        <w:pStyle w:val="NormalWeb"/>
        <w:spacing w:before="0" w:beforeAutospacing="0" w:after="0" w:afterAutospacing="0" w:line="360" w:lineRule="auto"/>
        <w:ind w:left="540" w:hanging="720"/>
        <w:jc w:val="both"/>
      </w:pPr>
      <w:r>
        <w:t>Coppola, D. P. (2021). Introduction to international disaster management (4th ed.). Butterworth‑Heinemann.</w:t>
      </w:r>
    </w:p>
    <w:p w:rsidR="00E353F9" w:rsidRDefault="00E97B5E">
      <w:pPr>
        <w:pStyle w:val="NormalWeb"/>
        <w:spacing w:before="0" w:beforeAutospacing="0" w:after="0" w:afterAutospacing="0" w:line="360" w:lineRule="auto"/>
        <w:ind w:left="540" w:hanging="720"/>
        <w:jc w:val="both"/>
      </w:pPr>
      <w:r>
        <w:t>Cutter, S. L., Barnes, L., Berry, M., Burton, C., Evans, E., Tate, E., &amp; Webb, J. (2016). A place‑based model for understanding community resilience to natural disasters. Global Environmental Change, 18(4), 598–606.</w:t>
      </w:r>
    </w:p>
    <w:p w:rsidR="00E353F9" w:rsidRDefault="00E97B5E">
      <w:pPr>
        <w:pStyle w:val="NormalWeb"/>
        <w:spacing w:before="0" w:beforeAutospacing="0" w:after="0" w:afterAutospacing="0" w:line="360" w:lineRule="auto"/>
        <w:ind w:left="540" w:hanging="720"/>
        <w:jc w:val="both"/>
      </w:pPr>
      <w:r>
        <w:lastRenderedPageBreak/>
        <w:t>Department for International Development (DFID). (1999). Sustainable livelihoods guidance sheets. London: DFID.</w:t>
      </w:r>
    </w:p>
    <w:p w:rsidR="00E353F9" w:rsidRDefault="00E97B5E">
      <w:pPr>
        <w:pStyle w:val="NormalWeb"/>
        <w:spacing w:before="0" w:beforeAutospacing="0" w:after="0" w:afterAutospacing="0" w:line="360" w:lineRule="auto"/>
        <w:ind w:left="540" w:hanging="720"/>
        <w:jc w:val="both"/>
      </w:pPr>
      <w:r>
        <w:t xml:space="preserve">Douglas, I., Garvin, S., Lawson, N., Richards, J., Tippett, J., &amp; White, I. (2020). Urban flood risk and climate change: A global perspective. Environmental Research Letters, 15(5), 053001. </w:t>
      </w:r>
    </w:p>
    <w:p w:rsidR="00E353F9" w:rsidRDefault="00E97B5E">
      <w:pPr>
        <w:pStyle w:val="NormalWeb"/>
        <w:spacing w:before="0" w:beforeAutospacing="0" w:after="0" w:afterAutospacing="0" w:line="360" w:lineRule="auto"/>
        <w:ind w:left="540" w:hanging="720"/>
        <w:jc w:val="both"/>
      </w:pPr>
      <w:r>
        <w:t>Elum, Z. A., &amp; Lawal, O. (2022). Flood risk perception and adaptive capacity of urban households in Nigeria. Environmental Science &amp; Policy, 131, 45–53.</w:t>
      </w:r>
    </w:p>
    <w:p w:rsidR="00E353F9" w:rsidRDefault="00E97B5E">
      <w:pPr>
        <w:pStyle w:val="NormalWeb"/>
        <w:spacing w:before="0" w:beforeAutospacing="0" w:after="0" w:afterAutospacing="0" w:line="360" w:lineRule="auto"/>
        <w:ind w:left="540" w:hanging="720"/>
        <w:jc w:val="both"/>
      </w:pPr>
      <w:r>
        <w:t xml:space="preserve">Etuonovbe, A. K. (2011). Drainage infrastructure and flood management in Nigerian cities. </w:t>
      </w:r>
      <w:r>
        <w:rPr>
          <w:i/>
          <w:iCs/>
        </w:rPr>
        <w:t>Journal of Water Resources and Environmental Engineering</w:t>
      </w:r>
      <w:r>
        <w:t>, 3(5), 210–218.</w:t>
      </w:r>
    </w:p>
    <w:p w:rsidR="00E353F9" w:rsidRDefault="00E97B5E">
      <w:pPr>
        <w:pStyle w:val="NormalWeb"/>
        <w:spacing w:before="0" w:beforeAutospacing="0" w:after="0" w:afterAutospacing="0" w:line="360" w:lineRule="auto"/>
        <w:ind w:left="540" w:hanging="720"/>
        <w:jc w:val="both"/>
      </w:pPr>
      <w:r>
        <w:t>Haddow, G. D., Bullock, J. A., &amp; Coppola, D. P. (2020). Introduction to emergency management (6th ed.). Butterworth‑Heinemann.</w:t>
      </w:r>
    </w:p>
    <w:p w:rsidR="00E353F9" w:rsidRDefault="00E97B5E">
      <w:pPr>
        <w:pStyle w:val="NormalWeb"/>
        <w:spacing w:before="0" w:beforeAutospacing="0" w:after="0" w:afterAutospacing="0" w:line="360" w:lineRule="auto"/>
        <w:ind w:left="540" w:hanging="720"/>
        <w:jc w:val="both"/>
      </w:pPr>
      <w:r>
        <w:t>Hooijer, A., Klijn, F., &amp; Kwadijk, J. (2021). Flood risk management in high‑income countries: Lessons for developing nations. Water Policy, 23(2), 245–262. (link unavailable)</w:t>
      </w:r>
    </w:p>
    <w:p w:rsidR="00E353F9" w:rsidRDefault="00E97B5E">
      <w:pPr>
        <w:pStyle w:val="NormalWeb"/>
        <w:spacing w:before="0" w:beforeAutospacing="0" w:after="0" w:afterAutospacing="0" w:line="360" w:lineRule="auto"/>
        <w:ind w:left="540" w:hanging="720"/>
        <w:jc w:val="both"/>
      </w:pPr>
      <w:r>
        <w:t>IPCC (Intergovernmental Panel on Climate Change). (2021). Climate Change 2021: The Physical Science Basis. Contribution of Working Group I to the Sixth Assessment Report. Cambridge University Press.</w:t>
      </w:r>
    </w:p>
    <w:p w:rsidR="00E353F9" w:rsidRDefault="00E97B5E">
      <w:pPr>
        <w:pStyle w:val="NormalWeb"/>
        <w:spacing w:before="0" w:beforeAutospacing="0" w:after="0" w:afterAutospacing="0" w:line="360" w:lineRule="auto"/>
        <w:ind w:left="540" w:hanging="720"/>
        <w:jc w:val="both"/>
      </w:pPr>
      <w:r>
        <w:t xml:space="preserve">Ishaya, S., Nwagbo, E., &amp; Adeyemi, O. (2014). Early warning and flood preparedness in Makurdi, Nigeria. </w:t>
      </w:r>
      <w:r>
        <w:rPr>
          <w:i/>
          <w:iCs/>
        </w:rPr>
        <w:t>Journal of Disaster Risk Studies</w:t>
      </w:r>
      <w:r>
        <w:t>, 6(1), 45–53.</w:t>
      </w:r>
    </w:p>
    <w:p w:rsidR="00E353F9" w:rsidRDefault="00E97B5E">
      <w:pPr>
        <w:pStyle w:val="NormalWeb"/>
        <w:spacing w:before="0" w:beforeAutospacing="0" w:after="0" w:afterAutospacing="0" w:line="360" w:lineRule="auto"/>
        <w:ind w:left="540" w:hanging="720"/>
        <w:jc w:val="both"/>
      </w:pPr>
      <w:r>
        <w:t xml:space="preserve">Kelman, I. (2020). Disaster risk reduction and climate change adaptation: A review of their integration. </w:t>
      </w:r>
      <w:r>
        <w:rPr>
          <w:i/>
          <w:iCs/>
        </w:rPr>
        <w:t>International Journal of Disaster Risk Science</w:t>
      </w:r>
      <w:r>
        <w:t>, 11(3), 259–272. (link unavailable)</w:t>
      </w:r>
    </w:p>
    <w:p w:rsidR="00E353F9" w:rsidRDefault="00E97B5E">
      <w:pPr>
        <w:pStyle w:val="NormalWeb"/>
        <w:spacing w:before="0" w:beforeAutospacing="0" w:after="0" w:afterAutospacing="0" w:line="360" w:lineRule="auto"/>
        <w:ind w:left="540" w:hanging="720"/>
        <w:jc w:val="both"/>
      </w:pPr>
      <w:r>
        <w:t xml:space="preserve">Kundzewicz, Z. W., Kanae, S., Seneviratne, S. I., Handmer, J., Nicholls, N., Peduzzi, P., &amp; Sherstyukov, B. (2019). Flood risk and climate change: Global and regional perspectives. </w:t>
      </w:r>
      <w:r>
        <w:rPr>
          <w:i/>
          <w:iCs/>
        </w:rPr>
        <w:t>Hydrological Sciences Journal</w:t>
      </w:r>
      <w:r>
        <w:t xml:space="preserve">, 59(1), 1–28. </w:t>
      </w:r>
    </w:p>
    <w:p w:rsidR="00E353F9" w:rsidRDefault="00E97B5E">
      <w:pPr>
        <w:pStyle w:val="NormalWeb"/>
        <w:spacing w:before="0" w:beforeAutospacing="0" w:after="0" w:afterAutospacing="0" w:line="360" w:lineRule="auto"/>
        <w:ind w:left="540" w:hanging="720"/>
        <w:jc w:val="both"/>
      </w:pPr>
      <w:r>
        <w:t>Mbese, J. A., Onyekachi, C., &amp; Eze, J. (2024). Impact of flooding on agricultural input supply and market prices in Benue State, Nigeria. Agricultural Economics Review, 25(1), 78–94.</w:t>
      </w:r>
    </w:p>
    <w:p w:rsidR="00E353F9" w:rsidRDefault="00E97B5E">
      <w:pPr>
        <w:pStyle w:val="NormalWeb"/>
        <w:spacing w:before="0" w:beforeAutospacing="0" w:after="0" w:afterAutospacing="0" w:line="360" w:lineRule="auto"/>
        <w:ind w:left="540" w:hanging="720"/>
        <w:jc w:val="both"/>
      </w:pPr>
      <w:r>
        <w:t>National Emergency Management Agency (NEMA). (2022). 2022 Flood Situation Report. Abuja: NEMA.</w:t>
      </w:r>
    </w:p>
    <w:p w:rsidR="00E353F9" w:rsidRDefault="00E97B5E">
      <w:pPr>
        <w:pStyle w:val="NormalWeb"/>
        <w:spacing w:before="0" w:beforeAutospacing="0" w:after="0" w:afterAutospacing="0" w:line="360" w:lineRule="auto"/>
        <w:ind w:left="540" w:hanging="720"/>
        <w:jc w:val="both"/>
      </w:pPr>
      <w:r>
        <w:t>Nigeria Hydrological Services Agency (NIHSA). (2022). Annual Flood Outlook 2022. Abuja: NIHSA.</w:t>
      </w:r>
    </w:p>
    <w:p w:rsidR="00E353F9" w:rsidRDefault="00E97B5E">
      <w:pPr>
        <w:pStyle w:val="NormalWeb"/>
        <w:spacing w:before="0" w:beforeAutospacing="0" w:after="0" w:afterAutospacing="0" w:line="360" w:lineRule="auto"/>
        <w:ind w:left="540" w:hanging="720"/>
        <w:jc w:val="both"/>
      </w:pPr>
      <w:r>
        <w:t xml:space="preserve">Olanrewaju, O. O., Ogunleye, O., &amp; Akinyemi, O. (2021). Financing flood recovery in Nigeria: Challenges and opportunities. </w:t>
      </w:r>
      <w:r>
        <w:rPr>
          <w:i/>
          <w:iCs/>
        </w:rPr>
        <w:t>Journal of Environmental Policy &amp; Planning</w:t>
      </w:r>
      <w:r>
        <w:t>, 23(5), 589–603.</w:t>
      </w:r>
    </w:p>
    <w:p w:rsidR="00E353F9" w:rsidRDefault="00E97B5E">
      <w:pPr>
        <w:pStyle w:val="NormalWeb"/>
        <w:spacing w:before="0" w:beforeAutospacing="0" w:after="0" w:afterAutospacing="0" w:line="360" w:lineRule="auto"/>
        <w:ind w:left="540" w:hanging="720"/>
        <w:jc w:val="both"/>
      </w:pPr>
      <w:r>
        <w:lastRenderedPageBreak/>
        <w:t xml:space="preserve">Ologunorisa, T. E., &amp; Abawua, S. (2005). Flood hazard and vulnerability mapping in Makurdi, Nigeria. </w:t>
      </w:r>
      <w:r>
        <w:rPr>
          <w:i/>
          <w:iCs/>
        </w:rPr>
        <w:t>Journal of Applied Sciences</w:t>
      </w:r>
      <w:r>
        <w:t>, 5(3), 456–462.</w:t>
      </w:r>
    </w:p>
    <w:p w:rsidR="00E353F9" w:rsidRDefault="00E97B5E">
      <w:pPr>
        <w:pStyle w:val="NormalWeb"/>
        <w:spacing w:before="0" w:beforeAutospacing="0" w:after="0" w:afterAutospacing="0" w:line="360" w:lineRule="auto"/>
        <w:ind w:left="540" w:hanging="720"/>
        <w:jc w:val="both"/>
      </w:pPr>
      <w:r>
        <w:t xml:space="preserve">Opere, A. O. (2019). Climate change and flood risk in Africa: Impacts and adaptation strategies. </w:t>
      </w:r>
      <w:r>
        <w:rPr>
          <w:i/>
          <w:iCs/>
        </w:rPr>
        <w:t>African Journal of Environmental Science and Technology</w:t>
      </w:r>
      <w:r>
        <w:t>, 13(2), 45–57.</w:t>
      </w:r>
    </w:p>
    <w:p w:rsidR="00E353F9" w:rsidRDefault="00E97B5E">
      <w:pPr>
        <w:pStyle w:val="NormalWeb"/>
        <w:spacing w:before="0" w:beforeAutospacing="0" w:after="0" w:afterAutospacing="0" w:line="360" w:lineRule="auto"/>
        <w:ind w:left="540" w:hanging="720"/>
        <w:jc w:val="both"/>
      </w:pPr>
      <w:r>
        <w:t xml:space="preserve">Rogers, R. W. (1975). A protection motivation theory of fear appeals and attitude change. </w:t>
      </w:r>
      <w:r>
        <w:rPr>
          <w:i/>
          <w:iCs/>
        </w:rPr>
        <w:t>Journal of Psychology</w:t>
      </w:r>
      <w:r>
        <w:t>, 91(1), 93–114.</w:t>
      </w:r>
    </w:p>
    <w:p w:rsidR="00E353F9" w:rsidRDefault="00E97B5E">
      <w:pPr>
        <w:pStyle w:val="NormalWeb"/>
        <w:spacing w:before="0" w:beforeAutospacing="0" w:after="0" w:afterAutospacing="0" w:line="360" w:lineRule="auto"/>
        <w:ind w:left="540" w:hanging="720"/>
        <w:jc w:val="both"/>
      </w:pPr>
      <w:r>
        <w:t xml:space="preserve">Shabu, T., &amp; Tyonum, T. E. (2013). Residents’ coping measures and perceived effectiveness of flood management in Makurdi, Nigeria. </w:t>
      </w:r>
      <w:r>
        <w:rPr>
          <w:i/>
          <w:iCs/>
        </w:rPr>
        <w:t>Journal of Geography and Geology</w:t>
      </w:r>
      <w:r>
        <w:t xml:space="preserve">, 5(4), 12–22. </w:t>
      </w:r>
    </w:p>
    <w:p w:rsidR="00E353F9" w:rsidRDefault="00E97B5E">
      <w:pPr>
        <w:pStyle w:val="NormalWeb"/>
        <w:spacing w:before="0" w:beforeAutospacing="0" w:after="0" w:afterAutospacing="0" w:line="360" w:lineRule="auto"/>
        <w:ind w:left="540" w:hanging="720"/>
        <w:jc w:val="both"/>
      </w:pPr>
      <w:r>
        <w:t>Smith, K., &amp; Ward, R. (2020). Floods: Physical processes and human impacts (3rd ed.). Wiley.</w:t>
      </w:r>
    </w:p>
    <w:p w:rsidR="00E353F9" w:rsidRDefault="00E97B5E">
      <w:pPr>
        <w:pStyle w:val="NormalWeb"/>
        <w:spacing w:before="0" w:beforeAutospacing="0" w:after="0" w:afterAutospacing="0" w:line="360" w:lineRule="auto"/>
        <w:ind w:left="540" w:hanging="720"/>
        <w:jc w:val="both"/>
      </w:pPr>
      <w:r>
        <w:t>Tierney, K. (2019). Disasters: A sociological approach. Polity Press.</w:t>
      </w:r>
    </w:p>
    <w:p w:rsidR="00E353F9" w:rsidRDefault="00E97B5E">
      <w:pPr>
        <w:pStyle w:val="NormalWeb"/>
        <w:spacing w:before="0" w:beforeAutospacing="0" w:after="0" w:afterAutospacing="0" w:line="360" w:lineRule="auto"/>
        <w:ind w:left="540" w:hanging="720"/>
        <w:jc w:val="both"/>
      </w:pPr>
      <w:r>
        <w:t>UNDRR (United Nations Office for Disaster Risk</w:t>
      </w:r>
    </w:p>
    <w:sectPr w:rsidR="00E353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E2C90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ABD0C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E5C8EEFA"/>
    <w:lvl w:ilvl="0" w:tplc="0409000F">
      <w:start w:val="1"/>
      <w:numFmt w:val="decimal"/>
      <w:lvlText w:val="%1."/>
      <w:lvlJc w:val="left"/>
      <w:pPr>
        <w:ind w:left="540" w:hanging="360"/>
      </w:pPr>
    </w:lvl>
    <w:lvl w:ilvl="1" w:tplc="9ECA2EA6">
      <w:start w:val="1"/>
      <w:numFmt w:val="bullet"/>
      <w:lvlText w:val="-"/>
      <w:lvlJc w:val="left"/>
      <w:pPr>
        <w:ind w:left="1260" w:hanging="360"/>
      </w:pPr>
      <w:rPr>
        <w:rFonts w:ascii="Times New Roman" w:eastAsia="Calibri" w:hAnsi="Times New Roman" w:cs="Times New Roman"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5993460"/>
    <w:multiLevelType w:val="hybridMultilevel"/>
    <w:tmpl w:val="7C4296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3F9"/>
    <w:rsid w:val="000D1BC0"/>
    <w:rsid w:val="000E5A18"/>
    <w:rsid w:val="00142D6C"/>
    <w:rsid w:val="00530B96"/>
    <w:rsid w:val="00706D11"/>
    <w:rsid w:val="00B607DD"/>
    <w:rsid w:val="00E353F9"/>
    <w:rsid w:val="00E866E4"/>
    <w:rsid w:val="00E9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492E4"/>
  <w15:docId w15:val="{F605AFED-7F26-4E2C-AE65-A5AF1586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5677</Words>
  <Characters>32363</Characters>
  <Application>Microsoft Office Word</Application>
  <DocSecurity>0</DocSecurity>
  <Lines>269</Lines>
  <Paragraphs>75</Paragraphs>
  <ScaleCrop>false</ScaleCrop>
  <Company/>
  <LinksUpToDate>false</LinksUpToDate>
  <CharactersWithSpaces>37965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Maris</dc:creator>
  <cp:lastModifiedBy>SDI 1158</cp:lastModifiedBy>
  <cp:revision>12</cp:revision>
  <dcterms:created xsi:type="dcterms:W3CDTF">2026-03-01T10:24:00Z</dcterms:created>
  <dcterms:modified xsi:type="dcterms:W3CDTF">2026-03-04T09:16:00Z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942796aac86241b9985a3f94eda04c2d</vt:lpwstr>
  </property>
</Properties>
</file>