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04B" w:rsidRDefault="002C5B21" w:rsidP="0040104B">
      <w:pPr>
        <w:shd w:val="clear" w:color="auto" w:fill="FFFFFF"/>
        <w:spacing w:before="100" w:beforeAutospacing="1" w:after="240" w:line="360" w:lineRule="auto"/>
        <w:jc w:val="both"/>
        <w:outlineLvl w:val="0"/>
        <w:rPr>
          <w:rFonts w:ascii="Times New Roman" w:eastAsia="Times New Roman" w:hAnsi="Times New Roman" w:cs="Times New Roman"/>
          <w:b/>
          <w:bCs/>
          <w:kern w:val="36"/>
          <w:sz w:val="32"/>
          <w:szCs w:val="24"/>
        </w:rPr>
      </w:pPr>
      <w:r w:rsidRPr="002C5B21">
        <w:rPr>
          <w:rFonts w:ascii="Times New Roman" w:hAnsi="Times New Roman" w:cs="Times New Roman"/>
          <w:b/>
          <w:bCs/>
          <w:sz w:val="24"/>
          <w:szCs w:val="20"/>
          <w:lang w:val="en-GB"/>
        </w:rPr>
        <w:t>ASSOCIATION BETWEEN MATERNAL NUTRITION KNOWLEDGE AND CHILD MALNUTRITION AMONG CHILDREN AGED 6–59 MONTHS IN MWUMBA COMMUNE</w:t>
      </w:r>
    </w:p>
    <w:p w:rsidR="0040104B" w:rsidRDefault="0040104B" w:rsidP="0040104B">
      <w:pPr>
        <w:shd w:val="clear" w:color="auto" w:fill="FFFFFF"/>
        <w:spacing w:before="100" w:beforeAutospacing="1" w:after="240" w:line="360" w:lineRule="auto"/>
        <w:jc w:val="both"/>
        <w:outlineLvl w:val="0"/>
        <w:rPr>
          <w:rFonts w:ascii="Times New Roman" w:eastAsia="Times New Roman" w:hAnsi="Times New Roman" w:cs="Times New Roman"/>
          <w:b/>
          <w:bCs/>
          <w:sz w:val="24"/>
          <w:szCs w:val="24"/>
        </w:rPr>
      </w:pPr>
    </w:p>
    <w:p w:rsidR="00480268" w:rsidRPr="0040104B" w:rsidRDefault="00480268" w:rsidP="0040104B">
      <w:pPr>
        <w:shd w:val="clear" w:color="auto" w:fill="FFFFFF"/>
        <w:spacing w:before="100" w:beforeAutospacing="1" w:after="240" w:line="360" w:lineRule="auto"/>
        <w:jc w:val="both"/>
        <w:outlineLvl w:val="0"/>
        <w:rPr>
          <w:rFonts w:ascii="Times New Roman" w:eastAsia="Times New Roman" w:hAnsi="Times New Roman" w:cs="Times New Roman"/>
          <w:b/>
          <w:bCs/>
          <w:kern w:val="36"/>
          <w:sz w:val="32"/>
          <w:szCs w:val="24"/>
        </w:rPr>
      </w:pPr>
      <w:r w:rsidRPr="009F2CB5">
        <w:rPr>
          <w:rFonts w:ascii="Times New Roman" w:eastAsia="Times New Roman" w:hAnsi="Times New Roman" w:cs="Times New Roman"/>
          <w:b/>
          <w:bCs/>
          <w:sz w:val="24"/>
          <w:szCs w:val="24"/>
        </w:rPr>
        <w:t>ABSTRACT</w:t>
      </w:r>
    </w:p>
    <w:p w:rsidR="003B3D9F"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Introduction:</w:t>
      </w:r>
      <w:r w:rsidRPr="009F2CB5">
        <w:rPr>
          <w:rFonts w:ascii="Times New Roman" w:eastAsia="Times New Roman" w:hAnsi="Times New Roman" w:cs="Times New Roman"/>
          <w:sz w:val="24"/>
          <w:szCs w:val="24"/>
        </w:rPr>
        <w:t xml:space="preserve"> Child malnutrition is an imbalance between nutritional intake and the body's needs. It occurs mainly when mothers do not have sufficient nutritional knowledge and practices to feed their children. </w:t>
      </w:r>
    </w:p>
    <w:p w:rsidR="00480268" w:rsidRPr="009F2CB5" w:rsidRDefault="003B3D9F" w:rsidP="009F2CB5">
      <w:pPr>
        <w:shd w:val="clear" w:color="auto" w:fill="FFFFFF"/>
        <w:spacing w:before="240" w:after="240" w:line="360" w:lineRule="auto"/>
        <w:jc w:val="both"/>
        <w:rPr>
          <w:rFonts w:ascii="Times New Roman" w:eastAsia="Times New Roman" w:hAnsi="Times New Roman" w:cs="Times New Roman"/>
          <w:sz w:val="24"/>
          <w:szCs w:val="24"/>
        </w:rPr>
      </w:pPr>
      <w:r w:rsidRPr="003B3D9F">
        <w:rPr>
          <w:rFonts w:ascii="Times New Roman" w:eastAsia="Times New Roman" w:hAnsi="Times New Roman" w:cs="Times New Roman"/>
          <w:b/>
          <w:sz w:val="24"/>
          <w:szCs w:val="24"/>
        </w:rPr>
        <w:t>Aims</w:t>
      </w:r>
      <w:r>
        <w:rPr>
          <w:rFonts w:ascii="Times New Roman" w:eastAsia="Times New Roman" w:hAnsi="Times New Roman" w:cs="Times New Roman"/>
          <w:sz w:val="24"/>
          <w:szCs w:val="24"/>
        </w:rPr>
        <w:t xml:space="preserve">: </w:t>
      </w:r>
      <w:r w:rsidR="00480268" w:rsidRPr="009F2CB5">
        <w:rPr>
          <w:rFonts w:ascii="Times New Roman" w:eastAsia="Times New Roman" w:hAnsi="Times New Roman" w:cs="Times New Roman"/>
          <w:sz w:val="24"/>
          <w:szCs w:val="24"/>
        </w:rPr>
        <w:t>This study aims to assess the influence of mothers' nutritional knowledge and practices on child malnutrition in Mwumba Commune.</w:t>
      </w:r>
    </w:p>
    <w:p w:rsidR="00480268" w:rsidRPr="00086B64" w:rsidRDefault="00480268" w:rsidP="009F2CB5">
      <w:pPr>
        <w:shd w:val="clear" w:color="auto" w:fill="FFFFFF"/>
        <w:spacing w:before="240" w:after="240" w:line="360" w:lineRule="auto"/>
        <w:jc w:val="both"/>
        <w:rPr>
          <w:rFonts w:ascii="Times New Roman" w:eastAsia="Times New Roman" w:hAnsi="Times New Roman" w:cs="Times New Roman"/>
          <w:sz w:val="28"/>
          <w:szCs w:val="24"/>
        </w:rPr>
      </w:pPr>
      <w:r w:rsidRPr="009F2CB5">
        <w:rPr>
          <w:rFonts w:ascii="Times New Roman" w:eastAsia="Times New Roman" w:hAnsi="Times New Roman" w:cs="Times New Roman"/>
          <w:b/>
          <w:bCs/>
          <w:sz w:val="24"/>
          <w:szCs w:val="24"/>
        </w:rPr>
        <w:t>Methodology:</w:t>
      </w:r>
      <w:r w:rsidRPr="009F2CB5">
        <w:rPr>
          <w:rFonts w:ascii="Times New Roman" w:eastAsia="Times New Roman" w:hAnsi="Times New Roman" w:cs="Times New Roman"/>
          <w:sz w:val="24"/>
          <w:szCs w:val="24"/>
        </w:rPr>
        <w:t> </w:t>
      </w:r>
      <w:r w:rsidR="00086B64" w:rsidRPr="00086B64">
        <w:rPr>
          <w:rFonts w:ascii="Times New Roman" w:hAnsi="Times New Roman" w:cs="Times New Roman"/>
          <w:sz w:val="24"/>
          <w:shd w:val="clear" w:color="auto" w:fill="FFFFFF"/>
        </w:rPr>
        <w:t xml:space="preserve">The study was conducted in three Health Centers of the Buye Health District in </w:t>
      </w:r>
      <w:proofErr w:type="spellStart"/>
      <w:r w:rsidR="00086B64" w:rsidRPr="00086B64">
        <w:rPr>
          <w:rFonts w:ascii="Times New Roman" w:hAnsi="Times New Roman" w:cs="Times New Roman"/>
          <w:sz w:val="24"/>
          <w:shd w:val="clear" w:color="auto" w:fill="FFFFFF"/>
        </w:rPr>
        <w:t>Mwumba</w:t>
      </w:r>
      <w:proofErr w:type="spellEnd"/>
      <w:r w:rsidR="00086B64" w:rsidRPr="00086B64">
        <w:rPr>
          <w:rFonts w:ascii="Times New Roman" w:hAnsi="Times New Roman" w:cs="Times New Roman"/>
          <w:sz w:val="24"/>
          <w:shd w:val="clear" w:color="auto" w:fill="FFFFFF"/>
        </w:rPr>
        <w:t xml:space="preserve"> Commune (</w:t>
      </w:r>
      <w:proofErr w:type="spellStart"/>
      <w:r w:rsidR="00086B64" w:rsidRPr="00086B64">
        <w:rPr>
          <w:rFonts w:ascii="Times New Roman" w:hAnsi="Times New Roman" w:cs="Times New Roman"/>
          <w:sz w:val="24"/>
          <w:shd w:val="clear" w:color="auto" w:fill="FFFFFF"/>
        </w:rPr>
        <w:t>Buye</w:t>
      </w:r>
      <w:proofErr w:type="spellEnd"/>
      <w:r w:rsidR="00086B64" w:rsidRPr="00086B64">
        <w:rPr>
          <w:rFonts w:ascii="Times New Roman" w:hAnsi="Times New Roman" w:cs="Times New Roman"/>
          <w:sz w:val="24"/>
          <w:shd w:val="clear" w:color="auto" w:fill="FFFFFF"/>
        </w:rPr>
        <w:t xml:space="preserve">, </w:t>
      </w:r>
      <w:proofErr w:type="spellStart"/>
      <w:r w:rsidR="00086B64" w:rsidRPr="00086B64">
        <w:rPr>
          <w:rFonts w:ascii="Times New Roman" w:hAnsi="Times New Roman" w:cs="Times New Roman"/>
          <w:sz w:val="24"/>
          <w:shd w:val="clear" w:color="auto" w:fill="FFFFFF"/>
        </w:rPr>
        <w:t>Buziragahama</w:t>
      </w:r>
      <w:proofErr w:type="spellEnd"/>
      <w:r w:rsidR="00086B64" w:rsidRPr="00086B64">
        <w:rPr>
          <w:rFonts w:ascii="Times New Roman" w:hAnsi="Times New Roman" w:cs="Times New Roman"/>
          <w:sz w:val="24"/>
          <w:shd w:val="clear" w:color="auto" w:fill="FFFFFF"/>
        </w:rPr>
        <w:t xml:space="preserve"> and </w:t>
      </w:r>
      <w:proofErr w:type="spellStart"/>
      <w:r w:rsidR="00086B64" w:rsidRPr="00086B64">
        <w:rPr>
          <w:rFonts w:ascii="Times New Roman" w:hAnsi="Times New Roman" w:cs="Times New Roman"/>
          <w:sz w:val="24"/>
          <w:shd w:val="clear" w:color="auto" w:fill="FFFFFF"/>
        </w:rPr>
        <w:t>Gitwa</w:t>
      </w:r>
      <w:proofErr w:type="spellEnd"/>
      <w:r w:rsidR="00086B64" w:rsidRPr="00086B64">
        <w:rPr>
          <w:rFonts w:ascii="Times New Roman" w:hAnsi="Times New Roman" w:cs="Times New Roman"/>
          <w:sz w:val="24"/>
          <w:shd w:val="clear" w:color="auto" w:fill="FFFFFF"/>
        </w:rPr>
        <w:t>) over a period of 3 months from April to June, on </w:t>
      </w:r>
      <w:r w:rsidR="00086B64" w:rsidRPr="00086B64">
        <w:rPr>
          <w:rStyle w:val="Strong"/>
          <w:rFonts w:ascii="Times New Roman" w:hAnsi="Times New Roman" w:cs="Times New Roman"/>
          <w:sz w:val="24"/>
          <w:shd w:val="clear" w:color="auto" w:fill="FFFFFF"/>
        </w:rPr>
        <w:t>161 mothers</w:t>
      </w:r>
      <w:r w:rsidR="00086B64" w:rsidRPr="00086B64">
        <w:rPr>
          <w:rFonts w:ascii="Times New Roman" w:hAnsi="Times New Roman" w:cs="Times New Roman"/>
          <w:sz w:val="24"/>
          <w:shd w:val="clear" w:color="auto" w:fill="FFFFFF"/>
        </w:rPr>
        <w:t> with children aged 6 to 59 months. </w:t>
      </w:r>
      <w:r w:rsidR="00086B64" w:rsidRPr="00086B64">
        <w:rPr>
          <w:rStyle w:val="Strong"/>
          <w:rFonts w:ascii="Times New Roman" w:hAnsi="Times New Roman" w:cs="Times New Roman"/>
          <w:sz w:val="24"/>
          <w:shd w:val="clear" w:color="auto" w:fill="FFFFFF"/>
        </w:rPr>
        <w:t>A total of 1,736 children were initially consulted and screened.</w:t>
      </w:r>
      <w:r w:rsidR="00086B64" w:rsidRPr="00086B64">
        <w:rPr>
          <w:rFonts w:ascii="Times New Roman" w:hAnsi="Times New Roman" w:cs="Times New Roman"/>
          <w:sz w:val="24"/>
          <w:shd w:val="clear" w:color="auto" w:fill="FFFFFF"/>
        </w:rPr>
        <w:t> After weighing the children and measuring their mid-upper arm circumference, malnourished children were selected. Anthropometric measurements were analyzed according to WHO standards (Z-scores). Data were collected using structured questionnaires and analyzed using SPSS version 24.0 and Excel.</w:t>
      </w:r>
    </w:p>
    <w:p w:rsidR="00480268" w:rsidRDefault="00062602" w:rsidP="009F2CB5">
      <w:pPr>
        <w:shd w:val="clear" w:color="auto" w:fill="FFFFFF"/>
        <w:spacing w:before="240" w:after="240" w:line="360" w:lineRule="auto"/>
        <w:jc w:val="both"/>
        <w:rPr>
          <w:rFonts w:ascii="Times New Roman" w:hAnsi="Times New Roman" w:cs="Times New Roman"/>
          <w:color w:val="0F1115"/>
          <w:sz w:val="24"/>
          <w:shd w:val="clear" w:color="auto" w:fill="FFFFFF"/>
        </w:rPr>
      </w:pPr>
      <w:r>
        <w:rPr>
          <w:rFonts w:ascii="Times New Roman" w:eastAsia="Times New Roman" w:hAnsi="Times New Roman" w:cs="Times New Roman"/>
          <w:b/>
          <w:bCs/>
          <w:sz w:val="24"/>
          <w:szCs w:val="24"/>
        </w:rPr>
        <w:t>Results</w:t>
      </w:r>
      <w:r w:rsidR="00480268" w:rsidRPr="009F2CB5">
        <w:rPr>
          <w:rFonts w:ascii="Times New Roman" w:eastAsia="Times New Roman" w:hAnsi="Times New Roman" w:cs="Times New Roman"/>
          <w:b/>
          <w:bCs/>
          <w:sz w:val="24"/>
          <w:szCs w:val="24"/>
        </w:rPr>
        <w:t>:</w:t>
      </w:r>
      <w:r w:rsidR="00480268" w:rsidRPr="009F2CB5">
        <w:rPr>
          <w:rFonts w:ascii="Times New Roman" w:eastAsia="Times New Roman" w:hAnsi="Times New Roman" w:cs="Times New Roman"/>
          <w:sz w:val="24"/>
          <w:szCs w:val="24"/>
        </w:rPr>
        <w:t> </w:t>
      </w:r>
      <w:r w:rsidR="003F2E16" w:rsidRPr="003F2E16">
        <w:rPr>
          <w:rFonts w:ascii="Times New Roman" w:hAnsi="Times New Roman" w:cs="Times New Roman"/>
          <w:color w:val="0F1115"/>
          <w:sz w:val="24"/>
          <w:shd w:val="clear" w:color="auto" w:fill="FFFFFF"/>
        </w:rPr>
        <w:t>Among the 1,736 children screened, 161 (9.28%) were malnourished, including 7.09% with moderate acute malnutrition and 2.19% with severe acute malnutrition. Most mothers were farmers (81.37%) with primary education (64.6%). Regarding feeding practices, 52.8% practiced exclusive breastfeeding, while 27.33% introduced complementary feeding before 6 months. Energy foods were predominantly consumed (96.89%), whereas growth and protective foods were neglected. Associated infections were frequent (70.19%), and when children refused to eat, nearly half of mothers (49.69%) left them without insisting.</w:t>
      </w:r>
    </w:p>
    <w:p w:rsidR="00062602" w:rsidRPr="00763F5E" w:rsidRDefault="00062602" w:rsidP="009F2CB5">
      <w:pPr>
        <w:shd w:val="clear" w:color="auto" w:fill="FFFFFF"/>
        <w:spacing w:before="240" w:after="240" w:line="360" w:lineRule="auto"/>
        <w:jc w:val="both"/>
        <w:rPr>
          <w:rFonts w:ascii="Times New Roman" w:eastAsia="Times New Roman" w:hAnsi="Times New Roman" w:cs="Times New Roman"/>
          <w:b/>
          <w:bCs/>
          <w:sz w:val="24"/>
          <w:szCs w:val="24"/>
        </w:rPr>
      </w:pPr>
      <w:r w:rsidRPr="00763F5E">
        <w:rPr>
          <w:rFonts w:ascii="Times New Roman" w:eastAsia="Times New Roman" w:hAnsi="Times New Roman" w:cs="Times New Roman"/>
          <w:b/>
          <w:sz w:val="28"/>
          <w:szCs w:val="24"/>
        </w:rPr>
        <w:t>Conclusion:</w:t>
      </w:r>
      <w:r w:rsidRPr="00763F5E">
        <w:rPr>
          <w:rFonts w:ascii="Times New Roman" w:eastAsia="Times New Roman" w:hAnsi="Times New Roman" w:cs="Times New Roman"/>
          <w:b/>
          <w:bCs/>
          <w:sz w:val="24"/>
          <w:szCs w:val="24"/>
        </w:rPr>
        <w:t xml:space="preserve"> </w:t>
      </w:r>
      <w:r w:rsidR="003B3D9F" w:rsidRPr="003B3D9F">
        <w:rPr>
          <w:rFonts w:ascii="Times New Roman" w:eastAsia="Times New Roman" w:hAnsi="Times New Roman" w:cs="Times New Roman"/>
          <w:bCs/>
          <w:sz w:val="24"/>
          <w:szCs w:val="24"/>
        </w:rPr>
        <w:t xml:space="preserve">The findings reveal significant gaps in maternal nutritional knowledge and feeding practices in </w:t>
      </w:r>
      <w:proofErr w:type="spellStart"/>
      <w:r w:rsidR="003B3D9F" w:rsidRPr="003B3D9F">
        <w:rPr>
          <w:rFonts w:ascii="Times New Roman" w:eastAsia="Times New Roman" w:hAnsi="Times New Roman" w:cs="Times New Roman"/>
          <w:bCs/>
          <w:sz w:val="24"/>
          <w:szCs w:val="24"/>
        </w:rPr>
        <w:t>Mwumba</w:t>
      </w:r>
      <w:proofErr w:type="spellEnd"/>
      <w:r w:rsidR="003B3D9F" w:rsidRPr="003B3D9F">
        <w:rPr>
          <w:rFonts w:ascii="Times New Roman" w:eastAsia="Times New Roman" w:hAnsi="Times New Roman" w:cs="Times New Roman"/>
          <w:bCs/>
          <w:sz w:val="24"/>
          <w:szCs w:val="24"/>
        </w:rPr>
        <w:t xml:space="preserve"> Commune, characterized by poor dietary diversity, inappropriate complementary feeding, and suboptimal responses to child feeding refusal. These factors contribute to the persistence of child malnutrition. Targeted interventions, including nutrition education programs focused on dietary diversification, appropriate </w:t>
      </w:r>
      <w:r w:rsidR="003B3D9F" w:rsidRPr="003B3D9F">
        <w:rPr>
          <w:rFonts w:ascii="Times New Roman" w:eastAsia="Times New Roman" w:hAnsi="Times New Roman" w:cs="Times New Roman"/>
          <w:bCs/>
          <w:sz w:val="24"/>
          <w:szCs w:val="24"/>
        </w:rPr>
        <w:lastRenderedPageBreak/>
        <w:t>complementary feeding, and improved child feeding practices, are urgently needed to reduce malnutrition prevalence.</w:t>
      </w:r>
    </w:p>
    <w:p w:rsidR="00D07393" w:rsidRDefault="00D07393" w:rsidP="009F2CB5">
      <w:pPr>
        <w:shd w:val="clear" w:color="auto" w:fill="FFFFFF"/>
        <w:spacing w:before="240" w:after="240" w:line="360" w:lineRule="auto"/>
        <w:jc w:val="both"/>
        <w:rPr>
          <w:rFonts w:ascii="Times New Roman" w:eastAsia="Times New Roman" w:hAnsi="Times New Roman" w:cs="Times New Roman"/>
          <w:b/>
          <w:bCs/>
          <w:sz w:val="24"/>
          <w:szCs w:val="24"/>
        </w:rPr>
      </w:pP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Keywords:</w:t>
      </w:r>
      <w:r w:rsidRPr="009F2CB5">
        <w:rPr>
          <w:rFonts w:ascii="Times New Roman" w:eastAsia="Times New Roman" w:hAnsi="Times New Roman" w:cs="Times New Roman"/>
          <w:sz w:val="24"/>
          <w:szCs w:val="24"/>
        </w:rPr>
        <w:t xml:space="preserve"> Food knowledge; Nutritional practices; Child malnutrition; Dietary diversity; </w:t>
      </w:r>
    </w:p>
    <w:p w:rsidR="00480268" w:rsidRPr="009F2CB5" w:rsidRDefault="00480268" w:rsidP="009F2CB5">
      <w:pPr>
        <w:spacing w:line="360" w:lineRule="auto"/>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br w:type="page"/>
      </w:r>
    </w:p>
    <w:p w:rsidR="00480268" w:rsidRPr="009F2CB5" w:rsidRDefault="00480268" w:rsidP="009F2CB5">
      <w:pPr>
        <w:shd w:val="clear" w:color="auto" w:fill="FFFFFF"/>
        <w:spacing w:before="480" w:after="0" w:line="360" w:lineRule="auto"/>
        <w:jc w:val="both"/>
        <w:outlineLvl w:val="1"/>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lastRenderedPageBreak/>
        <w:t>1. INTRODUCTION</w:t>
      </w:r>
    </w:p>
    <w:p w:rsidR="00480268" w:rsidRPr="009F2CB5" w:rsidRDefault="00480268" w:rsidP="009F2CB5">
      <w:pPr>
        <w:shd w:val="clear" w:color="auto" w:fill="FFFFFF"/>
        <w:spacing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 xml:space="preserve">1.1 </w:t>
      </w:r>
      <w:r w:rsidR="00631A2B">
        <w:rPr>
          <w:rFonts w:ascii="Times New Roman" w:eastAsia="Times New Roman" w:hAnsi="Times New Roman" w:cs="Times New Roman"/>
          <w:b/>
          <w:bCs/>
          <w:sz w:val="24"/>
          <w:szCs w:val="24"/>
        </w:rPr>
        <w:t>Background</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Child malnutrition is a major public health issue affecting millions of children worldwide, particularly in developing countries. It manifests in various forms, including undernutrition, micronutrient deficiencies, stunting, wasting and underweight, which severely compromise children's physical and cognitive development. These forms of malnutrition often result from an imbalance between nutritional intake and the body's needs (FAO, 2020).</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 xml:space="preserve">Food knowledge and nutritional practices play a key role in preventing child malnutrition by influencing food choices and family care habits. Parents, particularly mothers, are often primarily responsible for their children's nutrition, and their level of knowledge about essential nutritional needs can determine the quality of food provided to young children. According to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promoting nutrition education and appropriate complementary feeding practices contributes to improving children's nutritional status and health, thus reducing malnutrition prevalence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2013).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this sense, our study explores the impact of food knowledge and nutritional practices on children's health status, highlighting the importance of nutrition education to prevent dietary deficiencies and improve living conditions of vulnerable populations.</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1.2 Problem Statement</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Child malnutrition is a major global public health concern affecting millions of children worldwide. The Food and Agriculture Organization (FAO) estimates that nearly 149 million children under five suffered from stunting in 2020, mainly due to undernutrition and poverty (FAO, 2020). This situation is accentuated by unequal access to food resources, poverty and lack of nutritional knowledge within families, limiting children's access</w:t>
      </w:r>
      <w:r w:rsidR="0024314D" w:rsidRPr="009F2CB5">
        <w:rPr>
          <w:rFonts w:ascii="Times New Roman" w:eastAsia="Times New Roman" w:hAnsi="Times New Roman" w:cs="Times New Roman"/>
          <w:sz w:val="24"/>
          <w:szCs w:val="24"/>
        </w:rPr>
        <w:t xml:space="preserve"> to balanced diets (UNICEF, 2020</w:t>
      </w:r>
      <w:r w:rsidRPr="009F2CB5">
        <w:rPr>
          <w:rFonts w:ascii="Times New Roman" w:eastAsia="Times New Roman" w:hAnsi="Times New Roman" w:cs="Times New Roman"/>
          <w:sz w:val="24"/>
          <w:szCs w:val="24"/>
        </w:rPr>
        <w:t>).</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Africa, child malnutrition continues to pose a colossal challenge. In 2019, approximately 56.6 million African children were affected by stunting, according to UNICEF, and this situation persists due to food insecurity which hinders access to sufficient and diversified food (UNICEF, 2020). Limited nutritional knowledge and inadequate dietary practices within African households also play an important role in worsening child malnutrition (WHO, 2020).</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In Burundi, the situation is particularly alarming. In Mwumba Commune, despite abundant agricultural production of fruits and vegetables, child malnutrition remains widespread, indicating a gap between food availability and nutritional knowledge within households. This study thus aims to analyze how food knowledge and nutritional practices influence child malnutrition, in order to propose prevention measures adapted to the local reality.</w:t>
      </w:r>
    </w:p>
    <w:p w:rsidR="00480268" w:rsidRPr="009F2CB5" w:rsidRDefault="007A1D0B"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00480268" w:rsidRPr="009F2CB5">
        <w:rPr>
          <w:rFonts w:ascii="Times New Roman" w:eastAsia="Times New Roman" w:hAnsi="Times New Roman" w:cs="Times New Roman"/>
          <w:b/>
          <w:bCs/>
          <w:sz w:val="24"/>
          <w:szCs w:val="24"/>
        </w:rPr>
        <w:t xml:space="preserve"> Study Objectives</w:t>
      </w:r>
    </w:p>
    <w:p w:rsidR="00480268" w:rsidRPr="009F2CB5" w:rsidRDefault="007A1D0B"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00480268" w:rsidRPr="009F2CB5">
        <w:rPr>
          <w:rFonts w:ascii="Times New Roman" w:eastAsia="Times New Roman" w:hAnsi="Times New Roman" w:cs="Times New Roman"/>
          <w:b/>
          <w:bCs/>
          <w:sz w:val="24"/>
          <w:szCs w:val="24"/>
        </w:rPr>
        <w:t>.1 General Objective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To contribute to the study of the influence of food knowledge and nutritional practices on child malnutrition in Mwumba Commune.</w:t>
      </w:r>
    </w:p>
    <w:p w:rsidR="00480268" w:rsidRPr="009F2CB5" w:rsidRDefault="007A1D0B" w:rsidP="009F2CB5">
      <w:pPr>
        <w:shd w:val="clear" w:color="auto" w:fill="FFFFFF"/>
        <w:spacing w:before="240" w:after="12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00480268" w:rsidRPr="009F2CB5">
        <w:rPr>
          <w:rFonts w:ascii="Times New Roman" w:eastAsia="Times New Roman" w:hAnsi="Times New Roman" w:cs="Times New Roman"/>
          <w:b/>
          <w:bCs/>
          <w:sz w:val="24"/>
          <w:szCs w:val="24"/>
        </w:rPr>
        <w:t>.2 Specific Objectives</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Assess maternal nutritional knowledge and practices regarding child feeding;</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Analyze factors influencing child malnutrition;</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Identify difficulties faced by mothers in adopting and ensuring adequate child feeding;</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Formulate strategies for improving child feeding and managing child malnutrition.</w:t>
      </w:r>
    </w:p>
    <w:p w:rsidR="00480268" w:rsidRPr="009F2CB5" w:rsidRDefault="007A1D0B"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480268" w:rsidRPr="009F2CB5">
        <w:rPr>
          <w:rFonts w:ascii="Times New Roman" w:eastAsia="Times New Roman" w:hAnsi="Times New Roman" w:cs="Times New Roman"/>
          <w:b/>
          <w:bCs/>
          <w:sz w:val="24"/>
          <w:szCs w:val="24"/>
        </w:rPr>
        <w:t xml:space="preserve"> Research Hypotheses</w:t>
      </w:r>
    </w:p>
    <w:p w:rsidR="00480268" w:rsidRPr="009F2CB5" w:rsidRDefault="007A1D0B"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480268" w:rsidRPr="009F2CB5">
        <w:rPr>
          <w:rFonts w:ascii="Times New Roman" w:eastAsia="Times New Roman" w:hAnsi="Times New Roman" w:cs="Times New Roman"/>
          <w:b/>
          <w:bCs/>
          <w:sz w:val="24"/>
          <w:szCs w:val="24"/>
        </w:rPr>
        <w:t>.1 Main Hypothesis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There would be insufficient maternal food knowledge and poor nutritional practices influencing child malnutrition in Mwumba Commune.</w:t>
      </w:r>
    </w:p>
    <w:p w:rsidR="00480268" w:rsidRPr="009F2CB5" w:rsidRDefault="007A1D0B" w:rsidP="009F2CB5">
      <w:pPr>
        <w:shd w:val="clear" w:color="auto" w:fill="FFFFFF"/>
        <w:spacing w:before="240" w:after="12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480268" w:rsidRPr="009F2CB5">
        <w:rPr>
          <w:rFonts w:ascii="Times New Roman" w:eastAsia="Times New Roman" w:hAnsi="Times New Roman" w:cs="Times New Roman"/>
          <w:b/>
          <w:bCs/>
          <w:sz w:val="24"/>
          <w:szCs w:val="24"/>
        </w:rPr>
        <w:t>.2 Specific Hypotheses</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Mothers would not have sufficient nutritional knowledge and practices regarding child feeding;</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There would be factors influencing child malnutrition;</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Mothers would face difficulties preventing them from adopting and ensuring adequate child feeding.</w:t>
      </w:r>
    </w:p>
    <w:p w:rsidR="00480268" w:rsidRPr="009F2CB5" w:rsidRDefault="004C4847"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480268" w:rsidRPr="009F2CB5">
        <w:rPr>
          <w:rFonts w:ascii="Times New Roman" w:eastAsia="Times New Roman" w:hAnsi="Times New Roman" w:cs="Times New Roman"/>
          <w:b/>
          <w:bCs/>
          <w:sz w:val="24"/>
          <w:szCs w:val="24"/>
        </w:rPr>
        <w:t xml:space="preserve"> Significance of the Study</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The study of the influence of food knowledge and nutritional practices on child malnutrition has triple significance: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From a personal perspective, it allows deepening understanding of socio-demographic factors and nutritional knowledge influencing malnutrition within households in Mwumba Commune, while analyzing possible solutions to address this problem.</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At the community level, recommendations from this research aim to sensitize the population on the main causes of malnutrition and encourage decision-makers to implement initiatives to strengthen the fight against malnutrition, such as supporting income-generating activities for households.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Finally, this work constitutes a valuable academic contribution, providing reference data for future researchers and supporting planners in developing appropriate public health policies.</w:t>
      </w:r>
    </w:p>
    <w:p w:rsidR="00480268" w:rsidRPr="009F2CB5" w:rsidRDefault="00480268"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480268" w:rsidRPr="009F2CB5" w:rsidRDefault="00480268" w:rsidP="009F2CB5">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lastRenderedPageBreak/>
        <w:t>2. MATERIALS AND METHODS</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2.1 Documentary Analysis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first phase of this study consisted of an in-depth documentary analysis aimed at gathering existing theoretical and empirical knowledge on child malnutrition, nutritional practices, and associated socio-cultural and health determinants. This analysis established the conceptual foundations of the work, identified gaps in the literature, and guided the formulation of research hypotheses.</w:t>
      </w:r>
    </w:p>
    <w:p w:rsidR="00480268" w:rsidRPr="009F2CB5" w:rsidRDefault="00CF7548" w:rsidP="00F03C03">
      <w:pPr>
        <w:spacing w:line="360" w:lineRule="auto"/>
        <w:jc w:val="both"/>
        <w:rPr>
          <w:rFonts w:ascii="Times New Roman" w:eastAsia="Times New Roman" w:hAnsi="Times New Roman" w:cs="Times New Roman"/>
          <w:sz w:val="24"/>
          <w:szCs w:val="24"/>
        </w:rPr>
      </w:pPr>
      <w:r w:rsidRPr="00F03C03">
        <w:rPr>
          <w:rFonts w:ascii="Times New Roman" w:eastAsia="Times New Roman" w:hAnsi="Times New Roman" w:cs="Times New Roman"/>
          <w:sz w:val="24"/>
          <w:szCs w:val="24"/>
          <w:highlight w:val="yellow"/>
        </w:rPr>
        <w:t xml:space="preserve">Documentary sources consulted included scientific articles from specialized journals in nutrition, public health, and pediatrics, as well as reports from international organizations such as UNICEF, FAO, and WFP, in addition to national reports from the Burundi Ministry of Public Health. Theses, academic dissertations, and institutional publications addressing similar topics were also reviewed. Furthermore, local statistical data obtained from health facilities within the commune, particularly from the </w:t>
      </w:r>
      <w:proofErr w:type="spellStart"/>
      <w:r w:rsidRPr="00F03C03">
        <w:rPr>
          <w:rFonts w:ascii="Times New Roman" w:eastAsia="Times New Roman" w:hAnsi="Times New Roman" w:cs="Times New Roman"/>
          <w:sz w:val="24"/>
          <w:szCs w:val="24"/>
          <w:highlight w:val="yellow"/>
        </w:rPr>
        <w:t>Buye</w:t>
      </w:r>
      <w:proofErr w:type="spellEnd"/>
      <w:r w:rsidRPr="00F03C03">
        <w:rPr>
          <w:rFonts w:ascii="Times New Roman" w:eastAsia="Times New Roman" w:hAnsi="Times New Roman" w:cs="Times New Roman"/>
          <w:sz w:val="24"/>
          <w:szCs w:val="24"/>
          <w:highlight w:val="yellow"/>
        </w:rPr>
        <w:t xml:space="preserve"> Health District, were used to support the study.</w:t>
      </w:r>
      <w:r w:rsidR="00480268" w:rsidRPr="009F2CB5">
        <w:rPr>
          <w:rFonts w:ascii="Times New Roman" w:eastAsia="Times New Roman" w:hAnsi="Times New Roman" w:cs="Times New Roman"/>
          <w:sz w:val="24"/>
          <w:szCs w:val="24"/>
        </w:rPr>
        <w:br w:type="page"/>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This documentary review allowed:</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Contextualizing the malnutrition problem in Mwumba Commune;</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Identifying gaps in existing literature;</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Defining key concepts and relevant indicators for the study.</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2.2 Nutritional Survey</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nutritional survey constituted the second phase of the methodology. It allowed collection of primary quantitative and qualitative data from mothers or guardians of malnourished children aged 6 to 59 months.</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2.2.1 Study Area</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 xml:space="preserve">The study was conducted in the three Health Centers of the Buye Health District in Mwumba Commune, located in Ngozi Province. </w:t>
      </w:r>
      <w:proofErr w:type="spellStart"/>
      <w:r w:rsidR="004C4847" w:rsidRPr="004C4847">
        <w:rPr>
          <w:rFonts w:ascii="Times New Roman" w:eastAsia="Times New Roman" w:hAnsi="Times New Roman" w:cs="Times New Roman"/>
          <w:sz w:val="24"/>
          <w:szCs w:val="24"/>
        </w:rPr>
        <w:t>Mwumba</w:t>
      </w:r>
      <w:proofErr w:type="spellEnd"/>
      <w:r w:rsidR="004C4847" w:rsidRPr="004C4847">
        <w:rPr>
          <w:rFonts w:ascii="Times New Roman" w:eastAsia="Times New Roman" w:hAnsi="Times New Roman" w:cs="Times New Roman"/>
          <w:sz w:val="24"/>
          <w:szCs w:val="24"/>
        </w:rPr>
        <w:t xml:space="preserve"> Commune was chosen due to its vulnerability to child malnutrition, according to statistics from the </w:t>
      </w:r>
      <w:proofErr w:type="spellStart"/>
      <w:r w:rsidR="004C4847" w:rsidRPr="004C4847">
        <w:rPr>
          <w:rFonts w:ascii="Times New Roman" w:eastAsia="Times New Roman" w:hAnsi="Times New Roman" w:cs="Times New Roman"/>
          <w:sz w:val="24"/>
          <w:szCs w:val="24"/>
        </w:rPr>
        <w:t>Buye</w:t>
      </w:r>
      <w:proofErr w:type="spellEnd"/>
      <w:r w:rsidR="004C4847" w:rsidRPr="004C4847">
        <w:rPr>
          <w:rFonts w:ascii="Times New Roman" w:eastAsia="Times New Roman" w:hAnsi="Times New Roman" w:cs="Times New Roman"/>
          <w:sz w:val="24"/>
          <w:szCs w:val="24"/>
        </w:rPr>
        <w:t xml:space="preserve"> Health District Bureau, as well as its position as a productive agricultural area, particularly in vegetables and fruits, within Ngozi Province</w:t>
      </w:r>
      <w:r w:rsidR="00D77173">
        <w:rPr>
          <w:rFonts w:ascii="Times New Roman" w:eastAsia="Times New Roman" w:hAnsi="Times New Roman" w:cs="Times New Roman"/>
          <w:sz w:val="24"/>
          <w:szCs w:val="24"/>
        </w:rPr>
        <w:t xml:space="preserve">. </w:t>
      </w:r>
      <w:r w:rsidR="00441B69">
        <w:rPr>
          <w:rFonts w:ascii="Times New Roman" w:eastAsia="Times New Roman" w:hAnsi="Times New Roman" w:cs="Times New Roman"/>
          <w:sz w:val="24"/>
          <w:szCs w:val="24"/>
        </w:rPr>
        <w:t>The study</w:t>
      </w:r>
      <w:r w:rsidRPr="009F2CB5">
        <w:rPr>
          <w:rFonts w:ascii="Times New Roman" w:eastAsia="Times New Roman" w:hAnsi="Times New Roman" w:cs="Times New Roman"/>
          <w:sz w:val="24"/>
          <w:szCs w:val="24"/>
        </w:rPr>
        <w:t xml:space="preserve"> area was chosen due to:</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High prevalence of child malnutrition observed in local health reports;</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Availability of relevant secondary data;</w:t>
      </w:r>
    </w:p>
    <w:p w:rsidR="00480268"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Representativeness of socio-cultural and health conditions that may influence family nutritional practices.</w:t>
      </w:r>
    </w:p>
    <w:p w:rsidR="00480268" w:rsidRPr="009F2CB5" w:rsidRDefault="00480268" w:rsidP="00946490">
      <w:pPr>
        <w:shd w:val="clear" w:color="auto" w:fill="FFFFFF"/>
        <w:spacing w:before="100" w:beforeAutospacing="1" w:after="0" w:line="360" w:lineRule="auto"/>
        <w:jc w:val="both"/>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2.2.2 Sampling</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Target population:</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Children aged 6 to 59 months (critical period for growth and vulnerability to nutritional deficiencies);</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Parents/guardians responsible for child feeding.</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Sample size:</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1,736 children were measured anthropometrically;</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161 malnourished children were included in the analysis.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Exhaustive sampling was adopted, considering all malnourished children consulted in the commune's health centers during the data collection period. Thus, out of 1,736 children assessed, 161 malnutrition cases were identified.</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To determine malnutrition prevalence in the area, the John Snow and William Farr formula was used:</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Prevalence = (n / N) × 100</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Where:</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n = number of malnourished children surveyed (161);</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N = total number of children examined (1,736).</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Inclusion criteria:</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Mothers with a malnourished child aged 6-59 months during the study period;</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Children consulted in selected health centers during the study period.</w:t>
      </w:r>
    </w:p>
    <w:p w:rsidR="00480268" w:rsidRPr="009F2CB5" w:rsidRDefault="00086B64" w:rsidP="009F2CB5">
      <w:pPr>
        <w:shd w:val="clear" w:color="auto" w:fill="FFFFFF"/>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Exclusion</w:t>
      </w:r>
      <w:r w:rsidR="00480268" w:rsidRPr="009F2CB5">
        <w:rPr>
          <w:rFonts w:ascii="Times New Roman" w:eastAsia="Times New Roman" w:hAnsi="Times New Roman" w:cs="Times New Roman"/>
          <w:b/>
          <w:bCs/>
          <w:sz w:val="24"/>
          <w:szCs w:val="24"/>
        </w:rPr>
        <w:t xml:space="preserve"> criteria:</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Any mother with a healthy (non-malnourished) child aged 6-59 months;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Any mother with a malnourished child but consulted outside the study period and area.</w:t>
      </w:r>
    </w:p>
    <w:p w:rsidR="00DE5A92" w:rsidRPr="009F2CB5" w:rsidRDefault="00480268" w:rsidP="009F2CB5">
      <w:pPr>
        <w:shd w:val="clear" w:color="auto" w:fill="FFFFFF"/>
        <w:spacing w:before="240" w:after="240" w:line="360" w:lineRule="auto"/>
        <w:jc w:val="both"/>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Training of interviewers: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 two-day training was organized for interviewers on:</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Use of anthropometric tools (infant scale, stadiometer, MUAC tape);</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Conducting structured interviews;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Appli</w:t>
      </w:r>
      <w:r w:rsidR="00086B64">
        <w:rPr>
          <w:rFonts w:ascii="Times New Roman" w:eastAsia="Times New Roman" w:hAnsi="Times New Roman" w:cs="Times New Roman"/>
          <w:sz w:val="24"/>
          <w:szCs w:val="24"/>
        </w:rPr>
        <w:t>cation of ethical protocols (as</w:t>
      </w:r>
      <w:r w:rsidRPr="009F2CB5">
        <w:rPr>
          <w:rFonts w:ascii="Times New Roman" w:eastAsia="Times New Roman" w:hAnsi="Times New Roman" w:cs="Times New Roman"/>
          <w:sz w:val="24"/>
          <w:szCs w:val="24"/>
        </w:rPr>
        <w:t>sent, confidentiality).</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Tools/instruments used:</w:t>
      </w:r>
    </w:p>
    <w:p w:rsidR="00331D73" w:rsidRDefault="00331D73" w:rsidP="009F2CB5">
      <w:pPr>
        <w:shd w:val="clear" w:color="auto" w:fill="FFFFFF"/>
        <w:spacing w:before="240" w:after="240" w:line="360" w:lineRule="auto"/>
        <w:jc w:val="both"/>
        <w:rPr>
          <w:rFonts w:ascii="Times New Roman" w:eastAsia="Times New Roman" w:hAnsi="Times New Roman" w:cs="Times New Roman"/>
          <w:sz w:val="24"/>
          <w:szCs w:val="24"/>
        </w:rPr>
      </w:pPr>
      <w:r w:rsidRPr="00331D73">
        <w:rPr>
          <w:rFonts w:ascii="Times New Roman" w:eastAsia="Times New Roman" w:hAnsi="Times New Roman" w:cs="Times New Roman"/>
          <w:sz w:val="24"/>
          <w:szCs w:val="24"/>
        </w:rPr>
        <w:t xml:space="preserve">The tools and instruments used in this study included a structured questionnaire that was pre-tested to ensure coherence and clarity, as well as a semi-structured interview guide for conducting qualitative interviews with key informants such as health workers and community leaders. An individual survey form was completed for each child. In addition, anthropometric </w:t>
      </w:r>
      <w:r w:rsidRPr="00331D73">
        <w:rPr>
          <w:rFonts w:ascii="Times New Roman" w:eastAsia="Times New Roman" w:hAnsi="Times New Roman" w:cs="Times New Roman"/>
          <w:sz w:val="24"/>
          <w:szCs w:val="24"/>
        </w:rPr>
        <w:lastRenderedPageBreak/>
        <w:t>measurements were carried out using appropriate equipment, including an electronic infant scale, a rigid stadiometer, and a mid-upper arm circumference (MUAC) tape.</w:t>
      </w:r>
    </w:p>
    <w:p w:rsidR="00DE5A92" w:rsidRPr="009F2CB5" w:rsidRDefault="00480268" w:rsidP="009F2CB5">
      <w:pPr>
        <w:shd w:val="clear" w:color="auto" w:fill="FFFFFF"/>
        <w:spacing w:before="240" w:after="240" w:line="360" w:lineRule="auto"/>
        <w:jc w:val="both"/>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24-hour recall method:</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For dietary intake analysis, a 24-hour recall was integrated into the questionnaire to:</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Identify types of foods consumed;</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Assess dietary diversity;</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Determine meal frequency.</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 xml:space="preserve">2.3 </w:t>
      </w:r>
      <w:r w:rsidR="00A958C0">
        <w:rPr>
          <w:rFonts w:ascii="Times New Roman" w:eastAsia="Times New Roman" w:hAnsi="Times New Roman" w:cs="Times New Roman"/>
          <w:b/>
          <w:bCs/>
          <w:sz w:val="24"/>
          <w:szCs w:val="24"/>
        </w:rPr>
        <w:t xml:space="preserve">Data </w:t>
      </w:r>
      <w:r w:rsidRPr="009F2CB5">
        <w:rPr>
          <w:rFonts w:ascii="Times New Roman" w:eastAsia="Times New Roman" w:hAnsi="Times New Roman" w:cs="Times New Roman"/>
          <w:b/>
          <w:bCs/>
          <w:sz w:val="24"/>
          <w:szCs w:val="24"/>
        </w:rPr>
        <w:t>Analysis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After data collection, data cleaning was performed to correct entry errors, extreme values, and missing data. Data were transferred to SPSS and Excel software for processing.</w:t>
      </w:r>
    </w:p>
    <w:p w:rsidR="00480268" w:rsidRPr="009F2CB5" w:rsidRDefault="00D477A5" w:rsidP="009F2CB5">
      <w:pPr>
        <w:shd w:val="clear" w:color="auto" w:fill="FFFFFF"/>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t>
      </w:r>
      <w:r w:rsidR="00480268" w:rsidRPr="009F2CB5">
        <w:rPr>
          <w:rFonts w:ascii="Times New Roman" w:eastAsia="Times New Roman" w:hAnsi="Times New Roman" w:cs="Times New Roman"/>
          <w:sz w:val="24"/>
          <w:szCs w:val="24"/>
        </w:rPr>
        <w:t>analysis followed two approaches: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Quantitative analysis:</w:t>
      </w:r>
    </w:p>
    <w:p w:rsidR="00480268" w:rsidRPr="009F2CB5" w:rsidRDefault="00480268" w:rsidP="00DC6A55">
      <w:p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Data were entered and processed using SPSS (Statistical Package for th</w:t>
      </w:r>
      <w:r w:rsidR="00DC6A55">
        <w:rPr>
          <w:rFonts w:ascii="Times New Roman" w:eastAsia="Times New Roman" w:hAnsi="Times New Roman" w:cs="Times New Roman"/>
          <w:sz w:val="24"/>
          <w:szCs w:val="24"/>
        </w:rPr>
        <w:t xml:space="preserve">e Social Sciences) version 24.0. </w:t>
      </w:r>
      <w:r w:rsidRPr="009F2CB5">
        <w:rPr>
          <w:rFonts w:ascii="Times New Roman" w:eastAsia="Times New Roman" w:hAnsi="Times New Roman" w:cs="Times New Roman"/>
          <w:sz w:val="24"/>
          <w:szCs w:val="24"/>
        </w:rPr>
        <w:t>Descriptive statistics were calculated: fre</w:t>
      </w:r>
      <w:r w:rsidR="00DC6A55">
        <w:rPr>
          <w:rFonts w:ascii="Times New Roman" w:eastAsia="Times New Roman" w:hAnsi="Times New Roman" w:cs="Times New Roman"/>
          <w:sz w:val="24"/>
          <w:szCs w:val="24"/>
        </w:rPr>
        <w:t xml:space="preserve">quencies, percentages and means. </w:t>
      </w:r>
      <w:r w:rsidRPr="009F2CB5">
        <w:rPr>
          <w:rFonts w:ascii="Times New Roman" w:eastAsia="Times New Roman" w:hAnsi="Times New Roman" w:cs="Times New Roman"/>
          <w:sz w:val="24"/>
          <w:szCs w:val="24"/>
        </w:rPr>
        <w:t>Nutritional indicators (weight/height, height/age, weight/age) were analyzed according to WHO</w:t>
      </w:r>
      <w:r w:rsidR="00DC6A55">
        <w:rPr>
          <w:rFonts w:ascii="Times New Roman" w:eastAsia="Times New Roman" w:hAnsi="Times New Roman" w:cs="Times New Roman"/>
          <w:sz w:val="24"/>
          <w:szCs w:val="24"/>
        </w:rPr>
        <w:t xml:space="preserve"> reference standards (Z-scores). </w:t>
      </w:r>
      <w:r w:rsidRPr="009F2CB5">
        <w:rPr>
          <w:rFonts w:ascii="Times New Roman" w:eastAsia="Times New Roman" w:hAnsi="Times New Roman" w:cs="Times New Roman"/>
          <w:sz w:val="24"/>
          <w:szCs w:val="24"/>
        </w:rPr>
        <w:t>Results were presented in tables, figures and diagrams using SPSS and Excel 2010.</w:t>
      </w:r>
    </w:p>
    <w:p w:rsidR="00DE5A92" w:rsidRPr="009F2CB5" w:rsidRDefault="00480268" w:rsidP="009F2CB5">
      <w:pPr>
        <w:shd w:val="clear" w:color="auto" w:fill="FFFFFF"/>
        <w:spacing w:before="240" w:after="240" w:line="360" w:lineRule="auto"/>
        <w:jc w:val="both"/>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Qualitative analysis: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Qualitative interviews were transcribed and analyzed using thematic approach to identify:</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Cultural representations related to child feeding;</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Local nutritional beliefs and practices;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Perceived barriers to good nutrition (food taboos, resources, ignorance, etc.).</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2.4 Ethical Considerations</w:t>
      </w:r>
    </w:p>
    <w:p w:rsidR="00902D8D" w:rsidRPr="00902D8D" w:rsidRDefault="00902D8D" w:rsidP="00902D8D">
      <w:pPr>
        <w:shd w:val="clear" w:color="auto" w:fill="FFFFFF"/>
        <w:spacing w:before="100" w:beforeAutospacing="1" w:after="0" w:line="360" w:lineRule="auto"/>
        <w:jc w:val="both"/>
        <w:rPr>
          <w:rFonts w:ascii="Times New Roman" w:eastAsia="Times New Roman" w:hAnsi="Times New Roman" w:cs="Times New Roman"/>
          <w:sz w:val="24"/>
          <w:szCs w:val="24"/>
        </w:rPr>
      </w:pPr>
      <w:r w:rsidRPr="00902D8D">
        <w:rPr>
          <w:rFonts w:ascii="Times New Roman" w:hAnsi="Times New Roman" w:cs="Times New Roman"/>
          <w:color w:val="0F1115"/>
          <w:sz w:val="24"/>
          <w:szCs w:val="24"/>
          <w:shd w:val="clear" w:color="auto" w:fill="FFFFFF"/>
        </w:rPr>
        <w:t>This study was conducted in accordance with the ethical principles outlined</w:t>
      </w:r>
      <w:r>
        <w:rPr>
          <w:rFonts w:ascii="Times New Roman" w:hAnsi="Times New Roman" w:cs="Times New Roman"/>
          <w:color w:val="0F1115"/>
          <w:sz w:val="24"/>
          <w:szCs w:val="24"/>
          <w:shd w:val="clear" w:color="auto" w:fill="FFFFFF"/>
        </w:rPr>
        <w:t xml:space="preserve"> in the Declaration of Helsinki</w:t>
      </w:r>
      <w:r w:rsidRPr="00902D8D">
        <w:rPr>
          <w:rFonts w:ascii="Times New Roman" w:hAnsi="Times New Roman" w:cs="Times New Roman"/>
          <w:color w:val="0F1115"/>
          <w:sz w:val="24"/>
          <w:szCs w:val="24"/>
          <w:shd w:val="clear" w:color="auto" w:fill="FFFFFF"/>
        </w:rPr>
        <w:t xml:space="preserve">. Informed consent was obtained from all participating mothers or guardians after a </w:t>
      </w:r>
      <w:r w:rsidRPr="00902D8D">
        <w:rPr>
          <w:rFonts w:ascii="Times New Roman" w:hAnsi="Times New Roman" w:cs="Times New Roman"/>
          <w:color w:val="0F1115"/>
          <w:sz w:val="24"/>
          <w:szCs w:val="24"/>
          <w:shd w:val="clear" w:color="auto" w:fill="FFFFFF"/>
        </w:rPr>
        <w:lastRenderedPageBreak/>
        <w:t>clear explanation of the study's objectives, procedures, and potential risks. Participation was entirely voluntary, and respondents were informed of their right to withdraw from the study at any time without any consequence on the medical care provided to their children. Anonymity and confidentiality of the collected data were strictly maintained by using unique identification codes instead of personal names. All data were stored securely and accessed only by the research team for scientific purposes. No incentives or compensation were offered to participants to avoid any form of undue influence.</w:t>
      </w:r>
    </w:p>
    <w:p w:rsidR="00480268" w:rsidRPr="009F2CB5" w:rsidRDefault="00480268" w:rsidP="009F2CB5">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 RESULTS AND DISCUSSION</w:t>
      </w:r>
    </w:p>
    <w:p w:rsidR="00480268" w:rsidRPr="009F2CB5" w:rsidRDefault="00480268" w:rsidP="009F2CB5">
      <w:pPr>
        <w:shd w:val="clear" w:color="auto" w:fill="FFFFFF"/>
        <w:spacing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3.1 Results</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3.1.1 Prevalence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 Distribution of pathologies among children consulted (N=1,736)</w:t>
      </w:r>
    </w:p>
    <w:tbl>
      <w:tblPr>
        <w:tblStyle w:val="TableGrid"/>
        <w:tblW w:w="9112" w:type="dxa"/>
        <w:tblLook w:val="04A0" w:firstRow="1" w:lastRow="0" w:firstColumn="1" w:lastColumn="0" w:noHBand="0" w:noVBand="1"/>
      </w:tblPr>
      <w:tblGrid>
        <w:gridCol w:w="4942"/>
        <w:gridCol w:w="2008"/>
        <w:gridCol w:w="2162"/>
      </w:tblGrid>
      <w:tr w:rsidR="00480268" w:rsidRPr="009F2CB5" w:rsidTr="00480268">
        <w:trPr>
          <w:trHeight w:val="413"/>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Pathology</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2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Moderate Acute Malnutrition (MAM)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123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7.09</w:t>
            </w:r>
          </w:p>
        </w:tc>
      </w:tr>
      <w:tr w:rsidR="00480268" w:rsidRPr="009F2CB5" w:rsidTr="00480268">
        <w:trPr>
          <w:trHeight w:val="42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Severe Acute Malnutrition (SAM)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38</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2.19</w:t>
            </w:r>
          </w:p>
        </w:tc>
      </w:tr>
      <w:tr w:rsidR="00480268" w:rsidRPr="009F2CB5" w:rsidTr="00480268">
        <w:trPr>
          <w:trHeight w:val="42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Other pathologies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1,575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90.72</w:t>
            </w:r>
          </w:p>
        </w:tc>
      </w:tr>
      <w:tr w:rsidR="00480268" w:rsidRPr="009F2CB5" w:rsidTr="00480268">
        <w:trPr>
          <w:trHeight w:val="42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1,736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During the study period, 1,736 children consulted the surveyed health centers, among whom 161 children (9.28%) had malnutrition, including 7.09% MAM and 2.19% SAM, while 90.72% had other pathologies.</w:t>
      </w:r>
    </w:p>
    <w:p w:rsidR="00480268"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 xml:space="preserve">3.1.2 </w:t>
      </w:r>
      <w:r w:rsidR="00A03231">
        <w:rPr>
          <w:rFonts w:ascii="Times New Roman" w:eastAsia="Times New Roman" w:hAnsi="Times New Roman" w:cs="Times New Roman"/>
          <w:b/>
          <w:bCs/>
          <w:sz w:val="24"/>
          <w:szCs w:val="24"/>
        </w:rPr>
        <w:t>Tests: Frequencies and Percentages of the variables of s</w:t>
      </w:r>
      <w:r w:rsidRPr="009F2CB5">
        <w:rPr>
          <w:rFonts w:ascii="Times New Roman" w:eastAsia="Times New Roman" w:hAnsi="Times New Roman" w:cs="Times New Roman"/>
          <w:b/>
          <w:bCs/>
          <w:sz w:val="24"/>
          <w:szCs w:val="24"/>
        </w:rPr>
        <w:t>ocio-demographic Characteristics of Respondents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2. Distribution of mothers by marital status (N=161)</w:t>
      </w:r>
    </w:p>
    <w:tbl>
      <w:tblPr>
        <w:tblStyle w:val="TableGrid"/>
        <w:tblW w:w="8915" w:type="dxa"/>
        <w:tblLook w:val="04A0" w:firstRow="1" w:lastRow="0" w:firstColumn="1" w:lastColumn="0" w:noHBand="0" w:noVBand="1"/>
      </w:tblPr>
      <w:tblGrid>
        <w:gridCol w:w="4714"/>
        <w:gridCol w:w="2023"/>
        <w:gridCol w:w="2178"/>
      </w:tblGrid>
      <w:tr w:rsidR="00480268" w:rsidRPr="009F2CB5" w:rsidTr="00480268">
        <w:trPr>
          <w:trHeight w:val="43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Marital status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3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union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116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72.05</w:t>
            </w:r>
          </w:p>
        </w:tc>
      </w:tr>
      <w:tr w:rsidR="00480268" w:rsidRPr="009F2CB5" w:rsidTr="00480268">
        <w:trPr>
          <w:trHeight w:val="43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Single/separated/divorced/widowed</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27.95</w:t>
            </w:r>
          </w:p>
        </w:tc>
      </w:tr>
      <w:tr w:rsidR="00480268" w:rsidRPr="009F2CB5" w:rsidTr="00480268">
        <w:trPr>
          <w:trHeight w:val="42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study, 72.05% of surveyed mothers were in union while 27.95% were single.</w:t>
      </w:r>
    </w:p>
    <w:p w:rsidR="00480268" w:rsidRPr="009F2CB5" w:rsidRDefault="00480268"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lastRenderedPageBreak/>
        <w:br w:type="page"/>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lastRenderedPageBreak/>
        <w:t>Table 3. Distribution of mothers by education level (N=161)</w:t>
      </w:r>
    </w:p>
    <w:tbl>
      <w:tblPr>
        <w:tblStyle w:val="TableGrid"/>
        <w:tblW w:w="9019" w:type="dxa"/>
        <w:tblLook w:val="04A0" w:firstRow="1" w:lastRow="0" w:firstColumn="1" w:lastColumn="0" w:noHBand="0" w:noVBand="1"/>
      </w:tblPr>
      <w:tblGrid>
        <w:gridCol w:w="3599"/>
        <w:gridCol w:w="2610"/>
        <w:gridCol w:w="2810"/>
      </w:tblGrid>
      <w:tr w:rsidR="00480268" w:rsidRPr="009F2CB5" w:rsidTr="00480268">
        <w:trPr>
          <w:trHeight w:val="422"/>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Education level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22"/>
        </w:trPr>
        <w:tc>
          <w:tcPr>
            <w:tcW w:w="0" w:type="auto"/>
            <w:hideMark/>
          </w:tcPr>
          <w:p w:rsidR="00480268" w:rsidRPr="00174C83" w:rsidRDefault="00174C83" w:rsidP="009F2CB5">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0"/>
                <w:lang w:val="en-GB"/>
              </w:rPr>
              <w:t>I</w:t>
            </w:r>
            <w:r w:rsidRPr="00174C83">
              <w:rPr>
                <w:rFonts w:ascii="Times New Roman" w:hAnsi="Times New Roman" w:cs="Times New Roman"/>
                <w:sz w:val="24"/>
                <w:szCs w:val="20"/>
                <w:lang w:val="en-GB"/>
              </w:rPr>
              <w:t>lliterate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49</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30.43</w:t>
            </w:r>
          </w:p>
        </w:tc>
      </w:tr>
      <w:tr w:rsidR="00480268" w:rsidRPr="009F2CB5" w:rsidTr="00480268">
        <w:trPr>
          <w:trHeight w:val="422"/>
        </w:trPr>
        <w:tc>
          <w:tcPr>
            <w:tcW w:w="0" w:type="auto"/>
            <w:hideMark/>
          </w:tcPr>
          <w:p w:rsidR="00480268" w:rsidRPr="00174C83"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Primary</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104</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64.60</w:t>
            </w:r>
          </w:p>
        </w:tc>
      </w:tr>
      <w:tr w:rsidR="00480268" w:rsidRPr="009F2CB5" w:rsidTr="00480268">
        <w:trPr>
          <w:trHeight w:val="422"/>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Secondary or higher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4.97</w:t>
            </w:r>
          </w:p>
        </w:tc>
      </w:tr>
      <w:tr w:rsidR="00480268" w:rsidRPr="009F2CB5" w:rsidTr="00480268">
        <w:trPr>
          <w:trHeight w:val="422"/>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majority of surveyed mothers had primary education (64.60%), followed by those with no education (30.43%).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4. Distribution of mothers by income source (N=161)</w:t>
      </w:r>
    </w:p>
    <w:tbl>
      <w:tblPr>
        <w:tblStyle w:val="TableGrid"/>
        <w:tblW w:w="9146" w:type="dxa"/>
        <w:tblLook w:val="04A0" w:firstRow="1" w:lastRow="0" w:firstColumn="1" w:lastColumn="0" w:noHBand="0" w:noVBand="1"/>
      </w:tblPr>
      <w:tblGrid>
        <w:gridCol w:w="3041"/>
        <w:gridCol w:w="2940"/>
        <w:gridCol w:w="3165"/>
      </w:tblGrid>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Income source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Farmer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81.37</w:t>
            </w:r>
          </w:p>
        </w:tc>
      </w:tr>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Inactive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13.04</w:t>
            </w:r>
          </w:p>
        </w:tc>
      </w:tr>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Trader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3.73</w:t>
            </w:r>
          </w:p>
        </w:tc>
      </w:tr>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Civil servant</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1.86</w:t>
            </w:r>
          </w:p>
        </w:tc>
      </w:tr>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According to income source, 81.37% of mothers were farmers while 13.04% were inactive.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5. Distribution of mothers by religious belief (N=161)</w:t>
      </w:r>
    </w:p>
    <w:tbl>
      <w:tblPr>
        <w:tblStyle w:val="TableGrid"/>
        <w:tblW w:w="9457" w:type="dxa"/>
        <w:tblLook w:val="04A0" w:firstRow="1" w:lastRow="0" w:firstColumn="1" w:lastColumn="0" w:noHBand="0" w:noVBand="1"/>
      </w:tblPr>
      <w:tblGrid>
        <w:gridCol w:w="3296"/>
        <w:gridCol w:w="2967"/>
        <w:gridCol w:w="3194"/>
      </w:tblGrid>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Religious belief</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Catholic</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51.55</w:t>
            </w:r>
          </w:p>
        </w:tc>
      </w:tr>
      <w:tr w:rsidR="00480268" w:rsidRPr="009F2CB5" w:rsidTr="00480268">
        <w:trPr>
          <w:trHeight w:val="39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Protestant</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34.78</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Muslim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12</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7.45</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Other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10</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6.22</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According to their beliefs, Catholics were dominant at 51.55% followed by Protestants at 34.78%.</w:t>
      </w:r>
    </w:p>
    <w:p w:rsidR="00480268" w:rsidRPr="009F2CB5" w:rsidRDefault="00480268"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lastRenderedPageBreak/>
        <w:t>Table 6. Distribution of mothers by birth interval (N=161)</w:t>
      </w:r>
    </w:p>
    <w:tbl>
      <w:tblPr>
        <w:tblStyle w:val="TableGrid"/>
        <w:tblW w:w="9272" w:type="dxa"/>
        <w:tblLook w:val="04A0" w:firstRow="1" w:lastRow="0" w:firstColumn="1" w:lastColumn="0" w:noHBand="0" w:noVBand="1"/>
      </w:tblPr>
      <w:tblGrid>
        <w:gridCol w:w="2980"/>
        <w:gridCol w:w="3030"/>
        <w:gridCol w:w="3262"/>
      </w:tblGrid>
      <w:tr w:rsidR="00480268" w:rsidRPr="009F2CB5" w:rsidTr="00480268">
        <w:trPr>
          <w:trHeight w:val="413"/>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Birth interval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13"/>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&lt; 12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26.71</w:t>
            </w:r>
          </w:p>
        </w:tc>
      </w:tr>
      <w:tr w:rsidR="00480268" w:rsidRPr="009F2CB5" w:rsidTr="00480268">
        <w:trPr>
          <w:trHeight w:val="413"/>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12-24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105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65.22</w:t>
            </w:r>
          </w:p>
        </w:tc>
      </w:tr>
      <w:tr w:rsidR="00480268" w:rsidRPr="009F2CB5" w:rsidTr="00480268">
        <w:trPr>
          <w:trHeight w:val="40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&gt; 24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8.07</w:t>
            </w:r>
          </w:p>
        </w:tc>
      </w:tr>
      <w:tr w:rsidR="00480268" w:rsidRPr="009F2CB5" w:rsidTr="00480268">
        <w:trPr>
          <w:trHeight w:val="42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26.71% of surveyed mothers reported a birth interval of less than 12 months, and those with 12-24 months were 65.22%.</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7. Distribution by breastfeeding mode (N=161)</w:t>
      </w:r>
    </w:p>
    <w:tbl>
      <w:tblPr>
        <w:tblStyle w:val="TableGrid"/>
        <w:tblW w:w="9134" w:type="dxa"/>
        <w:tblLook w:val="04A0" w:firstRow="1" w:lastRow="0" w:firstColumn="1" w:lastColumn="0" w:noHBand="0" w:noVBand="1"/>
      </w:tblPr>
      <w:tblGrid>
        <w:gridCol w:w="3980"/>
        <w:gridCol w:w="2482"/>
        <w:gridCol w:w="2672"/>
      </w:tblGrid>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Breastfeeding mode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Exclusive breastfeeding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52.80</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Mixed feeding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34.16</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Bottle feeding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13.04</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According to breastfeeding mode, 52.8% of surveyed mothers practiced exclusive breastfeeding while 13.04% used bottles.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8. Distribution by number of under-five children in the family (N=161)</w:t>
      </w:r>
    </w:p>
    <w:tbl>
      <w:tblPr>
        <w:tblStyle w:val="TableGrid"/>
        <w:tblW w:w="9135" w:type="dxa"/>
        <w:tblLook w:val="04A0" w:firstRow="1" w:lastRow="0" w:firstColumn="1" w:lastColumn="0" w:noHBand="0" w:noVBand="1"/>
      </w:tblPr>
      <w:tblGrid>
        <w:gridCol w:w="4504"/>
        <w:gridCol w:w="2230"/>
        <w:gridCol w:w="2401"/>
      </w:tblGrid>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Number of under-five children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 child</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85.09</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 children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6.83</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 children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8.08</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study, 85.09% of mothers had one child, while those with 2 and 3 children were 6.83% and 8.08% respectively.</w:t>
      </w:r>
    </w:p>
    <w:p w:rsidR="00480268" w:rsidRPr="009F2CB5" w:rsidRDefault="00480268"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lastRenderedPageBreak/>
        <w:t>Table 9. Distribution of malnourished children by sex (N=161)</w:t>
      </w:r>
    </w:p>
    <w:tbl>
      <w:tblPr>
        <w:tblStyle w:val="TableGrid"/>
        <w:tblW w:w="8994" w:type="dxa"/>
        <w:tblLook w:val="04A0" w:firstRow="1" w:lastRow="0" w:firstColumn="1" w:lastColumn="0" w:noHBand="0" w:noVBand="1"/>
      </w:tblPr>
      <w:tblGrid>
        <w:gridCol w:w="1986"/>
        <w:gridCol w:w="3375"/>
        <w:gridCol w:w="3633"/>
      </w:tblGrid>
      <w:tr w:rsidR="00480268" w:rsidRPr="009F2CB5" w:rsidTr="00480268">
        <w:trPr>
          <w:trHeight w:val="40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Sex</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0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Male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52.80</w:t>
            </w:r>
          </w:p>
        </w:tc>
      </w:tr>
      <w:tr w:rsidR="00480268" w:rsidRPr="009F2CB5" w:rsidTr="00480268">
        <w:trPr>
          <w:trHeight w:val="40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Female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47.20</w:t>
            </w:r>
          </w:p>
        </w:tc>
      </w:tr>
      <w:tr w:rsidR="00480268" w:rsidRPr="009F2CB5" w:rsidTr="00480268">
        <w:trPr>
          <w:trHeight w:val="40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study, the dominant sex among malnourished children was male with 52.80%.</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10. Distribution of malnourished children by age group (N=161)</w:t>
      </w:r>
    </w:p>
    <w:tbl>
      <w:tblPr>
        <w:tblStyle w:val="TableGrid"/>
        <w:tblW w:w="9158" w:type="dxa"/>
        <w:tblLook w:val="04A0" w:firstRow="1" w:lastRow="0" w:firstColumn="1" w:lastColumn="0" w:noHBand="0" w:noVBand="1"/>
      </w:tblPr>
      <w:tblGrid>
        <w:gridCol w:w="2943"/>
        <w:gridCol w:w="2993"/>
        <w:gridCol w:w="3222"/>
      </w:tblGrid>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Age group</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6-11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16.77</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12-24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34.78</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25-59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78</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48.45</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study, the most affected age groups were 25-59 months (48.45%) and the least affected were 6-11 months (16.77%).</w:t>
      </w:r>
    </w:p>
    <w:p w:rsidR="00480268" w:rsidRPr="009F2CB5" w:rsidRDefault="00A03231"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3.1.3 Tests: Frequencies and Percentages of the variables of k</w:t>
      </w:r>
      <w:r w:rsidR="00480268" w:rsidRPr="009F2CB5">
        <w:rPr>
          <w:rFonts w:ascii="Times New Roman" w:eastAsia="Times New Roman" w:hAnsi="Times New Roman" w:cs="Times New Roman"/>
          <w:b/>
          <w:bCs/>
          <w:sz w:val="24"/>
          <w:szCs w:val="24"/>
        </w:rPr>
        <w:t>nowledge on Child Feeding</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11. Distribution of mothers according to food groups given to malnourished children (N=161)</w:t>
      </w:r>
    </w:p>
    <w:tbl>
      <w:tblPr>
        <w:tblStyle w:val="TableGrid"/>
        <w:tblW w:w="8984" w:type="dxa"/>
        <w:tblLook w:val="04A0" w:firstRow="1" w:lastRow="0" w:firstColumn="1" w:lastColumn="0" w:noHBand="0" w:noVBand="1"/>
      </w:tblPr>
      <w:tblGrid>
        <w:gridCol w:w="3178"/>
        <w:gridCol w:w="2796"/>
        <w:gridCol w:w="3010"/>
      </w:tblGrid>
      <w:tr w:rsidR="00480268" w:rsidRPr="009F2CB5" w:rsidTr="00DE5A92">
        <w:trPr>
          <w:trHeight w:val="41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Food groups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1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Energy foods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156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96.89</w:t>
            </w:r>
          </w:p>
        </w:tc>
      </w:tr>
      <w:tr w:rsidR="00480268" w:rsidRPr="009F2CB5" w:rsidTr="00DE5A92">
        <w:trPr>
          <w:trHeight w:val="41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Growth foods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52</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32.30</w:t>
            </w:r>
          </w:p>
        </w:tc>
      </w:tr>
      <w:tr w:rsidR="00480268" w:rsidRPr="009F2CB5" w:rsidTr="00DE5A92">
        <w:trPr>
          <w:trHeight w:val="403"/>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Protective foods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16.15</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i/>
          <w:iCs/>
          <w:sz w:val="24"/>
          <w:szCs w:val="24"/>
        </w:rPr>
        <w:t>Note: Multiple responses possible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series, the food groups that mothers gave to their malnourished children were energy foods (96.89%), growth foods (32.30%) and protective foods (16.15%).</w:t>
      </w:r>
    </w:p>
    <w:p w:rsidR="00DE5A92" w:rsidRPr="009F2CB5" w:rsidRDefault="00DE5A92"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lastRenderedPageBreak/>
        <w:t>Table 12. Distribution by types of foods consumed by malnourished children (N=161)</w:t>
      </w:r>
    </w:p>
    <w:tbl>
      <w:tblPr>
        <w:tblStyle w:val="TableGrid"/>
        <w:tblW w:w="8743" w:type="dxa"/>
        <w:tblLook w:val="04A0" w:firstRow="1" w:lastRow="0" w:firstColumn="1" w:lastColumn="0" w:noHBand="0" w:noVBand="1"/>
      </w:tblPr>
      <w:tblGrid>
        <w:gridCol w:w="2534"/>
        <w:gridCol w:w="2990"/>
        <w:gridCol w:w="3219"/>
      </w:tblGrid>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Food type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Breast milk</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22.98</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Other milk</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6.83</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Porridge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3.11</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Fruits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4.97</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Vegetables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13.04</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Other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79</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49.07</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study, mothers with malnourished children reported that the types of foods they gave were: breast milk (22.98%), vegetables (13.04%), fruits (4.97%), porridge (3.11%) and other milk (6.83%).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13. Distribution by age of introduction of complementary feeding (N=161)</w:t>
      </w:r>
    </w:p>
    <w:tbl>
      <w:tblPr>
        <w:tblStyle w:val="TableGrid"/>
        <w:tblW w:w="9019" w:type="dxa"/>
        <w:tblLook w:val="04A0" w:firstRow="1" w:lastRow="0" w:firstColumn="1" w:lastColumn="0" w:noHBand="0" w:noVBand="1"/>
      </w:tblPr>
      <w:tblGrid>
        <w:gridCol w:w="3544"/>
        <w:gridCol w:w="2637"/>
        <w:gridCol w:w="2838"/>
      </w:tblGrid>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Age of introduction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Before 6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44</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27.33</w:t>
            </w:r>
          </w:p>
        </w:tc>
      </w:tr>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At 6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117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72.67</w:t>
            </w:r>
          </w:p>
        </w:tc>
      </w:tr>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After 6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0</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0.00</w:t>
            </w:r>
          </w:p>
        </w:tc>
      </w:tr>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27.33% of mothers with malnourished children reported giving complementary feeding before 6 months, while those who gave at 6 months were 72.67%.</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14. Distribution by weaning age (N=161)</w:t>
      </w:r>
    </w:p>
    <w:tbl>
      <w:tblPr>
        <w:tblStyle w:val="TableGrid"/>
        <w:tblW w:w="9480" w:type="dxa"/>
        <w:tblLook w:val="04A0" w:firstRow="1" w:lastRow="0" w:firstColumn="1" w:lastColumn="0" w:noHBand="0" w:noVBand="1"/>
      </w:tblPr>
      <w:tblGrid>
        <w:gridCol w:w="3533"/>
        <w:gridCol w:w="2864"/>
        <w:gridCol w:w="3083"/>
      </w:tblGrid>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Weaning age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Before 12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16.15</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12-23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39.13</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At 24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32</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19.87</w:t>
            </w:r>
          </w:p>
        </w:tc>
      </w:tr>
      <w:tr w:rsidR="00480268" w:rsidRPr="009F2CB5" w:rsidTr="00DE5A92">
        <w:trPr>
          <w:trHeight w:val="14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After 24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13.04</w:t>
            </w:r>
          </w:p>
        </w:tc>
      </w:tr>
      <w:tr w:rsidR="00480268" w:rsidRPr="009F2CB5" w:rsidTr="00DE5A92">
        <w:trPr>
          <w:trHeight w:val="14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Don't know</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19</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11.81</w:t>
            </w:r>
          </w:p>
        </w:tc>
      </w:tr>
      <w:tr w:rsidR="00480268" w:rsidRPr="009F2CB5" w:rsidTr="00DE5A92">
        <w:trPr>
          <w:trHeight w:val="14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16.15% of mothers reported weaning before 12 months and those weaning at 12-23 months were 39.13%.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15. Distribution by mothers' behavior when children refuse to eat (N=161)</w:t>
      </w:r>
    </w:p>
    <w:tbl>
      <w:tblPr>
        <w:tblStyle w:val="TableGrid"/>
        <w:tblW w:w="9063" w:type="dxa"/>
        <w:tblLook w:val="04A0" w:firstRow="1" w:lastRow="0" w:firstColumn="1" w:lastColumn="0" w:noHBand="0" w:noVBand="1"/>
      </w:tblPr>
      <w:tblGrid>
        <w:gridCol w:w="3766"/>
        <w:gridCol w:w="2551"/>
        <w:gridCol w:w="2746"/>
      </w:tblGrid>
      <w:tr w:rsidR="00480268" w:rsidRPr="009F2CB5" w:rsidTr="00DE5A92">
        <w:trPr>
          <w:trHeight w:val="43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Behavior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3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Leave them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80</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49.69</w:t>
            </w:r>
          </w:p>
        </w:tc>
      </w:tr>
      <w:tr w:rsidR="00480268" w:rsidRPr="009F2CB5" w:rsidTr="00DE5A92">
        <w:trPr>
          <w:trHeight w:val="43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Give what they prefer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20.50</w:t>
            </w:r>
          </w:p>
        </w:tc>
      </w:tr>
      <w:tr w:rsidR="00480268" w:rsidRPr="009F2CB5" w:rsidTr="00DE5A92">
        <w:trPr>
          <w:trHeight w:val="43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Cajole them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16.77</w:t>
            </w:r>
          </w:p>
        </w:tc>
      </w:tr>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Force-feed them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13.04</w:t>
            </w:r>
          </w:p>
        </w:tc>
      </w:tr>
      <w:tr w:rsidR="00480268" w:rsidRPr="009F2CB5" w:rsidTr="00DE5A92">
        <w:trPr>
          <w:trHeight w:val="44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When children refused to eat, 49.69% of mothers left them, 20.50% gave what they prefer, 16.77% cajoled them and 13.04% force-fed them.</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3.1.4 Health Status of Children</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16. Associated infections in malnourished children (N=161)</w:t>
      </w:r>
    </w:p>
    <w:tbl>
      <w:tblPr>
        <w:tblStyle w:val="TableGrid"/>
        <w:tblW w:w="9434" w:type="dxa"/>
        <w:tblLook w:val="04A0" w:firstRow="1" w:lastRow="0" w:firstColumn="1" w:lastColumn="0" w:noHBand="0" w:noVBand="1"/>
      </w:tblPr>
      <w:tblGrid>
        <w:gridCol w:w="4514"/>
        <w:gridCol w:w="2369"/>
        <w:gridCol w:w="2551"/>
      </w:tblGrid>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Associated infections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Infectious syndrome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101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62.83</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Infectious dermatoses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29.20</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Diarrhea and/or vomiting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44</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27.43</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Parasitosis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20.35</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Acute Respiratory Infections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9.73</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i/>
          <w:iCs/>
          <w:sz w:val="24"/>
          <w:szCs w:val="24"/>
        </w:rPr>
        <w:t>Note: Multiple responses possible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Associated infections included: infectious syndrome (62.83%), infectious dermatoses (29.20%), diarrhea and/or vomiting (27.43%), parasitosis (20.35%), and ARI (9.73%).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17. Clinical signs in malnourished children (N=161)</w:t>
      </w:r>
    </w:p>
    <w:tbl>
      <w:tblPr>
        <w:tblStyle w:val="TableGrid"/>
        <w:tblW w:w="9110" w:type="dxa"/>
        <w:tblLook w:val="04A0" w:firstRow="1" w:lastRow="0" w:firstColumn="1" w:lastColumn="0" w:noHBand="0" w:noVBand="1"/>
      </w:tblPr>
      <w:tblGrid>
        <w:gridCol w:w="4866"/>
        <w:gridCol w:w="2044"/>
        <w:gridCol w:w="2200"/>
      </w:tblGrid>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Clinical signs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3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Fever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69</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42.86</w:t>
            </w:r>
          </w:p>
        </w:tc>
      </w:tr>
      <w:tr w:rsidR="00480268" w:rsidRPr="009F2CB5" w:rsidTr="00DE5A92">
        <w:trPr>
          <w:trHeight w:val="43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Consciousness: apathetic awake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34.78</w:t>
            </w:r>
          </w:p>
        </w:tc>
      </w:tr>
      <w:tr w:rsidR="00480268" w:rsidRPr="009F2CB5" w:rsidTr="00DE5A92">
        <w:trPr>
          <w:trHeight w:val="442"/>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Edema and altered general condition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38</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23.60</w:t>
            </w:r>
          </w:p>
        </w:tc>
      </w:tr>
      <w:tr w:rsidR="00480268" w:rsidRPr="009F2CB5" w:rsidTr="00DE5A92">
        <w:trPr>
          <w:trHeight w:val="43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Dermatological lesions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20.50</w:t>
            </w:r>
          </w:p>
        </w:tc>
      </w:tr>
      <w:tr w:rsidR="00480268" w:rsidRPr="009F2CB5" w:rsidTr="00DE5A92">
        <w:trPr>
          <w:trHeight w:val="43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Diarrhea and/or vomiting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19.25</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i/>
          <w:iCs/>
          <w:sz w:val="24"/>
          <w:szCs w:val="24"/>
        </w:rPr>
        <w:t>Note: Multiple responses possible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most represented clinical signs were: fever (42.86%), apathetic consciousness (34.78%), edema and altered general condition (23.60%), dermatological lesions (20.50%), and diarrhea and/or vomiting (19.25%).</w:t>
      </w:r>
    </w:p>
    <w:p w:rsidR="00480268" w:rsidRPr="009F2CB5" w:rsidRDefault="00A03231"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3.1.5 Tests: Frequencies and Percentages of the variables of malnutrition p</w:t>
      </w:r>
      <w:r w:rsidR="00480268" w:rsidRPr="009F2CB5">
        <w:rPr>
          <w:rFonts w:ascii="Times New Roman" w:eastAsia="Times New Roman" w:hAnsi="Times New Roman" w:cs="Times New Roman"/>
          <w:b/>
          <w:bCs/>
          <w:sz w:val="24"/>
          <w:szCs w:val="24"/>
        </w:rPr>
        <w:t>revention</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18. Distribution by mothers' knowledge of malnutrition prevention means (N=161)</w:t>
      </w:r>
    </w:p>
    <w:tbl>
      <w:tblPr>
        <w:tblStyle w:val="TableGrid"/>
        <w:tblW w:w="9306" w:type="dxa"/>
        <w:tblLook w:val="04A0" w:firstRow="1" w:lastRow="0" w:firstColumn="1" w:lastColumn="0" w:noHBand="0" w:noVBand="1"/>
      </w:tblPr>
      <w:tblGrid>
        <w:gridCol w:w="4761"/>
        <w:gridCol w:w="2189"/>
        <w:gridCol w:w="2356"/>
      </w:tblGrid>
      <w:tr w:rsidR="00480268" w:rsidRPr="009F2CB5" w:rsidTr="00DE5A92">
        <w:trPr>
          <w:trHeight w:val="429"/>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Prevention means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29"/>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Good nutrition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92</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57.14</w:t>
            </w:r>
          </w:p>
        </w:tc>
      </w:tr>
      <w:tr w:rsidR="00480268" w:rsidRPr="009F2CB5" w:rsidTr="00DE5A92">
        <w:trPr>
          <w:trHeight w:val="429"/>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Following health workers' advice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37.89</w:t>
            </w:r>
          </w:p>
        </w:tc>
      </w:tr>
      <w:tr w:rsidR="00480268" w:rsidRPr="009F2CB5" w:rsidTr="00DE5A92">
        <w:trPr>
          <w:trHeight w:val="41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Family planning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31.68</w:t>
            </w:r>
          </w:p>
        </w:tc>
      </w:tr>
      <w:tr w:rsidR="00480268" w:rsidRPr="009F2CB5" w:rsidTr="00DE5A92">
        <w:trPr>
          <w:trHeight w:val="44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Good breastfeeding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8.07</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i/>
          <w:iCs/>
          <w:sz w:val="24"/>
          <w:szCs w:val="24"/>
        </w:rPr>
        <w:t>Note: Multiple responses possible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surveyed mothers declared that malnutrition prevention included: good nutrition (57.14%), following health workers' advice (37.89%), family planning (31.68%), and good breastfeeding (8.07%).</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 Discussion</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3.2.1 Prevalence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During our study period, 1,736 children consulted the surveyed health centers, among whom 161 children had malnutrition, a prevalence of 9.28% including 7.09% MAM and 2.19% SAM.</w:t>
      </w:r>
    </w:p>
    <w:p w:rsidR="00480268"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 xml:space="preserve">In Burundi, according to the Demographic and Health Survey (2010), nearly six out of ten children under five (58%) suffer from stunting with rural predominance: 31% moderate and 27% severe. Approximately three out of ten children under five (29%) are underweight: 21% </w:t>
      </w:r>
      <w:r w:rsidRPr="009F2CB5">
        <w:rPr>
          <w:rFonts w:ascii="Times New Roman" w:eastAsia="Times New Roman" w:hAnsi="Times New Roman" w:cs="Times New Roman"/>
          <w:sz w:val="24"/>
          <w:szCs w:val="24"/>
        </w:rPr>
        <w:lastRenderedPageBreak/>
        <w:t>moderate and 8% severe. Overall, 6% of children suffer from acute malnutrition and 1% suffer from the severe form (</w:t>
      </w:r>
      <w:r w:rsidR="00A346F1" w:rsidRPr="009F2CB5">
        <w:rPr>
          <w:rFonts w:ascii="Times New Roman" w:eastAsia="Times New Roman" w:hAnsi="Times New Roman" w:cs="Times New Roman"/>
          <w:sz w:val="24"/>
          <w:szCs w:val="24"/>
          <w:lang w:val="en-GB" w:eastAsia="en-GB"/>
        </w:rPr>
        <w:t>ISTEEBU et ICF International, 2012</w:t>
      </w:r>
      <w:r w:rsidRPr="009F2CB5">
        <w:rPr>
          <w:rFonts w:ascii="Times New Roman" w:eastAsia="Times New Roman" w:hAnsi="Times New Roman" w:cs="Times New Roman"/>
          <w:sz w:val="24"/>
          <w:szCs w:val="24"/>
        </w:rPr>
        <w:t>).</w:t>
      </w:r>
    </w:p>
    <w:p w:rsidR="00567B15" w:rsidRPr="00567B15" w:rsidRDefault="00567B15" w:rsidP="009F2CB5">
      <w:pPr>
        <w:shd w:val="clear" w:color="auto" w:fill="FFFFFF"/>
        <w:spacing w:before="240" w:after="240" w:line="360" w:lineRule="auto"/>
        <w:jc w:val="both"/>
        <w:rPr>
          <w:rFonts w:ascii="Times New Roman" w:eastAsia="Times New Roman" w:hAnsi="Times New Roman" w:cs="Times New Roman"/>
          <w:sz w:val="28"/>
          <w:szCs w:val="24"/>
        </w:rPr>
      </w:pPr>
      <w:r w:rsidRPr="00567B15">
        <w:rPr>
          <w:rFonts w:ascii="Times New Roman" w:hAnsi="Times New Roman" w:cs="Times New Roman"/>
          <w:sz w:val="24"/>
          <w:shd w:val="clear" w:color="auto" w:fill="FFFFFF"/>
        </w:rPr>
        <w:t>In their study, Amoah et al. (2024) identified that female children had three times higher risk of underweight compared to male children (AOR: 3.09; 95% CI: 1.56-6.12), whereas in our series, male predominance was observed (52.80%). Furthermore, these authors also demonstrated that children aged 24 to 35 months had 74% lower risk of underweight compared to those aged 11 to 23 months (AOR: 0.26; 95% CI: 0.13-0.51). These results contrast with our study where children aged 25 to 59 months were the most affected (48.45%). These differences highlight the importance of contextual factors in determining the age groups most vulnerable to malnutrition</w:t>
      </w:r>
      <w:r>
        <w:rPr>
          <w:rFonts w:ascii="Times New Roman" w:hAnsi="Times New Roman" w:cs="Times New Roman"/>
          <w:sz w:val="24"/>
          <w:shd w:val="clear" w:color="auto" w:fill="FFFFFF"/>
        </w:rPr>
        <w:t xml:space="preserve"> </w:t>
      </w:r>
      <w:r>
        <w:rPr>
          <w:rFonts w:ascii="Times New Roman" w:hAnsi="Times New Roman" w:cs="Times New Roman"/>
          <w:sz w:val="24"/>
          <w:szCs w:val="24"/>
          <w:shd w:val="clear" w:color="auto" w:fill="FFFFFF"/>
        </w:rPr>
        <w:t>(Amoah et Al. 2024)</w:t>
      </w:r>
      <w:r w:rsidRPr="00567B15">
        <w:rPr>
          <w:rFonts w:ascii="Times New Roman" w:hAnsi="Times New Roman" w:cs="Times New Roman"/>
          <w:sz w:val="24"/>
          <w:shd w:val="clear" w:color="auto" w:fill="FFFFFF"/>
        </w:rPr>
        <w:t>.</w:t>
      </w:r>
    </w:p>
    <w:p w:rsidR="000700DF" w:rsidRPr="000700DF" w:rsidRDefault="000700DF" w:rsidP="009F2CB5">
      <w:pPr>
        <w:shd w:val="clear" w:color="auto" w:fill="FFFFFF"/>
        <w:spacing w:before="240" w:after="240" w:line="360" w:lineRule="auto"/>
        <w:jc w:val="both"/>
        <w:rPr>
          <w:rFonts w:ascii="Times New Roman" w:eastAsia="Times New Roman" w:hAnsi="Times New Roman" w:cs="Times New Roman"/>
          <w:sz w:val="24"/>
          <w:szCs w:val="24"/>
        </w:rPr>
      </w:pPr>
      <w:r w:rsidRPr="000700DF">
        <w:rPr>
          <w:rFonts w:ascii="Times New Roman" w:hAnsi="Times New Roman" w:cs="Times New Roman"/>
          <w:sz w:val="24"/>
          <w:szCs w:val="24"/>
          <w:shd w:val="clear" w:color="auto" w:fill="FFFFFF"/>
        </w:rPr>
        <w:t xml:space="preserve">Amoah et al. (2024), in a study conducted at St. Elizabeth Catholic Hospital in Ghana, reported a prevalence of global acute malnutrition of 33.9% among children under five years, with 35.9% underweight and 13.9% stunting. These </w:t>
      </w:r>
      <w:proofErr w:type="spellStart"/>
      <w:r w:rsidRPr="000700DF">
        <w:rPr>
          <w:rFonts w:ascii="Times New Roman" w:hAnsi="Times New Roman" w:cs="Times New Roman"/>
          <w:sz w:val="24"/>
          <w:szCs w:val="24"/>
          <w:shd w:val="clear" w:color="auto" w:fill="FFFFFF"/>
        </w:rPr>
        <w:t>prevalences</w:t>
      </w:r>
      <w:proofErr w:type="spellEnd"/>
      <w:r w:rsidRPr="000700DF">
        <w:rPr>
          <w:rFonts w:ascii="Times New Roman" w:hAnsi="Times New Roman" w:cs="Times New Roman"/>
          <w:sz w:val="24"/>
          <w:szCs w:val="24"/>
          <w:shd w:val="clear" w:color="auto" w:fill="FFFFFF"/>
        </w:rPr>
        <w:t xml:space="preserve"> are substantially higher than those observed in our study in Mwumba (9.28% global acute malnutrition). This difference may be explained by distinct geographical and health contexts, as well as the characteristics of the populations studied. However, our results confirm the persistence of malnutrition as a major public health problem in sub-Saharan Africa, requiring targeted interventions</w:t>
      </w:r>
      <w:r>
        <w:rPr>
          <w:rFonts w:ascii="Times New Roman" w:hAnsi="Times New Roman" w:cs="Times New Roman"/>
          <w:sz w:val="24"/>
          <w:szCs w:val="24"/>
          <w:shd w:val="clear" w:color="auto" w:fill="FFFFFF"/>
        </w:rPr>
        <w:t xml:space="preserve"> (Amoah et Al. 2024)</w:t>
      </w:r>
      <w:r w:rsidRPr="000700DF">
        <w:rPr>
          <w:rFonts w:ascii="Times New Roman" w:hAnsi="Times New Roman" w:cs="Times New Roman"/>
          <w:sz w:val="24"/>
          <w:szCs w:val="24"/>
          <w:shd w:val="clear" w:color="auto" w:fill="FFFFFF"/>
        </w:rPr>
        <w:t>.</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3.2.2 Socio-demographic Characteristics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Marital status:</w:t>
      </w:r>
      <w:r w:rsidRPr="009F2CB5">
        <w:rPr>
          <w:rFonts w:ascii="Times New Roman" w:eastAsia="Times New Roman" w:hAnsi="Times New Roman" w:cs="Times New Roman"/>
          <w:sz w:val="24"/>
          <w:szCs w:val="24"/>
        </w:rPr>
        <w:t xml:space="preserve"> In our series, 72.05% of respondents were in union while 27.95% were single. In </w:t>
      </w:r>
      <w:proofErr w:type="spellStart"/>
      <w:r w:rsidRPr="009F2CB5">
        <w:rPr>
          <w:rFonts w:ascii="Times New Roman" w:eastAsia="Times New Roman" w:hAnsi="Times New Roman" w:cs="Times New Roman"/>
          <w:sz w:val="24"/>
          <w:szCs w:val="24"/>
        </w:rPr>
        <w:t>Chiabi's</w:t>
      </w:r>
      <w:proofErr w:type="spellEnd"/>
      <w:r w:rsidRPr="009F2CB5">
        <w:rPr>
          <w:rFonts w:ascii="Times New Roman" w:eastAsia="Times New Roman" w:hAnsi="Times New Roman" w:cs="Times New Roman"/>
          <w:sz w:val="24"/>
          <w:szCs w:val="24"/>
        </w:rPr>
        <w:t xml:space="preserve"> series (2011), 89% of women were married. In </w:t>
      </w:r>
      <w:proofErr w:type="spellStart"/>
      <w:r w:rsidR="005A0BA5" w:rsidRPr="009F2CB5">
        <w:rPr>
          <w:rFonts w:ascii="Times New Roman" w:eastAsia="Times New Roman" w:hAnsi="Times New Roman" w:cs="Times New Roman"/>
          <w:sz w:val="24"/>
          <w:szCs w:val="24"/>
        </w:rPr>
        <w:t>Mavuta</w:t>
      </w:r>
      <w:r w:rsidRPr="009F2CB5">
        <w:rPr>
          <w:rFonts w:ascii="Times New Roman" w:eastAsia="Times New Roman" w:hAnsi="Times New Roman" w:cs="Times New Roman"/>
          <w:sz w:val="24"/>
          <w:szCs w:val="24"/>
        </w:rPr>
        <w:t>'s</w:t>
      </w:r>
      <w:proofErr w:type="spellEnd"/>
      <w:r w:rsidRPr="009F2CB5">
        <w:rPr>
          <w:rFonts w:ascii="Times New Roman" w:eastAsia="Times New Roman" w:hAnsi="Times New Roman" w:cs="Times New Roman"/>
          <w:sz w:val="24"/>
          <w:szCs w:val="24"/>
        </w:rPr>
        <w:t xml:space="preserve"> study (2018), 86.73% of respondents were married. In the WFP and FAO report (October-November 2015) on emergency food security analysis in six Burundian provinces most affected by socio-political instability, households with a single head (widow) are more exposed to food insecurity (24.2%) compared to 18.5% of households headed by a monogamous married person, the most common status.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Income source:</w:t>
      </w:r>
      <w:r w:rsidRPr="009F2CB5">
        <w:rPr>
          <w:rFonts w:ascii="Times New Roman" w:eastAsia="Times New Roman" w:hAnsi="Times New Roman" w:cs="Times New Roman"/>
          <w:sz w:val="24"/>
          <w:szCs w:val="24"/>
        </w:rPr>
        <w:t> In our series, according to income source, 81.37% were f</w:t>
      </w:r>
      <w:r w:rsidR="005A0BA5" w:rsidRPr="009F2CB5">
        <w:rPr>
          <w:rFonts w:ascii="Times New Roman" w:eastAsia="Times New Roman" w:hAnsi="Times New Roman" w:cs="Times New Roman"/>
          <w:sz w:val="24"/>
          <w:szCs w:val="24"/>
        </w:rPr>
        <w:t>armers and 13.04% were inactive</w:t>
      </w:r>
      <w:r w:rsidRPr="009F2CB5">
        <w:rPr>
          <w:rFonts w:ascii="Times New Roman" w:eastAsia="Times New Roman" w:hAnsi="Times New Roman" w:cs="Times New Roman"/>
          <w:sz w:val="24"/>
          <w:szCs w:val="24"/>
        </w:rPr>
        <w:t xml:space="preserve">. The main income source also influences household food security. In the WFP and FAO report (2015), households most food insecure were either those with no lucrative activity (50% food insecurity), or those whose main income source was daily activity such as agricultural labor (45% food insecurity), construction labor (25%) or subsistence farming </w:t>
      </w:r>
      <w:r w:rsidRPr="009F2CB5">
        <w:rPr>
          <w:rFonts w:ascii="Times New Roman" w:eastAsia="Times New Roman" w:hAnsi="Times New Roman" w:cs="Times New Roman"/>
          <w:sz w:val="24"/>
          <w:szCs w:val="24"/>
        </w:rPr>
        <w:lastRenderedPageBreak/>
        <w:t>(25%). Conversely, households whose active members were civil servants or salaried employees were 96% food secure. Households whose main activity was agriculture-related were more likely to have poor or borderline food consumption. More than half of households living mainly from labor had borderline (44%) or poor (9%) food consumption (WFP &amp; FAO, 2015). However, the predominance of agricultural activities in the locality should constitute an opportunity food-wise to supply households with sufficient food. Sensitization and awareness-raising among populations are essential for more rational use of resources from agricultural production for feeding, especially children under five.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Birth interval:</w:t>
      </w:r>
      <w:r w:rsidRPr="009F2CB5">
        <w:rPr>
          <w:rFonts w:ascii="Times New Roman" w:eastAsia="Times New Roman" w:hAnsi="Times New Roman" w:cs="Times New Roman"/>
          <w:sz w:val="24"/>
          <w:szCs w:val="24"/>
        </w:rPr>
        <w:t> In our series, birth interval less than 12 months was 26.71% and 12-24 months was 65.22%. They found that children born after an interval of less than 24 months had nearly twice the risk of suffering from moderate or severe acute malnutrition (Odds Ratio: 1.8</w:t>
      </w:r>
      <w:r w:rsidR="0024314D" w:rsidRPr="009F2CB5">
        <w:rPr>
          <w:rFonts w:ascii="Times New Roman" w:eastAsia="Times New Roman" w:hAnsi="Times New Roman" w:cs="Times New Roman"/>
          <w:sz w:val="24"/>
          <w:szCs w:val="24"/>
        </w:rPr>
        <w:t>9).</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Number of under-five children in the family:</w:t>
      </w:r>
      <w:r w:rsidRPr="009F2CB5">
        <w:rPr>
          <w:rFonts w:ascii="Times New Roman" w:eastAsia="Times New Roman" w:hAnsi="Times New Roman" w:cs="Times New Roman"/>
          <w:sz w:val="24"/>
          <w:szCs w:val="24"/>
        </w:rPr>
        <w:t> In our study, the number of under-five children in the family was one child for 85.09% and three children for 8.08%. According to a study by Fink et al. in Burkina Faso, this study explored the impact of the number of under-five children in households on child malnutrition prevalence. Results show that families with three or more under-five children have an increased probability of stunting (32%) compared to those with one or two children. This situation is attributed to increased competition for limited food resources, as well as decreased individual child care (Fink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2014). </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Sex:</w:t>
      </w:r>
      <w:r w:rsidRPr="009F2CB5">
        <w:rPr>
          <w:rFonts w:ascii="Times New Roman" w:eastAsia="Times New Roman" w:hAnsi="Times New Roman" w:cs="Times New Roman"/>
          <w:sz w:val="24"/>
          <w:szCs w:val="24"/>
        </w:rPr>
        <w:t xml:space="preserve"> In our study, the dominant sex among malnourished children was male with 52.80%. In </w:t>
      </w:r>
      <w:proofErr w:type="spellStart"/>
      <w:r w:rsidR="005A0BA5" w:rsidRPr="009F2CB5">
        <w:rPr>
          <w:rFonts w:ascii="Times New Roman" w:eastAsia="Times New Roman" w:hAnsi="Times New Roman" w:cs="Times New Roman"/>
          <w:sz w:val="24"/>
          <w:szCs w:val="24"/>
        </w:rPr>
        <w:t>Mavuta</w:t>
      </w:r>
      <w:r w:rsidRPr="009F2CB5">
        <w:rPr>
          <w:rFonts w:ascii="Times New Roman" w:eastAsia="Times New Roman" w:hAnsi="Times New Roman" w:cs="Times New Roman"/>
          <w:sz w:val="24"/>
          <w:szCs w:val="24"/>
        </w:rPr>
        <w:t>'s</w:t>
      </w:r>
      <w:proofErr w:type="spellEnd"/>
      <w:r w:rsidRPr="009F2CB5">
        <w:rPr>
          <w:rFonts w:ascii="Times New Roman" w:eastAsia="Times New Roman" w:hAnsi="Times New Roman" w:cs="Times New Roman"/>
          <w:sz w:val="24"/>
          <w:szCs w:val="24"/>
        </w:rPr>
        <w:t xml:space="preserve"> study (2018), out of 422 children surveyed, 240 (56.87%) were female. In Cameroon, </w:t>
      </w:r>
      <w:proofErr w:type="spellStart"/>
      <w:r w:rsidRPr="009F2CB5">
        <w:rPr>
          <w:rFonts w:ascii="Times New Roman" w:eastAsia="Times New Roman" w:hAnsi="Times New Roman" w:cs="Times New Roman"/>
          <w:sz w:val="24"/>
          <w:szCs w:val="24"/>
        </w:rPr>
        <w:t>Josephet</w:t>
      </w:r>
      <w:proofErr w:type="spellEnd"/>
      <w:r w:rsidRPr="009F2CB5">
        <w:rPr>
          <w:rFonts w:ascii="Times New Roman" w:eastAsia="Times New Roman" w:hAnsi="Times New Roman" w:cs="Times New Roman"/>
          <w:sz w:val="24"/>
          <w:szCs w:val="24"/>
        </w:rPr>
        <w:t>, in his study on protein-energy malnutrition in children, recorded more male children with 54.0% versus 45.4% girls (</w:t>
      </w:r>
      <w:proofErr w:type="spellStart"/>
      <w:r w:rsidRPr="009F2CB5">
        <w:rPr>
          <w:rFonts w:ascii="Times New Roman" w:eastAsia="Times New Roman" w:hAnsi="Times New Roman" w:cs="Times New Roman"/>
          <w:sz w:val="24"/>
          <w:szCs w:val="24"/>
        </w:rPr>
        <w:t>Josephet</w:t>
      </w:r>
      <w:proofErr w:type="spellEnd"/>
      <w:r w:rsidRPr="009F2CB5">
        <w:rPr>
          <w:rFonts w:ascii="Times New Roman" w:eastAsia="Times New Roman" w:hAnsi="Times New Roman" w:cs="Times New Roman"/>
          <w:sz w:val="24"/>
          <w:szCs w:val="24"/>
        </w:rPr>
        <w:t>, 2018).</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Age group:</w:t>
      </w:r>
      <w:r w:rsidRPr="009F2CB5">
        <w:rPr>
          <w:rFonts w:ascii="Times New Roman" w:eastAsia="Times New Roman" w:hAnsi="Times New Roman" w:cs="Times New Roman"/>
          <w:sz w:val="24"/>
          <w:szCs w:val="24"/>
        </w:rPr>
        <w:t xml:space="preserve"> In our series, the 25-59 months age group of malnourished children was most represented (48.45%). The 12-24 months and 6-11 months age groups were represented by 34.78% and 16.77% respectively. </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3.2.3 Food Groups and Types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Food groups in diet:</w:t>
      </w:r>
      <w:r w:rsidRPr="009F2CB5">
        <w:rPr>
          <w:rFonts w:ascii="Times New Roman" w:eastAsia="Times New Roman" w:hAnsi="Times New Roman" w:cs="Times New Roman"/>
          <w:sz w:val="24"/>
          <w:szCs w:val="24"/>
        </w:rPr>
        <w:t xml:space="preserve"> Food groups in the diet were energy foods for 96.89%, growth foods for 32.30% and protective foods for 16.15%. According to a study by </w:t>
      </w:r>
      <w:proofErr w:type="spellStart"/>
      <w:r w:rsidRPr="009F2CB5">
        <w:rPr>
          <w:rFonts w:ascii="Times New Roman" w:eastAsia="Times New Roman" w:hAnsi="Times New Roman" w:cs="Times New Roman"/>
          <w:sz w:val="24"/>
          <w:szCs w:val="24"/>
        </w:rPr>
        <w:t>Arimond</w:t>
      </w:r>
      <w:proofErr w:type="spellEnd"/>
      <w:r w:rsidRPr="009F2CB5">
        <w:rPr>
          <w:rFonts w:ascii="Times New Roman" w:eastAsia="Times New Roman" w:hAnsi="Times New Roman" w:cs="Times New Roman"/>
          <w:sz w:val="24"/>
          <w:szCs w:val="24"/>
        </w:rPr>
        <w:t xml:space="preserve"> and Ruel, this study demonstrated that dietary diversity is a key indicator of diet quality and an important </w:t>
      </w:r>
      <w:r w:rsidRPr="009F2CB5">
        <w:rPr>
          <w:rFonts w:ascii="Times New Roman" w:eastAsia="Times New Roman" w:hAnsi="Times New Roman" w:cs="Times New Roman"/>
          <w:sz w:val="24"/>
          <w:szCs w:val="24"/>
        </w:rPr>
        <w:lastRenderedPageBreak/>
        <w:t>determinant of nutritional status in young children. Children with low dietary diversity (less than three food groups consumed per day) had an increased risk of chronic malnutrition. Protein-rich foods (animal products, legumes) and micronutrient-rich foods (fruits, vegetables) were particularly associated with better growth (</w:t>
      </w:r>
      <w:proofErr w:type="spellStart"/>
      <w:r w:rsidRPr="009F2CB5">
        <w:rPr>
          <w:rFonts w:ascii="Times New Roman" w:eastAsia="Times New Roman" w:hAnsi="Times New Roman" w:cs="Times New Roman"/>
          <w:sz w:val="24"/>
          <w:szCs w:val="24"/>
        </w:rPr>
        <w:t>Arimond</w:t>
      </w:r>
      <w:proofErr w:type="spellEnd"/>
      <w:r w:rsidRPr="009F2CB5">
        <w:rPr>
          <w:rFonts w:ascii="Times New Roman" w:eastAsia="Times New Roman" w:hAnsi="Times New Roman" w:cs="Times New Roman"/>
          <w:sz w:val="24"/>
          <w:szCs w:val="24"/>
        </w:rPr>
        <w:t xml:space="preserve"> &amp; Ruel, 2004).</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Types of foods consumed:</w:t>
      </w:r>
      <w:r w:rsidRPr="009F2CB5">
        <w:rPr>
          <w:rFonts w:ascii="Times New Roman" w:eastAsia="Times New Roman" w:hAnsi="Times New Roman" w:cs="Times New Roman"/>
          <w:sz w:val="24"/>
          <w:szCs w:val="24"/>
        </w:rPr>
        <w:t> In our study, types of foods consumed were: breast milk (22.98%), vegetables (13.04%), fruits (4.97%), porridge (3.11%) and other milk (6.83%). In Sangare L.'s series, more than one-third of surveyed mothers knew energy foods like enriched cereal-based porridges and tubers. Only one-third of mothers mentioned meat, fish broths, eggs as growth foods. Less than one-third mentioned green vegetables and fruits as protective foods. This leads to the conclusion that the majority of the population do not properly know protective foods, hence the availability and use of this food type will be neglected (Sangare, 2008).</w:t>
      </w:r>
    </w:p>
    <w:p w:rsidR="00480268"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Age to introduce complementary feeding:</w:t>
      </w:r>
      <w:r w:rsidRPr="009F2CB5">
        <w:rPr>
          <w:rFonts w:ascii="Times New Roman" w:eastAsia="Times New Roman" w:hAnsi="Times New Roman" w:cs="Times New Roman"/>
          <w:sz w:val="24"/>
          <w:szCs w:val="24"/>
        </w:rPr>
        <w:t> The age to introduce complementary feeding was before 6 months for 27.33%. It was at 6 months for 72.67%. In Sangare's series, half of surveyed mothers (35%) said they start introducing family food into child's diet at 12 months (Sangare, 2008). Generally, breastfeeding practices in Burundi are satisfactory as they are protected and valued by lack of access to breast milk substitutes or other alternative products due to great poverty and irregular availability of these products. In the ACF report on the chronic food insecurity situation overview in Burundi, overall, communes in Kiremba Health District show better breastfeeding practices (94% early initiation, 78% exclusive breastfeeding and 89% continued breastfeeding) than other surveyed communes (88%, 77% and 83% respectively). The 75% exclusive breastfeeding target was achieved during the project (63% in 2014 versus 77% in 2017) (</w:t>
      </w:r>
      <w:r w:rsidR="005A0BA5" w:rsidRPr="009F2CB5">
        <w:rPr>
          <w:rFonts w:ascii="Times New Roman" w:eastAsia="Times New Roman" w:hAnsi="Times New Roman" w:cs="Times New Roman"/>
          <w:sz w:val="24"/>
          <w:szCs w:val="24"/>
        </w:rPr>
        <w:t>Jones et Al</w:t>
      </w:r>
      <w:r w:rsidR="00086B64">
        <w:rPr>
          <w:rFonts w:ascii="Times New Roman" w:eastAsia="Times New Roman" w:hAnsi="Times New Roman" w:cs="Times New Roman"/>
          <w:sz w:val="24"/>
          <w:szCs w:val="24"/>
        </w:rPr>
        <w:t>.</w:t>
      </w:r>
      <w:r w:rsidR="005A0BA5" w:rsidRPr="009F2CB5">
        <w:rPr>
          <w:rFonts w:ascii="Times New Roman" w:eastAsia="Times New Roman" w:hAnsi="Times New Roman" w:cs="Times New Roman"/>
          <w:sz w:val="24"/>
          <w:szCs w:val="24"/>
        </w:rPr>
        <w:t xml:space="preserve"> 2014</w:t>
      </w:r>
      <w:r w:rsidRPr="009F2CB5">
        <w:rPr>
          <w:rFonts w:ascii="Times New Roman" w:eastAsia="Times New Roman" w:hAnsi="Times New Roman" w:cs="Times New Roman"/>
          <w:sz w:val="24"/>
          <w:szCs w:val="24"/>
        </w:rPr>
        <w:t xml:space="preserve">). Breastfeeding practices are generally very good in Burundi given the very limited access to different breast milk substitutes (69% exclusive breastfeeding). </w:t>
      </w:r>
    </w:p>
    <w:p w:rsidR="00681F01" w:rsidRPr="00681F01" w:rsidRDefault="00681F01" w:rsidP="009F2CB5">
      <w:pPr>
        <w:shd w:val="clear" w:color="auto" w:fill="FFFFFF"/>
        <w:spacing w:before="240" w:after="240" w:line="360" w:lineRule="auto"/>
        <w:jc w:val="both"/>
        <w:rPr>
          <w:rFonts w:ascii="Times New Roman" w:eastAsia="Times New Roman" w:hAnsi="Times New Roman" w:cs="Times New Roman"/>
          <w:sz w:val="28"/>
          <w:szCs w:val="24"/>
        </w:rPr>
      </w:pPr>
      <w:r w:rsidRPr="00681F01">
        <w:rPr>
          <w:rFonts w:ascii="Times New Roman" w:hAnsi="Times New Roman" w:cs="Times New Roman"/>
          <w:sz w:val="24"/>
          <w:shd w:val="clear" w:color="auto" w:fill="FFFFFF"/>
        </w:rPr>
        <w:t>Amoah et al. (2024) observed that wasting was significantly associated with child age, with particularly high risks among children aged 24 to 35 months (AOR: 27.41; 95% CI: 9.12-82.37) and those aged 36 to 47 months (AOR: 28.23; 95% CI: 7.59-104.94). In our study, severe wasting accounted for 2.19% of cases, but we did not perform regression analysis to identify associated factors. These findings suggest that older age (beyond 24 months) may be a major risk factor for wasting, likely related to inadequate dietary diversification and increased exposure to infections</w:t>
      </w:r>
      <w:r>
        <w:rPr>
          <w:rFonts w:ascii="Times New Roman" w:hAnsi="Times New Roman" w:cs="Times New Roman"/>
          <w:sz w:val="24"/>
          <w:shd w:val="clear" w:color="auto" w:fill="FFFFFF"/>
        </w:rPr>
        <w:t xml:space="preserve"> (Amoah et Al. 2024)</w:t>
      </w:r>
      <w:r w:rsidRPr="00681F01">
        <w:rPr>
          <w:rFonts w:ascii="Times New Roman" w:hAnsi="Times New Roman" w:cs="Times New Roman"/>
          <w:sz w:val="24"/>
          <w:shd w:val="clear" w:color="auto" w:fill="FFFFFF"/>
        </w:rPr>
        <w:t>.</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lastRenderedPageBreak/>
        <w:t>Weaning age:</w:t>
      </w:r>
      <w:r w:rsidRPr="009F2CB5">
        <w:rPr>
          <w:rFonts w:ascii="Times New Roman" w:eastAsia="Times New Roman" w:hAnsi="Times New Roman" w:cs="Times New Roman"/>
          <w:sz w:val="24"/>
          <w:szCs w:val="24"/>
        </w:rPr>
        <w:t> In our study, weaning age was before 12 months for 16.15% of malnourished childr</w:t>
      </w:r>
      <w:r w:rsidR="005A0BA5" w:rsidRPr="009F2CB5">
        <w:rPr>
          <w:rFonts w:ascii="Times New Roman" w:eastAsia="Times New Roman" w:hAnsi="Times New Roman" w:cs="Times New Roman"/>
          <w:sz w:val="24"/>
          <w:szCs w:val="24"/>
        </w:rPr>
        <w:t>en, and 12-23 months for 39.13%</w:t>
      </w:r>
      <w:r w:rsidRPr="009F2CB5">
        <w:rPr>
          <w:rFonts w:ascii="Times New Roman" w:eastAsia="Times New Roman" w:hAnsi="Times New Roman" w:cs="Times New Roman"/>
          <w:sz w:val="24"/>
          <w:szCs w:val="24"/>
        </w:rPr>
        <w:t>. According to WHO, complementary feeding for a newly weaned child should include eggs, flours, meats, vegetables, solid foods. When the child's diet is not rich and does not meet body needs, signs of nutritional deficiencies may appear, exposing them to infection risks. From six months, the infant must receive complementary foods, as breast milk no longer satisfies all nutritional needs. During this complementary feeding period (from about six months to 18 months), the child must have at least four times a day a meal rich in energy and nutrients, and easy to digest (WHO, 2015). According to WHO, adequate nutrition during early childhood is fundamental for developing each child's full potential. It is well recognized that the period between birth and age two is a critical time for promoting optimal growth, health and development of children. According to WHO recommendations, complementary feeding should begin between 6 and 8 months. In Burundi, 77.4% (74.9-79.9) of children received complementary feeding at the appropriate age (WHO, 2013).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Behavior when a child refuses to eat:</w:t>
      </w:r>
      <w:r w:rsidRPr="009F2CB5">
        <w:rPr>
          <w:rFonts w:ascii="Times New Roman" w:eastAsia="Times New Roman" w:hAnsi="Times New Roman" w:cs="Times New Roman"/>
          <w:sz w:val="24"/>
          <w:szCs w:val="24"/>
        </w:rPr>
        <w:t> When children refused to eat, 49.69% left them, 20.50% gave what they prefer, 16.77% cajoled them and 13.04% force-fed them. In Sangare's series (2008), only 12% of surveyed mothers thought force-feeding was necessary (Sangare, 2008).</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3.2.4 Associated Infections and Clinical Signs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Associated infections:</w:t>
      </w:r>
      <w:r w:rsidRPr="009F2CB5">
        <w:rPr>
          <w:rFonts w:ascii="Times New Roman" w:eastAsia="Times New Roman" w:hAnsi="Times New Roman" w:cs="Times New Roman"/>
          <w:sz w:val="24"/>
          <w:szCs w:val="24"/>
        </w:rPr>
        <w:t xml:space="preserve"> Presence of other associated infections was recorded in 70.19% of malnourished children and included: infectious syndrome (62.83%), infectious dermatoses (29.20%), diarrhea and/or vomiting (27.43%), parasitosis (20.35%), ARI (9.73%). The most observed pathologies were: diarrhea (75.61%), ARI (43.90%), ENT/Stomatology and skin lesions (30.49% each). This indicates that the child's digestive tract is not mature enough to digest food, which would result in digestive disorders like diarrhea and even vomiting. Other infections can be justified by immunodeficiency due to malnutrition. In </w:t>
      </w:r>
      <w:proofErr w:type="spellStart"/>
      <w:r w:rsidRPr="009F2CB5">
        <w:rPr>
          <w:rFonts w:ascii="Times New Roman" w:eastAsia="Times New Roman" w:hAnsi="Times New Roman" w:cs="Times New Roman"/>
          <w:sz w:val="24"/>
          <w:szCs w:val="24"/>
        </w:rPr>
        <w:t>Ganiou's</w:t>
      </w:r>
      <w:proofErr w:type="spellEnd"/>
      <w:r w:rsidRPr="009F2CB5">
        <w:rPr>
          <w:rFonts w:ascii="Times New Roman" w:eastAsia="Times New Roman" w:hAnsi="Times New Roman" w:cs="Times New Roman"/>
          <w:sz w:val="24"/>
          <w:szCs w:val="24"/>
        </w:rPr>
        <w:t xml:space="preserve"> series (2014), a quarter (25%) of children suffered from either fever, diarrhea or ARI in the </w:t>
      </w:r>
      <w:proofErr w:type="spellStart"/>
      <w:r w:rsidRPr="009F2CB5">
        <w:rPr>
          <w:rFonts w:ascii="Times New Roman" w:eastAsia="Times New Roman" w:hAnsi="Times New Roman" w:cs="Times New Roman"/>
          <w:sz w:val="24"/>
          <w:szCs w:val="24"/>
        </w:rPr>
        <w:t>Pendjari</w:t>
      </w:r>
      <w:proofErr w:type="spellEnd"/>
      <w:r w:rsidRPr="009F2CB5">
        <w:rPr>
          <w:rFonts w:ascii="Times New Roman" w:eastAsia="Times New Roman" w:hAnsi="Times New Roman" w:cs="Times New Roman"/>
          <w:sz w:val="24"/>
          <w:szCs w:val="24"/>
        </w:rPr>
        <w:t xml:space="preserve"> plain during the two weeks preceding our household visits (</w:t>
      </w:r>
      <w:proofErr w:type="spellStart"/>
      <w:r w:rsidRPr="009F2CB5">
        <w:rPr>
          <w:rFonts w:ascii="Times New Roman" w:eastAsia="Times New Roman" w:hAnsi="Times New Roman" w:cs="Times New Roman"/>
          <w:sz w:val="24"/>
          <w:szCs w:val="24"/>
        </w:rPr>
        <w:t>Ganiou</w:t>
      </w:r>
      <w:proofErr w:type="spellEnd"/>
      <w:r w:rsidRPr="009F2CB5">
        <w:rPr>
          <w:rFonts w:ascii="Times New Roman" w:eastAsia="Times New Roman" w:hAnsi="Times New Roman" w:cs="Times New Roman"/>
          <w:sz w:val="24"/>
          <w:szCs w:val="24"/>
        </w:rPr>
        <w:t xml:space="preserve">, 2014). In the same vein, infections aggravate malnutrition and poor nutrition accentuates the severity of infectious diseases. This study finds that malnourished children are less able to defend themselves against infections. Some authors speak of a malnutrition and infection cycle explained by the fact that in developing countries, especially in poor families, children who do not receive </w:t>
      </w:r>
      <w:r w:rsidRPr="009F2CB5">
        <w:rPr>
          <w:rFonts w:ascii="Times New Roman" w:eastAsia="Times New Roman" w:hAnsi="Times New Roman" w:cs="Times New Roman"/>
          <w:sz w:val="24"/>
          <w:szCs w:val="24"/>
        </w:rPr>
        <w:lastRenderedPageBreak/>
        <w:t>quality and sufficient food lose weight, their growth slows; and in case of infection, their condition will favor longer, more severe and more frequent episodes of illness (Latham, 2001).</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Clinical signs:</w:t>
      </w:r>
      <w:r w:rsidRPr="009F2CB5">
        <w:rPr>
          <w:rFonts w:ascii="Times New Roman" w:eastAsia="Times New Roman" w:hAnsi="Times New Roman" w:cs="Times New Roman"/>
          <w:sz w:val="24"/>
          <w:szCs w:val="24"/>
        </w:rPr>
        <w:t xml:space="preserve"> The most represented clinical signs were: fever (42.86%), apathetic consciousness (34.78%), edema and altered general condition (23.60%), dermatological lesions (20.50%), diarrhea and/or vomiting (19.25%). In Sangare's series (2008), the main manifestations cited by surveyed mothers in increasing order were: low weight (53%), edema (25%) and lack of appetite (20%) (Sangare, 2008). In the survey by </w:t>
      </w:r>
      <w:proofErr w:type="spellStart"/>
      <w:r w:rsidRPr="009F2CB5">
        <w:rPr>
          <w:rFonts w:ascii="Times New Roman" w:eastAsia="Times New Roman" w:hAnsi="Times New Roman" w:cs="Times New Roman"/>
          <w:sz w:val="24"/>
          <w:szCs w:val="24"/>
        </w:rPr>
        <w:t>Moulna</w:t>
      </w:r>
      <w:proofErr w:type="spellEnd"/>
      <w:r w:rsidRPr="009F2CB5">
        <w:rPr>
          <w:rFonts w:ascii="Times New Roman" w:eastAsia="Times New Roman" w:hAnsi="Times New Roman" w:cs="Times New Roman"/>
          <w:sz w:val="24"/>
          <w:szCs w:val="24"/>
        </w:rPr>
        <w:t xml:space="preserve"> (2011), the estimated incidence of diarrhea was 22.5% in children aged 0-59 months and 24.7% among those aged 12-41 months. The variation compared to the 20.6% incidence for children aged 0-59 months estimated during the baseline survey (2014) is also small. More than half (54%) of children who suffered from diarrhea were taken to the health center for care. In 2014, 69% of diarrhea cases were treated at the health center, less than 1% by community health workers and 3.8% received self-medication by parents and 26% w</w:t>
      </w:r>
      <w:r w:rsidR="001A5B2E" w:rsidRPr="009F2CB5">
        <w:rPr>
          <w:rFonts w:ascii="Times New Roman" w:eastAsia="Times New Roman" w:hAnsi="Times New Roman" w:cs="Times New Roman"/>
          <w:sz w:val="24"/>
          <w:szCs w:val="24"/>
        </w:rPr>
        <w:t>ere not treated (</w:t>
      </w:r>
      <w:proofErr w:type="spellStart"/>
      <w:r w:rsidR="001A5B2E" w:rsidRPr="009F2CB5">
        <w:rPr>
          <w:rFonts w:ascii="Times New Roman" w:eastAsia="Times New Roman" w:hAnsi="Times New Roman" w:cs="Times New Roman"/>
          <w:sz w:val="24"/>
          <w:szCs w:val="24"/>
        </w:rPr>
        <w:t>Moulna</w:t>
      </w:r>
      <w:proofErr w:type="spellEnd"/>
      <w:r w:rsidR="001A5B2E" w:rsidRPr="009F2CB5">
        <w:rPr>
          <w:rFonts w:ascii="Times New Roman" w:eastAsia="Times New Roman" w:hAnsi="Times New Roman" w:cs="Times New Roman"/>
          <w:sz w:val="24"/>
          <w:szCs w:val="24"/>
        </w:rPr>
        <w:t>, 2011).</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3.2.5 Malnutrition Prevention</w:t>
      </w:r>
    </w:p>
    <w:p w:rsidR="00480268"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 xml:space="preserve">The means of malnutrition prevention were: good nutrition (57.14% of respondents); following health workers' advice (37.89%); family planning (31.68%) and good breastfeeding (8.07%). According to a study by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et al. (2008), this study examines the impact of preventive nutritional interventions on child malnutrition. This study recommends integrated strategies combining nutrition education, supplementation and regular monitoring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2008). According to a study by Black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in developing countries, the results of this multicenter study highlighted the effectiveness of child malnutrition prevention through improved feeding practices and introduction of exclusive breastfeeding up to six months. Children benefiting from these practices had a 25% reduced malnutrition rate (Black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2013).</w:t>
      </w:r>
    </w:p>
    <w:p w:rsidR="00681F01" w:rsidRPr="00681F01" w:rsidRDefault="00681F01" w:rsidP="009F2CB5">
      <w:pPr>
        <w:shd w:val="clear" w:color="auto" w:fill="FFFFFF"/>
        <w:spacing w:before="240" w:after="240" w:line="360" w:lineRule="auto"/>
        <w:jc w:val="both"/>
        <w:rPr>
          <w:rFonts w:ascii="Times New Roman" w:eastAsia="Times New Roman" w:hAnsi="Times New Roman" w:cs="Times New Roman"/>
          <w:sz w:val="28"/>
          <w:szCs w:val="24"/>
        </w:rPr>
      </w:pPr>
      <w:r w:rsidRPr="00681F01">
        <w:rPr>
          <w:rFonts w:ascii="Times New Roman" w:hAnsi="Times New Roman" w:cs="Times New Roman"/>
          <w:sz w:val="24"/>
          <w:shd w:val="clear" w:color="auto" w:fill="FFFFFF"/>
        </w:rPr>
        <w:t xml:space="preserve">Regarding maternal knowledge, Amoah et al. (2024) found that the majority of mothers (85.3%) correctly identified unbalanced diet as a cause of malnutrition, and 83.7% considered education and awareness as essential measures to improve child nutrition. In our study, 57.14% of mothers cited good nutrition as a means of preventing malnutrition. These concordant results underscore the need to strengthen nutrition education programs, because even when mothers have theoretical knowledge, feeding practices often remain inadequate, as </w:t>
      </w:r>
      <w:r w:rsidRPr="00681F01">
        <w:rPr>
          <w:rFonts w:ascii="Times New Roman" w:hAnsi="Times New Roman" w:cs="Times New Roman"/>
          <w:sz w:val="24"/>
          <w:shd w:val="clear" w:color="auto" w:fill="FFFFFF"/>
        </w:rPr>
        <w:lastRenderedPageBreak/>
        <w:t>illustrated by the low consumption of growth foods (32.30%) and protective foods (16.15%) in our series</w:t>
      </w:r>
      <w:r>
        <w:rPr>
          <w:rFonts w:ascii="Times New Roman" w:hAnsi="Times New Roman" w:cs="Times New Roman"/>
          <w:sz w:val="24"/>
          <w:shd w:val="clear" w:color="auto" w:fill="FFFFFF"/>
        </w:rPr>
        <w:t xml:space="preserve"> (Amoah et Al. 2024)</w:t>
      </w:r>
      <w:r w:rsidRPr="00681F01">
        <w:rPr>
          <w:rFonts w:ascii="Times New Roman" w:hAnsi="Times New Roman" w:cs="Times New Roman"/>
          <w:sz w:val="24"/>
          <w:shd w:val="clear" w:color="auto" w:fill="FFFFFF"/>
        </w:rPr>
        <w:t>.</w:t>
      </w:r>
    </w:p>
    <w:p w:rsidR="00480268" w:rsidRPr="009F2CB5" w:rsidRDefault="00480268" w:rsidP="009F2CB5">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4. CONCLUSION AND RECOMMENDATIONS</w:t>
      </w:r>
    </w:p>
    <w:p w:rsidR="00902B26" w:rsidRDefault="00902B26" w:rsidP="00A4397E">
      <w:pPr>
        <w:pStyle w:val="ds-markdown-paragraph"/>
        <w:shd w:val="clear" w:color="auto" w:fill="FFFFFF"/>
        <w:spacing w:before="240" w:beforeAutospacing="0" w:after="240" w:afterAutospacing="0" w:line="360" w:lineRule="auto"/>
        <w:jc w:val="both"/>
        <w:rPr>
          <w:color w:val="0F1115"/>
        </w:rPr>
      </w:pPr>
      <w:r>
        <w:rPr>
          <w:color w:val="0F1115"/>
        </w:rPr>
        <w:t xml:space="preserve">4.1 </w:t>
      </w:r>
      <w:r w:rsidR="00516D0D">
        <w:rPr>
          <w:color w:val="0F1115"/>
        </w:rPr>
        <w:t>Conclusion</w:t>
      </w:r>
    </w:p>
    <w:p w:rsidR="00A4397E" w:rsidRPr="00A4397E" w:rsidRDefault="00A4397E" w:rsidP="00A4397E">
      <w:pPr>
        <w:pStyle w:val="ds-markdown-paragraph"/>
        <w:shd w:val="clear" w:color="auto" w:fill="FFFFFF"/>
        <w:spacing w:before="240" w:beforeAutospacing="0" w:after="240" w:afterAutospacing="0" w:line="360" w:lineRule="auto"/>
        <w:jc w:val="both"/>
        <w:rPr>
          <w:color w:val="0F1115"/>
        </w:rPr>
      </w:pPr>
      <w:r w:rsidRPr="00A4397E">
        <w:rPr>
          <w:color w:val="0F1115"/>
        </w:rPr>
        <w:t>This study revealed a malnutrition prevalence of 9.28% among children aged 6 to 59 months in Mwumba Commune, comprising 7.09% moderate acute malnutrition and 2.19% severe acute malnutrition. The findings demonstrate significant gaps in maternal nutritional knowledge and feeding practices, characte</w:t>
      </w:r>
      <w:r>
        <w:rPr>
          <w:color w:val="0F1115"/>
        </w:rPr>
        <w:t xml:space="preserve">rized by poor dietary diversity </w:t>
      </w:r>
      <w:r w:rsidRPr="00A4397E">
        <w:rPr>
          <w:color w:val="0F1115"/>
        </w:rPr>
        <w:t xml:space="preserve">with energy foods predominantly consumed while growth and </w:t>
      </w:r>
      <w:r>
        <w:rPr>
          <w:color w:val="0F1115"/>
        </w:rPr>
        <w:t>protective foods were neglected-</w:t>
      </w:r>
      <w:r w:rsidRPr="00A4397E">
        <w:rPr>
          <w:color w:val="0F1115"/>
        </w:rPr>
        <w:t xml:space="preserve">inappropriate complementary feeding </w:t>
      </w:r>
      <w:r w:rsidR="00C1306C" w:rsidRPr="00A4397E">
        <w:rPr>
          <w:color w:val="0F1115"/>
        </w:rPr>
        <w:t>practices</w:t>
      </w:r>
      <w:r w:rsidRPr="00A4397E">
        <w:rPr>
          <w:color w:val="0F1115"/>
        </w:rPr>
        <w:t xml:space="preserve"> and suboptimal management of child feeding behaviors when children refused to eat.</w:t>
      </w:r>
    </w:p>
    <w:p w:rsidR="00A4397E" w:rsidRPr="00A4397E" w:rsidRDefault="00A4397E" w:rsidP="00A4397E">
      <w:pPr>
        <w:pStyle w:val="ds-markdown-paragraph"/>
        <w:shd w:val="clear" w:color="auto" w:fill="FFFFFF"/>
        <w:spacing w:before="240" w:beforeAutospacing="0" w:after="240" w:afterAutospacing="0" w:line="360" w:lineRule="auto"/>
        <w:jc w:val="both"/>
        <w:rPr>
          <w:color w:val="0F1115"/>
        </w:rPr>
      </w:pPr>
      <w:r w:rsidRPr="00A4397E">
        <w:rPr>
          <w:color w:val="0F1115"/>
        </w:rPr>
        <w:t>These results confirm that insufficient maternal nutritional knowledge and inadequate feeding practices significantly influence child malnutrition in this setting. Urgent targeted interventions are needed, including nutrition education programs focused on dietary diversification, appropriate complementary feeding, and improved child feeding behaviors, to effectively reduce malnutrition prevalence in Mwumba Commune.</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4.2 Recommendations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Our recommendations aim to sensitize, train and strengthen the capacity of communities, health workers and local authorities to effectively combat child malnutrition:</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 Strengthen nutrition education for parents and families:</w:t>
      </w:r>
      <w:r w:rsidRPr="009F2CB5">
        <w:rPr>
          <w:rFonts w:ascii="Times New Roman" w:eastAsia="Times New Roman" w:hAnsi="Times New Roman" w:cs="Times New Roman"/>
          <w:sz w:val="24"/>
          <w:szCs w:val="24"/>
        </w:rPr>
        <w:t> This recommendation is primarily addressed to health centers, community health workers, and non-governmental organizations working in community health. They are responsible for organizing regular and accessible educational sessions for parents.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2. Sensitize parents on the importance of balanced nutrition:</w:t>
      </w:r>
      <w:r w:rsidRPr="009F2CB5">
        <w:rPr>
          <w:rFonts w:ascii="Times New Roman" w:eastAsia="Times New Roman" w:hAnsi="Times New Roman" w:cs="Times New Roman"/>
          <w:sz w:val="24"/>
          <w:szCs w:val="24"/>
        </w:rPr>
        <w:t> This sensitization is addressed to parents themselves, particularly mothers, with support from health professionals (doctors, nutritionists). It involves informing them about meal frequency and good feeding practices adapted to young children.</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lastRenderedPageBreak/>
        <w:t>3. Strengthen feeding practices and introduce dietary diversity:</w:t>
      </w:r>
      <w:r w:rsidRPr="009F2CB5">
        <w:rPr>
          <w:rFonts w:ascii="Times New Roman" w:eastAsia="Times New Roman" w:hAnsi="Times New Roman" w:cs="Times New Roman"/>
          <w:sz w:val="24"/>
          <w:szCs w:val="24"/>
        </w:rPr>
        <w:t> This recommendation aims to involve families, farmers and food service providers. It is important to raise awareness about fruit and vegetable consumption and diversified diets, as well as encourage local agricultural practices allowing access to nutrient-rich foods.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4. Encourage family planning and birth spacing:</w:t>
      </w:r>
      <w:r w:rsidRPr="009F2CB5">
        <w:rPr>
          <w:rFonts w:ascii="Times New Roman" w:eastAsia="Times New Roman" w:hAnsi="Times New Roman" w:cs="Times New Roman"/>
          <w:sz w:val="24"/>
          <w:szCs w:val="24"/>
        </w:rPr>
        <w:t> This measure is addressed to parents and particularly reproductive health workers (doctors, family planning counselors), who must offer personalized advice and follow-up for birth spacing. Family planning consultation services must be accessible to help families better manage fertility.</w:t>
      </w:r>
    </w:p>
    <w:p w:rsidR="0040104B" w:rsidRDefault="00480268" w:rsidP="0040104B">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5. Collaborate with local authorities and the Ministry of Public Health and AIDS Control to integrate malnutrition control into community development policies:</w:t>
      </w:r>
      <w:r w:rsidRPr="009F2CB5">
        <w:rPr>
          <w:rFonts w:ascii="Times New Roman" w:eastAsia="Times New Roman" w:hAnsi="Times New Roman" w:cs="Times New Roman"/>
          <w:sz w:val="24"/>
          <w:szCs w:val="24"/>
        </w:rPr>
        <w:t> This recommendation is addressed to local authorities and ministry of health workers. It is crucial that malnutrition control be part of local development policy priorities, with regular monitoring of nutritional inputs to avoid mismanagement.</w:t>
      </w:r>
    </w:p>
    <w:p w:rsidR="00113B1A" w:rsidRPr="00763F5E" w:rsidRDefault="00113B1A" w:rsidP="00113B1A">
      <w:pPr>
        <w:shd w:val="clear" w:color="auto" w:fill="FFFFFF"/>
        <w:spacing w:before="240" w:after="240" w:line="360" w:lineRule="auto"/>
        <w:jc w:val="both"/>
        <w:rPr>
          <w:rFonts w:ascii="Times New Roman" w:eastAsia="Times New Roman" w:hAnsi="Times New Roman" w:cs="Times New Roman"/>
          <w:b/>
          <w:sz w:val="24"/>
          <w:szCs w:val="24"/>
        </w:rPr>
      </w:pPr>
      <w:r w:rsidRPr="00763F5E">
        <w:rPr>
          <w:rFonts w:ascii="Times New Roman" w:eastAsia="Times New Roman" w:hAnsi="Times New Roman" w:cs="Times New Roman"/>
          <w:b/>
          <w:sz w:val="24"/>
          <w:szCs w:val="24"/>
        </w:rPr>
        <w:t>Study Limitations</w:t>
      </w:r>
    </w:p>
    <w:p w:rsidR="00113B1A" w:rsidRPr="00113B1A" w:rsidRDefault="00113B1A" w:rsidP="00113B1A">
      <w:pPr>
        <w:shd w:val="clear" w:color="auto" w:fill="FFFFFF"/>
        <w:spacing w:before="240" w:after="240" w:line="360" w:lineRule="auto"/>
        <w:jc w:val="both"/>
        <w:rPr>
          <w:rFonts w:ascii="Times New Roman" w:eastAsia="Times New Roman" w:hAnsi="Times New Roman" w:cs="Times New Roman"/>
          <w:sz w:val="24"/>
          <w:szCs w:val="24"/>
        </w:rPr>
      </w:pPr>
      <w:r w:rsidRPr="00113B1A">
        <w:rPr>
          <w:rFonts w:ascii="Times New Roman" w:eastAsia="Times New Roman" w:hAnsi="Times New Roman" w:cs="Times New Roman"/>
          <w:sz w:val="24"/>
          <w:szCs w:val="24"/>
        </w:rPr>
        <w:t>•</w:t>
      </w:r>
      <w:r w:rsidRPr="00113B1A">
        <w:rPr>
          <w:rFonts w:ascii="Times New Roman" w:eastAsia="Times New Roman" w:hAnsi="Times New Roman" w:cs="Times New Roman"/>
          <w:sz w:val="24"/>
          <w:szCs w:val="24"/>
        </w:rPr>
        <w:tab/>
        <w:t>Memory bias of respondents;</w:t>
      </w:r>
    </w:p>
    <w:p w:rsidR="00113B1A" w:rsidRPr="00113B1A" w:rsidRDefault="00113B1A" w:rsidP="00113B1A">
      <w:pPr>
        <w:shd w:val="clear" w:color="auto" w:fill="FFFFFF"/>
        <w:spacing w:before="240" w:after="240" w:line="360" w:lineRule="auto"/>
        <w:jc w:val="both"/>
        <w:rPr>
          <w:rFonts w:ascii="Times New Roman" w:eastAsia="Times New Roman" w:hAnsi="Times New Roman" w:cs="Times New Roman"/>
          <w:sz w:val="24"/>
          <w:szCs w:val="24"/>
        </w:rPr>
      </w:pPr>
      <w:r w:rsidRPr="00113B1A">
        <w:rPr>
          <w:rFonts w:ascii="Times New Roman" w:eastAsia="Times New Roman" w:hAnsi="Times New Roman" w:cs="Times New Roman"/>
          <w:sz w:val="24"/>
          <w:szCs w:val="24"/>
        </w:rPr>
        <w:t>•</w:t>
      </w:r>
      <w:r w:rsidRPr="00113B1A">
        <w:rPr>
          <w:rFonts w:ascii="Times New Roman" w:eastAsia="Times New Roman" w:hAnsi="Times New Roman" w:cs="Times New Roman"/>
          <w:sz w:val="24"/>
          <w:szCs w:val="24"/>
        </w:rPr>
        <w:tab/>
        <w:t>Logistical constraints (access to remote areas);</w:t>
      </w:r>
    </w:p>
    <w:p w:rsidR="00113B1A" w:rsidRDefault="00113B1A" w:rsidP="00113B1A">
      <w:pPr>
        <w:shd w:val="clear" w:color="auto" w:fill="FFFFFF"/>
        <w:spacing w:before="240" w:after="240" w:line="360" w:lineRule="auto"/>
        <w:jc w:val="both"/>
        <w:rPr>
          <w:rFonts w:ascii="Times New Roman" w:eastAsia="Times New Roman" w:hAnsi="Times New Roman" w:cs="Times New Roman"/>
          <w:sz w:val="24"/>
          <w:szCs w:val="24"/>
        </w:rPr>
      </w:pPr>
      <w:r w:rsidRPr="00113B1A">
        <w:rPr>
          <w:rFonts w:ascii="Times New Roman" w:eastAsia="Times New Roman" w:hAnsi="Times New Roman" w:cs="Times New Roman"/>
          <w:sz w:val="24"/>
          <w:szCs w:val="24"/>
        </w:rPr>
        <w:t>•</w:t>
      </w:r>
      <w:r w:rsidRPr="00113B1A">
        <w:rPr>
          <w:rFonts w:ascii="Times New Roman" w:eastAsia="Times New Roman" w:hAnsi="Times New Roman" w:cs="Times New Roman"/>
          <w:sz w:val="24"/>
          <w:szCs w:val="24"/>
        </w:rPr>
        <w:tab/>
        <w:t>Budgetary limitations.</w:t>
      </w:r>
    </w:p>
    <w:p w:rsidR="006732C4" w:rsidRDefault="006732C4" w:rsidP="00113B1A">
      <w:pPr>
        <w:shd w:val="clear" w:color="auto" w:fill="FFFFFF"/>
        <w:spacing w:before="240" w:after="240" w:line="360" w:lineRule="auto"/>
        <w:jc w:val="both"/>
        <w:rPr>
          <w:rFonts w:ascii="Times New Roman" w:eastAsia="Times New Roman" w:hAnsi="Times New Roman" w:cs="Times New Roman"/>
          <w:sz w:val="24"/>
          <w:szCs w:val="24"/>
        </w:rPr>
      </w:pPr>
    </w:p>
    <w:p w:rsidR="006732C4" w:rsidRPr="006732C4" w:rsidRDefault="006732C4" w:rsidP="006732C4">
      <w:pPr>
        <w:shd w:val="clear" w:color="auto" w:fill="FFFFFF"/>
        <w:spacing w:before="240" w:after="240" w:line="360" w:lineRule="auto"/>
        <w:jc w:val="both"/>
        <w:rPr>
          <w:rFonts w:ascii="Times New Roman" w:eastAsia="Times New Roman" w:hAnsi="Times New Roman" w:cs="Times New Roman"/>
          <w:sz w:val="24"/>
          <w:szCs w:val="24"/>
        </w:rPr>
      </w:pPr>
      <w:r w:rsidRPr="006732C4">
        <w:rPr>
          <w:rFonts w:ascii="Times New Roman" w:eastAsia="Times New Roman" w:hAnsi="Times New Roman" w:cs="Times New Roman"/>
          <w:sz w:val="24"/>
          <w:szCs w:val="24"/>
        </w:rPr>
        <w:t xml:space="preserve">Consent </w:t>
      </w:r>
    </w:p>
    <w:p w:rsidR="006732C4" w:rsidRDefault="006732C4" w:rsidP="006732C4">
      <w:pPr>
        <w:shd w:val="clear" w:color="auto" w:fill="FFFFFF"/>
        <w:spacing w:before="240" w:after="240" w:line="360" w:lineRule="auto"/>
        <w:jc w:val="both"/>
        <w:rPr>
          <w:rFonts w:ascii="Times New Roman" w:eastAsia="Times New Roman" w:hAnsi="Times New Roman" w:cs="Times New Roman"/>
          <w:sz w:val="24"/>
          <w:szCs w:val="24"/>
        </w:rPr>
      </w:pPr>
      <w:r w:rsidRPr="006732C4">
        <w:rPr>
          <w:rFonts w:ascii="Times New Roman" w:eastAsia="Times New Roman" w:hAnsi="Times New Roman" w:cs="Times New Roman"/>
          <w:sz w:val="24"/>
          <w:szCs w:val="24"/>
        </w:rPr>
        <w:t>As per international standards or university standards, Participants’ written consent has been collected and preserved by the author(s).</w:t>
      </w:r>
    </w:p>
    <w:p w:rsidR="006732C4" w:rsidRPr="006732C4" w:rsidRDefault="006732C4" w:rsidP="006732C4">
      <w:pPr>
        <w:shd w:val="clear" w:color="auto" w:fill="FFFFFF"/>
        <w:spacing w:before="240" w:after="240" w:line="360" w:lineRule="auto"/>
        <w:jc w:val="both"/>
        <w:rPr>
          <w:rFonts w:ascii="Times New Roman" w:eastAsia="Times New Roman" w:hAnsi="Times New Roman" w:cs="Times New Roman"/>
          <w:sz w:val="24"/>
          <w:szCs w:val="24"/>
        </w:rPr>
      </w:pPr>
      <w:r w:rsidRPr="006732C4">
        <w:rPr>
          <w:rFonts w:ascii="Times New Roman" w:eastAsia="Times New Roman" w:hAnsi="Times New Roman" w:cs="Times New Roman"/>
          <w:sz w:val="24"/>
          <w:szCs w:val="24"/>
        </w:rPr>
        <w:t>Ethical Approval:</w:t>
      </w:r>
    </w:p>
    <w:p w:rsidR="006732C4" w:rsidRPr="006732C4" w:rsidRDefault="006732C4" w:rsidP="006732C4">
      <w:pPr>
        <w:shd w:val="clear" w:color="auto" w:fill="FFFFFF"/>
        <w:spacing w:before="240" w:after="240" w:line="360" w:lineRule="auto"/>
        <w:jc w:val="both"/>
        <w:rPr>
          <w:rFonts w:ascii="Times New Roman" w:eastAsia="Times New Roman" w:hAnsi="Times New Roman" w:cs="Times New Roman"/>
          <w:sz w:val="24"/>
          <w:szCs w:val="24"/>
        </w:rPr>
      </w:pPr>
    </w:p>
    <w:p w:rsidR="0040104B" w:rsidRPr="0040104B" w:rsidRDefault="006732C4" w:rsidP="006732C4">
      <w:pPr>
        <w:shd w:val="clear" w:color="auto" w:fill="FFFFFF"/>
        <w:spacing w:before="240" w:after="240" w:line="360" w:lineRule="auto"/>
        <w:jc w:val="both"/>
        <w:rPr>
          <w:rFonts w:ascii="Times New Roman" w:eastAsia="Times New Roman" w:hAnsi="Times New Roman" w:cs="Times New Roman"/>
          <w:sz w:val="24"/>
          <w:szCs w:val="24"/>
        </w:rPr>
      </w:pPr>
      <w:r w:rsidRPr="006732C4">
        <w:rPr>
          <w:rFonts w:ascii="Times New Roman" w:eastAsia="Times New Roman" w:hAnsi="Times New Roman" w:cs="Times New Roman"/>
          <w:sz w:val="24"/>
          <w:szCs w:val="24"/>
        </w:rPr>
        <w:t>As per international standards or university standards written ethical approval has been collected and preserved by the author(s).</w:t>
      </w:r>
    </w:p>
    <w:p w:rsidR="0040104B" w:rsidRPr="009F2CB5" w:rsidRDefault="0040104B" w:rsidP="0040104B">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Authors' contributions</w:t>
      </w:r>
    </w:p>
    <w:p w:rsidR="0040104B" w:rsidRPr="009F2CB5" w:rsidRDefault="0040104B" w:rsidP="0040104B">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This work was carried out in collaboration among all authors. Author AFI designed the study and wrote the protocol and wrote the first draft of the manuscript. Author WB collected and performed the statistical analysis. Author BN supervised the research, guided the methodology and corrected the manuscript. All authors read and approved the final manuscript.</w:t>
      </w:r>
    </w:p>
    <w:p w:rsidR="00DE5A92" w:rsidRPr="009F2CB5" w:rsidRDefault="00DE5A92"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6732C4" w:rsidRPr="006732C4" w:rsidRDefault="006732C4" w:rsidP="006732C4">
      <w:pPr>
        <w:shd w:val="clear" w:color="auto" w:fill="FFFFFF"/>
        <w:spacing w:before="480" w:after="240" w:line="360" w:lineRule="auto"/>
        <w:jc w:val="both"/>
        <w:outlineLvl w:val="1"/>
        <w:rPr>
          <w:rFonts w:ascii="Times New Roman" w:eastAsia="Times New Roman" w:hAnsi="Times New Roman" w:cs="Times New Roman"/>
          <w:b/>
          <w:bCs/>
          <w:sz w:val="24"/>
          <w:szCs w:val="24"/>
          <w:lang w:val="fr-FR"/>
        </w:rPr>
      </w:pPr>
      <w:r w:rsidRPr="006732C4">
        <w:rPr>
          <w:rFonts w:ascii="Times New Roman" w:eastAsia="Times New Roman" w:hAnsi="Times New Roman" w:cs="Times New Roman"/>
          <w:b/>
          <w:bCs/>
          <w:sz w:val="24"/>
          <w:szCs w:val="24"/>
          <w:lang w:val="fr-FR"/>
        </w:rPr>
        <w:lastRenderedPageBreak/>
        <w:t>Disclaimer (</w:t>
      </w:r>
      <w:proofErr w:type="spellStart"/>
      <w:r w:rsidRPr="006732C4">
        <w:rPr>
          <w:rFonts w:ascii="Times New Roman" w:eastAsia="Times New Roman" w:hAnsi="Times New Roman" w:cs="Times New Roman"/>
          <w:b/>
          <w:bCs/>
          <w:sz w:val="24"/>
          <w:szCs w:val="24"/>
          <w:lang w:val="fr-FR"/>
        </w:rPr>
        <w:t>Artificial</w:t>
      </w:r>
      <w:proofErr w:type="spellEnd"/>
      <w:r w:rsidRPr="006732C4">
        <w:rPr>
          <w:rFonts w:ascii="Times New Roman" w:eastAsia="Times New Roman" w:hAnsi="Times New Roman" w:cs="Times New Roman"/>
          <w:b/>
          <w:bCs/>
          <w:sz w:val="24"/>
          <w:szCs w:val="24"/>
          <w:lang w:val="fr-FR"/>
        </w:rPr>
        <w:t xml:space="preserve"> intelligence)</w:t>
      </w:r>
    </w:p>
    <w:p w:rsidR="006732C4" w:rsidRDefault="006732C4" w:rsidP="006732C4">
      <w:pPr>
        <w:shd w:val="clear" w:color="auto" w:fill="FFFFFF"/>
        <w:spacing w:before="480" w:after="240" w:line="360" w:lineRule="auto"/>
        <w:jc w:val="both"/>
        <w:outlineLvl w:val="1"/>
        <w:rPr>
          <w:rFonts w:ascii="Times New Roman" w:eastAsia="Times New Roman" w:hAnsi="Times New Roman" w:cs="Times New Roman"/>
          <w:b/>
          <w:bCs/>
          <w:sz w:val="24"/>
          <w:szCs w:val="24"/>
          <w:lang w:val="fr-FR"/>
        </w:rPr>
      </w:pPr>
      <w:proofErr w:type="spellStart"/>
      <w:r w:rsidRPr="006732C4">
        <w:rPr>
          <w:rFonts w:ascii="Times New Roman" w:eastAsia="Times New Roman" w:hAnsi="Times New Roman" w:cs="Times New Roman"/>
          <w:b/>
          <w:bCs/>
          <w:sz w:val="24"/>
          <w:szCs w:val="24"/>
          <w:lang w:val="fr-FR"/>
        </w:rPr>
        <w:t>Author</w:t>
      </w:r>
      <w:proofErr w:type="spellEnd"/>
      <w:r w:rsidRPr="006732C4">
        <w:rPr>
          <w:rFonts w:ascii="Times New Roman" w:eastAsia="Times New Roman" w:hAnsi="Times New Roman" w:cs="Times New Roman"/>
          <w:b/>
          <w:bCs/>
          <w:sz w:val="24"/>
          <w:szCs w:val="24"/>
          <w:lang w:val="fr-FR"/>
        </w:rPr>
        <w:t xml:space="preserve">(s) </w:t>
      </w:r>
      <w:proofErr w:type="spellStart"/>
      <w:r w:rsidRPr="006732C4">
        <w:rPr>
          <w:rFonts w:ascii="Times New Roman" w:eastAsia="Times New Roman" w:hAnsi="Times New Roman" w:cs="Times New Roman"/>
          <w:b/>
          <w:bCs/>
          <w:sz w:val="24"/>
          <w:szCs w:val="24"/>
          <w:lang w:val="fr-FR"/>
        </w:rPr>
        <w:t>hereby</w:t>
      </w:r>
      <w:proofErr w:type="spellEnd"/>
      <w:r w:rsidRPr="006732C4">
        <w:rPr>
          <w:rFonts w:ascii="Times New Roman" w:eastAsia="Times New Roman" w:hAnsi="Times New Roman" w:cs="Times New Roman"/>
          <w:b/>
          <w:bCs/>
          <w:sz w:val="24"/>
          <w:szCs w:val="24"/>
          <w:lang w:val="fr-FR"/>
        </w:rPr>
        <w:t xml:space="preserve"> </w:t>
      </w:r>
      <w:proofErr w:type="spellStart"/>
      <w:r w:rsidRPr="006732C4">
        <w:rPr>
          <w:rFonts w:ascii="Times New Roman" w:eastAsia="Times New Roman" w:hAnsi="Times New Roman" w:cs="Times New Roman"/>
          <w:b/>
          <w:bCs/>
          <w:sz w:val="24"/>
          <w:szCs w:val="24"/>
          <w:lang w:val="fr-FR"/>
        </w:rPr>
        <w:t>declare</w:t>
      </w:r>
      <w:proofErr w:type="spellEnd"/>
      <w:r w:rsidRPr="006732C4">
        <w:rPr>
          <w:rFonts w:ascii="Times New Roman" w:eastAsia="Times New Roman" w:hAnsi="Times New Roman" w:cs="Times New Roman"/>
          <w:b/>
          <w:bCs/>
          <w:sz w:val="24"/>
          <w:szCs w:val="24"/>
          <w:lang w:val="fr-FR"/>
        </w:rPr>
        <w:t xml:space="preserve"> </w:t>
      </w:r>
      <w:proofErr w:type="spellStart"/>
      <w:r w:rsidRPr="006732C4">
        <w:rPr>
          <w:rFonts w:ascii="Times New Roman" w:eastAsia="Times New Roman" w:hAnsi="Times New Roman" w:cs="Times New Roman"/>
          <w:b/>
          <w:bCs/>
          <w:sz w:val="24"/>
          <w:szCs w:val="24"/>
          <w:lang w:val="fr-FR"/>
        </w:rPr>
        <w:t>that</w:t>
      </w:r>
      <w:proofErr w:type="spellEnd"/>
      <w:r w:rsidRPr="006732C4">
        <w:rPr>
          <w:rFonts w:ascii="Times New Roman" w:eastAsia="Times New Roman" w:hAnsi="Times New Roman" w:cs="Times New Roman"/>
          <w:b/>
          <w:bCs/>
          <w:sz w:val="24"/>
          <w:szCs w:val="24"/>
          <w:lang w:val="fr-FR"/>
        </w:rPr>
        <w:t xml:space="preserve"> NO </w:t>
      </w:r>
      <w:proofErr w:type="spellStart"/>
      <w:r w:rsidRPr="006732C4">
        <w:rPr>
          <w:rFonts w:ascii="Times New Roman" w:eastAsia="Times New Roman" w:hAnsi="Times New Roman" w:cs="Times New Roman"/>
          <w:b/>
          <w:bCs/>
          <w:sz w:val="24"/>
          <w:szCs w:val="24"/>
          <w:lang w:val="fr-FR"/>
        </w:rPr>
        <w:t>generative</w:t>
      </w:r>
      <w:proofErr w:type="spellEnd"/>
      <w:r w:rsidRPr="006732C4">
        <w:rPr>
          <w:rFonts w:ascii="Times New Roman" w:eastAsia="Times New Roman" w:hAnsi="Times New Roman" w:cs="Times New Roman"/>
          <w:b/>
          <w:bCs/>
          <w:sz w:val="24"/>
          <w:szCs w:val="24"/>
          <w:lang w:val="fr-FR"/>
        </w:rPr>
        <w:t xml:space="preserve"> AI technologies </w:t>
      </w:r>
      <w:proofErr w:type="spellStart"/>
      <w:r w:rsidRPr="006732C4">
        <w:rPr>
          <w:rFonts w:ascii="Times New Roman" w:eastAsia="Times New Roman" w:hAnsi="Times New Roman" w:cs="Times New Roman"/>
          <w:b/>
          <w:bCs/>
          <w:sz w:val="24"/>
          <w:szCs w:val="24"/>
          <w:lang w:val="fr-FR"/>
        </w:rPr>
        <w:t>such</w:t>
      </w:r>
      <w:proofErr w:type="spellEnd"/>
      <w:r w:rsidRPr="006732C4">
        <w:rPr>
          <w:rFonts w:ascii="Times New Roman" w:eastAsia="Times New Roman" w:hAnsi="Times New Roman" w:cs="Times New Roman"/>
          <w:b/>
          <w:bCs/>
          <w:sz w:val="24"/>
          <w:szCs w:val="24"/>
          <w:lang w:val="fr-FR"/>
        </w:rPr>
        <w:t xml:space="preserve"> as Large </w:t>
      </w:r>
      <w:proofErr w:type="spellStart"/>
      <w:r w:rsidRPr="006732C4">
        <w:rPr>
          <w:rFonts w:ascii="Times New Roman" w:eastAsia="Times New Roman" w:hAnsi="Times New Roman" w:cs="Times New Roman"/>
          <w:b/>
          <w:bCs/>
          <w:sz w:val="24"/>
          <w:szCs w:val="24"/>
          <w:lang w:val="fr-FR"/>
        </w:rPr>
        <w:t>Language</w:t>
      </w:r>
      <w:proofErr w:type="spellEnd"/>
      <w:r w:rsidRPr="006732C4">
        <w:rPr>
          <w:rFonts w:ascii="Times New Roman" w:eastAsia="Times New Roman" w:hAnsi="Times New Roman" w:cs="Times New Roman"/>
          <w:b/>
          <w:bCs/>
          <w:sz w:val="24"/>
          <w:szCs w:val="24"/>
          <w:lang w:val="fr-FR"/>
        </w:rPr>
        <w:t xml:space="preserve"> </w:t>
      </w:r>
      <w:proofErr w:type="spellStart"/>
      <w:r w:rsidRPr="006732C4">
        <w:rPr>
          <w:rFonts w:ascii="Times New Roman" w:eastAsia="Times New Roman" w:hAnsi="Times New Roman" w:cs="Times New Roman"/>
          <w:b/>
          <w:bCs/>
          <w:sz w:val="24"/>
          <w:szCs w:val="24"/>
          <w:lang w:val="fr-FR"/>
        </w:rPr>
        <w:t>Models</w:t>
      </w:r>
      <w:proofErr w:type="spellEnd"/>
      <w:r w:rsidRPr="006732C4">
        <w:rPr>
          <w:rFonts w:ascii="Times New Roman" w:eastAsia="Times New Roman" w:hAnsi="Times New Roman" w:cs="Times New Roman"/>
          <w:b/>
          <w:bCs/>
          <w:sz w:val="24"/>
          <w:szCs w:val="24"/>
          <w:lang w:val="fr-FR"/>
        </w:rPr>
        <w:t xml:space="preserve"> (</w:t>
      </w:r>
      <w:proofErr w:type="spellStart"/>
      <w:r w:rsidRPr="006732C4">
        <w:rPr>
          <w:rFonts w:ascii="Times New Roman" w:eastAsia="Times New Roman" w:hAnsi="Times New Roman" w:cs="Times New Roman"/>
          <w:b/>
          <w:bCs/>
          <w:sz w:val="24"/>
          <w:szCs w:val="24"/>
          <w:lang w:val="fr-FR"/>
        </w:rPr>
        <w:t>ChatGPT</w:t>
      </w:r>
      <w:proofErr w:type="spellEnd"/>
      <w:r w:rsidRPr="006732C4">
        <w:rPr>
          <w:rFonts w:ascii="Times New Roman" w:eastAsia="Times New Roman" w:hAnsi="Times New Roman" w:cs="Times New Roman"/>
          <w:b/>
          <w:bCs/>
          <w:sz w:val="24"/>
          <w:szCs w:val="24"/>
          <w:lang w:val="fr-FR"/>
        </w:rPr>
        <w:t xml:space="preserve">, COPILOT, etc.) and </w:t>
      </w:r>
      <w:proofErr w:type="spellStart"/>
      <w:r w:rsidRPr="006732C4">
        <w:rPr>
          <w:rFonts w:ascii="Times New Roman" w:eastAsia="Times New Roman" w:hAnsi="Times New Roman" w:cs="Times New Roman"/>
          <w:b/>
          <w:bCs/>
          <w:sz w:val="24"/>
          <w:szCs w:val="24"/>
          <w:lang w:val="fr-FR"/>
        </w:rPr>
        <w:t>text</w:t>
      </w:r>
      <w:proofErr w:type="spellEnd"/>
      <w:r w:rsidRPr="006732C4">
        <w:rPr>
          <w:rFonts w:ascii="Times New Roman" w:eastAsia="Times New Roman" w:hAnsi="Times New Roman" w:cs="Times New Roman"/>
          <w:b/>
          <w:bCs/>
          <w:sz w:val="24"/>
          <w:szCs w:val="24"/>
          <w:lang w:val="fr-FR"/>
        </w:rPr>
        <w:t xml:space="preserve">-to-image </w:t>
      </w:r>
      <w:proofErr w:type="spellStart"/>
      <w:r w:rsidRPr="006732C4">
        <w:rPr>
          <w:rFonts w:ascii="Times New Roman" w:eastAsia="Times New Roman" w:hAnsi="Times New Roman" w:cs="Times New Roman"/>
          <w:b/>
          <w:bCs/>
          <w:sz w:val="24"/>
          <w:szCs w:val="24"/>
          <w:lang w:val="fr-FR"/>
        </w:rPr>
        <w:t>generators</w:t>
      </w:r>
      <w:proofErr w:type="spellEnd"/>
      <w:r w:rsidRPr="006732C4">
        <w:rPr>
          <w:rFonts w:ascii="Times New Roman" w:eastAsia="Times New Roman" w:hAnsi="Times New Roman" w:cs="Times New Roman"/>
          <w:b/>
          <w:bCs/>
          <w:sz w:val="24"/>
          <w:szCs w:val="24"/>
          <w:lang w:val="fr-FR"/>
        </w:rPr>
        <w:t xml:space="preserve"> have been </w:t>
      </w:r>
      <w:proofErr w:type="spellStart"/>
      <w:r w:rsidRPr="006732C4">
        <w:rPr>
          <w:rFonts w:ascii="Times New Roman" w:eastAsia="Times New Roman" w:hAnsi="Times New Roman" w:cs="Times New Roman"/>
          <w:b/>
          <w:bCs/>
          <w:sz w:val="24"/>
          <w:szCs w:val="24"/>
          <w:lang w:val="fr-FR"/>
        </w:rPr>
        <w:t>used</w:t>
      </w:r>
      <w:proofErr w:type="spellEnd"/>
      <w:r w:rsidRPr="006732C4">
        <w:rPr>
          <w:rFonts w:ascii="Times New Roman" w:eastAsia="Times New Roman" w:hAnsi="Times New Roman" w:cs="Times New Roman"/>
          <w:b/>
          <w:bCs/>
          <w:sz w:val="24"/>
          <w:szCs w:val="24"/>
          <w:lang w:val="fr-FR"/>
        </w:rPr>
        <w:t xml:space="preserve"> </w:t>
      </w:r>
      <w:proofErr w:type="spellStart"/>
      <w:r w:rsidRPr="006732C4">
        <w:rPr>
          <w:rFonts w:ascii="Times New Roman" w:eastAsia="Times New Roman" w:hAnsi="Times New Roman" w:cs="Times New Roman"/>
          <w:b/>
          <w:bCs/>
          <w:sz w:val="24"/>
          <w:szCs w:val="24"/>
          <w:lang w:val="fr-FR"/>
        </w:rPr>
        <w:t>during</w:t>
      </w:r>
      <w:proofErr w:type="spellEnd"/>
      <w:r w:rsidRPr="006732C4">
        <w:rPr>
          <w:rFonts w:ascii="Times New Roman" w:eastAsia="Times New Roman" w:hAnsi="Times New Roman" w:cs="Times New Roman"/>
          <w:b/>
          <w:bCs/>
          <w:sz w:val="24"/>
          <w:szCs w:val="24"/>
          <w:lang w:val="fr-FR"/>
        </w:rPr>
        <w:t xml:space="preserve"> the </w:t>
      </w:r>
      <w:proofErr w:type="spellStart"/>
      <w:r w:rsidRPr="006732C4">
        <w:rPr>
          <w:rFonts w:ascii="Times New Roman" w:eastAsia="Times New Roman" w:hAnsi="Times New Roman" w:cs="Times New Roman"/>
          <w:b/>
          <w:bCs/>
          <w:sz w:val="24"/>
          <w:szCs w:val="24"/>
          <w:lang w:val="fr-FR"/>
        </w:rPr>
        <w:t>writing</w:t>
      </w:r>
      <w:proofErr w:type="spellEnd"/>
      <w:r w:rsidRPr="006732C4">
        <w:rPr>
          <w:rFonts w:ascii="Times New Roman" w:eastAsia="Times New Roman" w:hAnsi="Times New Roman" w:cs="Times New Roman"/>
          <w:b/>
          <w:bCs/>
          <w:sz w:val="24"/>
          <w:szCs w:val="24"/>
          <w:lang w:val="fr-FR"/>
        </w:rPr>
        <w:t xml:space="preserve"> or </w:t>
      </w:r>
      <w:proofErr w:type="spellStart"/>
      <w:r w:rsidRPr="006732C4">
        <w:rPr>
          <w:rFonts w:ascii="Times New Roman" w:eastAsia="Times New Roman" w:hAnsi="Times New Roman" w:cs="Times New Roman"/>
          <w:b/>
          <w:bCs/>
          <w:sz w:val="24"/>
          <w:szCs w:val="24"/>
          <w:lang w:val="fr-FR"/>
        </w:rPr>
        <w:t>editing</w:t>
      </w:r>
      <w:proofErr w:type="spellEnd"/>
      <w:r w:rsidRPr="006732C4">
        <w:rPr>
          <w:rFonts w:ascii="Times New Roman" w:eastAsia="Times New Roman" w:hAnsi="Times New Roman" w:cs="Times New Roman"/>
          <w:b/>
          <w:bCs/>
          <w:sz w:val="24"/>
          <w:szCs w:val="24"/>
          <w:lang w:val="fr-FR"/>
        </w:rPr>
        <w:t xml:space="preserve"> of </w:t>
      </w:r>
      <w:proofErr w:type="spellStart"/>
      <w:r w:rsidRPr="006732C4">
        <w:rPr>
          <w:rFonts w:ascii="Times New Roman" w:eastAsia="Times New Roman" w:hAnsi="Times New Roman" w:cs="Times New Roman"/>
          <w:b/>
          <w:bCs/>
          <w:sz w:val="24"/>
          <w:szCs w:val="24"/>
          <w:lang w:val="fr-FR"/>
        </w:rPr>
        <w:t>this</w:t>
      </w:r>
      <w:proofErr w:type="spellEnd"/>
      <w:r w:rsidRPr="006732C4">
        <w:rPr>
          <w:rFonts w:ascii="Times New Roman" w:eastAsia="Times New Roman" w:hAnsi="Times New Roman" w:cs="Times New Roman"/>
          <w:b/>
          <w:bCs/>
          <w:sz w:val="24"/>
          <w:szCs w:val="24"/>
          <w:lang w:val="fr-FR"/>
        </w:rPr>
        <w:t xml:space="preserve"> </w:t>
      </w:r>
      <w:proofErr w:type="spellStart"/>
      <w:r w:rsidRPr="006732C4">
        <w:rPr>
          <w:rFonts w:ascii="Times New Roman" w:eastAsia="Times New Roman" w:hAnsi="Times New Roman" w:cs="Times New Roman"/>
          <w:b/>
          <w:bCs/>
          <w:sz w:val="24"/>
          <w:szCs w:val="24"/>
          <w:lang w:val="fr-FR"/>
        </w:rPr>
        <w:t>manuscript</w:t>
      </w:r>
      <w:proofErr w:type="spellEnd"/>
      <w:r w:rsidRPr="006732C4">
        <w:rPr>
          <w:rFonts w:ascii="Times New Roman" w:eastAsia="Times New Roman" w:hAnsi="Times New Roman" w:cs="Times New Roman"/>
          <w:b/>
          <w:bCs/>
          <w:sz w:val="24"/>
          <w:szCs w:val="24"/>
          <w:lang w:val="fr-FR"/>
        </w:rPr>
        <w:t>.</w:t>
      </w:r>
      <w:bookmarkStart w:id="0" w:name="_GoBack"/>
      <w:bookmarkEnd w:id="0"/>
    </w:p>
    <w:p w:rsidR="00480268" w:rsidRPr="009F2CB5" w:rsidRDefault="00480268" w:rsidP="009F2CB5">
      <w:pPr>
        <w:shd w:val="clear" w:color="auto" w:fill="FFFFFF"/>
        <w:spacing w:before="480" w:after="240" w:line="360" w:lineRule="auto"/>
        <w:jc w:val="both"/>
        <w:outlineLvl w:val="1"/>
        <w:rPr>
          <w:rFonts w:ascii="Times New Roman" w:eastAsia="Times New Roman" w:hAnsi="Times New Roman" w:cs="Times New Roman"/>
          <w:b/>
          <w:bCs/>
          <w:sz w:val="24"/>
          <w:szCs w:val="24"/>
          <w:lang w:val="fr-FR"/>
        </w:rPr>
      </w:pPr>
      <w:r w:rsidRPr="009F2CB5">
        <w:rPr>
          <w:rFonts w:ascii="Times New Roman" w:eastAsia="Times New Roman" w:hAnsi="Times New Roman" w:cs="Times New Roman"/>
          <w:b/>
          <w:bCs/>
          <w:sz w:val="24"/>
          <w:szCs w:val="24"/>
          <w:lang w:val="fr-FR"/>
        </w:rPr>
        <w:t>REFERENCES</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9F2CB5">
        <w:rPr>
          <w:rFonts w:ascii="Times New Roman" w:eastAsia="Times New Roman" w:hAnsi="Times New Roman" w:cs="Times New Roman"/>
          <w:sz w:val="24"/>
          <w:szCs w:val="24"/>
        </w:rPr>
        <w:t>Arimond</w:t>
      </w:r>
      <w:proofErr w:type="spellEnd"/>
      <w:r w:rsidRPr="009F2CB5">
        <w:rPr>
          <w:rFonts w:ascii="Times New Roman" w:eastAsia="Times New Roman" w:hAnsi="Times New Roman" w:cs="Times New Roman"/>
          <w:sz w:val="24"/>
          <w:szCs w:val="24"/>
        </w:rPr>
        <w:t>, M. &amp; Ruel, M. (2004). Dietary diversity is associated with child nutritional status: Evidence from 11 demographic and health surveys. </w:t>
      </w:r>
      <w:r w:rsidRPr="009F2CB5">
        <w:rPr>
          <w:rFonts w:ascii="Times New Roman" w:eastAsia="Times New Roman" w:hAnsi="Times New Roman" w:cs="Times New Roman"/>
          <w:i/>
          <w:iCs/>
          <w:sz w:val="24"/>
          <w:szCs w:val="24"/>
          <w:lang w:val="fr-FR"/>
        </w:rPr>
        <w:t>Journal of Nutrition</w:t>
      </w:r>
      <w:r w:rsidRPr="009F2CB5">
        <w:rPr>
          <w:rFonts w:ascii="Times New Roman" w:eastAsia="Times New Roman" w:hAnsi="Times New Roman" w:cs="Times New Roman"/>
          <w:sz w:val="24"/>
          <w:szCs w:val="24"/>
          <w:lang w:val="fr-FR"/>
        </w:rPr>
        <w:t>, 134(10), 2579–2585.</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Z. A., Das, J. K., Rizvi, A., </w:t>
      </w:r>
      <w:proofErr w:type="spellStart"/>
      <w:r w:rsidRPr="009F2CB5">
        <w:rPr>
          <w:rFonts w:ascii="Times New Roman" w:eastAsia="Times New Roman" w:hAnsi="Times New Roman" w:cs="Times New Roman"/>
          <w:sz w:val="24"/>
          <w:szCs w:val="24"/>
        </w:rPr>
        <w:t>Gaffey</w:t>
      </w:r>
      <w:proofErr w:type="spellEnd"/>
      <w:r w:rsidRPr="009F2CB5">
        <w:rPr>
          <w:rFonts w:ascii="Times New Roman" w:eastAsia="Times New Roman" w:hAnsi="Times New Roman" w:cs="Times New Roman"/>
          <w:sz w:val="24"/>
          <w:szCs w:val="24"/>
        </w:rPr>
        <w:t>, M. F., Walker, N., Horton, S., Webb, P., Lartey, A. &amp; Black, R. E. (2013). Evidence-based interventions for improvement of maternal and child nutrition. </w:t>
      </w:r>
      <w:r w:rsidRPr="009F2CB5">
        <w:rPr>
          <w:rFonts w:ascii="Times New Roman" w:eastAsia="Times New Roman" w:hAnsi="Times New Roman" w:cs="Times New Roman"/>
          <w:i/>
          <w:iCs/>
          <w:sz w:val="24"/>
          <w:szCs w:val="24"/>
        </w:rPr>
        <w:t>The Lancet</w:t>
      </w:r>
      <w:r w:rsidRPr="009F2CB5">
        <w:rPr>
          <w:rFonts w:ascii="Times New Roman" w:eastAsia="Times New Roman" w:hAnsi="Times New Roman" w:cs="Times New Roman"/>
          <w:sz w:val="24"/>
          <w:szCs w:val="24"/>
        </w:rPr>
        <w:t>, 382(9890), 452–477.</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 xml:space="preserve">Black, R. E., Allen, L. H.,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Z. A., Caulfield, L. E., de </w:t>
      </w:r>
      <w:proofErr w:type="spellStart"/>
      <w:r w:rsidRPr="009F2CB5">
        <w:rPr>
          <w:rFonts w:ascii="Times New Roman" w:eastAsia="Times New Roman" w:hAnsi="Times New Roman" w:cs="Times New Roman"/>
          <w:sz w:val="24"/>
          <w:szCs w:val="24"/>
        </w:rPr>
        <w:t>Onis</w:t>
      </w:r>
      <w:proofErr w:type="spellEnd"/>
      <w:r w:rsidRPr="009F2CB5">
        <w:rPr>
          <w:rFonts w:ascii="Times New Roman" w:eastAsia="Times New Roman" w:hAnsi="Times New Roman" w:cs="Times New Roman"/>
          <w:sz w:val="24"/>
          <w:szCs w:val="24"/>
        </w:rPr>
        <w:t xml:space="preserve">, M., </w:t>
      </w:r>
      <w:proofErr w:type="spellStart"/>
      <w:r w:rsidRPr="009F2CB5">
        <w:rPr>
          <w:rFonts w:ascii="Times New Roman" w:eastAsia="Times New Roman" w:hAnsi="Times New Roman" w:cs="Times New Roman"/>
          <w:sz w:val="24"/>
          <w:szCs w:val="24"/>
        </w:rPr>
        <w:t>Ezzati</w:t>
      </w:r>
      <w:proofErr w:type="spellEnd"/>
      <w:r w:rsidRPr="009F2CB5">
        <w:rPr>
          <w:rFonts w:ascii="Times New Roman" w:eastAsia="Times New Roman" w:hAnsi="Times New Roman" w:cs="Times New Roman"/>
          <w:sz w:val="24"/>
          <w:szCs w:val="24"/>
        </w:rPr>
        <w:t>, M., Mathers, C. &amp; Rivera, J. (2008). Maternal and child undernutrition: Global and regional exposures and health consequences. </w:t>
      </w:r>
      <w:r w:rsidRPr="009F2CB5">
        <w:rPr>
          <w:rFonts w:ascii="Times New Roman" w:eastAsia="Times New Roman" w:hAnsi="Times New Roman" w:cs="Times New Roman"/>
          <w:i/>
          <w:iCs/>
          <w:sz w:val="24"/>
          <w:szCs w:val="24"/>
        </w:rPr>
        <w:t>The Lancet</w:t>
      </w:r>
      <w:r w:rsidRPr="009F2CB5">
        <w:rPr>
          <w:rFonts w:ascii="Times New Roman" w:eastAsia="Times New Roman" w:hAnsi="Times New Roman" w:cs="Times New Roman"/>
          <w:sz w:val="24"/>
          <w:szCs w:val="24"/>
        </w:rPr>
        <w:t>, 371(9608), 243–260.</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rPr>
        <w:t xml:space="preserve">Black, R. E., </w:t>
      </w:r>
      <w:proofErr w:type="spellStart"/>
      <w:r w:rsidRPr="009F2CB5">
        <w:rPr>
          <w:rFonts w:ascii="Times New Roman" w:eastAsia="Times New Roman" w:hAnsi="Times New Roman" w:cs="Times New Roman"/>
          <w:sz w:val="24"/>
          <w:szCs w:val="24"/>
        </w:rPr>
        <w:t>Victora</w:t>
      </w:r>
      <w:proofErr w:type="spellEnd"/>
      <w:r w:rsidRPr="009F2CB5">
        <w:rPr>
          <w:rFonts w:ascii="Times New Roman" w:eastAsia="Times New Roman" w:hAnsi="Times New Roman" w:cs="Times New Roman"/>
          <w:sz w:val="24"/>
          <w:szCs w:val="24"/>
        </w:rPr>
        <w:t xml:space="preserve">, C. G., Walker, S. P.,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Z. A., Christian, P., de </w:t>
      </w:r>
      <w:proofErr w:type="spellStart"/>
      <w:r w:rsidRPr="009F2CB5">
        <w:rPr>
          <w:rFonts w:ascii="Times New Roman" w:eastAsia="Times New Roman" w:hAnsi="Times New Roman" w:cs="Times New Roman"/>
          <w:sz w:val="24"/>
          <w:szCs w:val="24"/>
        </w:rPr>
        <w:t>Onis</w:t>
      </w:r>
      <w:proofErr w:type="spellEnd"/>
      <w:r w:rsidRPr="009F2CB5">
        <w:rPr>
          <w:rFonts w:ascii="Times New Roman" w:eastAsia="Times New Roman" w:hAnsi="Times New Roman" w:cs="Times New Roman"/>
          <w:sz w:val="24"/>
          <w:szCs w:val="24"/>
        </w:rPr>
        <w:t xml:space="preserve">, M., </w:t>
      </w:r>
      <w:proofErr w:type="spellStart"/>
      <w:r w:rsidRPr="009F2CB5">
        <w:rPr>
          <w:rFonts w:ascii="Times New Roman" w:eastAsia="Times New Roman" w:hAnsi="Times New Roman" w:cs="Times New Roman"/>
          <w:sz w:val="24"/>
          <w:szCs w:val="24"/>
        </w:rPr>
        <w:t>Ezzati</w:t>
      </w:r>
      <w:proofErr w:type="spellEnd"/>
      <w:r w:rsidRPr="009F2CB5">
        <w:rPr>
          <w:rFonts w:ascii="Times New Roman" w:eastAsia="Times New Roman" w:hAnsi="Times New Roman" w:cs="Times New Roman"/>
          <w:sz w:val="24"/>
          <w:szCs w:val="24"/>
        </w:rPr>
        <w:t xml:space="preserve">, M., Grantham-McGregor, S., Katz, J., Martorell, R. &amp; </w:t>
      </w:r>
      <w:proofErr w:type="spellStart"/>
      <w:r w:rsidRPr="009F2CB5">
        <w:rPr>
          <w:rFonts w:ascii="Times New Roman" w:eastAsia="Times New Roman" w:hAnsi="Times New Roman" w:cs="Times New Roman"/>
          <w:sz w:val="24"/>
          <w:szCs w:val="24"/>
        </w:rPr>
        <w:t>Uauy</w:t>
      </w:r>
      <w:proofErr w:type="spellEnd"/>
      <w:r w:rsidRPr="009F2CB5">
        <w:rPr>
          <w:rFonts w:ascii="Times New Roman" w:eastAsia="Times New Roman" w:hAnsi="Times New Roman" w:cs="Times New Roman"/>
          <w:sz w:val="24"/>
          <w:szCs w:val="24"/>
        </w:rPr>
        <w:t>, R. (2013). Maternal and child undernutrition and overweight in low-income and middle-income countries. </w:t>
      </w:r>
      <w:r w:rsidRPr="009F2CB5">
        <w:rPr>
          <w:rFonts w:ascii="Times New Roman" w:eastAsia="Times New Roman" w:hAnsi="Times New Roman" w:cs="Times New Roman"/>
          <w:i/>
          <w:iCs/>
          <w:sz w:val="24"/>
          <w:szCs w:val="24"/>
          <w:lang w:val="fr-FR"/>
        </w:rPr>
        <w:t>The Lancet</w:t>
      </w:r>
      <w:r w:rsidRPr="009F2CB5">
        <w:rPr>
          <w:rFonts w:ascii="Times New Roman" w:eastAsia="Times New Roman" w:hAnsi="Times New Roman" w:cs="Times New Roman"/>
          <w:sz w:val="24"/>
          <w:szCs w:val="24"/>
          <w:lang w:val="fr-FR"/>
        </w:rPr>
        <w:t>, 382(9890), 427–451.</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9F2CB5">
        <w:rPr>
          <w:rFonts w:ascii="Times New Roman" w:eastAsia="Times New Roman" w:hAnsi="Times New Roman" w:cs="Times New Roman"/>
          <w:sz w:val="24"/>
          <w:szCs w:val="24"/>
          <w:lang w:val="fr-FR" w:eastAsia="en-GB"/>
        </w:rPr>
        <w:t>Chiabi</w:t>
      </w:r>
      <w:proofErr w:type="spellEnd"/>
      <w:r w:rsidRPr="009F2CB5">
        <w:rPr>
          <w:rFonts w:ascii="Times New Roman" w:eastAsia="Times New Roman" w:hAnsi="Times New Roman" w:cs="Times New Roman"/>
          <w:sz w:val="24"/>
          <w:szCs w:val="24"/>
          <w:lang w:val="fr-FR" w:eastAsia="en-GB"/>
        </w:rPr>
        <w:t xml:space="preserve">, A., </w:t>
      </w:r>
      <w:proofErr w:type="spellStart"/>
      <w:r w:rsidRPr="009F2CB5">
        <w:rPr>
          <w:rFonts w:ascii="Times New Roman" w:eastAsia="Times New Roman" w:hAnsi="Times New Roman" w:cs="Times New Roman"/>
          <w:sz w:val="24"/>
          <w:szCs w:val="24"/>
          <w:lang w:val="fr-FR" w:eastAsia="en-GB"/>
        </w:rPr>
        <w:t>Kamga</w:t>
      </w:r>
      <w:proofErr w:type="spellEnd"/>
      <w:r w:rsidRPr="009F2CB5">
        <w:rPr>
          <w:rFonts w:ascii="Times New Roman" w:eastAsia="Times New Roman" w:hAnsi="Times New Roman" w:cs="Times New Roman"/>
          <w:sz w:val="24"/>
          <w:szCs w:val="24"/>
          <w:lang w:val="fr-FR" w:eastAsia="en-GB"/>
        </w:rPr>
        <w:t xml:space="preserve">, B. G., Mah, E., </w:t>
      </w:r>
      <w:proofErr w:type="spellStart"/>
      <w:r w:rsidRPr="009F2CB5">
        <w:rPr>
          <w:rFonts w:ascii="Times New Roman" w:eastAsia="Times New Roman" w:hAnsi="Times New Roman" w:cs="Times New Roman"/>
          <w:sz w:val="24"/>
          <w:szCs w:val="24"/>
          <w:lang w:val="fr-FR" w:eastAsia="en-GB"/>
        </w:rPr>
        <w:t>Bogne</w:t>
      </w:r>
      <w:proofErr w:type="spellEnd"/>
      <w:r w:rsidRPr="009F2CB5">
        <w:rPr>
          <w:rFonts w:ascii="Times New Roman" w:eastAsia="Times New Roman" w:hAnsi="Times New Roman" w:cs="Times New Roman"/>
          <w:sz w:val="24"/>
          <w:szCs w:val="24"/>
          <w:lang w:val="fr-FR" w:eastAsia="en-GB"/>
        </w:rPr>
        <w:t xml:space="preserve">, J. B., </w:t>
      </w:r>
      <w:proofErr w:type="spellStart"/>
      <w:r w:rsidRPr="009F2CB5">
        <w:rPr>
          <w:rFonts w:ascii="Times New Roman" w:eastAsia="Times New Roman" w:hAnsi="Times New Roman" w:cs="Times New Roman"/>
          <w:sz w:val="24"/>
          <w:szCs w:val="24"/>
          <w:lang w:val="fr-FR" w:eastAsia="en-GB"/>
        </w:rPr>
        <w:t>Nguefack</w:t>
      </w:r>
      <w:proofErr w:type="spellEnd"/>
      <w:r w:rsidRPr="009F2CB5">
        <w:rPr>
          <w:rFonts w:ascii="Times New Roman" w:eastAsia="Times New Roman" w:hAnsi="Times New Roman" w:cs="Times New Roman"/>
          <w:sz w:val="24"/>
          <w:szCs w:val="24"/>
          <w:lang w:val="fr-FR" w:eastAsia="en-GB"/>
        </w:rPr>
        <w:t xml:space="preserve">, S., </w:t>
      </w:r>
      <w:proofErr w:type="spellStart"/>
      <w:r w:rsidRPr="009F2CB5">
        <w:rPr>
          <w:rFonts w:ascii="Times New Roman" w:eastAsia="Times New Roman" w:hAnsi="Times New Roman" w:cs="Times New Roman"/>
          <w:sz w:val="24"/>
          <w:szCs w:val="24"/>
          <w:lang w:val="fr-FR" w:eastAsia="en-GB"/>
        </w:rPr>
        <w:t>Fokam</w:t>
      </w:r>
      <w:proofErr w:type="spellEnd"/>
      <w:r w:rsidRPr="009F2CB5">
        <w:rPr>
          <w:rFonts w:ascii="Times New Roman" w:eastAsia="Times New Roman" w:hAnsi="Times New Roman" w:cs="Times New Roman"/>
          <w:sz w:val="24"/>
          <w:szCs w:val="24"/>
          <w:lang w:val="fr-FR" w:eastAsia="en-GB"/>
        </w:rPr>
        <w:t xml:space="preserve">, P., </w:t>
      </w:r>
      <w:proofErr w:type="spellStart"/>
      <w:r w:rsidRPr="009F2CB5">
        <w:rPr>
          <w:rFonts w:ascii="Times New Roman" w:eastAsia="Times New Roman" w:hAnsi="Times New Roman" w:cs="Times New Roman"/>
          <w:sz w:val="24"/>
          <w:szCs w:val="24"/>
          <w:lang w:val="fr-FR" w:eastAsia="en-GB"/>
        </w:rPr>
        <w:t>Tafen</w:t>
      </w:r>
      <w:proofErr w:type="spellEnd"/>
      <w:r w:rsidRPr="009F2CB5">
        <w:rPr>
          <w:rFonts w:ascii="Times New Roman" w:eastAsia="Times New Roman" w:hAnsi="Times New Roman" w:cs="Times New Roman"/>
          <w:sz w:val="24"/>
          <w:szCs w:val="24"/>
          <w:lang w:val="fr-FR" w:eastAsia="en-GB"/>
        </w:rPr>
        <w:t xml:space="preserve">, W., &amp; </w:t>
      </w:r>
      <w:proofErr w:type="spellStart"/>
      <w:r w:rsidRPr="009F2CB5">
        <w:rPr>
          <w:rFonts w:ascii="Times New Roman" w:eastAsia="Times New Roman" w:hAnsi="Times New Roman" w:cs="Times New Roman"/>
          <w:sz w:val="24"/>
          <w:szCs w:val="24"/>
          <w:lang w:val="fr-FR" w:eastAsia="en-GB"/>
        </w:rPr>
        <w:t>Tchokoteu</w:t>
      </w:r>
      <w:proofErr w:type="spellEnd"/>
      <w:r w:rsidRPr="009F2CB5">
        <w:rPr>
          <w:rFonts w:ascii="Times New Roman" w:eastAsia="Times New Roman" w:hAnsi="Times New Roman" w:cs="Times New Roman"/>
          <w:sz w:val="24"/>
          <w:szCs w:val="24"/>
          <w:lang w:val="fr-FR" w:eastAsia="en-GB"/>
        </w:rPr>
        <w:t>, P. F.</w:t>
      </w:r>
      <w:r w:rsidRPr="009F2CB5">
        <w:rPr>
          <w:rFonts w:ascii="Times New Roman" w:eastAsia="Times New Roman" w:hAnsi="Times New Roman" w:cs="Times New Roman"/>
          <w:sz w:val="24"/>
          <w:szCs w:val="24"/>
          <w:lang w:val="fr-FR"/>
        </w:rPr>
        <w:t xml:space="preserve"> (2011). </w:t>
      </w:r>
      <w:r w:rsidRPr="009F2CB5">
        <w:rPr>
          <w:rFonts w:ascii="Times New Roman" w:eastAsia="Times New Roman" w:hAnsi="Times New Roman" w:cs="Times New Roman"/>
          <w:sz w:val="24"/>
          <w:szCs w:val="24"/>
        </w:rPr>
        <w:t>Breastfeeding practices in infants in the west region of Cameroon. </w:t>
      </w:r>
      <w:proofErr w:type="spellStart"/>
      <w:r w:rsidRPr="009F2CB5">
        <w:rPr>
          <w:rFonts w:ascii="Times New Roman" w:eastAsia="Times New Roman" w:hAnsi="Times New Roman" w:cs="Times New Roman"/>
          <w:i/>
          <w:iCs/>
          <w:sz w:val="24"/>
          <w:szCs w:val="24"/>
          <w:lang w:val="fr-FR"/>
        </w:rPr>
        <w:t>Iranian</w:t>
      </w:r>
      <w:proofErr w:type="spellEnd"/>
      <w:r w:rsidRPr="009F2CB5">
        <w:rPr>
          <w:rFonts w:ascii="Times New Roman" w:eastAsia="Times New Roman" w:hAnsi="Times New Roman" w:cs="Times New Roman"/>
          <w:i/>
          <w:iCs/>
          <w:sz w:val="24"/>
          <w:szCs w:val="24"/>
          <w:lang w:val="fr-FR"/>
        </w:rPr>
        <w:t xml:space="preserve"> Journal of Public </w:t>
      </w:r>
      <w:proofErr w:type="spellStart"/>
      <w:r w:rsidRPr="009F2CB5">
        <w:rPr>
          <w:rFonts w:ascii="Times New Roman" w:eastAsia="Times New Roman" w:hAnsi="Times New Roman" w:cs="Times New Roman"/>
          <w:i/>
          <w:iCs/>
          <w:sz w:val="24"/>
          <w:szCs w:val="24"/>
          <w:lang w:val="fr-FR"/>
        </w:rPr>
        <w:t>Health</w:t>
      </w:r>
      <w:proofErr w:type="spellEnd"/>
      <w:r w:rsidRPr="009F2CB5">
        <w:rPr>
          <w:rFonts w:ascii="Times New Roman" w:eastAsia="Times New Roman" w:hAnsi="Times New Roman" w:cs="Times New Roman"/>
          <w:sz w:val="24"/>
          <w:szCs w:val="24"/>
          <w:lang w:val="fr-FR"/>
        </w:rPr>
        <w:t>, 40(2), 1–11.</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lang w:val="fr-FR"/>
        </w:rPr>
        <w:t>Comité de la sécurité alimentaire mondiale. (2012). </w:t>
      </w:r>
      <w:r w:rsidRPr="009F2CB5">
        <w:rPr>
          <w:rFonts w:ascii="Times New Roman" w:eastAsia="Times New Roman" w:hAnsi="Times New Roman" w:cs="Times New Roman"/>
          <w:i/>
          <w:iCs/>
          <w:sz w:val="24"/>
          <w:szCs w:val="24"/>
          <w:lang w:val="fr-FR"/>
        </w:rPr>
        <w:t>S'entendre sur la terminologie: Sécurité alimentaire, Sécurité nutritionnelle, Sécurité alimentaire et nutrition, Sécurité alimentaire et nutritionnelle</w:t>
      </w:r>
      <w:r w:rsidRPr="009F2CB5">
        <w:rPr>
          <w:rFonts w:ascii="Times New Roman" w:eastAsia="Times New Roman" w:hAnsi="Times New Roman" w:cs="Times New Roman"/>
          <w:sz w:val="24"/>
          <w:szCs w:val="24"/>
          <w:lang w:val="fr-FR"/>
        </w:rPr>
        <w:t xml:space="preserve"> (Trente-neuvième session). </w:t>
      </w:r>
      <w:r w:rsidRPr="009F2CB5">
        <w:rPr>
          <w:rFonts w:ascii="Times New Roman" w:eastAsia="Times New Roman" w:hAnsi="Times New Roman" w:cs="Times New Roman"/>
          <w:sz w:val="24"/>
          <w:szCs w:val="24"/>
        </w:rPr>
        <w:t>Rome.</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rPr>
        <w:t xml:space="preserve">Dewey, K. G. &amp; </w:t>
      </w:r>
      <w:proofErr w:type="spellStart"/>
      <w:r w:rsidRPr="009F2CB5">
        <w:rPr>
          <w:rFonts w:ascii="Times New Roman" w:eastAsia="Times New Roman" w:hAnsi="Times New Roman" w:cs="Times New Roman"/>
          <w:sz w:val="24"/>
          <w:szCs w:val="24"/>
        </w:rPr>
        <w:t>Adu-Afarwuah</w:t>
      </w:r>
      <w:proofErr w:type="spellEnd"/>
      <w:r w:rsidRPr="009F2CB5">
        <w:rPr>
          <w:rFonts w:ascii="Times New Roman" w:eastAsia="Times New Roman" w:hAnsi="Times New Roman" w:cs="Times New Roman"/>
          <w:sz w:val="24"/>
          <w:szCs w:val="24"/>
        </w:rPr>
        <w:t>, S. (2008). Systematic review of the efficacy and effectiveness of complementary feeding interventions in developing countries. </w:t>
      </w:r>
      <w:proofErr w:type="spellStart"/>
      <w:r w:rsidRPr="009F2CB5">
        <w:rPr>
          <w:rFonts w:ascii="Times New Roman" w:eastAsia="Times New Roman" w:hAnsi="Times New Roman" w:cs="Times New Roman"/>
          <w:i/>
          <w:iCs/>
          <w:sz w:val="24"/>
          <w:szCs w:val="24"/>
          <w:lang w:val="fr-FR"/>
        </w:rPr>
        <w:t>Maternal</w:t>
      </w:r>
      <w:proofErr w:type="spellEnd"/>
      <w:r w:rsidRPr="009F2CB5">
        <w:rPr>
          <w:rFonts w:ascii="Times New Roman" w:eastAsia="Times New Roman" w:hAnsi="Times New Roman" w:cs="Times New Roman"/>
          <w:i/>
          <w:iCs/>
          <w:sz w:val="24"/>
          <w:szCs w:val="24"/>
          <w:lang w:val="fr-FR"/>
        </w:rPr>
        <w:t xml:space="preserve"> &amp; Child Nutrition</w:t>
      </w:r>
      <w:r w:rsidRPr="009F2CB5">
        <w:rPr>
          <w:rFonts w:ascii="Times New Roman" w:eastAsia="Times New Roman" w:hAnsi="Times New Roman" w:cs="Times New Roman"/>
          <w:sz w:val="24"/>
          <w:szCs w:val="24"/>
          <w:lang w:val="fr-FR"/>
        </w:rPr>
        <w:t>, 4(S1), 24–85.</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Fink, G., Günther, I. &amp; Hill, K. (2014). Family size and child nutrition in Sub-Saharan Africa. </w:t>
      </w:r>
      <w:r w:rsidRPr="009F2CB5">
        <w:rPr>
          <w:rFonts w:ascii="Times New Roman" w:eastAsia="Times New Roman" w:hAnsi="Times New Roman" w:cs="Times New Roman"/>
          <w:i/>
          <w:iCs/>
          <w:sz w:val="24"/>
          <w:szCs w:val="24"/>
        </w:rPr>
        <w:t>Demography</w:t>
      </w:r>
      <w:r w:rsidRPr="009F2CB5">
        <w:rPr>
          <w:rFonts w:ascii="Times New Roman" w:eastAsia="Times New Roman" w:hAnsi="Times New Roman" w:cs="Times New Roman"/>
          <w:sz w:val="24"/>
          <w:szCs w:val="24"/>
        </w:rPr>
        <w:t xml:space="preserve">, 51(4), </w:t>
      </w:r>
      <w:r w:rsidRPr="009F2CB5">
        <w:rPr>
          <w:rFonts w:ascii="Times New Roman" w:eastAsia="Times New Roman" w:hAnsi="Times New Roman" w:cs="Times New Roman"/>
          <w:sz w:val="24"/>
          <w:szCs w:val="24"/>
          <w:lang w:val="en-GB" w:eastAsia="en-GB"/>
        </w:rPr>
        <w:t>1175–1197</w:t>
      </w:r>
      <w:r w:rsidRPr="009F2CB5">
        <w:rPr>
          <w:rFonts w:ascii="Times New Roman" w:eastAsia="Times New Roman" w:hAnsi="Times New Roman" w:cs="Times New Roman"/>
          <w:sz w:val="24"/>
          <w:szCs w:val="24"/>
        </w:rPr>
        <w:t>.</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Food and Agriculture Organization. (2014). </w:t>
      </w:r>
      <w:r w:rsidRPr="009F2CB5">
        <w:rPr>
          <w:rFonts w:ascii="Times New Roman" w:eastAsia="Times New Roman" w:hAnsi="Times New Roman" w:cs="Times New Roman"/>
          <w:i/>
          <w:iCs/>
          <w:sz w:val="24"/>
          <w:szCs w:val="24"/>
        </w:rPr>
        <w:t>Improving diets and nutrition: Food-based approaches</w:t>
      </w:r>
      <w:r w:rsidRPr="009F2CB5">
        <w:rPr>
          <w:rFonts w:ascii="Times New Roman" w:eastAsia="Times New Roman" w:hAnsi="Times New Roman" w:cs="Times New Roman"/>
          <w:sz w:val="24"/>
          <w:szCs w:val="24"/>
        </w:rPr>
        <w:t>. Rome: FAO.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Food and Agriculture Organization. (2017). </w:t>
      </w:r>
      <w:r w:rsidRPr="009F2CB5">
        <w:rPr>
          <w:rFonts w:ascii="Times New Roman" w:eastAsia="Times New Roman" w:hAnsi="Times New Roman" w:cs="Times New Roman"/>
          <w:i/>
          <w:iCs/>
          <w:sz w:val="24"/>
          <w:szCs w:val="24"/>
        </w:rPr>
        <w:t>The State of Food Security and Nutrition in the World 2017: Building resilience for peace and food security</w:t>
      </w:r>
      <w:r w:rsidRPr="009F2CB5">
        <w:rPr>
          <w:rFonts w:ascii="Times New Roman" w:eastAsia="Times New Roman" w:hAnsi="Times New Roman" w:cs="Times New Roman"/>
          <w:sz w:val="24"/>
          <w:szCs w:val="24"/>
        </w:rPr>
        <w:t>. Rome: FAO.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rPr>
        <w:t>Food and Agriculture Organization. (2020). </w:t>
      </w:r>
      <w:r w:rsidRPr="009F2CB5">
        <w:rPr>
          <w:rFonts w:ascii="Times New Roman" w:eastAsia="Times New Roman" w:hAnsi="Times New Roman" w:cs="Times New Roman"/>
          <w:i/>
          <w:iCs/>
          <w:sz w:val="24"/>
          <w:szCs w:val="24"/>
        </w:rPr>
        <w:t>The State of Food Security and Nutrition in the World 2020: Transforming food systems for affordable healthy diets</w:t>
      </w:r>
      <w:r w:rsidRPr="009F2CB5">
        <w:rPr>
          <w:rFonts w:ascii="Times New Roman" w:eastAsia="Times New Roman" w:hAnsi="Times New Roman" w:cs="Times New Roman"/>
          <w:sz w:val="24"/>
          <w:szCs w:val="24"/>
        </w:rPr>
        <w:t xml:space="preserve">. </w:t>
      </w:r>
      <w:r w:rsidRPr="009F2CB5">
        <w:rPr>
          <w:rFonts w:ascii="Times New Roman" w:eastAsia="Times New Roman" w:hAnsi="Times New Roman" w:cs="Times New Roman"/>
          <w:sz w:val="24"/>
          <w:szCs w:val="24"/>
          <w:lang w:val="fr-FR"/>
        </w:rPr>
        <w:t>Rome: FAO.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lang w:val="fr-FR" w:eastAsia="en-GB"/>
        </w:rPr>
        <w:t>Institut de Statistiques et d'Études Économiques (ISTEEBU) du Burundi et ICF International</w:t>
      </w:r>
      <w:r w:rsidRPr="009F2CB5">
        <w:rPr>
          <w:rFonts w:ascii="Times New Roman" w:eastAsia="Times New Roman" w:hAnsi="Times New Roman" w:cs="Times New Roman"/>
          <w:sz w:val="24"/>
          <w:szCs w:val="24"/>
          <w:lang w:val="fr-FR"/>
        </w:rPr>
        <w:t>. (2012). </w:t>
      </w:r>
      <w:r w:rsidRPr="009F2CB5">
        <w:rPr>
          <w:rFonts w:ascii="Times New Roman" w:eastAsia="Times New Roman" w:hAnsi="Times New Roman" w:cs="Times New Roman"/>
          <w:sz w:val="24"/>
          <w:szCs w:val="24"/>
          <w:lang w:val="fr-FR" w:eastAsia="en-GB"/>
        </w:rPr>
        <w:t>Enquête Démographique et de Santé du Burundi 2010 : Rapport de synthèse</w:t>
      </w:r>
      <w:r w:rsidRPr="009F2CB5">
        <w:rPr>
          <w:rFonts w:ascii="Times New Roman" w:eastAsia="Times New Roman" w:hAnsi="Times New Roman" w:cs="Times New Roman"/>
          <w:sz w:val="24"/>
          <w:szCs w:val="24"/>
          <w:lang w:val="fr-FR"/>
        </w:rPr>
        <w:t>.</w:t>
      </w:r>
    </w:p>
    <w:p w:rsidR="00F4547E" w:rsidRPr="00F4547E"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hAnsi="Times New Roman" w:cs="Times New Roman"/>
          <w:sz w:val="24"/>
          <w:szCs w:val="24"/>
          <w:shd w:val="clear" w:color="auto" w:fill="FFFFFF"/>
        </w:rPr>
        <w:t xml:space="preserve">Jones, A. D., Ickes, S. B., Smith, L. E., Mbuya, M. N. N., </w:t>
      </w:r>
      <w:proofErr w:type="spellStart"/>
      <w:r w:rsidRPr="009F2CB5">
        <w:rPr>
          <w:rFonts w:ascii="Times New Roman" w:hAnsi="Times New Roman" w:cs="Times New Roman"/>
          <w:sz w:val="24"/>
          <w:szCs w:val="24"/>
          <w:shd w:val="clear" w:color="auto" w:fill="FFFFFF"/>
        </w:rPr>
        <w:t>Chasekwa</w:t>
      </w:r>
      <w:proofErr w:type="spellEnd"/>
      <w:r w:rsidRPr="009F2CB5">
        <w:rPr>
          <w:rFonts w:ascii="Times New Roman" w:hAnsi="Times New Roman" w:cs="Times New Roman"/>
          <w:sz w:val="24"/>
          <w:szCs w:val="24"/>
          <w:shd w:val="clear" w:color="auto" w:fill="FFFFFF"/>
        </w:rPr>
        <w:t xml:space="preserve">, B., </w:t>
      </w:r>
      <w:proofErr w:type="spellStart"/>
      <w:r w:rsidRPr="009F2CB5">
        <w:rPr>
          <w:rFonts w:ascii="Times New Roman" w:hAnsi="Times New Roman" w:cs="Times New Roman"/>
          <w:sz w:val="24"/>
          <w:szCs w:val="24"/>
          <w:shd w:val="clear" w:color="auto" w:fill="FFFFFF"/>
        </w:rPr>
        <w:t>Heidkamp</w:t>
      </w:r>
      <w:proofErr w:type="spellEnd"/>
      <w:r w:rsidRPr="009F2CB5">
        <w:rPr>
          <w:rFonts w:ascii="Times New Roman" w:hAnsi="Times New Roman" w:cs="Times New Roman"/>
          <w:sz w:val="24"/>
          <w:szCs w:val="24"/>
          <w:shd w:val="clear" w:color="auto" w:fill="FFFFFF"/>
        </w:rPr>
        <w:t xml:space="preserve">, R. A., Menon, P., </w:t>
      </w:r>
      <w:proofErr w:type="spellStart"/>
      <w:r w:rsidRPr="009F2CB5">
        <w:rPr>
          <w:rFonts w:ascii="Times New Roman" w:hAnsi="Times New Roman" w:cs="Times New Roman"/>
          <w:sz w:val="24"/>
          <w:szCs w:val="24"/>
          <w:shd w:val="clear" w:color="auto" w:fill="FFFFFF"/>
        </w:rPr>
        <w:t>Zongrone</w:t>
      </w:r>
      <w:proofErr w:type="spellEnd"/>
      <w:r w:rsidRPr="009F2CB5">
        <w:rPr>
          <w:rFonts w:ascii="Times New Roman" w:hAnsi="Times New Roman" w:cs="Times New Roman"/>
          <w:sz w:val="24"/>
          <w:szCs w:val="24"/>
          <w:shd w:val="clear" w:color="auto" w:fill="FFFFFF"/>
        </w:rPr>
        <w:t>, A. A., &amp; Stoltzfus, R. J. (2014). World Health Organization infant and young child feeding indicators and their associations with child anthropometry: a synthesis of recent findings. </w:t>
      </w:r>
      <w:r w:rsidRPr="009F2CB5">
        <w:rPr>
          <w:rStyle w:val="Emphasis"/>
          <w:rFonts w:ascii="Times New Roman" w:hAnsi="Times New Roman" w:cs="Times New Roman"/>
          <w:sz w:val="24"/>
          <w:szCs w:val="24"/>
          <w:shd w:val="clear" w:color="auto" w:fill="FFFFFF"/>
        </w:rPr>
        <w:t>Maternal &amp; Child Nutrition</w:t>
      </w:r>
      <w:r w:rsidRPr="009F2CB5">
        <w:rPr>
          <w:rFonts w:ascii="Times New Roman" w:hAnsi="Times New Roman" w:cs="Times New Roman"/>
          <w:sz w:val="24"/>
          <w:szCs w:val="24"/>
          <w:shd w:val="clear" w:color="auto" w:fill="FFFFFF"/>
        </w:rPr>
        <w:t>, 10(4), 615–630. </w:t>
      </w:r>
      <w:hyperlink r:id="rId5" w:tgtFrame="_blank" w:history="1">
        <w:r w:rsidRPr="009F2CB5">
          <w:rPr>
            <w:rStyle w:val="Hyperlink"/>
            <w:rFonts w:ascii="Times New Roman" w:hAnsi="Times New Roman" w:cs="Times New Roman"/>
            <w:color w:val="auto"/>
            <w:sz w:val="24"/>
            <w:szCs w:val="24"/>
            <w:bdr w:val="single" w:sz="12" w:space="0" w:color="auto" w:frame="1"/>
            <w:shd w:val="clear" w:color="auto" w:fill="FFFFFF"/>
          </w:rPr>
          <w:t>https://doi.org/10.1111/mcn.12117</w:t>
        </w:r>
      </w:hyperlink>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Last, J. M. (2001). </w:t>
      </w:r>
      <w:r w:rsidRPr="009F2CB5">
        <w:rPr>
          <w:rFonts w:ascii="Times New Roman" w:eastAsia="Times New Roman" w:hAnsi="Times New Roman" w:cs="Times New Roman"/>
          <w:i/>
          <w:iCs/>
          <w:sz w:val="24"/>
          <w:szCs w:val="24"/>
        </w:rPr>
        <w:t>A dictionary of epidemiology</w:t>
      </w:r>
      <w:r w:rsidRPr="009F2CB5">
        <w:rPr>
          <w:rFonts w:ascii="Times New Roman" w:eastAsia="Times New Roman" w:hAnsi="Times New Roman" w:cs="Times New Roman"/>
          <w:sz w:val="24"/>
          <w:szCs w:val="24"/>
        </w:rPr>
        <w:t> (4th ed.). Oxford University Press.</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rPr>
        <w:t>Latham, M. C. (2001). </w:t>
      </w:r>
      <w:r w:rsidRPr="009F2CB5">
        <w:rPr>
          <w:rFonts w:ascii="Times New Roman" w:eastAsia="Times New Roman" w:hAnsi="Times New Roman" w:cs="Times New Roman"/>
          <w:i/>
          <w:iCs/>
          <w:sz w:val="24"/>
          <w:szCs w:val="24"/>
          <w:lang w:val="fr-FR"/>
        </w:rPr>
        <w:t>La nutrition dans les pays en développement</w:t>
      </w:r>
      <w:r w:rsidRPr="009F2CB5">
        <w:rPr>
          <w:rFonts w:ascii="Times New Roman" w:eastAsia="Times New Roman" w:hAnsi="Times New Roman" w:cs="Times New Roman"/>
          <w:sz w:val="24"/>
          <w:szCs w:val="24"/>
          <w:lang w:val="fr-FR"/>
        </w:rPr>
        <w:t>. FAO.</w:t>
      </w:r>
    </w:p>
    <w:p w:rsidR="00F4547E" w:rsidRPr="009F2CB5" w:rsidRDefault="00F4547E" w:rsidP="009F2CB5">
      <w:pPr>
        <w:spacing w:before="75" w:after="75" w:line="360" w:lineRule="auto"/>
        <w:jc w:val="both"/>
        <w:rPr>
          <w:rFonts w:ascii="Times New Roman" w:eastAsia="Times New Roman" w:hAnsi="Times New Roman" w:cs="Times New Roman"/>
          <w:sz w:val="24"/>
          <w:szCs w:val="24"/>
          <w:lang w:val="fr-FR" w:eastAsia="en-GB"/>
        </w:rPr>
      </w:pPr>
      <w:proofErr w:type="spellStart"/>
      <w:r w:rsidRPr="009F2CB5">
        <w:rPr>
          <w:rFonts w:ascii="Times New Roman" w:eastAsia="Times New Roman" w:hAnsi="Times New Roman" w:cs="Times New Roman"/>
          <w:sz w:val="24"/>
          <w:szCs w:val="24"/>
          <w:lang w:val="fr-FR" w:eastAsia="en-GB"/>
        </w:rPr>
        <w:t>Mavuta</w:t>
      </w:r>
      <w:proofErr w:type="spellEnd"/>
      <w:r w:rsidRPr="009F2CB5">
        <w:rPr>
          <w:rFonts w:ascii="Times New Roman" w:eastAsia="Times New Roman" w:hAnsi="Times New Roman" w:cs="Times New Roman"/>
          <w:sz w:val="24"/>
          <w:szCs w:val="24"/>
          <w:lang w:val="fr-FR" w:eastAsia="en-GB"/>
        </w:rPr>
        <w:t>, C. Z. (2018). Pratiques alimentaires des nourrissons : Connaissances, attitudes et pratiques des mères d'une commune urbaine de la ville de Lubumbashi, République Démocratique du Congo.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9F2CB5">
        <w:rPr>
          <w:rFonts w:ascii="Times New Roman" w:eastAsia="Times New Roman" w:hAnsi="Times New Roman" w:cs="Times New Roman"/>
          <w:sz w:val="24"/>
          <w:szCs w:val="24"/>
          <w:lang w:val="fr-FR"/>
        </w:rPr>
        <w:t>Moulna</w:t>
      </w:r>
      <w:proofErr w:type="spellEnd"/>
      <w:r w:rsidRPr="009F2CB5">
        <w:rPr>
          <w:rFonts w:ascii="Times New Roman" w:eastAsia="Times New Roman" w:hAnsi="Times New Roman" w:cs="Times New Roman"/>
          <w:sz w:val="24"/>
          <w:szCs w:val="24"/>
          <w:lang w:val="fr-FR"/>
        </w:rPr>
        <w:t>, A. (2011). </w:t>
      </w:r>
      <w:r w:rsidRPr="009F2CB5">
        <w:rPr>
          <w:rFonts w:ascii="Times New Roman" w:eastAsia="Times New Roman" w:hAnsi="Times New Roman" w:cs="Times New Roman"/>
          <w:i/>
          <w:iCs/>
          <w:sz w:val="24"/>
          <w:szCs w:val="24"/>
          <w:lang w:val="fr-FR"/>
        </w:rPr>
        <w:t>Les inégalités de prévalence de la malnutrition des enfants de moins de cinq ans selon le sexe au Tchad</w:t>
      </w:r>
      <w:r w:rsidRPr="009F2CB5">
        <w:rPr>
          <w:rFonts w:ascii="Times New Roman" w:eastAsia="Times New Roman" w:hAnsi="Times New Roman" w:cs="Times New Roman"/>
          <w:sz w:val="24"/>
          <w:szCs w:val="24"/>
          <w:lang w:val="fr-FR"/>
        </w:rPr>
        <w:t>. Mémoire, Université de Yaoundé II.</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lang w:val="fr-FR"/>
        </w:rPr>
        <w:t>Organisation Mondiale de la Santé. (2015). </w:t>
      </w:r>
      <w:r w:rsidRPr="009F2CB5">
        <w:rPr>
          <w:rFonts w:ascii="Times New Roman" w:eastAsia="Times New Roman" w:hAnsi="Times New Roman" w:cs="Times New Roman"/>
          <w:i/>
          <w:iCs/>
          <w:sz w:val="24"/>
          <w:szCs w:val="24"/>
          <w:lang w:val="fr-FR"/>
        </w:rPr>
        <w:t>Alimentation du nourrisson et du jeune enfant</w:t>
      </w:r>
      <w:r w:rsidRPr="009F2CB5">
        <w:rPr>
          <w:rFonts w:ascii="Times New Roman" w:eastAsia="Times New Roman" w:hAnsi="Times New Roman" w:cs="Times New Roman"/>
          <w:sz w:val="24"/>
          <w:szCs w:val="24"/>
          <w:lang w:val="fr-FR"/>
        </w:rPr>
        <w:t> (Aide-mémoire N°342). Genève: OMS.</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lang w:val="fr-FR"/>
        </w:rPr>
        <w:t xml:space="preserve">Programme Alimentaire Mondial &amp; Food and Agriculture </w:t>
      </w:r>
      <w:proofErr w:type="spellStart"/>
      <w:r w:rsidRPr="009F2CB5">
        <w:rPr>
          <w:rFonts w:ascii="Times New Roman" w:eastAsia="Times New Roman" w:hAnsi="Times New Roman" w:cs="Times New Roman"/>
          <w:sz w:val="24"/>
          <w:szCs w:val="24"/>
          <w:lang w:val="fr-FR"/>
        </w:rPr>
        <w:t>Organization</w:t>
      </w:r>
      <w:proofErr w:type="spellEnd"/>
      <w:r w:rsidRPr="009F2CB5">
        <w:rPr>
          <w:rFonts w:ascii="Times New Roman" w:eastAsia="Times New Roman" w:hAnsi="Times New Roman" w:cs="Times New Roman"/>
          <w:sz w:val="24"/>
          <w:szCs w:val="24"/>
          <w:lang w:val="fr-FR"/>
        </w:rPr>
        <w:t>. (2015). *Analyse de la sécurité alimentaire d'urgence dans six provinces du Burundi les plus affectées par l'instabilité socio-politique Novembre 2015 – Rapport final*. Bujumbura: PAM &amp; FAO.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Smith, L. C. &amp; Haddad, L. (2015). Reducing child undernutrition: Past drivers and priorities for the post-MDG era. </w:t>
      </w:r>
      <w:r w:rsidRPr="009F2CB5">
        <w:rPr>
          <w:rFonts w:ascii="Times New Roman" w:eastAsia="Times New Roman" w:hAnsi="Times New Roman" w:cs="Times New Roman"/>
          <w:i/>
          <w:iCs/>
          <w:sz w:val="24"/>
          <w:szCs w:val="24"/>
        </w:rPr>
        <w:t>World Development</w:t>
      </w:r>
      <w:r w:rsidRPr="009F2CB5">
        <w:rPr>
          <w:rFonts w:ascii="Times New Roman" w:eastAsia="Times New Roman" w:hAnsi="Times New Roman" w:cs="Times New Roman"/>
          <w:sz w:val="24"/>
          <w:szCs w:val="24"/>
        </w:rPr>
        <w:t>, 68, 180–204.</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United Nations Children's Fund. (2020). </w:t>
      </w:r>
      <w:r w:rsidRPr="009F2CB5">
        <w:rPr>
          <w:rFonts w:ascii="Times New Roman" w:eastAsia="Times New Roman" w:hAnsi="Times New Roman" w:cs="Times New Roman"/>
          <w:bCs/>
          <w:sz w:val="24"/>
          <w:szCs w:val="24"/>
          <w:lang w:val="en-GB" w:eastAsia="en-GB"/>
        </w:rPr>
        <w:t>Improving Young Children's Diets During the Complementary Feeding Period: UNICEF Programming Guidance</w:t>
      </w:r>
      <w:r w:rsidRPr="009F2CB5">
        <w:rPr>
          <w:rFonts w:ascii="Times New Roman" w:eastAsia="Times New Roman" w:hAnsi="Times New Roman" w:cs="Times New Roman"/>
          <w:sz w:val="24"/>
          <w:szCs w:val="24"/>
        </w:rPr>
        <w:t>.</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9F2CB5">
        <w:rPr>
          <w:rFonts w:ascii="Times New Roman" w:eastAsia="Times New Roman" w:hAnsi="Times New Roman" w:cs="Times New Roman"/>
          <w:sz w:val="24"/>
          <w:szCs w:val="24"/>
        </w:rPr>
        <w:t>Victora</w:t>
      </w:r>
      <w:proofErr w:type="spellEnd"/>
      <w:r w:rsidRPr="009F2CB5">
        <w:rPr>
          <w:rFonts w:ascii="Times New Roman" w:eastAsia="Times New Roman" w:hAnsi="Times New Roman" w:cs="Times New Roman"/>
          <w:sz w:val="24"/>
          <w:szCs w:val="24"/>
        </w:rPr>
        <w:t xml:space="preserve">, C. G., Adair, L., Fall, C., </w:t>
      </w:r>
      <w:proofErr w:type="spellStart"/>
      <w:r w:rsidRPr="009F2CB5">
        <w:rPr>
          <w:rFonts w:ascii="Times New Roman" w:eastAsia="Times New Roman" w:hAnsi="Times New Roman" w:cs="Times New Roman"/>
          <w:sz w:val="24"/>
          <w:szCs w:val="24"/>
        </w:rPr>
        <w:t>Hallal</w:t>
      </w:r>
      <w:proofErr w:type="spellEnd"/>
      <w:r w:rsidRPr="009F2CB5">
        <w:rPr>
          <w:rFonts w:ascii="Times New Roman" w:eastAsia="Times New Roman" w:hAnsi="Times New Roman" w:cs="Times New Roman"/>
          <w:sz w:val="24"/>
          <w:szCs w:val="24"/>
        </w:rPr>
        <w:t>, P. C., Martorell, R., Richter, L. &amp; Sachdev, H. S. (2008). Maternal and child undernutrition: Consequences for adult health and human capital. </w:t>
      </w:r>
      <w:r w:rsidRPr="009F2CB5">
        <w:rPr>
          <w:rFonts w:ascii="Times New Roman" w:eastAsia="Times New Roman" w:hAnsi="Times New Roman" w:cs="Times New Roman"/>
          <w:i/>
          <w:iCs/>
          <w:sz w:val="24"/>
          <w:szCs w:val="24"/>
        </w:rPr>
        <w:t>The Lancet</w:t>
      </w:r>
      <w:r w:rsidRPr="009F2CB5">
        <w:rPr>
          <w:rFonts w:ascii="Times New Roman" w:eastAsia="Times New Roman" w:hAnsi="Times New Roman" w:cs="Times New Roman"/>
          <w:sz w:val="24"/>
          <w:szCs w:val="24"/>
        </w:rPr>
        <w:t>, 371(9609), 340–357.</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9F2CB5">
        <w:rPr>
          <w:rFonts w:ascii="Times New Roman" w:eastAsia="Times New Roman" w:hAnsi="Times New Roman" w:cs="Times New Roman"/>
          <w:sz w:val="24"/>
          <w:szCs w:val="24"/>
        </w:rPr>
        <w:t>Victora</w:t>
      </w:r>
      <w:proofErr w:type="spellEnd"/>
      <w:r w:rsidRPr="009F2CB5">
        <w:rPr>
          <w:rFonts w:ascii="Times New Roman" w:eastAsia="Times New Roman" w:hAnsi="Times New Roman" w:cs="Times New Roman"/>
          <w:sz w:val="24"/>
          <w:szCs w:val="24"/>
        </w:rPr>
        <w:t xml:space="preserve">, C. G., </w:t>
      </w:r>
      <w:proofErr w:type="spellStart"/>
      <w:r w:rsidRPr="009F2CB5">
        <w:rPr>
          <w:rFonts w:ascii="Times New Roman" w:eastAsia="Times New Roman" w:hAnsi="Times New Roman" w:cs="Times New Roman"/>
          <w:sz w:val="24"/>
          <w:szCs w:val="24"/>
        </w:rPr>
        <w:t>Bahl</w:t>
      </w:r>
      <w:proofErr w:type="spellEnd"/>
      <w:r w:rsidRPr="009F2CB5">
        <w:rPr>
          <w:rFonts w:ascii="Times New Roman" w:eastAsia="Times New Roman" w:hAnsi="Times New Roman" w:cs="Times New Roman"/>
          <w:sz w:val="24"/>
          <w:szCs w:val="24"/>
        </w:rPr>
        <w:t xml:space="preserve">, R., Barros, A. J. D., </w:t>
      </w:r>
      <w:proofErr w:type="spellStart"/>
      <w:r w:rsidRPr="009F2CB5">
        <w:rPr>
          <w:rFonts w:ascii="Times New Roman" w:eastAsia="Times New Roman" w:hAnsi="Times New Roman" w:cs="Times New Roman"/>
          <w:sz w:val="24"/>
          <w:szCs w:val="24"/>
        </w:rPr>
        <w:t>França</w:t>
      </w:r>
      <w:proofErr w:type="spellEnd"/>
      <w:r w:rsidRPr="009F2CB5">
        <w:rPr>
          <w:rFonts w:ascii="Times New Roman" w:eastAsia="Times New Roman" w:hAnsi="Times New Roman" w:cs="Times New Roman"/>
          <w:sz w:val="24"/>
          <w:szCs w:val="24"/>
        </w:rPr>
        <w:t xml:space="preserve">, G. V. A., Horton, S., </w:t>
      </w:r>
      <w:proofErr w:type="spellStart"/>
      <w:r w:rsidRPr="009F2CB5">
        <w:rPr>
          <w:rFonts w:ascii="Times New Roman" w:eastAsia="Times New Roman" w:hAnsi="Times New Roman" w:cs="Times New Roman"/>
          <w:sz w:val="24"/>
          <w:szCs w:val="24"/>
        </w:rPr>
        <w:t>Krasevec</w:t>
      </w:r>
      <w:proofErr w:type="spellEnd"/>
      <w:r w:rsidRPr="009F2CB5">
        <w:rPr>
          <w:rFonts w:ascii="Times New Roman" w:eastAsia="Times New Roman" w:hAnsi="Times New Roman" w:cs="Times New Roman"/>
          <w:sz w:val="24"/>
          <w:szCs w:val="24"/>
        </w:rPr>
        <w:t>, J., Murch, S., Sankar, M. J., Walker, N. &amp; Rollins, N. C. (2016). Breastfeeding in the 21st century: Epidemiology, mechanisms, and lifelong effect. </w:t>
      </w:r>
      <w:r w:rsidRPr="009F2CB5">
        <w:rPr>
          <w:rFonts w:ascii="Times New Roman" w:eastAsia="Times New Roman" w:hAnsi="Times New Roman" w:cs="Times New Roman"/>
          <w:i/>
          <w:iCs/>
          <w:sz w:val="24"/>
          <w:szCs w:val="24"/>
        </w:rPr>
        <w:t>The Lancet</w:t>
      </w:r>
      <w:r w:rsidRPr="009F2CB5">
        <w:rPr>
          <w:rFonts w:ascii="Times New Roman" w:eastAsia="Times New Roman" w:hAnsi="Times New Roman" w:cs="Times New Roman"/>
          <w:sz w:val="24"/>
          <w:szCs w:val="24"/>
        </w:rPr>
        <w:t>, 387(10017), 475–490.</w:t>
      </w:r>
    </w:p>
    <w:p w:rsidR="00F4547E" w:rsidRPr="00F4547E" w:rsidRDefault="00F4547E" w:rsidP="00F4547E">
      <w:pPr>
        <w:spacing w:line="360" w:lineRule="auto"/>
        <w:jc w:val="both"/>
        <w:rPr>
          <w:rFonts w:ascii="Times New Roman" w:hAnsi="Times New Roman" w:cs="Times New Roman"/>
          <w:sz w:val="24"/>
        </w:rPr>
      </w:pPr>
      <w:r w:rsidRPr="00F4547E">
        <w:rPr>
          <w:rFonts w:ascii="Times New Roman" w:hAnsi="Times New Roman" w:cs="Times New Roman"/>
          <w:sz w:val="24"/>
        </w:rPr>
        <w:t xml:space="preserve">William Wilberforce Amoah, </w:t>
      </w:r>
      <w:hyperlink r:id="rId6" w:anchor="con2" w:history="1">
        <w:r w:rsidRPr="00F4547E">
          <w:rPr>
            <w:rStyle w:val="Hyperlink"/>
            <w:rFonts w:ascii="Times New Roman" w:hAnsi="Times New Roman" w:cs="Times New Roman"/>
            <w:color w:val="auto"/>
            <w:sz w:val="24"/>
            <w:u w:val="none"/>
          </w:rPr>
          <w:t>Dora </w:t>
        </w:r>
        <w:proofErr w:type="spellStart"/>
        <w:r w:rsidRPr="00F4547E">
          <w:rPr>
            <w:rStyle w:val="Hyperlink"/>
            <w:rFonts w:ascii="Times New Roman" w:hAnsi="Times New Roman" w:cs="Times New Roman"/>
            <w:color w:val="auto"/>
            <w:sz w:val="24"/>
            <w:u w:val="none"/>
          </w:rPr>
          <w:t>Kobi</w:t>
        </w:r>
        <w:proofErr w:type="spellEnd"/>
      </w:hyperlink>
      <w:r w:rsidRPr="00F4547E">
        <w:rPr>
          <w:rFonts w:ascii="Times New Roman" w:hAnsi="Times New Roman" w:cs="Times New Roman"/>
          <w:sz w:val="24"/>
        </w:rPr>
        <w:t>, </w:t>
      </w:r>
      <w:hyperlink r:id="rId7" w:anchor="con3" w:history="1">
        <w:r w:rsidRPr="00F4547E">
          <w:rPr>
            <w:rStyle w:val="Hyperlink"/>
            <w:rFonts w:ascii="Times New Roman" w:hAnsi="Times New Roman" w:cs="Times New Roman"/>
            <w:color w:val="auto"/>
            <w:sz w:val="24"/>
            <w:u w:val="none"/>
          </w:rPr>
          <w:t xml:space="preserve">Philip </w:t>
        </w:r>
        <w:proofErr w:type="spellStart"/>
        <w:r w:rsidRPr="00F4547E">
          <w:rPr>
            <w:rStyle w:val="Hyperlink"/>
            <w:rFonts w:ascii="Times New Roman" w:hAnsi="Times New Roman" w:cs="Times New Roman"/>
            <w:color w:val="auto"/>
            <w:sz w:val="24"/>
            <w:u w:val="none"/>
          </w:rPr>
          <w:t>Teg-Nefaah</w:t>
        </w:r>
        <w:proofErr w:type="spellEnd"/>
        <w:r w:rsidRPr="00F4547E">
          <w:rPr>
            <w:rStyle w:val="Hyperlink"/>
            <w:rFonts w:ascii="Times New Roman" w:hAnsi="Times New Roman" w:cs="Times New Roman"/>
            <w:color w:val="auto"/>
            <w:sz w:val="24"/>
            <w:u w:val="none"/>
          </w:rPr>
          <w:t xml:space="preserve"> </w:t>
        </w:r>
        <w:proofErr w:type="spellStart"/>
        <w:r w:rsidRPr="00F4547E">
          <w:rPr>
            <w:rStyle w:val="Hyperlink"/>
            <w:rFonts w:ascii="Times New Roman" w:hAnsi="Times New Roman" w:cs="Times New Roman"/>
            <w:color w:val="auto"/>
            <w:sz w:val="24"/>
            <w:u w:val="none"/>
          </w:rPr>
          <w:t>Tabong</w:t>
        </w:r>
        <w:proofErr w:type="spellEnd"/>
      </w:hyperlink>
      <w:r w:rsidRPr="00F4547E">
        <w:rPr>
          <w:rFonts w:ascii="Times New Roman" w:hAnsi="Times New Roman" w:cs="Times New Roman"/>
          <w:sz w:val="24"/>
        </w:rPr>
        <w:t>, </w:t>
      </w:r>
      <w:hyperlink r:id="rId8" w:anchor="con4" w:history="1">
        <w:r w:rsidRPr="00F4547E">
          <w:rPr>
            <w:rStyle w:val="Hyperlink"/>
            <w:rFonts w:ascii="Times New Roman" w:hAnsi="Times New Roman" w:cs="Times New Roman"/>
            <w:color w:val="auto"/>
            <w:sz w:val="24"/>
            <w:u w:val="none"/>
          </w:rPr>
          <w:t>Margaret Wekem Kukeba</w:t>
        </w:r>
      </w:hyperlink>
      <w:r w:rsidRPr="00F4547E">
        <w:rPr>
          <w:rFonts w:ascii="Times New Roman" w:hAnsi="Times New Roman" w:cs="Times New Roman"/>
          <w:sz w:val="24"/>
        </w:rPr>
        <w:t>, </w:t>
      </w:r>
      <w:hyperlink r:id="rId9" w:anchor="con5" w:history="1">
        <w:r w:rsidRPr="00F4547E">
          <w:rPr>
            <w:rStyle w:val="Hyperlink"/>
            <w:rFonts w:ascii="Times New Roman" w:hAnsi="Times New Roman" w:cs="Times New Roman"/>
            <w:color w:val="auto"/>
            <w:sz w:val="24"/>
            <w:u w:val="none"/>
          </w:rPr>
          <w:t>Yakubu Alhassan</w:t>
        </w:r>
      </w:hyperlink>
      <w:r w:rsidRPr="00F4547E">
        <w:rPr>
          <w:rFonts w:ascii="Times New Roman" w:hAnsi="Times New Roman" w:cs="Times New Roman"/>
          <w:sz w:val="24"/>
        </w:rPr>
        <w:t>, </w:t>
      </w:r>
      <w:hyperlink r:id="rId10" w:anchor="con6" w:history="1">
        <w:r w:rsidRPr="00F4547E">
          <w:rPr>
            <w:rStyle w:val="Hyperlink"/>
            <w:rFonts w:ascii="Times New Roman" w:hAnsi="Times New Roman" w:cs="Times New Roman"/>
            <w:color w:val="auto"/>
            <w:sz w:val="24"/>
            <w:u w:val="none"/>
          </w:rPr>
          <w:t>Francisca Achaliwie</w:t>
        </w:r>
      </w:hyperlink>
      <w:r w:rsidRPr="00F4547E">
        <w:rPr>
          <w:rFonts w:ascii="Times New Roman" w:hAnsi="Times New Roman" w:cs="Times New Roman"/>
          <w:sz w:val="24"/>
        </w:rPr>
        <w:t>, </w:t>
      </w:r>
      <w:hyperlink r:id="rId11" w:anchor="con7" w:history="1">
        <w:r w:rsidRPr="00F4547E">
          <w:rPr>
            <w:rStyle w:val="Hyperlink"/>
            <w:rFonts w:ascii="Times New Roman" w:hAnsi="Times New Roman" w:cs="Times New Roman"/>
            <w:color w:val="auto"/>
            <w:sz w:val="24"/>
            <w:u w:val="none"/>
          </w:rPr>
          <w:t>Augustina Amoah</w:t>
        </w:r>
      </w:hyperlink>
      <w:r w:rsidRPr="00F4547E">
        <w:rPr>
          <w:rFonts w:ascii="Times New Roman" w:hAnsi="Times New Roman" w:cs="Times New Roman"/>
          <w:sz w:val="24"/>
        </w:rPr>
        <w:t>, and </w:t>
      </w:r>
      <w:proofErr w:type="spellStart"/>
      <w:r w:rsidRPr="00F4547E">
        <w:rPr>
          <w:rFonts w:ascii="Times New Roman" w:hAnsi="Times New Roman" w:cs="Times New Roman"/>
          <w:sz w:val="24"/>
        </w:rPr>
        <w:fldChar w:fldCharType="begin"/>
      </w:r>
      <w:r w:rsidRPr="00F4547E">
        <w:rPr>
          <w:rFonts w:ascii="Times New Roman" w:hAnsi="Times New Roman" w:cs="Times New Roman"/>
          <w:sz w:val="24"/>
        </w:rPr>
        <w:instrText xml:space="preserve"> HYPERLINK "https://journals.sagepub.com/doi/10.1177/11795565231222716" \l "con8" </w:instrText>
      </w:r>
      <w:r w:rsidRPr="00F4547E">
        <w:rPr>
          <w:rFonts w:ascii="Times New Roman" w:hAnsi="Times New Roman" w:cs="Times New Roman"/>
          <w:sz w:val="24"/>
        </w:rPr>
        <w:fldChar w:fldCharType="separate"/>
      </w:r>
      <w:r w:rsidRPr="00F4547E">
        <w:rPr>
          <w:rStyle w:val="Hyperlink"/>
          <w:rFonts w:ascii="Times New Roman" w:hAnsi="Times New Roman" w:cs="Times New Roman"/>
          <w:color w:val="auto"/>
          <w:sz w:val="24"/>
          <w:u w:val="none"/>
        </w:rPr>
        <w:t>Atinyagrika</w:t>
      </w:r>
      <w:proofErr w:type="spellEnd"/>
      <w:r w:rsidRPr="00F4547E">
        <w:rPr>
          <w:rStyle w:val="Hyperlink"/>
          <w:rFonts w:ascii="Times New Roman" w:hAnsi="Times New Roman" w:cs="Times New Roman"/>
          <w:color w:val="auto"/>
          <w:sz w:val="24"/>
          <w:u w:val="none"/>
        </w:rPr>
        <w:t xml:space="preserve"> Bernard </w:t>
      </w:r>
      <w:proofErr w:type="spellStart"/>
      <w:r w:rsidRPr="00F4547E">
        <w:rPr>
          <w:rStyle w:val="Hyperlink"/>
          <w:rFonts w:ascii="Times New Roman" w:hAnsi="Times New Roman" w:cs="Times New Roman"/>
          <w:color w:val="auto"/>
          <w:sz w:val="24"/>
          <w:u w:val="none"/>
        </w:rPr>
        <w:t>Adugbire</w:t>
      </w:r>
      <w:r w:rsidRPr="00F4547E">
        <w:rPr>
          <w:rFonts w:ascii="Times New Roman" w:hAnsi="Times New Roman" w:cs="Times New Roman"/>
          <w:sz w:val="24"/>
        </w:rPr>
        <w:fldChar w:fldCharType="end"/>
      </w:r>
      <w:r w:rsidRPr="00F4547E">
        <w:rPr>
          <w:rFonts w:ascii="Times New Roman" w:hAnsi="Times New Roman" w:cs="Times New Roman"/>
          <w:sz w:val="24"/>
        </w:rPr>
        <w:t>.Factors</w:t>
      </w:r>
      <w:proofErr w:type="spellEnd"/>
      <w:r w:rsidRPr="00F4547E">
        <w:rPr>
          <w:rFonts w:ascii="Times New Roman" w:hAnsi="Times New Roman" w:cs="Times New Roman"/>
          <w:sz w:val="24"/>
        </w:rPr>
        <w:t xml:space="preserve"> Contributing to Malnutrition among Children Under 5 Years at St. Elizabeth Catholic Hospital, Ahafo </w:t>
      </w:r>
      <w:proofErr w:type="spellStart"/>
      <w:r w:rsidRPr="00F4547E">
        <w:rPr>
          <w:rFonts w:ascii="Times New Roman" w:hAnsi="Times New Roman" w:cs="Times New Roman"/>
          <w:sz w:val="24"/>
        </w:rPr>
        <w:t>Hwidiem</w:t>
      </w:r>
      <w:proofErr w:type="spellEnd"/>
      <w:r w:rsidRPr="00F4547E">
        <w:rPr>
          <w:rFonts w:ascii="Times New Roman" w:hAnsi="Times New Roman" w:cs="Times New Roman"/>
          <w:sz w:val="24"/>
        </w:rPr>
        <w:t xml:space="preserve"> Clinical Medicine Insights: Pediatrics(2024)2024;18</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World Health Organization. (2020). </w:t>
      </w:r>
      <w:r w:rsidRPr="009F2CB5">
        <w:rPr>
          <w:rFonts w:ascii="Times New Roman" w:eastAsia="Times New Roman" w:hAnsi="Times New Roman" w:cs="Times New Roman"/>
          <w:i/>
          <w:iCs/>
          <w:sz w:val="24"/>
          <w:szCs w:val="24"/>
        </w:rPr>
        <w:t>Malnutrition fact sheet</w:t>
      </w:r>
      <w:r w:rsidRPr="009F2CB5">
        <w:rPr>
          <w:rFonts w:ascii="Times New Roman" w:eastAsia="Times New Roman" w:hAnsi="Times New Roman" w:cs="Times New Roman"/>
          <w:sz w:val="24"/>
          <w:szCs w:val="24"/>
        </w:rPr>
        <w:t>. Geneva: WHO.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World Health Organization. (2020). </w:t>
      </w:r>
      <w:r w:rsidRPr="009F2CB5">
        <w:rPr>
          <w:rFonts w:ascii="Times New Roman" w:eastAsia="Times New Roman" w:hAnsi="Times New Roman" w:cs="Times New Roman"/>
          <w:i/>
          <w:iCs/>
          <w:sz w:val="24"/>
          <w:szCs w:val="24"/>
        </w:rPr>
        <w:t>Nutrition in the WHO African Region</w:t>
      </w:r>
      <w:r w:rsidRPr="009F2CB5">
        <w:rPr>
          <w:rFonts w:ascii="Times New Roman" w:eastAsia="Times New Roman" w:hAnsi="Times New Roman" w:cs="Times New Roman"/>
          <w:sz w:val="24"/>
          <w:szCs w:val="24"/>
        </w:rPr>
        <w:t>. Geneva: WHO.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World Health Organization. (2021). </w:t>
      </w:r>
      <w:r w:rsidRPr="009F2CB5">
        <w:rPr>
          <w:rFonts w:ascii="Times New Roman" w:eastAsia="Times New Roman" w:hAnsi="Times New Roman" w:cs="Times New Roman"/>
          <w:i/>
          <w:iCs/>
          <w:sz w:val="24"/>
          <w:szCs w:val="24"/>
        </w:rPr>
        <w:t>Healthy diet fact sheet</w:t>
      </w:r>
      <w:r w:rsidRPr="009F2CB5">
        <w:rPr>
          <w:rFonts w:ascii="Times New Roman" w:eastAsia="Times New Roman" w:hAnsi="Times New Roman" w:cs="Times New Roman"/>
          <w:sz w:val="24"/>
          <w:szCs w:val="24"/>
        </w:rPr>
        <w:t>. Geneva: WHO.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F4547E">
        <w:rPr>
          <w:rFonts w:ascii="Times New Roman" w:eastAsia="Times New Roman" w:hAnsi="Times New Roman" w:cs="Times New Roman"/>
          <w:sz w:val="24"/>
          <w:szCs w:val="24"/>
          <w:lang w:eastAsia="en-GB"/>
        </w:rPr>
        <w:t>Yessoufou</w:t>
      </w:r>
      <w:proofErr w:type="spellEnd"/>
      <w:r w:rsidRPr="00F4547E">
        <w:rPr>
          <w:rFonts w:ascii="Times New Roman" w:eastAsia="Times New Roman" w:hAnsi="Times New Roman" w:cs="Times New Roman"/>
          <w:sz w:val="24"/>
          <w:szCs w:val="24"/>
          <w:lang w:eastAsia="en-GB"/>
        </w:rPr>
        <w:t xml:space="preserve">, G. A., </w:t>
      </w:r>
      <w:proofErr w:type="spellStart"/>
      <w:r w:rsidRPr="00F4547E">
        <w:rPr>
          <w:rFonts w:ascii="Times New Roman" w:eastAsia="Times New Roman" w:hAnsi="Times New Roman" w:cs="Times New Roman"/>
          <w:sz w:val="24"/>
          <w:szCs w:val="24"/>
          <w:lang w:eastAsia="en-GB"/>
        </w:rPr>
        <w:t>Ahokpe</w:t>
      </w:r>
      <w:proofErr w:type="spellEnd"/>
      <w:r w:rsidRPr="00F4547E">
        <w:rPr>
          <w:rFonts w:ascii="Times New Roman" w:eastAsia="Times New Roman" w:hAnsi="Times New Roman" w:cs="Times New Roman"/>
          <w:sz w:val="24"/>
          <w:szCs w:val="24"/>
          <w:lang w:eastAsia="en-GB"/>
        </w:rPr>
        <w:t xml:space="preserve">, M., </w:t>
      </w:r>
      <w:proofErr w:type="spellStart"/>
      <w:r w:rsidRPr="00F4547E">
        <w:rPr>
          <w:rFonts w:ascii="Times New Roman" w:eastAsia="Times New Roman" w:hAnsi="Times New Roman" w:cs="Times New Roman"/>
          <w:sz w:val="24"/>
          <w:szCs w:val="24"/>
          <w:lang w:eastAsia="en-GB"/>
        </w:rPr>
        <w:t>Behanzin</w:t>
      </w:r>
      <w:proofErr w:type="spellEnd"/>
      <w:r w:rsidRPr="00F4547E">
        <w:rPr>
          <w:rFonts w:ascii="Times New Roman" w:eastAsia="Times New Roman" w:hAnsi="Times New Roman" w:cs="Times New Roman"/>
          <w:sz w:val="24"/>
          <w:szCs w:val="24"/>
          <w:lang w:eastAsia="en-GB"/>
        </w:rPr>
        <w:t xml:space="preserve">, J., </w:t>
      </w:r>
      <w:proofErr w:type="spellStart"/>
      <w:r w:rsidRPr="00F4547E">
        <w:rPr>
          <w:rFonts w:ascii="Times New Roman" w:eastAsia="Times New Roman" w:hAnsi="Times New Roman" w:cs="Times New Roman"/>
          <w:sz w:val="24"/>
          <w:szCs w:val="24"/>
          <w:lang w:eastAsia="en-GB"/>
        </w:rPr>
        <w:t>Kountori</w:t>
      </w:r>
      <w:proofErr w:type="spellEnd"/>
      <w:r w:rsidRPr="00F4547E">
        <w:rPr>
          <w:rFonts w:ascii="Times New Roman" w:eastAsia="Times New Roman" w:hAnsi="Times New Roman" w:cs="Times New Roman"/>
          <w:sz w:val="24"/>
          <w:szCs w:val="24"/>
          <w:lang w:eastAsia="en-GB"/>
        </w:rPr>
        <w:t xml:space="preserve">, R., </w:t>
      </w:r>
      <w:proofErr w:type="spellStart"/>
      <w:r w:rsidRPr="00F4547E">
        <w:rPr>
          <w:rFonts w:ascii="Times New Roman" w:eastAsia="Times New Roman" w:hAnsi="Times New Roman" w:cs="Times New Roman"/>
          <w:sz w:val="24"/>
          <w:szCs w:val="24"/>
          <w:lang w:eastAsia="en-GB"/>
        </w:rPr>
        <w:t>Senou</w:t>
      </w:r>
      <w:proofErr w:type="spellEnd"/>
      <w:r w:rsidRPr="00F4547E">
        <w:rPr>
          <w:rFonts w:ascii="Times New Roman" w:eastAsia="Times New Roman" w:hAnsi="Times New Roman" w:cs="Times New Roman"/>
          <w:sz w:val="24"/>
          <w:szCs w:val="24"/>
          <w:lang w:eastAsia="en-GB"/>
        </w:rPr>
        <w:t xml:space="preserve">, M., &amp; </w:t>
      </w:r>
      <w:proofErr w:type="spellStart"/>
      <w:r w:rsidRPr="00F4547E">
        <w:rPr>
          <w:rFonts w:ascii="Times New Roman" w:eastAsia="Times New Roman" w:hAnsi="Times New Roman" w:cs="Times New Roman"/>
          <w:sz w:val="24"/>
          <w:szCs w:val="24"/>
          <w:lang w:eastAsia="en-GB"/>
        </w:rPr>
        <w:t>Sezan</w:t>
      </w:r>
      <w:proofErr w:type="spellEnd"/>
      <w:r w:rsidRPr="00F4547E">
        <w:rPr>
          <w:rFonts w:ascii="Times New Roman" w:eastAsia="Times New Roman" w:hAnsi="Times New Roman" w:cs="Times New Roman"/>
          <w:sz w:val="24"/>
          <w:szCs w:val="24"/>
          <w:lang w:eastAsia="en-GB"/>
        </w:rPr>
        <w:t>, A.</w:t>
      </w:r>
      <w:r w:rsidRPr="00F4547E">
        <w:rPr>
          <w:rFonts w:ascii="Times New Roman" w:eastAsia="Times New Roman" w:hAnsi="Times New Roman" w:cs="Times New Roman"/>
          <w:sz w:val="24"/>
          <w:szCs w:val="24"/>
        </w:rPr>
        <w:t xml:space="preserve"> (2014). </w:t>
      </w:r>
      <w:r w:rsidRPr="009F2CB5">
        <w:rPr>
          <w:rFonts w:ascii="Times New Roman" w:eastAsia="Times New Roman" w:hAnsi="Times New Roman" w:cs="Times New Roman"/>
          <w:i/>
          <w:iCs/>
          <w:sz w:val="24"/>
          <w:szCs w:val="24"/>
          <w:lang w:val="fr-FR"/>
        </w:rPr>
        <w:t xml:space="preserve">Prévalence de la malnutrition aigüe chez les enfants de moins de cinq ans dans la plaine de </w:t>
      </w:r>
      <w:proofErr w:type="spellStart"/>
      <w:r w:rsidRPr="009F2CB5">
        <w:rPr>
          <w:rFonts w:ascii="Times New Roman" w:eastAsia="Times New Roman" w:hAnsi="Times New Roman" w:cs="Times New Roman"/>
          <w:i/>
          <w:iCs/>
          <w:sz w:val="24"/>
          <w:szCs w:val="24"/>
          <w:lang w:val="fr-FR"/>
        </w:rPr>
        <w:t>Pendjari</w:t>
      </w:r>
      <w:proofErr w:type="spellEnd"/>
      <w:r w:rsidRPr="009F2CB5">
        <w:rPr>
          <w:rFonts w:ascii="Times New Roman" w:eastAsia="Times New Roman" w:hAnsi="Times New Roman" w:cs="Times New Roman"/>
          <w:i/>
          <w:iCs/>
          <w:sz w:val="24"/>
          <w:szCs w:val="24"/>
          <w:lang w:val="fr-FR"/>
        </w:rPr>
        <w:t xml:space="preserve"> au nord-ouest du BENIN</w:t>
      </w:r>
      <w:r w:rsidRPr="009F2CB5">
        <w:rPr>
          <w:rFonts w:ascii="Times New Roman" w:eastAsia="Times New Roman" w:hAnsi="Times New Roman" w:cs="Times New Roman"/>
          <w:sz w:val="24"/>
          <w:szCs w:val="24"/>
          <w:lang w:val="fr-FR"/>
        </w:rPr>
        <w:t>.</w:t>
      </w:r>
      <w:r w:rsidRPr="009F2CB5">
        <w:rPr>
          <w:rFonts w:ascii="Times New Roman" w:eastAsia="Times New Roman" w:hAnsi="Times New Roman" w:cs="Times New Roman"/>
          <w:sz w:val="24"/>
          <w:szCs w:val="24"/>
          <w:lang w:val="fr-FR" w:eastAsia="en-GB"/>
        </w:rPr>
        <w:t xml:space="preserve"> </w:t>
      </w:r>
      <w:r w:rsidRPr="009F2CB5">
        <w:rPr>
          <w:rFonts w:ascii="Times New Roman" w:eastAsia="Times New Roman" w:hAnsi="Times New Roman" w:cs="Times New Roman"/>
          <w:i/>
          <w:sz w:val="24"/>
          <w:szCs w:val="24"/>
          <w:lang w:val="fr-FR" w:eastAsia="en-GB"/>
        </w:rPr>
        <w:t xml:space="preserve">J. Rech. </w:t>
      </w:r>
      <w:proofErr w:type="spellStart"/>
      <w:r w:rsidRPr="009F2CB5">
        <w:rPr>
          <w:rFonts w:ascii="Times New Roman" w:eastAsia="Times New Roman" w:hAnsi="Times New Roman" w:cs="Times New Roman"/>
          <w:i/>
          <w:sz w:val="24"/>
          <w:szCs w:val="24"/>
          <w:lang w:val="fr-FR" w:eastAsia="en-GB"/>
        </w:rPr>
        <w:t>Sci</w:t>
      </w:r>
      <w:proofErr w:type="spellEnd"/>
      <w:r w:rsidRPr="009F2CB5">
        <w:rPr>
          <w:rFonts w:ascii="Times New Roman" w:eastAsia="Times New Roman" w:hAnsi="Times New Roman" w:cs="Times New Roman"/>
          <w:i/>
          <w:sz w:val="24"/>
          <w:szCs w:val="24"/>
          <w:lang w:val="fr-FR" w:eastAsia="en-GB"/>
        </w:rPr>
        <w:t>. Univ. Lomé (Togo), Série A</w:t>
      </w:r>
      <w:r w:rsidRPr="009F2CB5">
        <w:rPr>
          <w:rFonts w:ascii="Times New Roman" w:eastAsia="Times New Roman" w:hAnsi="Times New Roman" w:cs="Times New Roman"/>
          <w:sz w:val="24"/>
          <w:szCs w:val="24"/>
          <w:lang w:val="fr-FR"/>
        </w:rPr>
        <w:t>.</w:t>
      </w:r>
    </w:p>
    <w:p w:rsidR="00480268" w:rsidRPr="009F2CB5" w:rsidRDefault="00480268" w:rsidP="009F2CB5">
      <w:pPr>
        <w:spacing w:line="360" w:lineRule="auto"/>
        <w:jc w:val="both"/>
        <w:rPr>
          <w:rFonts w:ascii="Times New Roman" w:hAnsi="Times New Roman" w:cs="Times New Roman"/>
          <w:sz w:val="24"/>
          <w:szCs w:val="24"/>
        </w:rPr>
      </w:pPr>
    </w:p>
    <w:sectPr w:rsidR="00480268" w:rsidRPr="009F2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40A"/>
    <w:multiLevelType w:val="multilevel"/>
    <w:tmpl w:val="4E1C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A4F7F"/>
    <w:multiLevelType w:val="multilevel"/>
    <w:tmpl w:val="1C6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1740C"/>
    <w:multiLevelType w:val="multilevel"/>
    <w:tmpl w:val="83A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1036D"/>
    <w:multiLevelType w:val="multilevel"/>
    <w:tmpl w:val="18AC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75929"/>
    <w:multiLevelType w:val="multilevel"/>
    <w:tmpl w:val="A95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01E64"/>
    <w:multiLevelType w:val="multilevel"/>
    <w:tmpl w:val="456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B5578"/>
    <w:multiLevelType w:val="multilevel"/>
    <w:tmpl w:val="3AC6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929D5"/>
    <w:multiLevelType w:val="multilevel"/>
    <w:tmpl w:val="1744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4184F"/>
    <w:multiLevelType w:val="multilevel"/>
    <w:tmpl w:val="6FD6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86EA4"/>
    <w:multiLevelType w:val="multilevel"/>
    <w:tmpl w:val="C0BA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871B6"/>
    <w:multiLevelType w:val="multilevel"/>
    <w:tmpl w:val="27E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17CE2"/>
    <w:multiLevelType w:val="multilevel"/>
    <w:tmpl w:val="9EB0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65B20"/>
    <w:multiLevelType w:val="multilevel"/>
    <w:tmpl w:val="313EA0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F7DBF"/>
    <w:multiLevelType w:val="multilevel"/>
    <w:tmpl w:val="B5C4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15C4A"/>
    <w:multiLevelType w:val="multilevel"/>
    <w:tmpl w:val="A93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7282E"/>
    <w:multiLevelType w:val="multilevel"/>
    <w:tmpl w:val="39AC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96263"/>
    <w:multiLevelType w:val="multilevel"/>
    <w:tmpl w:val="9730B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4C77CF"/>
    <w:multiLevelType w:val="multilevel"/>
    <w:tmpl w:val="339C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40772"/>
    <w:multiLevelType w:val="multilevel"/>
    <w:tmpl w:val="B3DA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05ABB"/>
    <w:multiLevelType w:val="multilevel"/>
    <w:tmpl w:val="161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032957"/>
    <w:multiLevelType w:val="multilevel"/>
    <w:tmpl w:val="745A43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7B6393"/>
    <w:multiLevelType w:val="multilevel"/>
    <w:tmpl w:val="8406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13"/>
  </w:num>
  <w:num w:numId="5">
    <w:abstractNumId w:val="21"/>
  </w:num>
  <w:num w:numId="6">
    <w:abstractNumId w:val="5"/>
  </w:num>
  <w:num w:numId="7">
    <w:abstractNumId w:val="14"/>
  </w:num>
  <w:num w:numId="8">
    <w:abstractNumId w:val="10"/>
  </w:num>
  <w:num w:numId="9">
    <w:abstractNumId w:val="1"/>
  </w:num>
  <w:num w:numId="10">
    <w:abstractNumId w:val="6"/>
  </w:num>
  <w:num w:numId="11">
    <w:abstractNumId w:val="8"/>
  </w:num>
  <w:num w:numId="12">
    <w:abstractNumId w:val="19"/>
  </w:num>
  <w:num w:numId="13">
    <w:abstractNumId w:val="18"/>
  </w:num>
  <w:num w:numId="14">
    <w:abstractNumId w:val="4"/>
  </w:num>
  <w:num w:numId="15">
    <w:abstractNumId w:val="0"/>
  </w:num>
  <w:num w:numId="16">
    <w:abstractNumId w:val="17"/>
  </w:num>
  <w:num w:numId="17">
    <w:abstractNumId w:val="11"/>
  </w:num>
  <w:num w:numId="18">
    <w:abstractNumId w:val="15"/>
  </w:num>
  <w:num w:numId="19">
    <w:abstractNumId w:val="9"/>
  </w:num>
  <w:num w:numId="20">
    <w:abstractNumId w:val="20"/>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0NDKxMDMxNzY0NrVQ0lEKTi0uzszPAykwrAUAF9YJySwAAAA="/>
  </w:docVars>
  <w:rsids>
    <w:rsidRoot w:val="00D74F14"/>
    <w:rsid w:val="00062602"/>
    <w:rsid w:val="00064936"/>
    <w:rsid w:val="000700DF"/>
    <w:rsid w:val="00086B64"/>
    <w:rsid w:val="000D08A1"/>
    <w:rsid w:val="00113B1A"/>
    <w:rsid w:val="00174C83"/>
    <w:rsid w:val="001A5B2E"/>
    <w:rsid w:val="001E20C9"/>
    <w:rsid w:val="001E66B7"/>
    <w:rsid w:val="002357E1"/>
    <w:rsid w:val="0024314D"/>
    <w:rsid w:val="00285CFA"/>
    <w:rsid w:val="002A404E"/>
    <w:rsid w:val="002C5B21"/>
    <w:rsid w:val="00331D73"/>
    <w:rsid w:val="00363B0C"/>
    <w:rsid w:val="0036564A"/>
    <w:rsid w:val="003B3D9F"/>
    <w:rsid w:val="003F2E16"/>
    <w:rsid w:val="003F5A67"/>
    <w:rsid w:val="0040104B"/>
    <w:rsid w:val="00401CC4"/>
    <w:rsid w:val="00441B69"/>
    <w:rsid w:val="004711FA"/>
    <w:rsid w:val="00480268"/>
    <w:rsid w:val="004C4847"/>
    <w:rsid w:val="004E43D1"/>
    <w:rsid w:val="00516D0D"/>
    <w:rsid w:val="00567B15"/>
    <w:rsid w:val="005A0BA5"/>
    <w:rsid w:val="005E5CC2"/>
    <w:rsid w:val="00631A2B"/>
    <w:rsid w:val="00637F6B"/>
    <w:rsid w:val="006732C4"/>
    <w:rsid w:val="00681F01"/>
    <w:rsid w:val="006B60DD"/>
    <w:rsid w:val="006B7E5E"/>
    <w:rsid w:val="00763F5E"/>
    <w:rsid w:val="007A1D0B"/>
    <w:rsid w:val="008B31C1"/>
    <w:rsid w:val="00902B26"/>
    <w:rsid w:val="00902D8D"/>
    <w:rsid w:val="00946490"/>
    <w:rsid w:val="0094686E"/>
    <w:rsid w:val="00965F4B"/>
    <w:rsid w:val="009F2CB5"/>
    <w:rsid w:val="00A03231"/>
    <w:rsid w:val="00A346F1"/>
    <w:rsid w:val="00A36BDB"/>
    <w:rsid w:val="00A4397E"/>
    <w:rsid w:val="00A958C0"/>
    <w:rsid w:val="00AF125C"/>
    <w:rsid w:val="00B86C7A"/>
    <w:rsid w:val="00BD31BC"/>
    <w:rsid w:val="00C1306C"/>
    <w:rsid w:val="00C24767"/>
    <w:rsid w:val="00C64AD7"/>
    <w:rsid w:val="00CF7548"/>
    <w:rsid w:val="00D07393"/>
    <w:rsid w:val="00D46ED3"/>
    <w:rsid w:val="00D477A5"/>
    <w:rsid w:val="00D74F14"/>
    <w:rsid w:val="00D77173"/>
    <w:rsid w:val="00DC6A55"/>
    <w:rsid w:val="00DE5A92"/>
    <w:rsid w:val="00E16C79"/>
    <w:rsid w:val="00E2178C"/>
    <w:rsid w:val="00E957B2"/>
    <w:rsid w:val="00ED2C76"/>
    <w:rsid w:val="00EF3D50"/>
    <w:rsid w:val="00F03C03"/>
    <w:rsid w:val="00F4547E"/>
    <w:rsid w:val="00F5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D42F"/>
  <w15:docId w15:val="{BD04EBDD-8882-4897-8465-F1561B2D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802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02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02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02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2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02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026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0268"/>
    <w:rPr>
      <w:rFonts w:ascii="Times New Roman" w:eastAsia="Times New Roman" w:hAnsi="Times New Roman" w:cs="Times New Roman"/>
      <w:b/>
      <w:bCs/>
      <w:sz w:val="24"/>
      <w:szCs w:val="24"/>
    </w:rPr>
  </w:style>
  <w:style w:type="paragraph" w:customStyle="1" w:styleId="ds-markdown-paragraph">
    <w:name w:val="ds-markdown-paragraph"/>
    <w:basedOn w:val="Normal"/>
    <w:rsid w:val="00480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0268"/>
    <w:rPr>
      <w:b/>
      <w:bCs/>
    </w:rPr>
  </w:style>
  <w:style w:type="character" w:styleId="Emphasis">
    <w:name w:val="Emphasis"/>
    <w:basedOn w:val="DefaultParagraphFont"/>
    <w:uiPriority w:val="20"/>
    <w:qFormat/>
    <w:rsid w:val="00480268"/>
    <w:rPr>
      <w:i/>
      <w:iCs/>
    </w:rPr>
  </w:style>
  <w:style w:type="table" w:styleId="TableGrid">
    <w:name w:val="Table Grid"/>
    <w:basedOn w:val="TableNormal"/>
    <w:uiPriority w:val="59"/>
    <w:rsid w:val="0048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0B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738226">
      <w:bodyDiv w:val="1"/>
      <w:marLeft w:val="0"/>
      <w:marRight w:val="0"/>
      <w:marTop w:val="0"/>
      <w:marBottom w:val="0"/>
      <w:divBdr>
        <w:top w:val="none" w:sz="0" w:space="0" w:color="auto"/>
        <w:left w:val="none" w:sz="0" w:space="0" w:color="auto"/>
        <w:bottom w:val="none" w:sz="0" w:space="0" w:color="auto"/>
        <w:right w:val="none" w:sz="0" w:space="0" w:color="auto"/>
      </w:divBdr>
      <w:divsChild>
        <w:div w:id="1299531046">
          <w:marLeft w:val="0"/>
          <w:marRight w:val="0"/>
          <w:marTop w:val="0"/>
          <w:marBottom w:val="0"/>
          <w:divBdr>
            <w:top w:val="none" w:sz="0" w:space="0" w:color="auto"/>
            <w:left w:val="none" w:sz="0" w:space="0" w:color="auto"/>
            <w:bottom w:val="none" w:sz="0" w:space="0" w:color="auto"/>
            <w:right w:val="none" w:sz="0" w:space="0" w:color="auto"/>
          </w:divBdr>
        </w:div>
        <w:div w:id="532890895">
          <w:marLeft w:val="0"/>
          <w:marRight w:val="0"/>
          <w:marTop w:val="0"/>
          <w:marBottom w:val="0"/>
          <w:divBdr>
            <w:top w:val="none" w:sz="0" w:space="0" w:color="auto"/>
            <w:left w:val="none" w:sz="0" w:space="0" w:color="auto"/>
            <w:bottom w:val="none" w:sz="0" w:space="0" w:color="auto"/>
            <w:right w:val="none" w:sz="0" w:space="0" w:color="auto"/>
          </w:divBdr>
        </w:div>
        <w:div w:id="1857235746">
          <w:marLeft w:val="0"/>
          <w:marRight w:val="0"/>
          <w:marTop w:val="0"/>
          <w:marBottom w:val="0"/>
          <w:divBdr>
            <w:top w:val="none" w:sz="0" w:space="0" w:color="auto"/>
            <w:left w:val="none" w:sz="0" w:space="0" w:color="auto"/>
            <w:bottom w:val="none" w:sz="0" w:space="0" w:color="auto"/>
            <w:right w:val="none" w:sz="0" w:space="0" w:color="auto"/>
          </w:divBdr>
        </w:div>
        <w:div w:id="361323816">
          <w:marLeft w:val="0"/>
          <w:marRight w:val="0"/>
          <w:marTop w:val="0"/>
          <w:marBottom w:val="0"/>
          <w:divBdr>
            <w:top w:val="none" w:sz="0" w:space="0" w:color="auto"/>
            <w:left w:val="none" w:sz="0" w:space="0" w:color="auto"/>
            <w:bottom w:val="none" w:sz="0" w:space="0" w:color="auto"/>
            <w:right w:val="none" w:sz="0" w:space="0" w:color="auto"/>
          </w:divBdr>
        </w:div>
        <w:div w:id="372577236">
          <w:marLeft w:val="0"/>
          <w:marRight w:val="0"/>
          <w:marTop w:val="0"/>
          <w:marBottom w:val="0"/>
          <w:divBdr>
            <w:top w:val="none" w:sz="0" w:space="0" w:color="auto"/>
            <w:left w:val="none" w:sz="0" w:space="0" w:color="auto"/>
            <w:bottom w:val="none" w:sz="0" w:space="0" w:color="auto"/>
            <w:right w:val="none" w:sz="0" w:space="0" w:color="auto"/>
          </w:divBdr>
        </w:div>
        <w:div w:id="1703171530">
          <w:marLeft w:val="0"/>
          <w:marRight w:val="0"/>
          <w:marTop w:val="0"/>
          <w:marBottom w:val="0"/>
          <w:divBdr>
            <w:top w:val="none" w:sz="0" w:space="0" w:color="auto"/>
            <w:left w:val="none" w:sz="0" w:space="0" w:color="auto"/>
            <w:bottom w:val="none" w:sz="0" w:space="0" w:color="auto"/>
            <w:right w:val="none" w:sz="0" w:space="0" w:color="auto"/>
          </w:divBdr>
        </w:div>
        <w:div w:id="401803933">
          <w:marLeft w:val="0"/>
          <w:marRight w:val="0"/>
          <w:marTop w:val="0"/>
          <w:marBottom w:val="0"/>
          <w:divBdr>
            <w:top w:val="none" w:sz="0" w:space="0" w:color="auto"/>
            <w:left w:val="none" w:sz="0" w:space="0" w:color="auto"/>
            <w:bottom w:val="none" w:sz="0" w:space="0" w:color="auto"/>
            <w:right w:val="none" w:sz="0" w:space="0" w:color="auto"/>
          </w:divBdr>
        </w:div>
        <w:div w:id="1051996762">
          <w:marLeft w:val="0"/>
          <w:marRight w:val="0"/>
          <w:marTop w:val="0"/>
          <w:marBottom w:val="0"/>
          <w:divBdr>
            <w:top w:val="none" w:sz="0" w:space="0" w:color="auto"/>
            <w:left w:val="none" w:sz="0" w:space="0" w:color="auto"/>
            <w:bottom w:val="none" w:sz="0" w:space="0" w:color="auto"/>
            <w:right w:val="none" w:sz="0" w:space="0" w:color="auto"/>
          </w:divBdr>
        </w:div>
        <w:div w:id="591863400">
          <w:marLeft w:val="0"/>
          <w:marRight w:val="0"/>
          <w:marTop w:val="0"/>
          <w:marBottom w:val="0"/>
          <w:divBdr>
            <w:top w:val="none" w:sz="0" w:space="0" w:color="auto"/>
            <w:left w:val="none" w:sz="0" w:space="0" w:color="auto"/>
            <w:bottom w:val="none" w:sz="0" w:space="0" w:color="auto"/>
            <w:right w:val="none" w:sz="0" w:space="0" w:color="auto"/>
          </w:divBdr>
        </w:div>
        <w:div w:id="318273845">
          <w:marLeft w:val="0"/>
          <w:marRight w:val="0"/>
          <w:marTop w:val="0"/>
          <w:marBottom w:val="0"/>
          <w:divBdr>
            <w:top w:val="none" w:sz="0" w:space="0" w:color="auto"/>
            <w:left w:val="none" w:sz="0" w:space="0" w:color="auto"/>
            <w:bottom w:val="none" w:sz="0" w:space="0" w:color="auto"/>
            <w:right w:val="none" w:sz="0" w:space="0" w:color="auto"/>
          </w:divBdr>
        </w:div>
        <w:div w:id="1766996961">
          <w:marLeft w:val="0"/>
          <w:marRight w:val="0"/>
          <w:marTop w:val="0"/>
          <w:marBottom w:val="0"/>
          <w:divBdr>
            <w:top w:val="none" w:sz="0" w:space="0" w:color="auto"/>
            <w:left w:val="none" w:sz="0" w:space="0" w:color="auto"/>
            <w:bottom w:val="none" w:sz="0" w:space="0" w:color="auto"/>
            <w:right w:val="none" w:sz="0" w:space="0" w:color="auto"/>
          </w:divBdr>
        </w:div>
        <w:div w:id="1651909572">
          <w:marLeft w:val="0"/>
          <w:marRight w:val="0"/>
          <w:marTop w:val="0"/>
          <w:marBottom w:val="0"/>
          <w:divBdr>
            <w:top w:val="none" w:sz="0" w:space="0" w:color="auto"/>
            <w:left w:val="none" w:sz="0" w:space="0" w:color="auto"/>
            <w:bottom w:val="none" w:sz="0" w:space="0" w:color="auto"/>
            <w:right w:val="none" w:sz="0" w:space="0" w:color="auto"/>
          </w:divBdr>
        </w:div>
        <w:div w:id="178198333">
          <w:marLeft w:val="0"/>
          <w:marRight w:val="0"/>
          <w:marTop w:val="0"/>
          <w:marBottom w:val="0"/>
          <w:divBdr>
            <w:top w:val="none" w:sz="0" w:space="0" w:color="auto"/>
            <w:left w:val="none" w:sz="0" w:space="0" w:color="auto"/>
            <w:bottom w:val="none" w:sz="0" w:space="0" w:color="auto"/>
            <w:right w:val="none" w:sz="0" w:space="0" w:color="auto"/>
          </w:divBdr>
        </w:div>
        <w:div w:id="1908029486">
          <w:marLeft w:val="0"/>
          <w:marRight w:val="0"/>
          <w:marTop w:val="0"/>
          <w:marBottom w:val="0"/>
          <w:divBdr>
            <w:top w:val="none" w:sz="0" w:space="0" w:color="auto"/>
            <w:left w:val="none" w:sz="0" w:space="0" w:color="auto"/>
            <w:bottom w:val="none" w:sz="0" w:space="0" w:color="auto"/>
            <w:right w:val="none" w:sz="0" w:space="0" w:color="auto"/>
          </w:divBdr>
        </w:div>
        <w:div w:id="1065029675">
          <w:marLeft w:val="0"/>
          <w:marRight w:val="0"/>
          <w:marTop w:val="0"/>
          <w:marBottom w:val="0"/>
          <w:divBdr>
            <w:top w:val="none" w:sz="0" w:space="0" w:color="auto"/>
            <w:left w:val="none" w:sz="0" w:space="0" w:color="auto"/>
            <w:bottom w:val="none" w:sz="0" w:space="0" w:color="auto"/>
            <w:right w:val="none" w:sz="0" w:space="0" w:color="auto"/>
          </w:divBdr>
        </w:div>
        <w:div w:id="1588492256">
          <w:marLeft w:val="0"/>
          <w:marRight w:val="0"/>
          <w:marTop w:val="0"/>
          <w:marBottom w:val="0"/>
          <w:divBdr>
            <w:top w:val="none" w:sz="0" w:space="0" w:color="auto"/>
            <w:left w:val="none" w:sz="0" w:space="0" w:color="auto"/>
            <w:bottom w:val="none" w:sz="0" w:space="0" w:color="auto"/>
            <w:right w:val="none" w:sz="0" w:space="0" w:color="auto"/>
          </w:divBdr>
        </w:div>
        <w:div w:id="793208325">
          <w:marLeft w:val="0"/>
          <w:marRight w:val="0"/>
          <w:marTop w:val="0"/>
          <w:marBottom w:val="0"/>
          <w:divBdr>
            <w:top w:val="none" w:sz="0" w:space="0" w:color="auto"/>
            <w:left w:val="none" w:sz="0" w:space="0" w:color="auto"/>
            <w:bottom w:val="none" w:sz="0" w:space="0" w:color="auto"/>
            <w:right w:val="none" w:sz="0" w:space="0" w:color="auto"/>
          </w:divBdr>
        </w:div>
        <w:div w:id="66390055">
          <w:marLeft w:val="0"/>
          <w:marRight w:val="0"/>
          <w:marTop w:val="0"/>
          <w:marBottom w:val="0"/>
          <w:divBdr>
            <w:top w:val="none" w:sz="0" w:space="0" w:color="auto"/>
            <w:left w:val="none" w:sz="0" w:space="0" w:color="auto"/>
            <w:bottom w:val="none" w:sz="0" w:space="0" w:color="auto"/>
            <w:right w:val="none" w:sz="0" w:space="0" w:color="auto"/>
          </w:divBdr>
        </w:div>
      </w:divsChild>
    </w:div>
    <w:div w:id="173750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117955652312227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sagepub.com/doi/10.1177/117955652312227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sagepub.com/doi/10.1177/11795565231222716" TargetMode="External"/><Relationship Id="rId11" Type="http://schemas.openxmlformats.org/officeDocument/2006/relationships/hyperlink" Target="https://journals.sagepub.com/doi/10.1177/11795565231222716" TargetMode="External"/><Relationship Id="rId5" Type="http://schemas.openxmlformats.org/officeDocument/2006/relationships/hyperlink" Target="https://doi.org/10.1111/mcn.12117" TargetMode="External"/><Relationship Id="rId10" Type="http://schemas.openxmlformats.org/officeDocument/2006/relationships/hyperlink" Target="https://journals.sagepub.com/doi/10.1177/11795565231222716" TargetMode="External"/><Relationship Id="rId4" Type="http://schemas.openxmlformats.org/officeDocument/2006/relationships/webSettings" Target="webSettings.xml"/><Relationship Id="rId9" Type="http://schemas.openxmlformats.org/officeDocument/2006/relationships/hyperlink" Target="https://journals.sagepub.com/doi/10.1177/1179556523122271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28</Pages>
  <Words>6412</Words>
  <Characters>36552</Characters>
  <Application>Microsoft Office Word</Application>
  <DocSecurity>0</DocSecurity>
  <Lines>304</Lines>
  <Paragraphs>85</Paragraphs>
  <ScaleCrop>false</ScaleCrop>
  <HeadingPairs>
    <vt:vector size="6" baseType="variant">
      <vt:variant>
        <vt:lpstr>Title</vt:lpstr>
      </vt:variant>
      <vt:variant>
        <vt:i4>1</vt:i4>
      </vt:variant>
      <vt:variant>
        <vt:lpstr>Titre</vt:lpstr>
      </vt:variant>
      <vt:variant>
        <vt:i4>1</vt:i4>
      </vt:variant>
      <vt:variant>
        <vt:lpstr>Titres</vt:lpstr>
      </vt:variant>
      <vt:variant>
        <vt:i4>23</vt:i4>
      </vt:variant>
    </vt:vector>
  </HeadingPairs>
  <TitlesOfParts>
    <vt:vector size="25" baseType="lpstr">
      <vt:lpstr/>
      <vt:lpstr/>
      <vt:lpstr>ASSOCIATION BETWEEN MATERNAL NUTRITION KNOWLEDGE AND CHILD MALNUTRITION AMONG CH</vt:lpstr>
      <vt:lpstr>    ABSTRACT</vt:lpstr>
      <vt:lpstr>    1. INTRODUCTION</vt:lpstr>
      <vt:lpstr>        1.1 General Context</vt:lpstr>
      <vt:lpstr>        1.2 Problem Statement</vt:lpstr>
      <vt:lpstr>        1.3 Research Questions</vt:lpstr>
      <vt:lpstr>        1.4 Study Objectives</vt:lpstr>
      <vt:lpstr>        1.5 Research Hypotheses</vt:lpstr>
      <vt:lpstr>        1.6 Significance of the Study</vt:lpstr>
      <vt:lpstr>        1.7 Study Area Selection</vt:lpstr>
      <vt:lpstr>        1.8 Structure of the Study</vt:lpstr>
      <vt:lpstr>    2. MATERIALS AND METHODS</vt:lpstr>
      <vt:lpstr>        2.1 Documentary Analysis</vt:lpstr>
      <vt:lpstr>        2.2 Nutritional Survey</vt:lpstr>
      <vt:lpstr>        2.3 Statistical Analysis</vt:lpstr>
      <vt:lpstr>        2.4 Ethical Considerations</vt:lpstr>
      <vt:lpstr>        2.5 Study Limitations</vt:lpstr>
      <vt:lpstr>    3. RESULTS AND DISCUSSION</vt:lpstr>
      <vt:lpstr>        3.1 Results</vt:lpstr>
      <vt:lpstr>        3.2 Discussion</vt:lpstr>
      <vt:lpstr>    4. CONCLUSION AND RECOMMENDATIONS</vt:lpstr>
      <vt:lpstr>        4.2 Recommendations</vt:lpstr>
      <vt:lpstr>    REFERENCES</vt:lpstr>
    </vt:vector>
  </TitlesOfParts>
  <Company/>
  <LinksUpToDate>false</LinksUpToDate>
  <CharactersWithSpaces>42879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dc:creator>
  <cp:keywords/>
  <dc:description/>
  <cp:lastModifiedBy>SDI 1089</cp:lastModifiedBy>
  <cp:revision>78</cp:revision>
  <dcterms:created xsi:type="dcterms:W3CDTF">2026-03-16T06:24:00Z</dcterms:created>
  <dcterms:modified xsi:type="dcterms:W3CDTF">2026-03-25T12:05:00Z</dcterms:modified>
</cp:coreProperties>
</file>