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ADFC4" w14:textId="77777777" w:rsidR="00BD63DC" w:rsidRDefault="00BD63DC" w:rsidP="00762F79">
      <w:pPr>
        <w:pStyle w:val="Author"/>
        <w:spacing w:line="240" w:lineRule="auto"/>
        <w:rPr>
          <w:rFonts w:ascii="Arial" w:hAnsi="Arial" w:cs="Arial"/>
          <w:sz w:val="36"/>
          <w:szCs w:val="36"/>
        </w:rPr>
      </w:pPr>
      <w:r w:rsidRPr="00BD63DC">
        <w:rPr>
          <w:rFonts w:ascii="Arial" w:hAnsi="Arial" w:cs="Arial"/>
          <w:sz w:val="36"/>
          <w:szCs w:val="36"/>
        </w:rPr>
        <w:t>Original Research Article</w:t>
      </w:r>
    </w:p>
    <w:p w14:paraId="6D5881E1" w14:textId="77777777" w:rsidR="00BD63DC" w:rsidRDefault="00BD63DC" w:rsidP="00762F79">
      <w:pPr>
        <w:pStyle w:val="Author"/>
        <w:spacing w:line="240" w:lineRule="auto"/>
        <w:rPr>
          <w:rFonts w:ascii="Arial" w:hAnsi="Arial" w:cs="Arial"/>
          <w:sz w:val="36"/>
          <w:szCs w:val="36"/>
        </w:rPr>
      </w:pPr>
    </w:p>
    <w:p w14:paraId="5BCC07A3" w14:textId="0F99F29C" w:rsidR="00CE5571" w:rsidRPr="001F6062" w:rsidRDefault="001D3890" w:rsidP="00762F79">
      <w:pPr>
        <w:pStyle w:val="Author"/>
        <w:spacing w:line="240" w:lineRule="auto"/>
        <w:rPr>
          <w:rFonts w:ascii="Arial" w:hAnsi="Arial" w:cs="Arial"/>
          <w:bCs/>
          <w:iCs/>
          <w:kern w:val="28"/>
          <w:sz w:val="36"/>
          <w:szCs w:val="36"/>
        </w:rPr>
      </w:pPr>
      <w:r w:rsidRPr="001D3890">
        <w:rPr>
          <w:rFonts w:ascii="Arial" w:hAnsi="Arial" w:cs="Arial"/>
          <w:sz w:val="36"/>
          <w:szCs w:val="36"/>
        </w:rPr>
        <w:t xml:space="preserve">Size Structure and Growth Pattern of </w:t>
      </w:r>
      <w:r w:rsidRPr="00882039">
        <w:rPr>
          <w:rFonts w:ascii="Arial" w:hAnsi="Arial" w:cs="Arial"/>
          <w:i/>
          <w:iCs/>
          <w:sz w:val="36"/>
          <w:szCs w:val="36"/>
        </w:rPr>
        <w:t xml:space="preserve">Octopus </w:t>
      </w:r>
      <w:proofErr w:type="spellStart"/>
      <w:r w:rsidRPr="00882039">
        <w:rPr>
          <w:rFonts w:ascii="Arial" w:hAnsi="Arial" w:cs="Arial"/>
          <w:i/>
          <w:iCs/>
          <w:sz w:val="36"/>
          <w:szCs w:val="36"/>
        </w:rPr>
        <w:t>cyanea</w:t>
      </w:r>
      <w:proofErr w:type="spellEnd"/>
      <w:r w:rsidRPr="001D3890">
        <w:rPr>
          <w:rFonts w:ascii="Arial" w:hAnsi="Arial" w:cs="Arial"/>
          <w:sz w:val="36"/>
          <w:szCs w:val="36"/>
        </w:rPr>
        <w:t xml:space="preserve"> in East Lombok Waters, Indonesia</w:t>
      </w:r>
    </w:p>
    <w:p w14:paraId="3E980AE8" w14:textId="5A9018C5" w:rsidR="00870C64" w:rsidRDefault="00870C64" w:rsidP="00870C64">
      <w:pPr>
        <w:jc w:val="right"/>
        <w:rPr>
          <w:rFonts w:ascii="Arial" w:eastAsia="Calibri" w:hAnsi="Arial" w:cs="Arial"/>
          <w:i/>
          <w:iCs/>
        </w:rPr>
      </w:pPr>
      <w:r w:rsidRPr="00870C64">
        <w:rPr>
          <w:rFonts w:ascii="Arial" w:eastAsia="Calibri" w:hAnsi="Arial" w:cs="Arial"/>
          <w:i/>
          <w:iCs/>
        </w:rPr>
        <w:t xml:space="preserve">  </w:t>
      </w:r>
      <w:r>
        <w:rPr>
          <w:rFonts w:ascii="Arial" w:eastAsia="Calibri" w:hAnsi="Arial" w:cs="Arial"/>
          <w:i/>
          <w:iCs/>
        </w:rPr>
        <w:t xml:space="preserve"> </w:t>
      </w:r>
    </w:p>
    <w:p w14:paraId="025A25F3" w14:textId="77777777" w:rsidR="00870C64" w:rsidRPr="001F6062" w:rsidRDefault="00870C64" w:rsidP="00870C64">
      <w:pPr>
        <w:jc w:val="right"/>
        <w:rPr>
          <w:rFonts w:ascii="Arial" w:eastAsia="Calibri" w:hAnsi="Arial" w:cs="Arial"/>
          <w:i/>
          <w:iCs/>
        </w:rPr>
      </w:pPr>
    </w:p>
    <w:p w14:paraId="1934ECCF" w14:textId="77777777" w:rsidR="002C57D2" w:rsidRPr="001F6062" w:rsidRDefault="002C57D2" w:rsidP="00441B6F">
      <w:pPr>
        <w:pStyle w:val="Affiliation"/>
        <w:spacing w:after="0" w:line="240" w:lineRule="auto"/>
        <w:jc w:val="both"/>
        <w:rPr>
          <w:rFonts w:ascii="Arial" w:hAnsi="Arial" w:cs="Arial"/>
        </w:rPr>
      </w:pPr>
    </w:p>
    <w:p w14:paraId="1E6D86CF" w14:textId="0DBDA5D3" w:rsidR="00B01FCD" w:rsidRPr="00FB3A86" w:rsidRDefault="00E55906" w:rsidP="00441B6F">
      <w:pPr>
        <w:pStyle w:val="Copyright"/>
        <w:spacing w:after="0" w:line="240" w:lineRule="auto"/>
        <w:jc w:val="both"/>
        <w:rPr>
          <w:rFonts w:ascii="Arial" w:hAnsi="Arial" w:cs="Arial"/>
        </w:rPr>
        <w:sectPr w:rsidR="00B01FCD" w:rsidRPr="00FB3A86" w:rsidSect="00AB31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EEB375" wp14:editId="24EF5C88">
                <wp:extent cx="5303520" cy="635"/>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46223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6AD98338" w14:textId="345C635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8BFB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F7BE6" w14:paraId="2E098083" w14:textId="77777777" w:rsidTr="001E44FE">
        <w:tc>
          <w:tcPr>
            <w:tcW w:w="9576" w:type="dxa"/>
            <w:shd w:val="clear" w:color="auto" w:fill="F2F2F2"/>
          </w:tcPr>
          <w:p w14:paraId="6739C362" w14:textId="1ACDC003" w:rsidR="004B669B" w:rsidRPr="00A97752" w:rsidRDefault="00834B50" w:rsidP="00834B50">
            <w:pPr>
              <w:pStyle w:val="NormalWeb"/>
              <w:jc w:val="both"/>
              <w:rPr>
                <w:rFonts w:ascii="Arial" w:hAnsi="Arial" w:cs="Arial"/>
                <w:sz w:val="20"/>
                <w:szCs w:val="20"/>
              </w:rPr>
            </w:pPr>
            <w:r w:rsidRPr="00834B50">
              <w:rPr>
                <w:rFonts w:ascii="Arial" w:hAnsi="Arial" w:cs="Arial"/>
                <w:sz w:val="20"/>
                <w:szCs w:val="20"/>
              </w:rPr>
              <w:t xml:space="preserve">The waters surrounding </w:t>
            </w:r>
            <w:proofErr w:type="spellStart"/>
            <w:r w:rsidRPr="00834B50">
              <w:rPr>
                <w:rFonts w:ascii="Arial" w:hAnsi="Arial" w:cs="Arial"/>
                <w:sz w:val="20"/>
                <w:szCs w:val="20"/>
              </w:rPr>
              <w:t>Seruni</w:t>
            </w:r>
            <w:proofErr w:type="spellEnd"/>
            <w:r w:rsidRPr="00834B50">
              <w:rPr>
                <w:rFonts w:ascii="Arial" w:hAnsi="Arial" w:cs="Arial"/>
                <w:sz w:val="20"/>
                <w:szCs w:val="20"/>
              </w:rPr>
              <w:t xml:space="preserve"> </w:t>
            </w:r>
            <w:proofErr w:type="spellStart"/>
            <w:r w:rsidRPr="00834B50">
              <w:rPr>
                <w:rFonts w:ascii="Arial" w:hAnsi="Arial" w:cs="Arial"/>
                <w:sz w:val="20"/>
                <w:szCs w:val="20"/>
              </w:rPr>
              <w:t>Mumbul</w:t>
            </w:r>
            <w:proofErr w:type="spellEnd"/>
            <w:r w:rsidRPr="00834B50">
              <w:rPr>
                <w:rFonts w:ascii="Arial" w:hAnsi="Arial" w:cs="Arial"/>
                <w:sz w:val="20"/>
                <w:szCs w:val="20"/>
              </w:rPr>
              <w:t xml:space="preserve"> Village, East Lombok Regency are a region with potential for the stone octopus (</w:t>
            </w:r>
            <w:r w:rsidRPr="00835D69">
              <w:rPr>
                <w:rFonts w:ascii="Arial" w:hAnsi="Arial" w:cs="Arial"/>
                <w:i/>
                <w:iCs/>
                <w:sz w:val="20"/>
                <w:szCs w:val="20"/>
              </w:rPr>
              <w:t xml:space="preserve">Octopus </w:t>
            </w:r>
            <w:proofErr w:type="spellStart"/>
            <w:r w:rsidRPr="00835D69">
              <w:rPr>
                <w:rFonts w:ascii="Arial" w:hAnsi="Arial" w:cs="Arial"/>
                <w:i/>
                <w:iCs/>
                <w:sz w:val="20"/>
                <w:szCs w:val="20"/>
              </w:rPr>
              <w:t>cyanea</w:t>
            </w:r>
            <w:proofErr w:type="spellEnd"/>
            <w:r w:rsidRPr="00834B50">
              <w:rPr>
                <w:rFonts w:ascii="Arial" w:hAnsi="Arial" w:cs="Arial"/>
                <w:sz w:val="20"/>
                <w:szCs w:val="20"/>
              </w:rPr>
              <w:t xml:space="preserve">) fishery. This study aimed to analyze the distribution of dorsal mantle length (DML), body weight, and growth patterns of </w:t>
            </w:r>
            <w:r w:rsidR="00835D69" w:rsidRPr="00835D69">
              <w:rPr>
                <w:rFonts w:ascii="Arial" w:hAnsi="Arial" w:cs="Arial"/>
                <w:i/>
                <w:iCs/>
                <w:sz w:val="20"/>
                <w:szCs w:val="20"/>
              </w:rPr>
              <w:t xml:space="preserve">Octopus </w:t>
            </w:r>
            <w:proofErr w:type="spellStart"/>
            <w:r w:rsidR="00835D69" w:rsidRPr="00835D69">
              <w:rPr>
                <w:rFonts w:ascii="Arial" w:hAnsi="Arial" w:cs="Arial"/>
                <w:i/>
                <w:iCs/>
                <w:sz w:val="20"/>
                <w:szCs w:val="20"/>
              </w:rPr>
              <w:t>cyanea</w:t>
            </w:r>
            <w:proofErr w:type="spellEnd"/>
            <w:r w:rsidRPr="00834B50">
              <w:rPr>
                <w:rFonts w:ascii="Arial" w:hAnsi="Arial" w:cs="Arial"/>
                <w:sz w:val="20"/>
                <w:szCs w:val="20"/>
              </w:rPr>
              <w:t xml:space="preserve">. Research was conducted from April to August 2025 at two main landing sites: </w:t>
            </w:r>
            <w:proofErr w:type="spellStart"/>
            <w:r w:rsidRPr="00834B50">
              <w:rPr>
                <w:rFonts w:ascii="Arial" w:hAnsi="Arial" w:cs="Arial"/>
                <w:sz w:val="20"/>
                <w:szCs w:val="20"/>
              </w:rPr>
              <w:t>Segare</w:t>
            </w:r>
            <w:proofErr w:type="spellEnd"/>
            <w:r w:rsidRPr="00834B50">
              <w:rPr>
                <w:rFonts w:ascii="Arial" w:hAnsi="Arial" w:cs="Arial"/>
                <w:sz w:val="20"/>
                <w:szCs w:val="20"/>
              </w:rPr>
              <w:t xml:space="preserve"> </w:t>
            </w:r>
            <w:proofErr w:type="spellStart"/>
            <w:r w:rsidRPr="00834B50">
              <w:rPr>
                <w:rFonts w:ascii="Arial" w:hAnsi="Arial" w:cs="Arial"/>
                <w:sz w:val="20"/>
                <w:szCs w:val="20"/>
              </w:rPr>
              <w:t>Harapan</w:t>
            </w:r>
            <w:proofErr w:type="spellEnd"/>
            <w:r w:rsidRPr="00834B50">
              <w:rPr>
                <w:rFonts w:ascii="Arial" w:hAnsi="Arial" w:cs="Arial"/>
                <w:sz w:val="20"/>
                <w:szCs w:val="20"/>
              </w:rPr>
              <w:t xml:space="preserve"> Jaya Cooperative and the collector in Dusun Kampung Mandar, </w:t>
            </w:r>
            <w:proofErr w:type="spellStart"/>
            <w:r w:rsidRPr="00834B50">
              <w:rPr>
                <w:rFonts w:ascii="Arial" w:hAnsi="Arial" w:cs="Arial"/>
                <w:sz w:val="20"/>
                <w:szCs w:val="20"/>
              </w:rPr>
              <w:t>Seruni</w:t>
            </w:r>
            <w:proofErr w:type="spellEnd"/>
            <w:r w:rsidRPr="00834B50">
              <w:rPr>
                <w:rFonts w:ascii="Arial" w:hAnsi="Arial" w:cs="Arial"/>
                <w:sz w:val="20"/>
                <w:szCs w:val="20"/>
              </w:rPr>
              <w:t xml:space="preserve"> </w:t>
            </w:r>
            <w:proofErr w:type="spellStart"/>
            <w:r w:rsidRPr="00834B50">
              <w:rPr>
                <w:rFonts w:ascii="Arial" w:hAnsi="Arial" w:cs="Arial"/>
                <w:sz w:val="20"/>
                <w:szCs w:val="20"/>
              </w:rPr>
              <w:t>Mumbul</w:t>
            </w:r>
            <w:proofErr w:type="spellEnd"/>
            <w:r w:rsidRPr="00834B50">
              <w:rPr>
                <w:rFonts w:ascii="Arial" w:hAnsi="Arial" w:cs="Arial"/>
                <w:sz w:val="20"/>
                <w:szCs w:val="20"/>
              </w:rPr>
              <w:t xml:space="preserve"> Village, </w:t>
            </w:r>
            <w:proofErr w:type="spellStart"/>
            <w:r w:rsidRPr="00834B50">
              <w:rPr>
                <w:rFonts w:ascii="Arial" w:hAnsi="Arial" w:cs="Arial"/>
                <w:sz w:val="20"/>
                <w:szCs w:val="20"/>
              </w:rPr>
              <w:t>Pringgabaya</w:t>
            </w:r>
            <w:proofErr w:type="spellEnd"/>
            <w:r w:rsidRPr="00834B50">
              <w:rPr>
                <w:rFonts w:ascii="Arial" w:hAnsi="Arial" w:cs="Arial"/>
                <w:sz w:val="20"/>
                <w:szCs w:val="20"/>
              </w:rPr>
              <w:t xml:space="preserve"> Subdistrict, East Lombok Regency, NTB Province.</w:t>
            </w:r>
            <w:r>
              <w:rPr>
                <w:rFonts w:ascii="Arial" w:hAnsi="Arial" w:cs="Arial"/>
                <w:sz w:val="20"/>
                <w:szCs w:val="20"/>
              </w:rPr>
              <w:t xml:space="preserve"> </w:t>
            </w:r>
            <w:r w:rsidRPr="00834B50">
              <w:rPr>
                <w:rFonts w:ascii="Arial" w:hAnsi="Arial" w:cs="Arial"/>
                <w:sz w:val="20"/>
                <w:szCs w:val="20"/>
              </w:rPr>
              <w:t>Data were collected daily in situ using a total landing census method, in which all landed individuals were measured without selection to obtain morphometric data, including dorsal mantle length (DML), body weight, and sex determination. Data analysis included the distribution of mantle length, body weight, and the length–weight relationship.</w:t>
            </w:r>
            <w:r>
              <w:rPr>
                <w:rFonts w:ascii="Arial" w:hAnsi="Arial" w:cs="Arial"/>
                <w:sz w:val="20"/>
                <w:szCs w:val="20"/>
              </w:rPr>
              <w:t xml:space="preserve"> </w:t>
            </w:r>
            <w:r w:rsidR="003F5A97" w:rsidRPr="003F5A97">
              <w:rPr>
                <w:rFonts w:ascii="Arial" w:hAnsi="Arial" w:cs="Arial"/>
                <w:sz w:val="20"/>
                <w:szCs w:val="20"/>
              </w:rPr>
              <w:t>A total of 467 individuals were recorded during the study period. The population was generally dominated by small to medium-sized individuals, indicating ongoing recruitment and active growth. The length–weight relationship showed negative allometric growth in both sexes, suggesting that mantle length increased proportionally faster than body weight. These findings provide baseline biological information that can support sustainable fishery management, including the formulation of minimum catch size regulations and local conservation strategies.</w:t>
            </w:r>
          </w:p>
        </w:tc>
      </w:tr>
    </w:tbl>
    <w:p w14:paraId="0D3EEAA2" w14:textId="77777777" w:rsidR="009F5FB8" w:rsidRDefault="009F5FB8" w:rsidP="00D56E1E">
      <w:pPr>
        <w:pStyle w:val="Body"/>
        <w:spacing w:after="0"/>
        <w:rPr>
          <w:rFonts w:ascii="Arial" w:hAnsi="Arial" w:cs="Arial"/>
          <w:i/>
        </w:rPr>
      </w:pPr>
    </w:p>
    <w:p w14:paraId="35BB5166" w14:textId="634C9D64" w:rsidR="00D03CFD" w:rsidRDefault="00A24E7E" w:rsidP="009F5FB8">
      <w:pPr>
        <w:pStyle w:val="Body"/>
        <w:spacing w:after="0"/>
        <w:ind w:left="993" w:hanging="993"/>
        <w:rPr>
          <w:i/>
          <w:iCs/>
        </w:rPr>
      </w:pPr>
      <w:r w:rsidRPr="001F6062">
        <w:rPr>
          <w:rFonts w:ascii="Arial" w:hAnsi="Arial" w:cs="Arial"/>
          <w:i/>
        </w:rPr>
        <w:t xml:space="preserve">Keywords: </w:t>
      </w:r>
      <w:r w:rsidR="00D56E1E" w:rsidRPr="00D56E1E">
        <w:rPr>
          <w:rStyle w:val="Emphasis"/>
        </w:rPr>
        <w:t xml:space="preserve">Octopus </w:t>
      </w:r>
      <w:proofErr w:type="spellStart"/>
      <w:r w:rsidR="00D56E1E" w:rsidRPr="00D56E1E">
        <w:rPr>
          <w:rStyle w:val="Emphasis"/>
        </w:rPr>
        <w:t>cyanea</w:t>
      </w:r>
      <w:proofErr w:type="spellEnd"/>
      <w:r w:rsidR="00D56E1E" w:rsidRPr="00D56E1E">
        <w:t xml:space="preserve">; </w:t>
      </w:r>
      <w:r w:rsidR="00D56E1E" w:rsidRPr="00D56E1E">
        <w:rPr>
          <w:i/>
          <w:iCs/>
        </w:rPr>
        <w:t>growth pattern; dorsal mantle length; length–weight relationship; East Lombok; reef octopus</w:t>
      </w:r>
    </w:p>
    <w:p w14:paraId="46AA675F" w14:textId="77777777" w:rsidR="00D56E1E" w:rsidRPr="001F6062" w:rsidRDefault="00D56E1E" w:rsidP="00D56E1E">
      <w:pPr>
        <w:pStyle w:val="Body"/>
        <w:spacing w:after="0"/>
        <w:rPr>
          <w:rFonts w:ascii="Arial" w:hAnsi="Arial" w:cs="Arial"/>
        </w:rPr>
      </w:pPr>
    </w:p>
    <w:p w14:paraId="56A2FFBB" w14:textId="55F86804" w:rsidR="007F7B32" w:rsidRPr="001F6062" w:rsidRDefault="00902823" w:rsidP="00441B6F">
      <w:pPr>
        <w:pStyle w:val="AbstHead"/>
        <w:spacing w:after="0"/>
        <w:jc w:val="both"/>
        <w:rPr>
          <w:rFonts w:ascii="Arial" w:hAnsi="Arial" w:cs="Arial"/>
        </w:rPr>
      </w:pPr>
      <w:r w:rsidRPr="001F6062">
        <w:rPr>
          <w:rFonts w:ascii="Arial" w:hAnsi="Arial" w:cs="Arial"/>
        </w:rPr>
        <w:t xml:space="preserve">1. </w:t>
      </w:r>
      <w:r w:rsidR="00B01FCD" w:rsidRPr="001F6062">
        <w:rPr>
          <w:rFonts w:ascii="Arial" w:hAnsi="Arial" w:cs="Arial"/>
        </w:rPr>
        <w:t>INTRODUCTION</w:t>
      </w:r>
    </w:p>
    <w:p w14:paraId="4639998D" w14:textId="77777777" w:rsidR="00790ADA" w:rsidRPr="001F6062" w:rsidRDefault="00790ADA" w:rsidP="00441B6F">
      <w:pPr>
        <w:pStyle w:val="AbstHead"/>
        <w:spacing w:after="0"/>
        <w:jc w:val="both"/>
        <w:rPr>
          <w:rFonts w:ascii="Arial" w:hAnsi="Arial" w:cs="Arial"/>
        </w:rPr>
      </w:pPr>
    </w:p>
    <w:p w14:paraId="1F38B48D" w14:textId="3CE32CBD" w:rsidR="00835D69" w:rsidRPr="00835D69" w:rsidRDefault="00835D69" w:rsidP="00835D69">
      <w:pPr>
        <w:pStyle w:val="Body"/>
        <w:rPr>
          <w:rFonts w:ascii="Arial" w:hAnsi="Arial" w:cs="Arial"/>
          <w:lang w:val="nb-NO" w:eastAsia="nb-NO"/>
        </w:rPr>
      </w:pPr>
      <w:r w:rsidRPr="00835D69">
        <w:rPr>
          <w:rFonts w:ascii="Arial" w:hAnsi="Arial" w:cs="Arial"/>
          <w:lang w:val="nb-NO" w:eastAsia="nb-NO"/>
        </w:rPr>
        <w:t xml:space="preserve">The Province of West Nusa Tenggara (NTB) encompasses 29,159.04 km² of marine waters with high habitat complexity, including 76,420 ha of coral reef ecosystems that provide ecological niches crucial for the survival and reproduction of various benthic organisms, including </w:t>
      </w:r>
      <w:r w:rsidRPr="005D2527">
        <w:rPr>
          <w:rFonts w:ascii="Arial" w:hAnsi="Arial" w:cs="Arial"/>
          <w:i/>
          <w:iCs/>
          <w:lang w:val="nb-NO" w:eastAsia="nb-NO"/>
        </w:rPr>
        <w:t>Octopus cyanea</w:t>
      </w:r>
      <w:r w:rsidRPr="00835D69">
        <w:rPr>
          <w:rFonts w:ascii="Arial" w:hAnsi="Arial" w:cs="Arial"/>
          <w:lang w:val="nb-NO" w:eastAsia="nb-NO"/>
        </w:rPr>
        <w:t xml:space="preserve"> (Taqwa</w:t>
      </w:r>
      <w:r w:rsidR="00694220">
        <w:rPr>
          <w:rFonts w:ascii="Arial" w:hAnsi="Arial" w:cs="Arial"/>
          <w:lang w:val="nb-NO" w:eastAsia="nb-NO"/>
        </w:rPr>
        <w:t>,</w:t>
      </w:r>
      <w:r w:rsidRPr="00835D69">
        <w:rPr>
          <w:rFonts w:ascii="Arial" w:hAnsi="Arial" w:cs="Arial"/>
          <w:lang w:val="nb-NO" w:eastAsia="nb-NO"/>
        </w:rPr>
        <w:t xml:space="preserve"> 2024). From a bio-ecological perspective, octopuses are semelparous organisms with short life cycles, occupying an important position in the food web as both predators and prey (Linung </w:t>
      </w:r>
      <w:r w:rsidRPr="00835D69">
        <w:rPr>
          <w:rFonts w:ascii="Arial" w:hAnsi="Arial" w:cs="Arial"/>
          <w:i/>
          <w:iCs/>
          <w:lang w:val="nb-NO" w:eastAsia="nb-NO"/>
        </w:rPr>
        <w:t>et al</w:t>
      </w:r>
      <w:r w:rsidRPr="00835D69">
        <w:rPr>
          <w:rFonts w:ascii="Arial" w:hAnsi="Arial" w:cs="Arial"/>
          <w:lang w:val="nb-NO" w:eastAsia="nb-NO"/>
        </w:rPr>
        <w:t xml:space="preserve">., 2024). They utilize crevices and hard substrates as dens for shelter and reproduction (Taqwa, 2024). However, as intertidal to subtidal organisms, </w:t>
      </w:r>
      <w:r w:rsidRPr="00835D69">
        <w:rPr>
          <w:rFonts w:ascii="Arial" w:hAnsi="Arial" w:cs="Arial"/>
          <w:i/>
          <w:iCs/>
        </w:rPr>
        <w:t xml:space="preserve">Octopus </w:t>
      </w:r>
      <w:proofErr w:type="spellStart"/>
      <w:r w:rsidRPr="00835D69">
        <w:rPr>
          <w:rFonts w:ascii="Arial" w:hAnsi="Arial" w:cs="Arial"/>
          <w:i/>
          <w:iCs/>
        </w:rPr>
        <w:t>cyanea</w:t>
      </w:r>
      <w:proofErr w:type="spellEnd"/>
      <w:r w:rsidRPr="00835D69">
        <w:rPr>
          <w:rFonts w:ascii="Arial" w:hAnsi="Arial" w:cs="Arial"/>
          <w:lang w:val="nb-NO" w:eastAsia="nb-NO"/>
        </w:rPr>
        <w:t xml:space="preserve"> populations are vulnerable to anthropogenic pressures. Intensive resource extraction not only reduces population abundance but also has the potential to alter size structure and disrupt trophic balance within marine ecosystems (Tarigan &amp; Simbolon, 2020).</w:t>
      </w:r>
    </w:p>
    <w:p w14:paraId="2C49AF0C" w14:textId="180082F3" w:rsidR="00835D69" w:rsidRPr="00835D69" w:rsidRDefault="00835D69" w:rsidP="00835D69">
      <w:pPr>
        <w:pStyle w:val="Body"/>
        <w:rPr>
          <w:rFonts w:ascii="Arial" w:hAnsi="Arial" w:cs="Arial"/>
          <w:lang w:val="nb-NO" w:eastAsia="nb-NO"/>
        </w:rPr>
      </w:pPr>
      <w:r w:rsidRPr="00835D69">
        <w:rPr>
          <w:rFonts w:ascii="Arial" w:hAnsi="Arial" w:cs="Arial"/>
          <w:lang w:val="nb-NO" w:eastAsia="nb-NO"/>
        </w:rPr>
        <w:t xml:space="preserve">In several regions, such as Simeulue Regency, octopus is a high-value commodity that contributes significantly to the economic welfare of coastal communities, particularly octopus fishers (Putri &amp; Zuraidah, 2022). Over the past decade, octopus has become an important export commodity, offering higher income potential compared to other species such as tuna, grouper, and snapper. High export demand and competitive market prices have led many fishers to target octopus as either a primary or secondary catch (Alim </w:t>
      </w:r>
      <w:r w:rsidRPr="00835D69">
        <w:rPr>
          <w:rFonts w:ascii="Arial" w:hAnsi="Arial" w:cs="Arial"/>
          <w:i/>
          <w:iCs/>
          <w:lang w:val="nb-NO" w:eastAsia="nb-NO"/>
        </w:rPr>
        <w:t>et al</w:t>
      </w:r>
      <w:r w:rsidRPr="00835D69">
        <w:rPr>
          <w:rFonts w:ascii="Arial" w:hAnsi="Arial" w:cs="Arial"/>
          <w:lang w:val="nb-NO" w:eastAsia="nb-NO"/>
        </w:rPr>
        <w:t xml:space="preserve">., 2023). This trend </w:t>
      </w:r>
      <w:r w:rsidRPr="00835D69">
        <w:rPr>
          <w:rFonts w:ascii="Arial" w:hAnsi="Arial" w:cs="Arial"/>
          <w:lang w:val="nb-NO" w:eastAsia="nb-NO"/>
        </w:rPr>
        <w:lastRenderedPageBreak/>
        <w:t>is reflected in production data from NTB, where octopus production reached 520.7 tons in 2022, up from 227.9 tons in 2020 and 329.9 tons in 2021 (Dislutkan NTB, 2023), indicating significant exploitation pressure on local populations.</w:t>
      </w:r>
    </w:p>
    <w:p w14:paraId="21CD3BD3" w14:textId="6C0A5DC3" w:rsidR="00835D69" w:rsidRPr="00835D69" w:rsidRDefault="00835D69" w:rsidP="00835D69">
      <w:pPr>
        <w:pStyle w:val="Body"/>
        <w:rPr>
          <w:rFonts w:ascii="Arial" w:hAnsi="Arial" w:cs="Arial"/>
          <w:lang w:val="nb-NO" w:eastAsia="nb-NO"/>
        </w:rPr>
      </w:pPr>
      <w:r w:rsidRPr="00835D69">
        <w:rPr>
          <w:rFonts w:ascii="Arial" w:hAnsi="Arial" w:cs="Arial"/>
          <w:lang w:val="nb-NO" w:eastAsia="nb-NO"/>
        </w:rPr>
        <w:t xml:space="preserve">Understanding biological aspects, particularly growth patterns, is fundamental in marine science to explain how organisms respond to environmental conditions. The growth of </w:t>
      </w:r>
      <w:r w:rsidRPr="00835D69">
        <w:rPr>
          <w:rFonts w:ascii="Arial" w:hAnsi="Arial" w:cs="Arial"/>
          <w:i/>
          <w:iCs/>
        </w:rPr>
        <w:t xml:space="preserve">Octopus </w:t>
      </w:r>
      <w:proofErr w:type="spellStart"/>
      <w:r w:rsidRPr="00835D69">
        <w:rPr>
          <w:rFonts w:ascii="Arial" w:hAnsi="Arial" w:cs="Arial"/>
          <w:i/>
          <w:iCs/>
        </w:rPr>
        <w:t>cyanea</w:t>
      </w:r>
      <w:proofErr w:type="spellEnd"/>
      <w:r w:rsidRPr="00835D69">
        <w:rPr>
          <w:rFonts w:ascii="Arial" w:hAnsi="Arial" w:cs="Arial"/>
          <w:lang w:val="nb-NO" w:eastAsia="nb-NO"/>
        </w:rPr>
        <w:t xml:space="preserve"> is influenced by oceanographic variables and food availability in its habitat (Amir </w:t>
      </w:r>
      <w:r w:rsidRPr="00835D69">
        <w:rPr>
          <w:rFonts w:ascii="Arial" w:hAnsi="Arial" w:cs="Arial"/>
          <w:i/>
          <w:iCs/>
          <w:lang w:val="nb-NO" w:eastAsia="nb-NO"/>
        </w:rPr>
        <w:t>et al</w:t>
      </w:r>
      <w:r w:rsidRPr="00835D69">
        <w:rPr>
          <w:rFonts w:ascii="Arial" w:hAnsi="Arial" w:cs="Arial"/>
          <w:lang w:val="nb-NO" w:eastAsia="nb-NO"/>
        </w:rPr>
        <w:t xml:space="preserve">., 2021). The length–weight relationship is commonly used to estimate condition factors and describe growth trends of individuals within a population (Omar </w:t>
      </w:r>
      <w:r w:rsidRPr="00835D69">
        <w:rPr>
          <w:rFonts w:ascii="Arial" w:hAnsi="Arial" w:cs="Arial"/>
          <w:i/>
          <w:iCs/>
          <w:lang w:val="nb-NO" w:eastAsia="nb-NO"/>
        </w:rPr>
        <w:t>et al</w:t>
      </w:r>
      <w:r w:rsidRPr="00835D69">
        <w:rPr>
          <w:rFonts w:ascii="Arial" w:hAnsi="Arial" w:cs="Arial"/>
          <w:lang w:val="nb-NO" w:eastAsia="nb-NO"/>
        </w:rPr>
        <w:t xml:space="preserve">., 2020 </w:t>
      </w:r>
      <w:r w:rsidRPr="004F7E5B">
        <w:rPr>
          <w:rFonts w:ascii="Arial" w:hAnsi="Arial" w:cs="Arial"/>
          <w:i/>
          <w:iCs/>
          <w:lang w:val="nb-NO" w:eastAsia="nb-NO"/>
        </w:rPr>
        <w:t>in</w:t>
      </w:r>
      <w:r w:rsidRPr="00835D69">
        <w:rPr>
          <w:rFonts w:ascii="Arial" w:hAnsi="Arial" w:cs="Arial"/>
          <w:lang w:val="nb-NO" w:eastAsia="nb-NO"/>
        </w:rPr>
        <w:t xml:space="preserve"> Kartini, 2023). Growth parameters also reflect habitat suitability and the adaptive capacity of octopus to environmental variability (Ahmed </w:t>
      </w:r>
      <w:r w:rsidRPr="00835D69">
        <w:rPr>
          <w:rFonts w:ascii="Arial" w:hAnsi="Arial" w:cs="Arial"/>
          <w:i/>
          <w:iCs/>
          <w:lang w:val="nb-NO" w:eastAsia="nb-NO"/>
        </w:rPr>
        <w:t>et al</w:t>
      </w:r>
      <w:r w:rsidRPr="00835D69">
        <w:rPr>
          <w:rFonts w:ascii="Arial" w:hAnsi="Arial" w:cs="Arial"/>
          <w:lang w:val="nb-NO" w:eastAsia="nb-NO"/>
        </w:rPr>
        <w:t xml:space="preserve">., 2021). Differences in physicochemical characteristics of waters can trigger morphometric variations as forms of phenotypic adaptation (Semmens </w:t>
      </w:r>
      <w:r w:rsidRPr="00835D69">
        <w:rPr>
          <w:rFonts w:ascii="Arial" w:hAnsi="Arial" w:cs="Arial"/>
          <w:i/>
          <w:iCs/>
          <w:lang w:val="nb-NO" w:eastAsia="nb-NO"/>
        </w:rPr>
        <w:t>et al</w:t>
      </w:r>
      <w:r w:rsidRPr="00835D69">
        <w:rPr>
          <w:rFonts w:ascii="Arial" w:hAnsi="Arial" w:cs="Arial"/>
          <w:lang w:val="nb-NO" w:eastAsia="nb-NO"/>
        </w:rPr>
        <w:t xml:space="preserve">., 2004; Diniariwisan </w:t>
      </w:r>
      <w:r w:rsidRPr="00835D69">
        <w:rPr>
          <w:rFonts w:ascii="Arial" w:hAnsi="Arial" w:cs="Arial"/>
          <w:i/>
          <w:iCs/>
          <w:lang w:val="nb-NO" w:eastAsia="nb-NO"/>
        </w:rPr>
        <w:t>et al</w:t>
      </w:r>
      <w:r w:rsidRPr="00835D69">
        <w:rPr>
          <w:rFonts w:ascii="Arial" w:hAnsi="Arial" w:cs="Arial"/>
          <w:lang w:val="nb-NO" w:eastAsia="nb-NO"/>
        </w:rPr>
        <w:t>., 2023).</w:t>
      </w:r>
    </w:p>
    <w:p w14:paraId="75A4DC02" w14:textId="108FEDE2" w:rsidR="00D56E1E" w:rsidRPr="001F6062" w:rsidRDefault="00835D69" w:rsidP="00835D69">
      <w:pPr>
        <w:pStyle w:val="Body"/>
        <w:spacing w:after="0"/>
        <w:rPr>
          <w:rFonts w:ascii="Arial" w:hAnsi="Arial" w:cs="Arial"/>
        </w:rPr>
      </w:pPr>
      <w:r w:rsidRPr="00835D69">
        <w:rPr>
          <w:rFonts w:ascii="Arial" w:hAnsi="Arial" w:cs="Arial"/>
          <w:lang w:val="nb-NO" w:eastAsia="nb-NO"/>
        </w:rPr>
        <w:t xml:space="preserve">The waters surrounding Seruni Mumbul Village, East Lombok Regency, represent a specific habitat for </w:t>
      </w:r>
      <w:r w:rsidRPr="00835D69">
        <w:rPr>
          <w:rFonts w:ascii="Arial" w:hAnsi="Arial" w:cs="Arial"/>
          <w:i/>
          <w:iCs/>
        </w:rPr>
        <w:t xml:space="preserve">Octopus </w:t>
      </w:r>
      <w:proofErr w:type="spellStart"/>
      <w:r w:rsidRPr="00835D69">
        <w:rPr>
          <w:rFonts w:ascii="Arial" w:hAnsi="Arial" w:cs="Arial"/>
          <w:i/>
          <w:iCs/>
        </w:rPr>
        <w:t>cyanea</w:t>
      </w:r>
      <w:proofErr w:type="spellEnd"/>
      <w:r w:rsidRPr="00835D69">
        <w:rPr>
          <w:rFonts w:ascii="Arial" w:hAnsi="Arial" w:cs="Arial"/>
          <w:lang w:val="nb-NO" w:eastAsia="nb-NO"/>
        </w:rPr>
        <w:t xml:space="preserve"> in NTB. Although Mulyani </w:t>
      </w:r>
      <w:r w:rsidRPr="00835D69">
        <w:rPr>
          <w:rFonts w:ascii="Arial" w:hAnsi="Arial" w:cs="Arial"/>
          <w:i/>
          <w:iCs/>
          <w:lang w:val="nb-NO" w:eastAsia="nb-NO"/>
        </w:rPr>
        <w:t>et al</w:t>
      </w:r>
      <w:r w:rsidRPr="00835D69">
        <w:rPr>
          <w:rFonts w:ascii="Arial" w:hAnsi="Arial" w:cs="Arial"/>
          <w:lang w:val="nb-NO" w:eastAsia="nb-NO"/>
        </w:rPr>
        <w:t xml:space="preserve">. (2024) reported the dominance of this species in the Alas Strait, data on local population growth dynamics around Seruni Mumbul remain limited. This constitutes a critical research gap, given that </w:t>
      </w:r>
      <w:r w:rsidRPr="00835D69">
        <w:rPr>
          <w:rFonts w:ascii="Arial" w:hAnsi="Arial" w:cs="Arial"/>
          <w:i/>
          <w:iCs/>
        </w:rPr>
        <w:t xml:space="preserve">Octopus </w:t>
      </w:r>
      <w:proofErr w:type="spellStart"/>
      <w:r w:rsidRPr="00835D69">
        <w:rPr>
          <w:rFonts w:ascii="Arial" w:hAnsi="Arial" w:cs="Arial"/>
          <w:i/>
          <w:iCs/>
        </w:rPr>
        <w:t>cyanea</w:t>
      </w:r>
      <w:proofErr w:type="spellEnd"/>
      <w:r w:rsidRPr="00835D69">
        <w:rPr>
          <w:rFonts w:ascii="Arial" w:hAnsi="Arial" w:cs="Arial"/>
          <w:lang w:val="nb-NO" w:eastAsia="nb-NO"/>
        </w:rPr>
        <w:t xml:space="preserve"> </w:t>
      </w:r>
      <w:r>
        <w:rPr>
          <w:rFonts w:ascii="Arial" w:hAnsi="Arial" w:cs="Arial"/>
          <w:lang w:val="nb-NO" w:eastAsia="nb-NO"/>
        </w:rPr>
        <w:t xml:space="preserve"> </w:t>
      </w:r>
      <w:r w:rsidRPr="00835D69">
        <w:rPr>
          <w:rFonts w:ascii="Arial" w:hAnsi="Arial" w:cs="Arial"/>
          <w:lang w:val="nb-NO" w:eastAsia="nb-NO"/>
        </w:rPr>
        <w:t xml:space="preserve">exhibits rapid growth with a lifespan of less than one year (Linung </w:t>
      </w:r>
      <w:r w:rsidRPr="00835D69">
        <w:rPr>
          <w:rFonts w:ascii="Arial" w:hAnsi="Arial" w:cs="Arial"/>
          <w:i/>
          <w:iCs/>
          <w:lang w:val="nb-NO" w:eastAsia="nb-NO"/>
        </w:rPr>
        <w:t>et al</w:t>
      </w:r>
      <w:r w:rsidRPr="00835D69">
        <w:rPr>
          <w:rFonts w:ascii="Arial" w:hAnsi="Arial" w:cs="Arial"/>
          <w:lang w:val="nb-NO" w:eastAsia="nb-NO"/>
        </w:rPr>
        <w:t xml:space="preserve">., 2024), during which male and female reproductive phases occur within a short period (Rufiati </w:t>
      </w:r>
      <w:r w:rsidRPr="00835D69">
        <w:rPr>
          <w:rFonts w:ascii="Arial" w:hAnsi="Arial" w:cs="Arial"/>
          <w:i/>
          <w:iCs/>
          <w:lang w:val="nb-NO" w:eastAsia="nb-NO"/>
        </w:rPr>
        <w:t>et al</w:t>
      </w:r>
      <w:r w:rsidRPr="00835D69">
        <w:rPr>
          <w:rFonts w:ascii="Arial" w:hAnsi="Arial" w:cs="Arial"/>
          <w:lang w:val="nb-NO" w:eastAsia="nb-NO"/>
        </w:rPr>
        <w:t xml:space="preserve">., 2024). The absence of baseline biological data at the local level may hinder conservation efforts and understanding of environmental carrying capacity. Considering that octopus distribution is influenced by local factors, this study is essential to analyze the growth patterns of </w:t>
      </w:r>
      <w:r w:rsidRPr="00835D69">
        <w:rPr>
          <w:rFonts w:ascii="Arial" w:hAnsi="Arial" w:cs="Arial"/>
          <w:i/>
          <w:iCs/>
        </w:rPr>
        <w:t xml:space="preserve">Octopus </w:t>
      </w:r>
      <w:proofErr w:type="spellStart"/>
      <w:r w:rsidRPr="00835D69">
        <w:rPr>
          <w:rFonts w:ascii="Arial" w:hAnsi="Arial" w:cs="Arial"/>
          <w:i/>
          <w:iCs/>
        </w:rPr>
        <w:t>cyanea</w:t>
      </w:r>
      <w:proofErr w:type="spellEnd"/>
      <w:r w:rsidRPr="00835D69">
        <w:rPr>
          <w:rFonts w:ascii="Arial" w:hAnsi="Arial" w:cs="Arial"/>
          <w:lang w:val="nb-NO" w:eastAsia="nb-NO"/>
        </w:rPr>
        <w:t>, providing biological data for understanding population dynamics in the waters surrounding Seruni Mumbul Village.</w:t>
      </w:r>
    </w:p>
    <w:p w14:paraId="3AC0F840" w14:textId="77777777" w:rsidR="00835D69" w:rsidRDefault="00835D69" w:rsidP="00441B6F">
      <w:pPr>
        <w:pStyle w:val="AbstHead"/>
        <w:spacing w:after="0"/>
        <w:jc w:val="both"/>
        <w:rPr>
          <w:rFonts w:ascii="Arial" w:hAnsi="Arial" w:cs="Arial"/>
        </w:rPr>
      </w:pPr>
    </w:p>
    <w:p w14:paraId="3EA6E1DE" w14:textId="505728B1" w:rsidR="007F7B32" w:rsidRPr="001F6062" w:rsidRDefault="00902823" w:rsidP="00441B6F">
      <w:pPr>
        <w:pStyle w:val="AbstHead"/>
        <w:spacing w:after="0"/>
        <w:jc w:val="both"/>
        <w:rPr>
          <w:rFonts w:ascii="Arial" w:hAnsi="Arial" w:cs="Arial"/>
        </w:rPr>
      </w:pPr>
      <w:r w:rsidRPr="001F6062">
        <w:rPr>
          <w:rFonts w:ascii="Arial" w:hAnsi="Arial" w:cs="Arial"/>
        </w:rPr>
        <w:t>2. material and method</w:t>
      </w:r>
      <w:r w:rsidR="00000F8F" w:rsidRPr="001F6062">
        <w:rPr>
          <w:rFonts w:ascii="Arial" w:hAnsi="Arial" w:cs="Arial"/>
        </w:rPr>
        <w:t>s</w:t>
      </w:r>
    </w:p>
    <w:p w14:paraId="2333DC8A" w14:textId="77777777" w:rsidR="00790ADA" w:rsidRPr="001F6062" w:rsidRDefault="00790ADA" w:rsidP="00441B6F">
      <w:pPr>
        <w:pStyle w:val="AbstHead"/>
        <w:spacing w:after="0"/>
        <w:jc w:val="both"/>
        <w:rPr>
          <w:rFonts w:ascii="Arial" w:hAnsi="Arial" w:cs="Arial"/>
        </w:rPr>
      </w:pPr>
    </w:p>
    <w:p w14:paraId="506B5F53" w14:textId="4E21EA42" w:rsidR="00B271C8" w:rsidRPr="009F5FB8" w:rsidRDefault="00C202B7" w:rsidP="009F5FB8">
      <w:pPr>
        <w:pStyle w:val="AbstHead"/>
        <w:spacing w:after="0"/>
        <w:jc w:val="both"/>
        <w:rPr>
          <w:rFonts w:ascii="Arial" w:hAnsi="Arial" w:cs="Arial"/>
        </w:rPr>
      </w:pPr>
      <w:r w:rsidRPr="009F5FB8">
        <w:rPr>
          <w:rFonts w:ascii="Arial" w:hAnsi="Arial" w:cs="Arial"/>
        </w:rPr>
        <w:t xml:space="preserve">2.1 </w:t>
      </w:r>
      <w:r w:rsidR="009F5FB8" w:rsidRPr="009F5FB8">
        <w:rPr>
          <w:rFonts w:ascii="Arial" w:hAnsi="Arial" w:cs="Arial"/>
          <w:caps w:val="0"/>
        </w:rPr>
        <w:t>Study Area</w:t>
      </w:r>
    </w:p>
    <w:p w14:paraId="091D48F7" w14:textId="77777777" w:rsidR="009F5FB8" w:rsidRDefault="009F5FB8" w:rsidP="000552C3">
      <w:pPr>
        <w:pStyle w:val="CommentText"/>
        <w:jc w:val="both"/>
        <w:rPr>
          <w:rFonts w:ascii="Arial" w:hAnsi="Arial" w:cs="Arial"/>
        </w:rPr>
      </w:pPr>
    </w:p>
    <w:p w14:paraId="7C96AE18" w14:textId="5F18B811" w:rsidR="0003118F" w:rsidRPr="0003118F" w:rsidRDefault="0003118F" w:rsidP="0003118F">
      <w:pPr>
        <w:pStyle w:val="CommentText"/>
        <w:jc w:val="both"/>
        <w:rPr>
          <w:rFonts w:ascii="Arial" w:hAnsi="Arial" w:cs="Arial"/>
        </w:rPr>
      </w:pPr>
      <w:r w:rsidRPr="0003118F">
        <w:rPr>
          <w:rFonts w:ascii="Arial" w:hAnsi="Arial" w:cs="Arial"/>
        </w:rPr>
        <w:t>This study was conducted over a five-month period, from April to August 2025. Data collection focused on the catch from fishers operating in the waters surrounding Seruni Mumbul Village, East Lombok Regency, geographically located along the Alas Strait coast (Figure 1). These waters are characterized by coral reef and seagrass habitats, which serve as the main fishing grounds for local fishers. The fishing gear employed was a modified hand line designed to resemble a conch.</w:t>
      </w:r>
    </w:p>
    <w:p w14:paraId="3BA1C029" w14:textId="77777777" w:rsidR="0003118F" w:rsidRPr="0003118F" w:rsidRDefault="0003118F" w:rsidP="0003118F">
      <w:pPr>
        <w:pStyle w:val="CommentText"/>
        <w:jc w:val="both"/>
        <w:rPr>
          <w:rFonts w:ascii="Arial" w:hAnsi="Arial" w:cs="Arial"/>
        </w:rPr>
      </w:pPr>
    </w:p>
    <w:p w14:paraId="62D3917B" w14:textId="4755BF08" w:rsidR="000552C3" w:rsidRPr="0075135D" w:rsidRDefault="0003118F" w:rsidP="0003118F">
      <w:pPr>
        <w:pStyle w:val="CommentText"/>
        <w:jc w:val="both"/>
        <w:rPr>
          <w:rFonts w:ascii="Arial" w:hAnsi="Arial" w:cs="Arial"/>
        </w:rPr>
      </w:pPr>
      <w:r w:rsidRPr="0003118F">
        <w:rPr>
          <w:rFonts w:ascii="Arial" w:hAnsi="Arial" w:cs="Arial"/>
        </w:rPr>
        <w:t xml:space="preserve">Data were collected in situ at two main landing sites representing the catches from the area: Segare Harapan Jaya Cooperative (-8.510614, 116.664169) and the collector in Dusun Kampung Mandar (-8.500976, 116.674004). All </w:t>
      </w:r>
      <w:r w:rsidRPr="005D2527">
        <w:rPr>
          <w:rFonts w:ascii="Arial" w:hAnsi="Arial" w:cs="Arial"/>
          <w:i/>
          <w:iCs/>
        </w:rPr>
        <w:t>Octopus cyanea</w:t>
      </w:r>
      <w:r w:rsidRPr="0003118F">
        <w:rPr>
          <w:rFonts w:ascii="Arial" w:hAnsi="Arial" w:cs="Arial"/>
        </w:rPr>
        <w:t xml:space="preserve"> individuals were recorded immediately after landing to ensure accuracy of morphometric measurements. A total of 467 individuals were measured in this study.</w:t>
      </w:r>
    </w:p>
    <w:p w14:paraId="28FD71A1" w14:textId="7060E729" w:rsidR="008C5027" w:rsidRPr="0075135D" w:rsidRDefault="007C514D" w:rsidP="008C5027">
      <w:pPr>
        <w:spacing w:before="120" w:after="120"/>
        <w:ind w:firstLine="567"/>
        <w:jc w:val="center"/>
        <w:rPr>
          <w:rFonts w:ascii="Arial" w:hAnsi="Arial" w:cs="Arial"/>
          <w:color w:val="000000"/>
        </w:rPr>
      </w:pPr>
      <w:r>
        <w:rPr>
          <w:rFonts w:ascii="Arial" w:hAnsi="Arial" w:cs="Arial"/>
          <w:noProof/>
          <w:color w:val="000000"/>
        </w:rPr>
        <w:lastRenderedPageBreak/>
        <w:drawing>
          <wp:inline distT="0" distB="0" distL="0" distR="0" wp14:anchorId="5090F888" wp14:editId="25CAB5D4">
            <wp:extent cx="3687921" cy="26515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4">
                      <a:extLst>
                        <a:ext uri="{28A0092B-C50C-407E-A947-70E740481C1C}">
                          <a14:useLocalDpi xmlns:a14="http://schemas.microsoft.com/office/drawing/2010/main" val="0"/>
                        </a:ext>
                      </a:extLst>
                    </a:blip>
                    <a:srcRect l="19530" t="15015" r="19215" b="6656"/>
                    <a:stretch/>
                  </pic:blipFill>
                  <pic:spPr bwMode="auto">
                    <a:xfrm>
                      <a:off x="0" y="0"/>
                      <a:ext cx="3711896" cy="2668773"/>
                    </a:xfrm>
                    <a:prstGeom prst="rect">
                      <a:avLst/>
                    </a:prstGeom>
                    <a:ln>
                      <a:noFill/>
                    </a:ln>
                    <a:extLst>
                      <a:ext uri="{53640926-AAD7-44D8-BBD7-CCE9431645EC}">
                        <a14:shadowObscured xmlns:a14="http://schemas.microsoft.com/office/drawing/2010/main"/>
                      </a:ext>
                    </a:extLst>
                  </pic:spPr>
                </pic:pic>
              </a:graphicData>
            </a:graphic>
          </wp:inline>
        </w:drawing>
      </w:r>
    </w:p>
    <w:p w14:paraId="74EC3706" w14:textId="112E8A49" w:rsidR="000B7BF1" w:rsidRPr="0075135D" w:rsidRDefault="00583075" w:rsidP="00F56A80">
      <w:pPr>
        <w:spacing w:before="120" w:after="120"/>
        <w:ind w:firstLine="567"/>
        <w:jc w:val="center"/>
        <w:rPr>
          <w:rFonts w:ascii="Arial" w:hAnsi="Arial" w:cs="Arial"/>
          <w:color w:val="000000"/>
        </w:rPr>
      </w:pPr>
      <w:r w:rsidRPr="0075135D">
        <w:rPr>
          <w:rFonts w:ascii="Arial" w:hAnsi="Arial" w:cs="Arial"/>
        </w:rPr>
        <w:t>Figure 1. Study Area Map</w:t>
      </w:r>
    </w:p>
    <w:p w14:paraId="617AAB15" w14:textId="172F0DAF" w:rsidR="00C202B7" w:rsidRPr="009F5FB8" w:rsidRDefault="00C202B7" w:rsidP="009F5FB8">
      <w:pPr>
        <w:pStyle w:val="AbstHead"/>
        <w:spacing w:after="0"/>
        <w:jc w:val="both"/>
        <w:rPr>
          <w:rFonts w:ascii="Arial" w:hAnsi="Arial" w:cs="Arial"/>
        </w:rPr>
      </w:pPr>
      <w:r w:rsidRPr="009F5FB8">
        <w:rPr>
          <w:rFonts w:ascii="Arial" w:hAnsi="Arial" w:cs="Arial"/>
        </w:rPr>
        <w:t xml:space="preserve">2.2 </w:t>
      </w:r>
      <w:r w:rsidR="009F5FB8" w:rsidRPr="009F5FB8">
        <w:rPr>
          <w:rFonts w:ascii="Arial" w:hAnsi="Arial" w:cs="Arial"/>
          <w:caps w:val="0"/>
        </w:rPr>
        <w:t>Data Collection</w:t>
      </w:r>
    </w:p>
    <w:p w14:paraId="55974AFA" w14:textId="77777777" w:rsidR="0003118F" w:rsidRPr="00A93E73" w:rsidRDefault="0003118F" w:rsidP="0003118F">
      <w:pPr>
        <w:pStyle w:val="NormalWeb"/>
        <w:shd w:val="clear" w:color="auto" w:fill="FFFFFF" w:themeFill="background1"/>
        <w:jc w:val="both"/>
        <w:rPr>
          <w:rFonts w:ascii="Arial" w:hAnsi="Arial" w:cs="Arial"/>
          <w:sz w:val="20"/>
          <w:szCs w:val="20"/>
        </w:rPr>
      </w:pPr>
      <w:bookmarkStart w:id="0" w:name="_Hlk222461949"/>
      <w:r w:rsidRPr="00A93E73">
        <w:rPr>
          <w:rFonts w:ascii="Arial" w:hAnsi="Arial" w:cs="Arial"/>
          <w:sz w:val="20"/>
          <w:szCs w:val="20"/>
        </w:rPr>
        <w:t xml:space="preserve">The data used in this study consisted of primary and secondary data. Primary data were obtained through direct measurements of all </w:t>
      </w:r>
      <w:r w:rsidRPr="00A93E73">
        <w:rPr>
          <w:rFonts w:ascii="Arial" w:hAnsi="Arial" w:cs="Arial"/>
          <w:i/>
          <w:iCs/>
          <w:sz w:val="20"/>
          <w:szCs w:val="20"/>
        </w:rPr>
        <w:t xml:space="preserve">Octopus </w:t>
      </w:r>
      <w:proofErr w:type="spellStart"/>
      <w:r w:rsidRPr="00A93E73">
        <w:rPr>
          <w:rFonts w:ascii="Arial" w:hAnsi="Arial" w:cs="Arial"/>
          <w:i/>
          <w:iCs/>
          <w:sz w:val="20"/>
          <w:szCs w:val="20"/>
        </w:rPr>
        <w:t>cyanea</w:t>
      </w:r>
      <w:proofErr w:type="spellEnd"/>
      <w:r w:rsidRPr="00A93E73">
        <w:rPr>
          <w:rFonts w:ascii="Arial" w:hAnsi="Arial" w:cs="Arial"/>
          <w:sz w:val="20"/>
          <w:szCs w:val="20"/>
        </w:rPr>
        <w:t xml:space="preserve"> individuals landed at two sites: </w:t>
      </w:r>
      <w:proofErr w:type="spellStart"/>
      <w:r w:rsidRPr="00A93E73">
        <w:rPr>
          <w:rFonts w:ascii="Arial" w:hAnsi="Arial" w:cs="Arial"/>
          <w:sz w:val="20"/>
          <w:szCs w:val="20"/>
        </w:rPr>
        <w:t>Segare</w:t>
      </w:r>
      <w:proofErr w:type="spellEnd"/>
      <w:r w:rsidRPr="00A93E73">
        <w:rPr>
          <w:rFonts w:ascii="Arial" w:hAnsi="Arial" w:cs="Arial"/>
          <w:sz w:val="20"/>
          <w:szCs w:val="20"/>
        </w:rPr>
        <w:t xml:space="preserve"> </w:t>
      </w:r>
      <w:proofErr w:type="spellStart"/>
      <w:r w:rsidRPr="00A93E73">
        <w:rPr>
          <w:rFonts w:ascii="Arial" w:hAnsi="Arial" w:cs="Arial"/>
          <w:sz w:val="20"/>
          <w:szCs w:val="20"/>
        </w:rPr>
        <w:t>Harapan</w:t>
      </w:r>
      <w:proofErr w:type="spellEnd"/>
      <w:r w:rsidRPr="00A93E73">
        <w:rPr>
          <w:rFonts w:ascii="Arial" w:hAnsi="Arial" w:cs="Arial"/>
          <w:sz w:val="20"/>
          <w:szCs w:val="20"/>
        </w:rPr>
        <w:t xml:space="preserve"> Jaya Cooperative and the collector in Dusun Kampung Mandar. The measured parameters included dorsal mantle length (DML), body weight, sex, total length (TL), arm length (AL), head width, and sucker diameter. DML was used as the primary parameter for assessing gonadal maturity, as it is more stable and less affected by arm flexibility or regeneration compared to total length.</w:t>
      </w:r>
    </w:p>
    <w:p w14:paraId="28243A9A" w14:textId="07069D2E" w:rsidR="0003118F" w:rsidRDefault="0003118F" w:rsidP="0003118F">
      <w:pPr>
        <w:pStyle w:val="NormalWeb"/>
        <w:shd w:val="clear" w:color="auto" w:fill="FFFFFF" w:themeFill="background1"/>
        <w:jc w:val="both"/>
        <w:rPr>
          <w:rFonts w:ascii="Arial" w:hAnsi="Arial" w:cs="Arial"/>
          <w:sz w:val="20"/>
          <w:szCs w:val="20"/>
        </w:rPr>
      </w:pPr>
      <w:r w:rsidRPr="00A93E73">
        <w:rPr>
          <w:rFonts w:ascii="Arial" w:hAnsi="Arial" w:cs="Arial"/>
          <w:sz w:val="20"/>
          <w:szCs w:val="20"/>
        </w:rPr>
        <w:t xml:space="preserve">Species identification was conducted based on morphological characteristics. </w:t>
      </w:r>
      <w:r w:rsidRPr="005D2527">
        <w:rPr>
          <w:rFonts w:ascii="Arial" w:hAnsi="Arial" w:cs="Arial"/>
          <w:i/>
          <w:iCs/>
          <w:sz w:val="20"/>
          <w:szCs w:val="20"/>
        </w:rPr>
        <w:t xml:space="preserve">Octopus </w:t>
      </w:r>
      <w:proofErr w:type="spellStart"/>
      <w:r w:rsidRPr="005D2527">
        <w:rPr>
          <w:rFonts w:ascii="Arial" w:hAnsi="Arial" w:cs="Arial"/>
          <w:i/>
          <w:iCs/>
          <w:sz w:val="20"/>
          <w:szCs w:val="20"/>
        </w:rPr>
        <w:t>cyanea</w:t>
      </w:r>
      <w:proofErr w:type="spellEnd"/>
      <w:r w:rsidRPr="00A93E73">
        <w:rPr>
          <w:rFonts w:ascii="Arial" w:hAnsi="Arial" w:cs="Arial"/>
          <w:sz w:val="20"/>
          <w:szCs w:val="20"/>
        </w:rPr>
        <w:t xml:space="preserve"> has a relatively large body, with arms 4–6 times the mantle length. Mantle length can reach approximately 160 mm, while total length may exceed 1 m. In males, the third right arm is modified into a hectocotylus, measuring approximately 70–90% of the length of the adjacent arm. The tip of the hectocotylus features a small triangular ligula measuring about 1–2% of arm length, and a small, blunt calamus measuring 35–40% of the ligula length (Norman </w:t>
      </w:r>
      <w:r w:rsidRPr="00A93E73">
        <w:rPr>
          <w:rFonts w:ascii="Arial" w:hAnsi="Arial" w:cs="Arial"/>
          <w:i/>
          <w:iCs/>
          <w:sz w:val="20"/>
          <w:szCs w:val="20"/>
        </w:rPr>
        <w:t>et al</w:t>
      </w:r>
      <w:r w:rsidRPr="00A93E73">
        <w:rPr>
          <w:rFonts w:ascii="Arial" w:hAnsi="Arial" w:cs="Arial"/>
          <w:sz w:val="20"/>
          <w:szCs w:val="20"/>
        </w:rPr>
        <w:t xml:space="preserve">., 2016). Another distinguishing feature is the presence of an ocellus (false eye spot) located above the eyes (Omar </w:t>
      </w:r>
      <w:r w:rsidRPr="00A93E73">
        <w:rPr>
          <w:rFonts w:ascii="Arial" w:hAnsi="Arial" w:cs="Arial"/>
          <w:i/>
          <w:iCs/>
          <w:sz w:val="20"/>
          <w:szCs w:val="20"/>
        </w:rPr>
        <w:t>et al</w:t>
      </w:r>
      <w:r w:rsidRPr="00A93E73">
        <w:rPr>
          <w:rFonts w:ascii="Arial" w:hAnsi="Arial" w:cs="Arial"/>
          <w:sz w:val="20"/>
          <w:szCs w:val="20"/>
        </w:rPr>
        <w:t>., 2020).</w:t>
      </w:r>
      <w:r>
        <w:rPr>
          <w:rFonts w:ascii="Arial" w:hAnsi="Arial" w:cs="Arial"/>
          <w:sz w:val="20"/>
          <w:szCs w:val="20"/>
        </w:rPr>
        <w:t xml:space="preserve"> </w:t>
      </w:r>
    </w:p>
    <w:p w14:paraId="6C9A001C" w14:textId="4A11A9A7" w:rsidR="0003118F" w:rsidRPr="0003118F" w:rsidRDefault="0003118F" w:rsidP="0003118F">
      <w:pPr>
        <w:pStyle w:val="NormalWeb"/>
        <w:shd w:val="clear" w:color="auto" w:fill="FFFFFF" w:themeFill="background1"/>
        <w:jc w:val="both"/>
        <w:rPr>
          <w:rFonts w:ascii="Arial" w:hAnsi="Arial" w:cs="Arial"/>
          <w:sz w:val="20"/>
          <w:szCs w:val="20"/>
        </w:rPr>
      </w:pPr>
      <w:r w:rsidRPr="0003118F">
        <w:rPr>
          <w:rFonts w:ascii="Arial" w:hAnsi="Arial" w:cs="Arial"/>
          <w:sz w:val="20"/>
          <w:szCs w:val="20"/>
        </w:rPr>
        <w:t>Following species identification, morphometric measurements were performed. DML was measured as the distance from the posterior end of the mantle to the anterior edge of the mantle (between the eyes). Individuals were placed on a flat measuring board to ensure consistency and accuracy, as</w:t>
      </w:r>
      <w:r w:rsidR="00421D49">
        <w:rPr>
          <w:rFonts w:ascii="Arial" w:hAnsi="Arial" w:cs="Arial"/>
          <w:sz w:val="20"/>
          <w:szCs w:val="20"/>
        </w:rPr>
        <w:t xml:space="preserve"> </w:t>
      </w:r>
      <w:proofErr w:type="gramStart"/>
      <w:r w:rsidRPr="0003118F">
        <w:rPr>
          <w:rFonts w:ascii="Arial" w:hAnsi="Arial" w:cs="Arial"/>
          <w:sz w:val="20"/>
          <w:szCs w:val="20"/>
        </w:rPr>
        <w:t>octopus</w:t>
      </w:r>
      <w:proofErr w:type="gramEnd"/>
      <w:r w:rsidRPr="0003118F">
        <w:rPr>
          <w:rFonts w:ascii="Arial" w:hAnsi="Arial" w:cs="Arial"/>
          <w:sz w:val="20"/>
          <w:szCs w:val="20"/>
        </w:rPr>
        <w:t xml:space="preserve"> bodies are soft and flexible, with the posterior mantle end positioned against the back edge of the board (Figure 2). Each measured individual was documented with a camera and recorded in data sheets. Mantle length was measured using a centimeter-scale measuring board, while body weight was determined with a digital scale with 0.1 g precision.</w:t>
      </w:r>
    </w:p>
    <w:p w14:paraId="68C9D739" w14:textId="627C06C7" w:rsidR="0003118F" w:rsidRPr="0003118F" w:rsidRDefault="0003118F" w:rsidP="0003118F">
      <w:pPr>
        <w:pStyle w:val="NormalWeb"/>
        <w:shd w:val="clear" w:color="auto" w:fill="FFFFFF" w:themeFill="background1"/>
        <w:jc w:val="both"/>
        <w:rPr>
          <w:rFonts w:ascii="Arial" w:hAnsi="Arial" w:cs="Arial"/>
          <w:sz w:val="20"/>
          <w:szCs w:val="20"/>
        </w:rPr>
      </w:pPr>
      <w:r w:rsidRPr="0003118F">
        <w:rPr>
          <w:rFonts w:ascii="Arial" w:hAnsi="Arial" w:cs="Arial"/>
          <w:sz w:val="20"/>
          <w:szCs w:val="20"/>
        </w:rPr>
        <w:t xml:space="preserve">Sex determination was conducted by examining the reproductive organs, specifically identifying the presence of the hectocotylus on the third arm. The hectocotylus is a </w:t>
      </w:r>
      <w:proofErr w:type="gramStart"/>
      <w:r w:rsidRPr="0003118F">
        <w:rPr>
          <w:rFonts w:ascii="Arial" w:hAnsi="Arial" w:cs="Arial"/>
          <w:sz w:val="20"/>
          <w:szCs w:val="20"/>
        </w:rPr>
        <w:t>sexual dimorphic feature distinguishing males</w:t>
      </w:r>
      <w:proofErr w:type="gramEnd"/>
      <w:r w:rsidRPr="0003118F">
        <w:rPr>
          <w:rFonts w:ascii="Arial" w:hAnsi="Arial" w:cs="Arial"/>
          <w:sz w:val="20"/>
          <w:szCs w:val="20"/>
        </w:rPr>
        <w:t xml:space="preserve"> from females, as it is absent in females (Omar </w:t>
      </w:r>
      <w:r w:rsidRPr="0003118F">
        <w:rPr>
          <w:rFonts w:ascii="Arial" w:hAnsi="Arial" w:cs="Arial"/>
          <w:i/>
          <w:iCs/>
          <w:sz w:val="20"/>
          <w:szCs w:val="20"/>
        </w:rPr>
        <w:t>et al</w:t>
      </w:r>
      <w:r w:rsidRPr="0003118F">
        <w:rPr>
          <w:rFonts w:ascii="Arial" w:hAnsi="Arial" w:cs="Arial"/>
          <w:sz w:val="20"/>
          <w:szCs w:val="20"/>
        </w:rPr>
        <w:t>., 2020).</w:t>
      </w:r>
    </w:p>
    <w:p w14:paraId="23C8B472" w14:textId="22A64AFB" w:rsidR="0003118F" w:rsidRDefault="0003118F" w:rsidP="0003118F">
      <w:pPr>
        <w:pStyle w:val="NormalWeb"/>
        <w:shd w:val="clear" w:color="auto" w:fill="FFFFFF" w:themeFill="background1"/>
        <w:jc w:val="both"/>
        <w:rPr>
          <w:rFonts w:ascii="Arial" w:hAnsi="Arial" w:cs="Arial"/>
          <w:sz w:val="20"/>
          <w:szCs w:val="20"/>
        </w:rPr>
      </w:pPr>
      <w:r w:rsidRPr="0003118F">
        <w:rPr>
          <w:rFonts w:ascii="Arial" w:hAnsi="Arial" w:cs="Arial"/>
          <w:sz w:val="20"/>
          <w:szCs w:val="20"/>
        </w:rPr>
        <w:lastRenderedPageBreak/>
        <w:t>Data collection was conducted daily from April to August 2025, except on days when fishers did not go to sea due to adverse weather conditions or when no catch was available. A total landing census method was used, in which all individuals landed at both sites were measured without selection, including those with damaged or missing arms. Samples from both landing sites were then combined for analysis. Secondary data were obtained from books, scientific journals, and other relevant documents pertaining to octopus biology.</w:t>
      </w:r>
    </w:p>
    <w:p w14:paraId="60973475" w14:textId="51A0D6AF" w:rsidR="00421D49" w:rsidRDefault="00421D49" w:rsidP="004F7E5B">
      <w:pPr>
        <w:pStyle w:val="NormalWeb"/>
        <w:shd w:val="clear" w:color="auto" w:fill="FFFFFF" w:themeFill="background1"/>
        <w:spacing w:before="0" w:beforeAutospacing="0"/>
        <w:jc w:val="center"/>
        <w:rPr>
          <w:rFonts w:ascii="Arial" w:hAnsi="Arial" w:cs="Arial"/>
          <w:sz w:val="20"/>
          <w:szCs w:val="20"/>
        </w:rPr>
      </w:pPr>
      <w:r>
        <w:rPr>
          <w:bCs/>
          <w:noProof/>
          <w:color w:val="000000"/>
          <w:lang w:val="sv-SE"/>
        </w:rPr>
        <w:drawing>
          <wp:inline distT="0" distB="0" distL="0" distR="0" wp14:anchorId="17F601BD" wp14:editId="53AD6A1A">
            <wp:extent cx="1486131" cy="2542390"/>
            <wp:effectExtent l="5397" t="0" r="5398" b="5397"/>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rot="16200000">
                      <a:off x="0" y="0"/>
                      <a:ext cx="1522256" cy="2604190"/>
                    </a:xfrm>
                    <a:prstGeom prst="rect">
                      <a:avLst/>
                    </a:prstGeom>
                  </pic:spPr>
                </pic:pic>
              </a:graphicData>
            </a:graphic>
          </wp:inline>
        </w:drawing>
      </w:r>
    </w:p>
    <w:bookmarkEnd w:id="0"/>
    <w:p w14:paraId="2A4CBE95" w14:textId="6E0330A7" w:rsidR="009F5FB8" w:rsidRPr="0075135D" w:rsidRDefault="004F7E5B" w:rsidP="004F7E5B">
      <w:pPr>
        <w:pStyle w:val="NormalWeb"/>
        <w:shd w:val="clear" w:color="auto" w:fill="FFFFFF" w:themeFill="background1"/>
        <w:spacing w:before="0" w:beforeAutospacing="0"/>
        <w:jc w:val="center"/>
        <w:rPr>
          <w:rFonts w:ascii="Arial" w:hAnsi="Arial" w:cs="Arial"/>
          <w:sz w:val="20"/>
          <w:szCs w:val="20"/>
        </w:rPr>
      </w:pPr>
      <w:r w:rsidRPr="004F7E5B">
        <w:rPr>
          <w:rFonts w:ascii="Arial" w:hAnsi="Arial" w:cs="Arial"/>
          <w:sz w:val="20"/>
          <w:szCs w:val="20"/>
        </w:rPr>
        <w:t xml:space="preserve">Figure 2. Morphometric measurements of </w:t>
      </w:r>
      <w:r w:rsidRPr="004F7E5B">
        <w:rPr>
          <w:rFonts w:ascii="Arial" w:hAnsi="Arial" w:cs="Arial"/>
          <w:i/>
          <w:iCs/>
          <w:sz w:val="20"/>
          <w:szCs w:val="20"/>
        </w:rPr>
        <w:t xml:space="preserve">Octopus </w:t>
      </w:r>
      <w:proofErr w:type="spellStart"/>
      <w:r w:rsidRPr="004F7E5B">
        <w:rPr>
          <w:rFonts w:ascii="Arial" w:hAnsi="Arial" w:cs="Arial"/>
          <w:i/>
          <w:iCs/>
          <w:sz w:val="20"/>
          <w:szCs w:val="20"/>
        </w:rPr>
        <w:t>cyanea</w:t>
      </w:r>
      <w:proofErr w:type="spellEnd"/>
    </w:p>
    <w:p w14:paraId="6EAB94C5" w14:textId="611A0B61" w:rsidR="00C202B7" w:rsidRDefault="00C202B7" w:rsidP="009F5FB8">
      <w:pPr>
        <w:pStyle w:val="Body"/>
        <w:spacing w:after="0"/>
        <w:rPr>
          <w:rFonts w:ascii="Arial" w:hAnsi="Arial" w:cs="Arial"/>
          <w:b/>
          <w:bCs/>
          <w:sz w:val="22"/>
          <w:szCs w:val="22"/>
        </w:rPr>
      </w:pPr>
      <w:r w:rsidRPr="001F6062">
        <w:rPr>
          <w:rFonts w:ascii="Arial" w:hAnsi="Arial" w:cs="Arial"/>
          <w:b/>
          <w:bCs/>
          <w:sz w:val="22"/>
          <w:szCs w:val="22"/>
        </w:rPr>
        <w:t>2.</w:t>
      </w:r>
      <w:r w:rsidR="0061114F">
        <w:rPr>
          <w:rFonts w:ascii="Arial" w:hAnsi="Arial" w:cs="Arial"/>
          <w:b/>
          <w:bCs/>
          <w:sz w:val="22"/>
          <w:szCs w:val="22"/>
        </w:rPr>
        <w:t>3</w:t>
      </w:r>
      <w:r w:rsidRPr="001F6062">
        <w:rPr>
          <w:rFonts w:ascii="Arial" w:hAnsi="Arial" w:cs="Arial"/>
          <w:b/>
          <w:bCs/>
          <w:sz w:val="22"/>
          <w:szCs w:val="22"/>
        </w:rPr>
        <w:t xml:space="preserve"> Data Analysis</w:t>
      </w:r>
    </w:p>
    <w:p w14:paraId="3F3BB2D1" w14:textId="77777777" w:rsidR="009F5FB8" w:rsidRPr="009F5FB8" w:rsidRDefault="009F5FB8" w:rsidP="009F5FB8">
      <w:pPr>
        <w:pStyle w:val="Body"/>
        <w:spacing w:after="0"/>
        <w:rPr>
          <w:rFonts w:ascii="Arial" w:hAnsi="Arial" w:cs="Arial"/>
          <w:b/>
          <w:bCs/>
        </w:rPr>
      </w:pPr>
    </w:p>
    <w:p w14:paraId="4669FB7C" w14:textId="5E6B9782" w:rsidR="00C202B7" w:rsidRPr="001F6062" w:rsidRDefault="00C202B7" w:rsidP="009F5FB8">
      <w:pPr>
        <w:pStyle w:val="Body"/>
        <w:spacing w:after="0"/>
        <w:rPr>
          <w:rFonts w:ascii="Arial" w:hAnsi="Arial" w:cs="Arial"/>
          <w:b/>
          <w:bCs/>
        </w:rPr>
      </w:pPr>
      <w:r w:rsidRPr="001F6062">
        <w:rPr>
          <w:rFonts w:ascii="Arial" w:hAnsi="Arial" w:cs="Arial"/>
          <w:b/>
          <w:bCs/>
        </w:rPr>
        <w:t>2.</w:t>
      </w:r>
      <w:r w:rsidR="0061114F">
        <w:rPr>
          <w:rFonts w:ascii="Arial" w:hAnsi="Arial" w:cs="Arial"/>
          <w:b/>
          <w:bCs/>
        </w:rPr>
        <w:t>3</w:t>
      </w:r>
      <w:r w:rsidRPr="001F6062">
        <w:rPr>
          <w:rFonts w:ascii="Arial" w:hAnsi="Arial" w:cs="Arial"/>
          <w:b/>
          <w:bCs/>
        </w:rPr>
        <w:t xml:space="preserve">.1 </w:t>
      </w:r>
      <w:r w:rsidR="0075135D" w:rsidRPr="0075135D">
        <w:rPr>
          <w:b/>
          <w:bCs/>
        </w:rPr>
        <w:t>Dorsal Mantle Length and Body Weight Distribution</w:t>
      </w:r>
    </w:p>
    <w:p w14:paraId="5E0C9625" w14:textId="77777777" w:rsidR="009F5FB8" w:rsidRDefault="009F5FB8" w:rsidP="009F5FB8">
      <w:pPr>
        <w:pStyle w:val="Body"/>
        <w:spacing w:after="0"/>
        <w:ind w:firstLine="567"/>
        <w:rPr>
          <w:rFonts w:ascii="Arial" w:hAnsi="Arial" w:cs="Arial"/>
        </w:rPr>
      </w:pPr>
    </w:p>
    <w:p w14:paraId="30F29BB4" w14:textId="7EFA1C4A" w:rsidR="00694220" w:rsidRDefault="00694220" w:rsidP="00694220">
      <w:pPr>
        <w:pStyle w:val="Body"/>
        <w:rPr>
          <w:rFonts w:ascii="Arial" w:hAnsi="Arial" w:cs="Arial"/>
        </w:rPr>
      </w:pPr>
      <w:r w:rsidRPr="00694220">
        <w:rPr>
          <w:rFonts w:ascii="Arial" w:hAnsi="Arial" w:cs="Arial"/>
        </w:rPr>
        <w:t xml:space="preserve">The distribution of dorsal mantle length (DML) and body weight of </w:t>
      </w:r>
      <w:r w:rsidRPr="005D2527">
        <w:rPr>
          <w:rFonts w:ascii="Arial" w:hAnsi="Arial" w:cs="Arial"/>
          <w:i/>
          <w:iCs/>
        </w:rPr>
        <w:t xml:space="preserve">Octopus </w:t>
      </w:r>
      <w:proofErr w:type="spellStart"/>
      <w:r w:rsidRPr="005D2527">
        <w:rPr>
          <w:rFonts w:ascii="Arial" w:hAnsi="Arial" w:cs="Arial"/>
          <w:i/>
          <w:iCs/>
        </w:rPr>
        <w:t>cyanea</w:t>
      </w:r>
      <w:proofErr w:type="spellEnd"/>
      <w:r w:rsidRPr="00694220">
        <w:rPr>
          <w:rFonts w:ascii="Arial" w:hAnsi="Arial" w:cs="Arial"/>
        </w:rPr>
        <w:t xml:space="preserve"> was analyzed using histograms. Analyses were conducted separately for each sex (male and female) to evaluate differences in the distribution of mantle length and body weight between sexes. The number of classes and class intervals for the histograms were determined using Sturges’ formula, allowing the size distribution to proportionally reflect the population structure of </w:t>
      </w:r>
      <w:r w:rsidR="005D2527" w:rsidRPr="005D2527">
        <w:rPr>
          <w:rFonts w:ascii="Arial" w:hAnsi="Arial" w:cs="Arial"/>
          <w:i/>
          <w:iCs/>
        </w:rPr>
        <w:t xml:space="preserve">Octopus </w:t>
      </w:r>
      <w:proofErr w:type="spellStart"/>
      <w:r w:rsidR="005D2527" w:rsidRPr="005D2527">
        <w:rPr>
          <w:rFonts w:ascii="Arial" w:hAnsi="Arial" w:cs="Arial"/>
          <w:i/>
          <w:iCs/>
        </w:rPr>
        <w:t>cyanea</w:t>
      </w:r>
      <w:proofErr w:type="spellEnd"/>
      <w:r w:rsidR="005D2527" w:rsidRPr="00694220">
        <w:rPr>
          <w:rFonts w:ascii="Arial" w:hAnsi="Arial" w:cs="Arial"/>
        </w:rPr>
        <w:t xml:space="preserve"> </w:t>
      </w:r>
      <w:r w:rsidRPr="00694220">
        <w:rPr>
          <w:rFonts w:ascii="Arial" w:hAnsi="Arial" w:cs="Arial"/>
        </w:rPr>
        <w:t>at the study sites.</w:t>
      </w:r>
      <w:r>
        <w:rPr>
          <w:rFonts w:ascii="Arial" w:hAnsi="Arial" w:cs="Arial"/>
        </w:rPr>
        <w:t xml:space="preserve"> </w:t>
      </w:r>
      <w:r w:rsidRPr="00694220">
        <w:rPr>
          <w:rFonts w:ascii="Arial" w:hAnsi="Arial" w:cs="Arial"/>
        </w:rPr>
        <w:t xml:space="preserve">The results of the mantle length and body weight distribution were subsequently compared with gonadal maturity sizes by sex, following Omar </w:t>
      </w:r>
      <w:r w:rsidRPr="00694220">
        <w:rPr>
          <w:rFonts w:ascii="Arial" w:hAnsi="Arial" w:cs="Arial"/>
          <w:i/>
          <w:iCs/>
        </w:rPr>
        <w:t>et al</w:t>
      </w:r>
      <w:r w:rsidRPr="00694220">
        <w:rPr>
          <w:rFonts w:ascii="Arial" w:hAnsi="Arial" w:cs="Arial"/>
        </w:rPr>
        <w:t>. (2020): mantle length ≥12.9 cm for males and ≥15.5 cm for females, and body weight 750 g for males and 900 g for females. This comparison aimed to determine the proportion of individuals that had reached gonadal maturity and were considered suitable for capture.</w:t>
      </w:r>
    </w:p>
    <w:p w14:paraId="7FD21638" w14:textId="2A484101" w:rsidR="00ED4D99" w:rsidRPr="001F6062" w:rsidRDefault="00694220" w:rsidP="00694220">
      <w:pPr>
        <w:pStyle w:val="Body"/>
        <w:rPr>
          <w:rFonts w:ascii="Arial" w:hAnsi="Arial" w:cs="Arial"/>
        </w:rPr>
      </w:pPr>
      <w:r w:rsidRPr="00694220">
        <w:rPr>
          <w:rFonts w:ascii="Arial" w:hAnsi="Arial" w:cs="Arial"/>
        </w:rPr>
        <w:t>Sturges’ formula used is as follows (</w:t>
      </w:r>
      <w:proofErr w:type="spellStart"/>
      <w:r w:rsidRPr="00694220">
        <w:rPr>
          <w:rFonts w:ascii="Arial" w:hAnsi="Arial" w:cs="Arial"/>
        </w:rPr>
        <w:t>Yunita</w:t>
      </w:r>
      <w:proofErr w:type="spellEnd"/>
      <w:r w:rsidRPr="00694220">
        <w:rPr>
          <w:rFonts w:ascii="Arial" w:hAnsi="Arial" w:cs="Arial"/>
        </w:rPr>
        <w:t xml:space="preserve"> </w:t>
      </w:r>
      <w:r w:rsidRPr="00694220">
        <w:rPr>
          <w:rFonts w:ascii="Arial" w:hAnsi="Arial" w:cs="Arial"/>
          <w:i/>
          <w:iCs/>
        </w:rPr>
        <w:t>et al</w:t>
      </w:r>
      <w:r w:rsidRPr="00694220">
        <w:rPr>
          <w:rFonts w:ascii="Arial" w:hAnsi="Arial" w:cs="Arial"/>
        </w:rPr>
        <w:t>., 2016):</w:t>
      </w:r>
    </w:p>
    <w:p w14:paraId="58835368" w14:textId="77777777" w:rsidR="0021644E" w:rsidRPr="00776A83" w:rsidRDefault="0021644E" w:rsidP="001F3270">
      <w:pPr>
        <w:spacing w:before="120" w:after="120"/>
        <w:ind w:left="426"/>
        <w:jc w:val="both"/>
        <w:rPr>
          <w:rFonts w:ascii="Arial" w:hAnsi="Arial" w:cs="Arial"/>
          <w:color w:val="000000"/>
        </w:rPr>
      </w:pPr>
      <m:oMathPara>
        <m:oMathParaPr>
          <m:jc m:val="center"/>
        </m:oMathParaPr>
        <m:oMath>
          <m:r>
            <m:rPr>
              <m:sty m:val="p"/>
            </m:rPr>
            <w:rPr>
              <w:rFonts w:ascii="Cambria Math" w:hAnsi="Cambria Math" w:cs="Arial"/>
              <w:color w:val="000000"/>
            </w:rPr>
            <m:t>K=1+</m:t>
          </m:r>
          <m:d>
            <m:dPr>
              <m:ctrlPr>
                <w:rPr>
                  <w:rFonts w:ascii="Cambria Math" w:hAnsi="Cambria Math" w:cs="Arial"/>
                  <w:bCs/>
                  <w:iCs/>
                  <w:color w:val="000000"/>
                </w:rPr>
              </m:ctrlPr>
            </m:dPr>
            <m:e>
              <m:r>
                <m:rPr>
                  <m:sty m:val="p"/>
                </m:rPr>
                <w:rPr>
                  <w:rFonts w:ascii="Cambria Math" w:hAnsi="Cambria Math" w:cs="Arial"/>
                  <w:color w:val="000000"/>
                </w:rPr>
                <m:t>3,32×</m:t>
              </m:r>
              <m:func>
                <m:funcPr>
                  <m:ctrlPr>
                    <w:rPr>
                      <w:rFonts w:ascii="Cambria Math" w:hAnsi="Cambria Math" w:cs="Arial"/>
                      <w:bCs/>
                      <w:iCs/>
                      <w:color w:val="000000"/>
                    </w:rPr>
                  </m:ctrlPr>
                </m:funcPr>
                <m:fName>
                  <m:r>
                    <m:rPr>
                      <m:sty m:val="p"/>
                    </m:rPr>
                    <w:rPr>
                      <w:rFonts w:ascii="Cambria Math" w:hAnsi="Cambria Math" w:cs="Arial"/>
                      <w:color w:val="000000"/>
                    </w:rPr>
                    <m:t xml:space="preserve">log </m:t>
                  </m:r>
                </m:fName>
                <m:e>
                  <m:r>
                    <m:rPr>
                      <m:sty m:val="p"/>
                    </m:rPr>
                    <w:rPr>
                      <w:rFonts w:ascii="Cambria Math" w:hAnsi="Cambria Math" w:cs="Arial"/>
                      <w:color w:val="000000"/>
                    </w:rPr>
                    <m:t>(n</m:t>
                  </m:r>
                </m:e>
              </m:func>
            </m:e>
          </m:d>
          <m:r>
            <m:rPr>
              <m:sty m:val="p"/>
            </m:rPr>
            <w:rPr>
              <w:rFonts w:ascii="Cambria Math" w:hAnsi="Cambria Math" w:cs="Arial"/>
              <w:color w:val="000000"/>
            </w:rPr>
            <m:t xml:space="preserve"> </m:t>
          </m:r>
        </m:oMath>
      </m:oMathPara>
    </w:p>
    <w:p w14:paraId="41239605" w14:textId="77777777" w:rsidR="0021644E" w:rsidRPr="00776A83" w:rsidRDefault="0021644E" w:rsidP="001F3270">
      <w:pPr>
        <w:spacing w:before="120" w:after="120"/>
        <w:ind w:left="426"/>
        <w:jc w:val="both"/>
        <w:rPr>
          <w:rFonts w:ascii="Arial" w:hAnsi="Arial" w:cs="Arial"/>
          <w:color w:val="000000"/>
          <w:lang w:val="sv-SE"/>
        </w:rPr>
      </w:pPr>
      <m:oMathPara>
        <m:oMathParaPr>
          <m:jc m:val="center"/>
        </m:oMathParaPr>
        <m:oMath>
          <m:r>
            <m:rPr>
              <m:sty m:val="p"/>
            </m:rPr>
            <w:rPr>
              <w:rFonts w:ascii="Cambria Math" w:hAnsi="Cambria Math" w:cs="Arial"/>
              <w:color w:val="000000"/>
              <w:lang w:val="sv-SE"/>
            </w:rPr>
            <m:t>i=</m:t>
          </m:r>
          <m:f>
            <m:fPr>
              <m:ctrlPr>
                <w:rPr>
                  <w:rFonts w:ascii="Cambria Math" w:hAnsi="Cambria Math" w:cs="Arial"/>
                  <w:bCs/>
                  <w:iCs/>
                  <w:color w:val="000000"/>
                </w:rPr>
              </m:ctrlPr>
            </m:fPr>
            <m:num>
              <m:sSub>
                <m:sSubPr>
                  <m:ctrlPr>
                    <w:rPr>
                      <w:rFonts w:ascii="Cambria Math" w:hAnsi="Cambria Math" w:cs="Arial"/>
                      <w:bCs/>
                      <w:iCs/>
                      <w:color w:val="000000"/>
                    </w:rPr>
                  </m:ctrlPr>
                </m:sSubPr>
                <m:e>
                  <m:r>
                    <m:rPr>
                      <m:sty m:val="p"/>
                    </m:rPr>
                    <w:rPr>
                      <w:rFonts w:ascii="Cambria Math" w:hAnsi="Cambria Math" w:cs="Arial"/>
                      <w:color w:val="000000"/>
                      <w:lang w:val="sv-SE"/>
                    </w:rPr>
                    <m:t>X</m:t>
                  </m:r>
                </m:e>
                <m:sub>
                  <m:r>
                    <m:rPr>
                      <m:nor/>
                    </m:rPr>
                    <w:rPr>
                      <w:rFonts w:ascii="Arial" w:hAnsi="Arial" w:cs="Arial"/>
                      <w:bCs/>
                      <w:iCs/>
                      <w:color w:val="000000"/>
                      <w:lang w:val="sv-SE"/>
                    </w:rPr>
                    <m:t>max</m:t>
                  </m:r>
                </m:sub>
              </m:sSub>
              <m:r>
                <m:rPr>
                  <m:sty m:val="p"/>
                </m:rPr>
                <w:rPr>
                  <w:rFonts w:ascii="Cambria Math" w:hAnsi="Cambria Math" w:cs="Arial"/>
                  <w:color w:val="000000"/>
                  <w:lang w:val="sv-SE"/>
                </w:rPr>
                <m:t>-</m:t>
              </m:r>
              <m:sSub>
                <m:sSubPr>
                  <m:ctrlPr>
                    <w:rPr>
                      <w:rFonts w:ascii="Cambria Math" w:hAnsi="Cambria Math" w:cs="Arial"/>
                      <w:bCs/>
                      <w:iCs/>
                      <w:color w:val="000000"/>
                    </w:rPr>
                  </m:ctrlPr>
                </m:sSubPr>
                <m:e>
                  <m:r>
                    <m:rPr>
                      <m:sty m:val="p"/>
                    </m:rPr>
                    <w:rPr>
                      <w:rFonts w:ascii="Cambria Math" w:hAnsi="Cambria Math" w:cs="Arial"/>
                      <w:color w:val="000000"/>
                      <w:lang w:val="sv-SE"/>
                    </w:rPr>
                    <m:t>X</m:t>
                  </m:r>
                </m:e>
                <m:sub>
                  <m:r>
                    <m:rPr>
                      <m:nor/>
                    </m:rPr>
                    <w:rPr>
                      <w:rFonts w:ascii="Arial" w:hAnsi="Arial" w:cs="Arial"/>
                      <w:bCs/>
                      <w:iCs/>
                      <w:color w:val="000000"/>
                      <w:lang w:val="sv-SE"/>
                    </w:rPr>
                    <m:t>min</m:t>
                  </m:r>
                </m:sub>
              </m:sSub>
            </m:num>
            <m:den>
              <m:r>
                <m:rPr>
                  <m:sty m:val="p"/>
                </m:rPr>
                <w:rPr>
                  <w:rFonts w:ascii="Cambria Math" w:hAnsi="Cambria Math" w:cs="Arial"/>
                  <w:color w:val="000000"/>
                  <w:lang w:val="sv-SE"/>
                </w:rPr>
                <m:t>K</m:t>
              </m:r>
            </m:den>
          </m:f>
        </m:oMath>
      </m:oMathPara>
    </w:p>
    <w:p w14:paraId="0D3F2479" w14:textId="15D83DC3" w:rsidR="0021644E" w:rsidRPr="0021644E" w:rsidRDefault="00776A83" w:rsidP="001F3270">
      <w:pPr>
        <w:pBdr>
          <w:top w:val="nil"/>
          <w:left w:val="nil"/>
          <w:bottom w:val="nil"/>
          <w:right w:val="nil"/>
          <w:between w:val="nil"/>
        </w:pBdr>
        <w:ind w:left="426"/>
        <w:jc w:val="both"/>
        <w:rPr>
          <w:rFonts w:ascii="Arial" w:hAnsi="Arial" w:cs="Arial"/>
          <w:bCs/>
          <w:color w:val="000000"/>
        </w:rPr>
      </w:pPr>
      <w:r>
        <w:rPr>
          <w:rFonts w:ascii="Arial" w:hAnsi="Arial" w:cs="Arial"/>
          <w:bCs/>
          <w:color w:val="000000"/>
        </w:rPr>
        <w:t>Where</w:t>
      </w:r>
      <w:r w:rsidR="0021644E" w:rsidRPr="0021644E">
        <w:rPr>
          <w:rFonts w:ascii="Arial" w:hAnsi="Arial" w:cs="Arial"/>
          <w:bCs/>
          <w:color w:val="000000"/>
        </w:rPr>
        <w: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122"/>
      </w:tblGrid>
      <w:tr w:rsidR="0021644E" w:rsidRPr="0021644E" w14:paraId="7655848D" w14:textId="77777777" w:rsidTr="00C6390A">
        <w:tc>
          <w:tcPr>
            <w:tcW w:w="567" w:type="dxa"/>
          </w:tcPr>
          <w:p w14:paraId="4A66E397" w14:textId="77777777" w:rsidR="0021644E" w:rsidRPr="0021644E" w:rsidRDefault="0021644E" w:rsidP="00C6390A">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K</w:t>
            </w:r>
          </w:p>
        </w:tc>
        <w:tc>
          <w:tcPr>
            <w:tcW w:w="2122" w:type="dxa"/>
          </w:tcPr>
          <w:p w14:paraId="6835E315" w14:textId="145B0974" w:rsidR="0021644E" w:rsidRPr="0021644E" w:rsidRDefault="0021644E" w:rsidP="00C6390A">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 xml:space="preserve">= </w:t>
            </w:r>
            <w:r w:rsidR="00487BBF" w:rsidRPr="00487BBF">
              <w:rPr>
                <w:rFonts w:ascii="Arial" w:eastAsia="Times New Roman" w:hAnsi="Arial" w:cs="Arial"/>
                <w:bCs/>
                <w:color w:val="000000"/>
                <w:sz w:val="20"/>
                <w:szCs w:val="20"/>
              </w:rPr>
              <w:t>N</w:t>
            </w:r>
            <w:r w:rsidR="00487BBF" w:rsidRPr="00487BBF">
              <w:rPr>
                <w:rFonts w:ascii="Arial" w:hAnsi="Arial" w:cs="Arial"/>
                <w:sz w:val="20"/>
                <w:szCs w:val="20"/>
              </w:rPr>
              <w:t>umber of classes</w:t>
            </w:r>
          </w:p>
        </w:tc>
      </w:tr>
      <w:tr w:rsidR="0021644E" w:rsidRPr="0021644E" w14:paraId="1B5EF1CF" w14:textId="77777777" w:rsidTr="00C6390A">
        <w:tc>
          <w:tcPr>
            <w:tcW w:w="567" w:type="dxa"/>
          </w:tcPr>
          <w:p w14:paraId="49CB12F4" w14:textId="77777777" w:rsidR="0021644E" w:rsidRPr="0021644E" w:rsidRDefault="0021644E" w:rsidP="00C6390A">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n</w:t>
            </w:r>
          </w:p>
        </w:tc>
        <w:tc>
          <w:tcPr>
            <w:tcW w:w="2122" w:type="dxa"/>
          </w:tcPr>
          <w:p w14:paraId="0EA2ECB1" w14:textId="215E1F23" w:rsidR="0021644E" w:rsidRPr="0021644E" w:rsidRDefault="0021644E" w:rsidP="00C6390A">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 xml:space="preserve">= </w:t>
            </w:r>
            <w:r w:rsidR="00487BBF">
              <w:rPr>
                <w:rFonts w:ascii="Arial" w:eastAsia="Times New Roman" w:hAnsi="Arial" w:cs="Arial"/>
                <w:bCs/>
                <w:color w:val="000000"/>
                <w:sz w:val="20"/>
                <w:szCs w:val="20"/>
              </w:rPr>
              <w:t>Sample size</w:t>
            </w:r>
          </w:p>
        </w:tc>
      </w:tr>
      <w:tr w:rsidR="0021644E" w:rsidRPr="0021644E" w14:paraId="4743E5BD" w14:textId="77777777" w:rsidTr="00C6390A">
        <w:tc>
          <w:tcPr>
            <w:tcW w:w="567" w:type="dxa"/>
          </w:tcPr>
          <w:p w14:paraId="246F4BD2" w14:textId="77777777" w:rsidR="0021644E" w:rsidRPr="0021644E" w:rsidRDefault="0021644E" w:rsidP="00C6390A">
            <w:pPr>
              <w:jc w:val="both"/>
              <w:rPr>
                <w:rFonts w:ascii="Arial" w:eastAsia="Times New Roman" w:hAnsi="Arial" w:cs="Arial"/>
                <w:bCs/>
                <w:color w:val="000000"/>
                <w:sz w:val="20"/>
                <w:szCs w:val="20"/>
              </w:rPr>
            </w:pPr>
            <w:proofErr w:type="spellStart"/>
            <w:r w:rsidRPr="0021644E">
              <w:rPr>
                <w:rFonts w:ascii="Arial" w:eastAsia="Times New Roman" w:hAnsi="Arial" w:cs="Arial"/>
                <w:bCs/>
                <w:color w:val="000000"/>
                <w:sz w:val="20"/>
                <w:szCs w:val="20"/>
              </w:rPr>
              <w:t>i</w:t>
            </w:r>
            <w:proofErr w:type="spellEnd"/>
          </w:p>
        </w:tc>
        <w:tc>
          <w:tcPr>
            <w:tcW w:w="2122" w:type="dxa"/>
          </w:tcPr>
          <w:p w14:paraId="5CBC84EA" w14:textId="28C1A08D" w:rsidR="0021644E" w:rsidRPr="00487BBF" w:rsidRDefault="0021644E" w:rsidP="00C6390A">
            <w:pPr>
              <w:jc w:val="both"/>
              <w:rPr>
                <w:rFonts w:ascii="Arial" w:eastAsia="Times New Roman" w:hAnsi="Arial" w:cs="Arial"/>
                <w:bCs/>
                <w:color w:val="000000"/>
                <w:sz w:val="20"/>
                <w:szCs w:val="20"/>
              </w:rPr>
            </w:pPr>
            <w:r w:rsidRPr="00487BBF">
              <w:rPr>
                <w:rFonts w:ascii="Arial" w:eastAsia="Times New Roman" w:hAnsi="Arial" w:cs="Arial"/>
                <w:bCs/>
                <w:color w:val="000000"/>
                <w:sz w:val="20"/>
                <w:szCs w:val="20"/>
              </w:rPr>
              <w:t xml:space="preserve">= </w:t>
            </w:r>
            <w:r w:rsidR="00487BBF">
              <w:rPr>
                <w:rFonts w:ascii="Arial" w:hAnsi="Arial" w:cs="Arial"/>
                <w:sz w:val="20"/>
                <w:szCs w:val="20"/>
              </w:rPr>
              <w:t>C</w:t>
            </w:r>
            <w:r w:rsidR="00487BBF" w:rsidRPr="00487BBF">
              <w:rPr>
                <w:rFonts w:ascii="Arial" w:hAnsi="Arial" w:cs="Arial"/>
                <w:sz w:val="20"/>
                <w:szCs w:val="20"/>
              </w:rPr>
              <w:t>lass width</w:t>
            </w:r>
          </w:p>
        </w:tc>
      </w:tr>
      <w:tr w:rsidR="0021644E" w:rsidRPr="0021644E" w14:paraId="48E1F07E" w14:textId="77777777" w:rsidTr="00C6390A">
        <w:tc>
          <w:tcPr>
            <w:tcW w:w="567" w:type="dxa"/>
          </w:tcPr>
          <w:p w14:paraId="12D1709C" w14:textId="77777777" w:rsidR="0021644E" w:rsidRPr="0021644E" w:rsidRDefault="00915F86" w:rsidP="00C6390A">
            <w:pPr>
              <w:jc w:val="both"/>
              <w:rPr>
                <w:rFonts w:ascii="Arial" w:eastAsia="Times New Roman" w:hAnsi="Arial" w:cs="Arial"/>
                <w:bCs/>
                <w:color w:val="000000"/>
                <w:sz w:val="20"/>
                <w:szCs w:val="20"/>
              </w:rPr>
            </w:pPr>
            <m:oMathPara>
              <m:oMath>
                <m:sSub>
                  <m:sSubPr>
                    <m:ctrlPr>
                      <w:rPr>
                        <w:rFonts w:ascii="Cambria Math" w:eastAsia="Times New Roman" w:hAnsi="Cambria Math" w:cs="Arial"/>
                        <w:bCs/>
                        <w:i/>
                        <w:color w:val="000000"/>
                        <w:sz w:val="20"/>
                        <w:szCs w:val="20"/>
                      </w:rPr>
                    </m:ctrlPr>
                  </m:sSubPr>
                  <m:e>
                    <m:r>
                      <w:rPr>
                        <w:rFonts w:ascii="Cambria Math" w:eastAsia="Times New Roman" w:hAnsi="Cambria Math" w:cs="Arial"/>
                        <w:color w:val="000000"/>
                        <w:sz w:val="20"/>
                        <w:szCs w:val="20"/>
                      </w:rPr>
                      <m:t>X</m:t>
                    </m:r>
                  </m:e>
                  <m:sub>
                    <m:r>
                      <m:rPr>
                        <m:nor/>
                      </m:rPr>
                      <w:rPr>
                        <w:rFonts w:ascii="Arial" w:eastAsia="Times New Roman" w:hAnsi="Arial" w:cs="Arial"/>
                        <w:bCs/>
                        <w:color w:val="000000"/>
                        <w:sz w:val="20"/>
                        <w:szCs w:val="20"/>
                      </w:rPr>
                      <m:t>max</m:t>
                    </m:r>
                  </m:sub>
                </m:sSub>
              </m:oMath>
            </m:oMathPara>
          </w:p>
        </w:tc>
        <w:tc>
          <w:tcPr>
            <w:tcW w:w="2122" w:type="dxa"/>
          </w:tcPr>
          <w:p w14:paraId="07D9C833" w14:textId="75270E25" w:rsidR="0021644E" w:rsidRPr="00487BBF" w:rsidRDefault="0021644E" w:rsidP="00C6390A">
            <w:pPr>
              <w:jc w:val="both"/>
              <w:rPr>
                <w:rFonts w:ascii="Arial" w:eastAsia="Times New Roman" w:hAnsi="Arial" w:cs="Arial"/>
                <w:bCs/>
                <w:color w:val="000000"/>
                <w:sz w:val="20"/>
                <w:szCs w:val="20"/>
              </w:rPr>
            </w:pPr>
            <w:r w:rsidRPr="00487BBF">
              <w:rPr>
                <w:rFonts w:ascii="Arial" w:eastAsia="Times New Roman" w:hAnsi="Arial" w:cs="Arial"/>
                <w:bCs/>
                <w:color w:val="000000"/>
                <w:sz w:val="20"/>
                <w:szCs w:val="20"/>
              </w:rPr>
              <w:t xml:space="preserve">= </w:t>
            </w:r>
            <w:r w:rsidR="00487BBF" w:rsidRPr="00487BBF">
              <w:rPr>
                <w:rFonts w:ascii="Arial" w:eastAsia="Times New Roman" w:hAnsi="Arial" w:cs="Arial"/>
                <w:bCs/>
                <w:color w:val="000000"/>
                <w:sz w:val="20"/>
                <w:szCs w:val="20"/>
              </w:rPr>
              <w:t>M</w:t>
            </w:r>
            <w:r w:rsidR="00487BBF" w:rsidRPr="00487BBF">
              <w:rPr>
                <w:rFonts w:ascii="Arial" w:hAnsi="Arial" w:cs="Arial"/>
                <w:sz w:val="20"/>
                <w:szCs w:val="20"/>
              </w:rPr>
              <w:t>aximum value</w:t>
            </w:r>
          </w:p>
        </w:tc>
      </w:tr>
      <w:tr w:rsidR="0021644E" w:rsidRPr="0021644E" w14:paraId="34B629A6" w14:textId="77777777" w:rsidTr="00C6390A">
        <w:tc>
          <w:tcPr>
            <w:tcW w:w="567" w:type="dxa"/>
          </w:tcPr>
          <w:p w14:paraId="1ED3F2CF" w14:textId="77777777" w:rsidR="0021644E" w:rsidRPr="0021644E" w:rsidRDefault="00915F86" w:rsidP="00C6390A">
            <w:pPr>
              <w:jc w:val="both"/>
              <w:rPr>
                <w:rFonts w:ascii="Arial" w:hAnsi="Arial" w:cs="Arial"/>
                <w:bCs/>
                <w:i/>
                <w:color w:val="000000"/>
                <w:sz w:val="20"/>
                <w:szCs w:val="20"/>
              </w:rPr>
            </w:pPr>
            <m:oMathPara>
              <m:oMath>
                <m:sSub>
                  <m:sSubPr>
                    <m:ctrlPr>
                      <w:rPr>
                        <w:rFonts w:ascii="Cambria Math" w:eastAsia="Times New Roman" w:hAnsi="Cambria Math" w:cs="Arial"/>
                        <w:bCs/>
                        <w:i/>
                        <w:color w:val="000000"/>
                        <w:sz w:val="20"/>
                        <w:szCs w:val="20"/>
                      </w:rPr>
                    </m:ctrlPr>
                  </m:sSubPr>
                  <m:e>
                    <m:r>
                      <w:rPr>
                        <w:rFonts w:ascii="Cambria Math" w:eastAsia="Times New Roman" w:hAnsi="Cambria Math" w:cs="Arial"/>
                        <w:color w:val="000000"/>
                        <w:sz w:val="20"/>
                        <w:szCs w:val="20"/>
                      </w:rPr>
                      <m:t>X</m:t>
                    </m:r>
                  </m:e>
                  <m:sub>
                    <m:r>
                      <m:rPr>
                        <m:nor/>
                      </m:rPr>
                      <w:rPr>
                        <w:rFonts w:ascii="Arial" w:eastAsia="Times New Roman" w:hAnsi="Arial" w:cs="Arial"/>
                        <w:bCs/>
                        <w:color w:val="000000"/>
                        <w:sz w:val="20"/>
                        <w:szCs w:val="20"/>
                      </w:rPr>
                      <m:t>min</m:t>
                    </m:r>
                  </m:sub>
                </m:sSub>
              </m:oMath>
            </m:oMathPara>
          </w:p>
        </w:tc>
        <w:tc>
          <w:tcPr>
            <w:tcW w:w="2122" w:type="dxa"/>
          </w:tcPr>
          <w:p w14:paraId="4416AB4B" w14:textId="1F2355D8" w:rsidR="0021644E" w:rsidRPr="00487BBF" w:rsidRDefault="0021644E" w:rsidP="00C6390A">
            <w:pPr>
              <w:jc w:val="both"/>
              <w:rPr>
                <w:rFonts w:ascii="Arial" w:eastAsia="Times New Roman" w:hAnsi="Arial" w:cs="Arial"/>
                <w:bCs/>
                <w:color w:val="000000"/>
                <w:sz w:val="20"/>
                <w:szCs w:val="20"/>
              </w:rPr>
            </w:pPr>
            <w:r w:rsidRPr="00487BBF">
              <w:rPr>
                <w:rFonts w:ascii="Arial" w:eastAsia="Times New Roman" w:hAnsi="Arial" w:cs="Arial"/>
                <w:bCs/>
                <w:color w:val="000000"/>
                <w:sz w:val="20"/>
                <w:szCs w:val="20"/>
              </w:rPr>
              <w:t xml:space="preserve">= </w:t>
            </w:r>
            <w:r w:rsidR="00487BBF" w:rsidRPr="00487BBF">
              <w:rPr>
                <w:rFonts w:ascii="Arial" w:hAnsi="Arial" w:cs="Arial"/>
                <w:sz w:val="20"/>
                <w:szCs w:val="20"/>
              </w:rPr>
              <w:t>Minimum value</w:t>
            </w:r>
          </w:p>
        </w:tc>
      </w:tr>
    </w:tbl>
    <w:p w14:paraId="4F41FAFC" w14:textId="77777777" w:rsidR="009F56B8" w:rsidRDefault="009F56B8" w:rsidP="009F5FB8">
      <w:pPr>
        <w:pStyle w:val="Body"/>
        <w:spacing w:after="0"/>
        <w:rPr>
          <w:rFonts w:ascii="Arial" w:hAnsi="Arial" w:cs="Arial"/>
        </w:rPr>
      </w:pPr>
    </w:p>
    <w:p w14:paraId="6A2599A5" w14:textId="7051CA27" w:rsidR="00C202B7" w:rsidRPr="00487BBF" w:rsidRDefault="00C202B7" w:rsidP="009F5FB8">
      <w:pPr>
        <w:pStyle w:val="Body"/>
        <w:spacing w:after="0"/>
        <w:rPr>
          <w:rFonts w:ascii="Arial" w:hAnsi="Arial" w:cs="Arial"/>
          <w:b/>
          <w:bCs/>
        </w:rPr>
      </w:pPr>
      <w:r w:rsidRPr="003123E7">
        <w:rPr>
          <w:rFonts w:ascii="Arial" w:hAnsi="Arial" w:cs="Arial"/>
          <w:b/>
          <w:bCs/>
        </w:rPr>
        <w:t>2.</w:t>
      </w:r>
      <w:r w:rsidR="0061114F">
        <w:rPr>
          <w:rFonts w:ascii="Arial" w:hAnsi="Arial" w:cs="Arial"/>
          <w:b/>
          <w:bCs/>
        </w:rPr>
        <w:t>3</w:t>
      </w:r>
      <w:r w:rsidRPr="003123E7">
        <w:rPr>
          <w:rFonts w:ascii="Arial" w:hAnsi="Arial" w:cs="Arial"/>
          <w:b/>
          <w:bCs/>
        </w:rPr>
        <w:t xml:space="preserve">.2 </w:t>
      </w:r>
      <w:r w:rsidR="00487BBF" w:rsidRPr="00487BBF">
        <w:rPr>
          <w:rFonts w:ascii="Arial" w:hAnsi="Arial" w:cs="Arial"/>
          <w:b/>
          <w:bCs/>
        </w:rPr>
        <w:t>Growth Pattern Analysis</w:t>
      </w:r>
    </w:p>
    <w:p w14:paraId="14A15067" w14:textId="77777777" w:rsidR="009F5FB8" w:rsidRDefault="009F5FB8" w:rsidP="003123E7">
      <w:pPr>
        <w:pStyle w:val="Body"/>
        <w:spacing w:after="0"/>
        <w:rPr>
          <w:rFonts w:ascii="Arial" w:hAnsi="Arial" w:cs="Arial"/>
        </w:rPr>
      </w:pPr>
    </w:p>
    <w:p w14:paraId="03774673" w14:textId="7CF7D29C" w:rsidR="0021644E" w:rsidRPr="001F6062" w:rsidRDefault="00487BBF" w:rsidP="003123E7">
      <w:pPr>
        <w:pStyle w:val="Body"/>
        <w:spacing w:after="0"/>
        <w:rPr>
          <w:rFonts w:ascii="Arial" w:hAnsi="Arial" w:cs="Arial"/>
          <w:bCs/>
          <w:color w:val="000000"/>
        </w:rPr>
      </w:pPr>
      <w:r w:rsidRPr="00487BBF">
        <w:rPr>
          <w:rFonts w:ascii="Arial" w:hAnsi="Arial" w:cs="Arial"/>
        </w:rPr>
        <w:t xml:space="preserve">Dorsal </w:t>
      </w:r>
      <w:r w:rsidR="00694220" w:rsidRPr="00694220">
        <w:rPr>
          <w:rFonts w:ascii="Arial" w:hAnsi="Arial" w:cs="Arial"/>
        </w:rPr>
        <w:t xml:space="preserve">Length and weight data can describe growth patterns and the influence of environmental factors on the growth of organisms (Ahmed </w:t>
      </w:r>
      <w:r w:rsidR="00694220" w:rsidRPr="00694220">
        <w:rPr>
          <w:rFonts w:ascii="Arial" w:hAnsi="Arial" w:cs="Arial"/>
          <w:i/>
          <w:iCs/>
        </w:rPr>
        <w:t>et al</w:t>
      </w:r>
      <w:r w:rsidR="00694220" w:rsidRPr="00694220">
        <w:rPr>
          <w:rFonts w:ascii="Arial" w:hAnsi="Arial" w:cs="Arial"/>
        </w:rPr>
        <w:t xml:space="preserve">., 2021). The relationship </w:t>
      </w:r>
      <w:r w:rsidR="00694220" w:rsidRPr="00694220">
        <w:rPr>
          <w:rFonts w:ascii="Arial" w:hAnsi="Arial" w:cs="Arial"/>
        </w:rPr>
        <w:lastRenderedPageBreak/>
        <w:t xml:space="preserve">between length and weight was analyzed using the formula proposed by Le </w:t>
      </w:r>
      <w:proofErr w:type="spellStart"/>
      <w:r w:rsidR="00694220" w:rsidRPr="00694220">
        <w:rPr>
          <w:rFonts w:ascii="Arial" w:hAnsi="Arial" w:cs="Arial"/>
        </w:rPr>
        <w:t>Cren</w:t>
      </w:r>
      <w:proofErr w:type="spellEnd"/>
      <w:r w:rsidR="00694220" w:rsidRPr="00694220">
        <w:rPr>
          <w:rFonts w:ascii="Arial" w:hAnsi="Arial" w:cs="Arial"/>
        </w:rPr>
        <w:t xml:space="preserve"> (1951 </w:t>
      </w:r>
      <w:r w:rsidR="00694220" w:rsidRPr="00694220">
        <w:rPr>
          <w:rFonts w:ascii="Arial" w:hAnsi="Arial" w:cs="Arial"/>
          <w:i/>
          <w:iCs/>
        </w:rPr>
        <w:t>in</w:t>
      </w:r>
      <w:r w:rsidR="00694220" w:rsidRPr="00694220">
        <w:rPr>
          <w:rFonts w:ascii="Arial" w:hAnsi="Arial" w:cs="Arial"/>
        </w:rPr>
        <w:t xml:space="preserve"> </w:t>
      </w:r>
      <w:proofErr w:type="spellStart"/>
      <w:r w:rsidR="00694220" w:rsidRPr="00694220">
        <w:rPr>
          <w:rFonts w:ascii="Arial" w:hAnsi="Arial" w:cs="Arial"/>
        </w:rPr>
        <w:t>Lempoy</w:t>
      </w:r>
      <w:proofErr w:type="spellEnd"/>
      <w:r w:rsidR="00694220" w:rsidRPr="00694220">
        <w:rPr>
          <w:rFonts w:ascii="Arial" w:hAnsi="Arial" w:cs="Arial"/>
        </w:rPr>
        <w:t xml:space="preserve"> </w:t>
      </w:r>
      <w:r w:rsidR="00694220" w:rsidRPr="00694220">
        <w:rPr>
          <w:rFonts w:ascii="Arial" w:hAnsi="Arial" w:cs="Arial"/>
          <w:i/>
          <w:iCs/>
        </w:rPr>
        <w:t>et al</w:t>
      </w:r>
      <w:r w:rsidR="00694220" w:rsidRPr="00694220">
        <w:rPr>
          <w:rFonts w:ascii="Arial" w:hAnsi="Arial" w:cs="Arial"/>
        </w:rPr>
        <w:t>., 2020)</w:t>
      </w:r>
    </w:p>
    <w:p w14:paraId="69AAC559" w14:textId="4268767E" w:rsidR="00776A83" w:rsidRPr="00776A83" w:rsidRDefault="0021644E" w:rsidP="00776A83">
      <w:pPr>
        <w:pBdr>
          <w:top w:val="nil"/>
          <w:left w:val="nil"/>
          <w:bottom w:val="nil"/>
          <w:right w:val="nil"/>
          <w:between w:val="nil"/>
        </w:pBdr>
        <w:ind w:left="567"/>
        <w:jc w:val="both"/>
        <w:rPr>
          <w:rFonts w:ascii="Arial" w:hAnsi="Arial" w:cs="Arial"/>
          <w:bCs/>
          <w:iCs/>
          <w:color w:val="000000"/>
        </w:rPr>
      </w:pPr>
      <m:oMathPara>
        <m:oMath>
          <m:r>
            <m:rPr>
              <m:sty m:val="p"/>
            </m:rPr>
            <w:rPr>
              <w:rFonts w:ascii="Cambria Math" w:hAnsi="Cambria Math" w:cs="Arial"/>
              <w:color w:val="000000"/>
            </w:rPr>
            <m:t>W=a</m:t>
          </m:r>
          <m:sSup>
            <m:sSupPr>
              <m:ctrlPr>
                <w:rPr>
                  <w:rFonts w:ascii="Cambria Math" w:hAnsi="Cambria Math" w:cs="Arial"/>
                  <w:bCs/>
                  <w:iCs/>
                  <w:color w:val="000000"/>
                </w:rPr>
              </m:ctrlPr>
            </m:sSupPr>
            <m:e>
              <m:r>
                <m:rPr>
                  <m:sty m:val="p"/>
                </m:rPr>
                <w:rPr>
                  <w:rFonts w:ascii="Cambria Math" w:hAnsi="Cambria Math" w:cs="Arial"/>
                  <w:color w:val="000000"/>
                </w:rPr>
                <m:t>L</m:t>
              </m:r>
            </m:e>
            <m:sup>
              <m:r>
                <m:rPr>
                  <m:sty m:val="p"/>
                </m:rPr>
                <w:rPr>
                  <w:rFonts w:ascii="Cambria Math" w:hAnsi="Cambria Math" w:cs="Arial"/>
                  <w:color w:val="000000"/>
                </w:rPr>
                <m:t>b</m:t>
              </m:r>
            </m:sup>
          </m:sSup>
        </m:oMath>
      </m:oMathPara>
    </w:p>
    <w:p w14:paraId="7E4FA915" w14:textId="5E0C1DE7" w:rsidR="0021644E" w:rsidRPr="0021644E" w:rsidRDefault="0021644E" w:rsidP="003123E7">
      <w:pPr>
        <w:pBdr>
          <w:top w:val="nil"/>
          <w:left w:val="nil"/>
          <w:bottom w:val="nil"/>
          <w:right w:val="nil"/>
          <w:between w:val="nil"/>
        </w:pBdr>
        <w:jc w:val="both"/>
        <w:rPr>
          <w:rFonts w:ascii="Arial" w:hAnsi="Arial" w:cs="Arial"/>
          <w:bCs/>
          <w:color w:val="000000"/>
        </w:rPr>
      </w:pPr>
      <w:r w:rsidRPr="0021644E">
        <w:rPr>
          <w:rFonts w:ascii="Arial" w:hAnsi="Arial" w:cs="Arial"/>
          <w:bCs/>
          <w:color w:val="000000"/>
        </w:rPr>
        <w:t xml:space="preserve">        </w:t>
      </w:r>
      <w:r w:rsidR="00776A83">
        <w:rPr>
          <w:rFonts w:ascii="Arial" w:hAnsi="Arial" w:cs="Arial"/>
          <w:bCs/>
          <w:color w:val="000000"/>
        </w:rPr>
        <w:t>Where</w:t>
      </w:r>
      <w:r w:rsidRPr="0021644E">
        <w:rPr>
          <w:rFonts w:ascii="Arial" w:hAnsi="Arial" w:cs="Arial"/>
          <w:bCs/>
          <w:color w:val="000000"/>
        </w:rPr>
        <w: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5670"/>
      </w:tblGrid>
      <w:tr w:rsidR="0021644E" w:rsidRPr="0021644E" w14:paraId="08CB33B2" w14:textId="77777777" w:rsidTr="00C6390A">
        <w:tc>
          <w:tcPr>
            <w:tcW w:w="708" w:type="dxa"/>
          </w:tcPr>
          <w:p w14:paraId="511679E6" w14:textId="77777777" w:rsidR="0021644E" w:rsidRPr="0021644E" w:rsidRDefault="0021644E" w:rsidP="003123E7">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W</w:t>
            </w:r>
          </w:p>
        </w:tc>
        <w:tc>
          <w:tcPr>
            <w:tcW w:w="5670" w:type="dxa"/>
          </w:tcPr>
          <w:p w14:paraId="664F3C5A" w14:textId="46BA5720" w:rsidR="0021644E" w:rsidRPr="00710D60" w:rsidRDefault="0021644E" w:rsidP="003123E7">
            <w:pPr>
              <w:jc w:val="both"/>
              <w:rPr>
                <w:rFonts w:ascii="Arial" w:eastAsia="Times New Roman" w:hAnsi="Arial" w:cs="Arial"/>
                <w:b/>
                <w:color w:val="000000"/>
                <w:sz w:val="20"/>
                <w:szCs w:val="20"/>
              </w:rPr>
            </w:pPr>
            <w:r w:rsidRPr="00710D60">
              <w:rPr>
                <w:rFonts w:ascii="Arial" w:eastAsia="Times New Roman" w:hAnsi="Arial" w:cs="Arial"/>
                <w:bCs/>
                <w:color w:val="000000"/>
                <w:sz w:val="20"/>
                <w:szCs w:val="20"/>
              </w:rPr>
              <w:t>=</w:t>
            </w:r>
            <w:r w:rsidRPr="00710D60">
              <w:rPr>
                <w:rFonts w:ascii="Arial" w:eastAsia="Times New Roman" w:hAnsi="Arial" w:cs="Arial"/>
                <w:b/>
                <w:color w:val="000000"/>
                <w:sz w:val="20"/>
                <w:szCs w:val="20"/>
              </w:rPr>
              <w:t xml:space="preserve"> </w:t>
            </w:r>
            <w:r w:rsidR="00710D60" w:rsidRPr="00710D60">
              <w:rPr>
                <w:rStyle w:val="Strong"/>
                <w:rFonts w:ascii="Arial" w:hAnsi="Arial" w:cs="Arial"/>
                <w:b w:val="0"/>
                <w:sz w:val="20"/>
                <w:szCs w:val="20"/>
              </w:rPr>
              <w:t>Total body weight</w:t>
            </w:r>
            <w:r w:rsidR="00710D60" w:rsidRPr="00710D60">
              <w:rPr>
                <w:rFonts w:ascii="Arial" w:hAnsi="Arial" w:cs="Arial"/>
                <w:b/>
                <w:sz w:val="20"/>
                <w:szCs w:val="20"/>
              </w:rPr>
              <w:t xml:space="preserve"> </w:t>
            </w:r>
            <w:r w:rsidR="00710D60" w:rsidRPr="00710D60">
              <w:rPr>
                <w:rFonts w:ascii="Arial" w:hAnsi="Arial" w:cs="Arial"/>
                <w:bCs/>
                <w:sz w:val="20"/>
                <w:szCs w:val="20"/>
              </w:rPr>
              <w:t>(g)</w:t>
            </w:r>
          </w:p>
        </w:tc>
      </w:tr>
      <w:tr w:rsidR="0021644E" w:rsidRPr="0021644E" w14:paraId="0B4EAEDD" w14:textId="77777777" w:rsidTr="00C6390A">
        <w:trPr>
          <w:trHeight w:val="126"/>
        </w:trPr>
        <w:tc>
          <w:tcPr>
            <w:tcW w:w="708" w:type="dxa"/>
          </w:tcPr>
          <w:p w14:paraId="768AF5D3" w14:textId="77777777" w:rsidR="0021644E" w:rsidRPr="0021644E" w:rsidRDefault="0021644E" w:rsidP="003123E7">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L</w:t>
            </w:r>
          </w:p>
        </w:tc>
        <w:tc>
          <w:tcPr>
            <w:tcW w:w="5670" w:type="dxa"/>
          </w:tcPr>
          <w:p w14:paraId="4C058867" w14:textId="327FE0D0" w:rsidR="0021644E" w:rsidRPr="00710D60" w:rsidRDefault="0021644E" w:rsidP="003123E7">
            <w:pPr>
              <w:jc w:val="both"/>
              <w:rPr>
                <w:rFonts w:ascii="Arial" w:eastAsia="Times New Roman" w:hAnsi="Arial" w:cs="Arial"/>
                <w:bCs/>
                <w:color w:val="000000"/>
                <w:sz w:val="20"/>
                <w:szCs w:val="20"/>
              </w:rPr>
            </w:pPr>
            <w:r w:rsidRPr="00710D60">
              <w:rPr>
                <w:rFonts w:ascii="Arial" w:eastAsia="Times New Roman" w:hAnsi="Arial" w:cs="Arial"/>
                <w:bCs/>
                <w:color w:val="000000"/>
                <w:sz w:val="20"/>
                <w:szCs w:val="20"/>
              </w:rPr>
              <w:t xml:space="preserve">= </w:t>
            </w:r>
            <w:r w:rsidR="00710D60" w:rsidRPr="00710D60">
              <w:rPr>
                <w:rFonts w:ascii="Arial" w:hAnsi="Arial" w:cs="Arial"/>
                <w:sz w:val="20"/>
                <w:szCs w:val="20"/>
              </w:rPr>
              <w:t>Dorsal mantle length (cm)</w:t>
            </w:r>
          </w:p>
        </w:tc>
      </w:tr>
      <w:tr w:rsidR="0021644E" w:rsidRPr="006F7BE6" w14:paraId="510E3B66" w14:textId="77777777" w:rsidTr="00C6390A">
        <w:trPr>
          <w:trHeight w:val="126"/>
        </w:trPr>
        <w:tc>
          <w:tcPr>
            <w:tcW w:w="708" w:type="dxa"/>
          </w:tcPr>
          <w:p w14:paraId="649706C9" w14:textId="77777777" w:rsidR="0021644E" w:rsidRPr="0021644E" w:rsidRDefault="0021644E" w:rsidP="003123E7">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a &amp; b</w:t>
            </w:r>
          </w:p>
        </w:tc>
        <w:tc>
          <w:tcPr>
            <w:tcW w:w="5670" w:type="dxa"/>
          </w:tcPr>
          <w:p w14:paraId="10EC3732" w14:textId="5B52A3B2" w:rsidR="0021644E" w:rsidRPr="001F6062" w:rsidRDefault="0021644E" w:rsidP="003123E7">
            <w:pPr>
              <w:jc w:val="both"/>
              <w:rPr>
                <w:rFonts w:ascii="Arial" w:eastAsia="Times New Roman" w:hAnsi="Arial" w:cs="Arial"/>
                <w:bCs/>
                <w:color w:val="000000"/>
                <w:sz w:val="20"/>
                <w:szCs w:val="20"/>
              </w:rPr>
            </w:pPr>
            <w:r w:rsidRPr="001F6062">
              <w:rPr>
                <w:rFonts w:ascii="Arial" w:eastAsia="Times New Roman" w:hAnsi="Arial" w:cs="Arial"/>
                <w:bCs/>
                <w:color w:val="000000"/>
                <w:sz w:val="20"/>
                <w:szCs w:val="20"/>
              </w:rPr>
              <w:t xml:space="preserve">= </w:t>
            </w:r>
            <w:r w:rsidR="00710D60" w:rsidRPr="00710D60">
              <w:rPr>
                <w:rFonts w:ascii="Arial" w:hAnsi="Arial" w:cs="Arial"/>
                <w:sz w:val="20"/>
                <w:szCs w:val="20"/>
              </w:rPr>
              <w:t>Constants of the length–weight relationship</w:t>
            </w:r>
          </w:p>
        </w:tc>
      </w:tr>
    </w:tbl>
    <w:p w14:paraId="5875846E" w14:textId="77777777" w:rsidR="003123E7" w:rsidRPr="001F6062" w:rsidRDefault="003123E7" w:rsidP="003123E7">
      <w:pPr>
        <w:pBdr>
          <w:top w:val="nil"/>
          <w:left w:val="nil"/>
          <w:bottom w:val="nil"/>
          <w:right w:val="nil"/>
          <w:between w:val="nil"/>
        </w:pBdr>
        <w:jc w:val="both"/>
        <w:rPr>
          <w:rFonts w:ascii="Arial" w:hAnsi="Arial" w:cs="Arial"/>
          <w:bCs/>
          <w:color w:val="000000"/>
        </w:rPr>
      </w:pPr>
    </w:p>
    <w:p w14:paraId="789ECBD4" w14:textId="3970B4EB" w:rsidR="00710D60" w:rsidRPr="001F6062" w:rsidRDefault="00710D60" w:rsidP="00710D60">
      <w:pPr>
        <w:pBdr>
          <w:top w:val="nil"/>
          <w:left w:val="nil"/>
          <w:bottom w:val="nil"/>
          <w:right w:val="nil"/>
          <w:between w:val="nil"/>
        </w:pBdr>
        <w:jc w:val="both"/>
        <w:rPr>
          <w:rFonts w:ascii="Arial" w:hAnsi="Arial" w:cs="Arial"/>
          <w:bCs/>
          <w:color w:val="000000"/>
        </w:rPr>
      </w:pPr>
      <w:r w:rsidRPr="00710D60">
        <w:rPr>
          <w:rFonts w:ascii="Arial" w:hAnsi="Arial" w:cs="Arial"/>
        </w:rPr>
        <w:t xml:space="preserve">The exponent </w:t>
      </w:r>
      <w:r w:rsidRPr="00710D60">
        <w:rPr>
          <w:rStyle w:val="mord"/>
          <w:rFonts w:ascii="Arial" w:hAnsi="Arial" w:cs="Arial"/>
        </w:rPr>
        <w:t>b</w:t>
      </w:r>
      <w:r w:rsidRPr="00710D60">
        <w:rPr>
          <w:rFonts w:ascii="Arial" w:hAnsi="Arial" w:cs="Arial"/>
        </w:rPr>
        <w:t xml:space="preserve"> was used to determine the growth pattern:</w:t>
      </w:r>
    </w:p>
    <w:p w14:paraId="3FCA438A" w14:textId="55A94740" w:rsidR="003123E7" w:rsidRPr="001F6062" w:rsidRDefault="001A20EB" w:rsidP="001F3270">
      <w:pPr>
        <w:pStyle w:val="ListParagraph"/>
        <w:numPr>
          <w:ilvl w:val="0"/>
          <w:numId w:val="31"/>
        </w:numPr>
        <w:pBdr>
          <w:top w:val="nil"/>
          <w:left w:val="nil"/>
          <w:bottom w:val="nil"/>
          <w:right w:val="nil"/>
          <w:between w:val="nil"/>
        </w:pBdr>
        <w:ind w:left="284" w:hanging="284"/>
        <w:contextualSpacing w:val="0"/>
        <w:jc w:val="both"/>
        <w:rPr>
          <w:rFonts w:eastAsia="Times New Roman"/>
          <w:bCs/>
          <w:color w:val="000000"/>
          <w:sz w:val="20"/>
          <w:szCs w:val="20"/>
          <w:lang w:val="en-US"/>
        </w:rPr>
      </w:pPr>
      <w:r>
        <w:rPr>
          <w:rFonts w:eastAsia="Times New Roman"/>
          <w:bCs/>
          <w:color w:val="000000"/>
          <w:sz w:val="20"/>
          <w:szCs w:val="20"/>
          <w:lang w:val="en-US"/>
        </w:rPr>
        <w:t>If</w:t>
      </w:r>
      <w:r w:rsidR="003123E7" w:rsidRPr="001F6062">
        <w:rPr>
          <w:rFonts w:eastAsia="Times New Roman"/>
          <w:bCs/>
          <w:color w:val="000000"/>
          <w:sz w:val="20"/>
          <w:szCs w:val="20"/>
          <w:lang w:val="en-US"/>
        </w:rPr>
        <w:t xml:space="preserve">, b = 3, </w:t>
      </w:r>
      <w:r w:rsidR="00710D60" w:rsidRPr="00710D60">
        <w:rPr>
          <w:rStyle w:val="Strong"/>
          <w:b w:val="0"/>
          <w:bCs w:val="0"/>
          <w:sz w:val="20"/>
          <w:szCs w:val="20"/>
        </w:rPr>
        <w:t>isometric growth</w:t>
      </w:r>
      <w:r w:rsidR="00710D60" w:rsidRPr="00710D60">
        <w:rPr>
          <w:sz w:val="20"/>
          <w:szCs w:val="20"/>
        </w:rPr>
        <w:t>, indicating proportional increases in length and weight</w:t>
      </w:r>
      <w:r w:rsidR="003123E7" w:rsidRPr="001F6062">
        <w:rPr>
          <w:rFonts w:eastAsia="Times New Roman"/>
          <w:bCs/>
          <w:color w:val="000000"/>
          <w:sz w:val="20"/>
          <w:szCs w:val="20"/>
          <w:lang w:val="en-US"/>
        </w:rPr>
        <w:t>.</w:t>
      </w:r>
    </w:p>
    <w:p w14:paraId="22D02277" w14:textId="47DE61F1" w:rsidR="00710D60" w:rsidRPr="00710D60" w:rsidRDefault="001A20EB" w:rsidP="001F3270">
      <w:pPr>
        <w:pStyle w:val="ListParagraph"/>
        <w:numPr>
          <w:ilvl w:val="0"/>
          <w:numId w:val="31"/>
        </w:numPr>
        <w:pBdr>
          <w:top w:val="nil"/>
          <w:left w:val="nil"/>
          <w:bottom w:val="nil"/>
          <w:right w:val="nil"/>
          <w:between w:val="nil"/>
        </w:pBdr>
        <w:ind w:left="284" w:hanging="284"/>
        <w:contextualSpacing w:val="0"/>
        <w:jc w:val="both"/>
        <w:rPr>
          <w:sz w:val="20"/>
          <w:szCs w:val="20"/>
        </w:rPr>
      </w:pPr>
      <w:r>
        <w:rPr>
          <w:rFonts w:eastAsia="Times New Roman"/>
          <w:bCs/>
          <w:color w:val="000000"/>
          <w:sz w:val="20"/>
          <w:szCs w:val="20"/>
          <w:lang w:val="en-US"/>
        </w:rPr>
        <w:t>If</w:t>
      </w:r>
      <w:r w:rsidR="003123E7" w:rsidRPr="001F6062">
        <w:rPr>
          <w:rFonts w:eastAsia="Times New Roman"/>
          <w:bCs/>
          <w:color w:val="000000"/>
          <w:sz w:val="20"/>
          <w:szCs w:val="20"/>
          <w:lang w:val="en-US"/>
        </w:rPr>
        <w:t xml:space="preserve"> b &lt; 3 </w:t>
      </w:r>
      <w:r w:rsidR="00710D60" w:rsidRPr="00710D60">
        <w:rPr>
          <w:rStyle w:val="Strong"/>
          <w:b w:val="0"/>
          <w:bCs w:val="0"/>
          <w:sz w:val="20"/>
          <w:szCs w:val="20"/>
        </w:rPr>
        <w:t>negative allometric growth</w:t>
      </w:r>
      <w:r w:rsidR="00710D60" w:rsidRPr="00710D60">
        <w:rPr>
          <w:sz w:val="20"/>
          <w:szCs w:val="20"/>
        </w:rPr>
        <w:t>, indicating that length increases more than weight</w:t>
      </w:r>
    </w:p>
    <w:p w14:paraId="5F1692A0" w14:textId="4C419B42" w:rsidR="009F56B8" w:rsidRDefault="001A20EB" w:rsidP="001F3270">
      <w:pPr>
        <w:pStyle w:val="ListParagraph"/>
        <w:numPr>
          <w:ilvl w:val="0"/>
          <w:numId w:val="31"/>
        </w:numPr>
        <w:pBdr>
          <w:top w:val="nil"/>
          <w:left w:val="nil"/>
          <w:bottom w:val="nil"/>
          <w:right w:val="nil"/>
          <w:between w:val="nil"/>
        </w:pBdr>
        <w:ind w:left="284" w:hanging="284"/>
        <w:contextualSpacing w:val="0"/>
        <w:jc w:val="both"/>
        <w:rPr>
          <w:sz w:val="20"/>
          <w:szCs w:val="20"/>
        </w:rPr>
      </w:pPr>
      <w:r>
        <w:rPr>
          <w:rFonts w:eastAsia="Times New Roman"/>
          <w:bCs/>
          <w:color w:val="000000"/>
          <w:sz w:val="20"/>
          <w:szCs w:val="20"/>
          <w:lang w:val="en-US"/>
        </w:rPr>
        <w:t>If</w:t>
      </w:r>
      <w:r w:rsidR="003123E7" w:rsidRPr="001F6062">
        <w:rPr>
          <w:rFonts w:eastAsia="Times New Roman"/>
          <w:bCs/>
          <w:color w:val="000000"/>
          <w:sz w:val="20"/>
          <w:szCs w:val="20"/>
          <w:lang w:val="en-US"/>
        </w:rPr>
        <w:t xml:space="preserve"> b &gt; </w:t>
      </w:r>
      <w:r w:rsidR="00710D60" w:rsidRPr="00710D60">
        <w:rPr>
          <w:rStyle w:val="Strong"/>
          <w:b w:val="0"/>
          <w:bCs w:val="0"/>
          <w:sz w:val="20"/>
          <w:szCs w:val="20"/>
        </w:rPr>
        <w:t>positive allometric growth</w:t>
      </w:r>
      <w:r w:rsidR="00710D60" w:rsidRPr="00710D60">
        <w:rPr>
          <w:sz w:val="20"/>
          <w:szCs w:val="20"/>
        </w:rPr>
        <w:t>, indicating that weight increases more than length</w:t>
      </w:r>
    </w:p>
    <w:p w14:paraId="38A5E153" w14:textId="77777777" w:rsidR="0061114F" w:rsidRPr="00710D60" w:rsidRDefault="0061114F" w:rsidP="0061114F">
      <w:pPr>
        <w:pStyle w:val="ListParagraph"/>
        <w:pBdr>
          <w:top w:val="nil"/>
          <w:left w:val="nil"/>
          <w:bottom w:val="nil"/>
          <w:right w:val="nil"/>
          <w:between w:val="nil"/>
        </w:pBdr>
        <w:ind w:left="426"/>
        <w:contextualSpacing w:val="0"/>
        <w:jc w:val="both"/>
        <w:rPr>
          <w:sz w:val="20"/>
          <w:szCs w:val="20"/>
        </w:rPr>
      </w:pPr>
    </w:p>
    <w:p w14:paraId="0C01A489" w14:textId="4A074646" w:rsidR="00902823" w:rsidRPr="00FA5968" w:rsidRDefault="00000F8F" w:rsidP="00441B6F">
      <w:pPr>
        <w:pStyle w:val="Head1"/>
        <w:spacing w:after="0"/>
        <w:jc w:val="both"/>
        <w:rPr>
          <w:rFonts w:ascii="Arial" w:hAnsi="Arial" w:cs="Arial"/>
        </w:rPr>
      </w:pPr>
      <w:r w:rsidRPr="00FA5968">
        <w:rPr>
          <w:rFonts w:ascii="Arial" w:hAnsi="Arial" w:cs="Arial"/>
        </w:rPr>
        <w:t>3</w:t>
      </w:r>
      <w:r w:rsidR="00902823" w:rsidRPr="00FA5968">
        <w:rPr>
          <w:rFonts w:ascii="Arial" w:hAnsi="Arial" w:cs="Arial"/>
        </w:rPr>
        <w:t xml:space="preserve">. </w:t>
      </w:r>
      <w:r w:rsidRPr="00FA5968">
        <w:rPr>
          <w:rFonts w:ascii="Arial" w:hAnsi="Arial" w:cs="Arial"/>
        </w:rPr>
        <w:t>results and discussion</w:t>
      </w:r>
    </w:p>
    <w:p w14:paraId="141FB6BC" w14:textId="77777777" w:rsidR="00F51D33" w:rsidRPr="001F3270" w:rsidRDefault="00F51D33" w:rsidP="00441B6F">
      <w:pPr>
        <w:pStyle w:val="Head1"/>
        <w:spacing w:after="0"/>
        <w:jc w:val="both"/>
        <w:rPr>
          <w:rFonts w:ascii="Arial" w:hAnsi="Arial" w:cs="Arial"/>
          <w:sz w:val="20"/>
        </w:rPr>
      </w:pPr>
    </w:p>
    <w:p w14:paraId="1EC18944" w14:textId="102D3015" w:rsidR="003123E7" w:rsidRPr="00694220" w:rsidRDefault="00A019BB" w:rsidP="001F3270">
      <w:pPr>
        <w:pStyle w:val="Head1"/>
        <w:spacing w:after="0"/>
        <w:jc w:val="both"/>
        <w:rPr>
          <w:rFonts w:ascii="Arial" w:hAnsi="Arial" w:cs="Arial"/>
          <w:i/>
          <w:iCs/>
        </w:rPr>
      </w:pPr>
      <w:r w:rsidRPr="00FA5968">
        <w:rPr>
          <w:rFonts w:ascii="Arial" w:hAnsi="Arial" w:cs="Arial"/>
          <w:caps w:val="0"/>
        </w:rPr>
        <w:t xml:space="preserve">3.1 </w:t>
      </w:r>
      <w:r w:rsidR="00694220" w:rsidRPr="00694220">
        <w:rPr>
          <w:rFonts w:ascii="Arial" w:hAnsi="Arial" w:cs="Arial"/>
          <w:caps w:val="0"/>
        </w:rPr>
        <w:t xml:space="preserve">Total Catch Composition and Dorsal Mantle Length Distribution of </w:t>
      </w:r>
      <w:r w:rsidR="00694220" w:rsidRPr="00694220">
        <w:rPr>
          <w:rFonts w:ascii="Arial" w:hAnsi="Arial" w:cs="Arial"/>
          <w:i/>
          <w:iCs/>
          <w:caps w:val="0"/>
        </w:rPr>
        <w:t xml:space="preserve">Octopus </w:t>
      </w:r>
      <w:proofErr w:type="spellStart"/>
      <w:r w:rsidR="00694220" w:rsidRPr="00694220">
        <w:rPr>
          <w:rFonts w:ascii="Arial" w:hAnsi="Arial" w:cs="Arial"/>
          <w:i/>
          <w:iCs/>
          <w:caps w:val="0"/>
        </w:rPr>
        <w:t>cyanea</w:t>
      </w:r>
      <w:proofErr w:type="spellEnd"/>
    </w:p>
    <w:p w14:paraId="46246D9B" w14:textId="77777777" w:rsidR="001F3270" w:rsidRDefault="001F3270" w:rsidP="001F3270">
      <w:pPr>
        <w:pStyle w:val="Head1"/>
        <w:spacing w:after="0"/>
        <w:jc w:val="both"/>
        <w:rPr>
          <w:rFonts w:ascii="Arial" w:hAnsi="Arial" w:cs="Arial"/>
          <w:b w:val="0"/>
          <w:bCs/>
          <w:caps w:val="0"/>
          <w:sz w:val="20"/>
        </w:rPr>
      </w:pPr>
    </w:p>
    <w:p w14:paraId="5C1B71E6" w14:textId="0532BAF3" w:rsidR="00694220" w:rsidRDefault="005B722E" w:rsidP="00694220">
      <w:pPr>
        <w:pStyle w:val="Head1"/>
        <w:jc w:val="both"/>
        <w:rPr>
          <w:rFonts w:ascii="Arial" w:hAnsi="Arial" w:cs="Arial"/>
          <w:b w:val="0"/>
          <w:bCs/>
          <w:caps w:val="0"/>
          <w:sz w:val="20"/>
        </w:rPr>
      </w:pPr>
      <w:r w:rsidRPr="005B722E">
        <w:rPr>
          <w:rFonts w:ascii="Arial" w:hAnsi="Arial" w:cs="Arial"/>
          <w:b w:val="0"/>
          <w:bCs/>
          <w:caps w:val="0"/>
          <w:sz w:val="20"/>
        </w:rPr>
        <w:t xml:space="preserve">A total of 467 </w:t>
      </w:r>
      <w:r w:rsidRPr="005B722E">
        <w:rPr>
          <w:rFonts w:ascii="Arial" w:hAnsi="Arial" w:cs="Arial"/>
          <w:b w:val="0"/>
          <w:bCs/>
          <w:i/>
          <w:iCs/>
          <w:caps w:val="0"/>
          <w:sz w:val="20"/>
        </w:rPr>
        <w:t xml:space="preserve">Octopus </w:t>
      </w:r>
      <w:proofErr w:type="spellStart"/>
      <w:r w:rsidRPr="005B722E">
        <w:rPr>
          <w:rFonts w:ascii="Arial" w:hAnsi="Arial" w:cs="Arial"/>
          <w:b w:val="0"/>
          <w:bCs/>
          <w:i/>
          <w:iCs/>
          <w:caps w:val="0"/>
          <w:sz w:val="20"/>
        </w:rPr>
        <w:t>cyanea</w:t>
      </w:r>
      <w:proofErr w:type="spellEnd"/>
      <w:r w:rsidRPr="005B722E">
        <w:rPr>
          <w:rFonts w:ascii="Arial" w:hAnsi="Arial" w:cs="Arial"/>
          <w:b w:val="0"/>
          <w:bCs/>
          <w:caps w:val="0"/>
          <w:sz w:val="20"/>
        </w:rPr>
        <w:t xml:space="preserve"> individuals were measured during the study, originating from two landing sites: </w:t>
      </w:r>
      <w:proofErr w:type="spellStart"/>
      <w:r w:rsidRPr="005B722E">
        <w:rPr>
          <w:rFonts w:ascii="Arial" w:hAnsi="Arial" w:cs="Arial"/>
          <w:b w:val="0"/>
          <w:bCs/>
          <w:caps w:val="0"/>
          <w:sz w:val="20"/>
        </w:rPr>
        <w:t>Segare</w:t>
      </w:r>
      <w:proofErr w:type="spellEnd"/>
      <w:r w:rsidRPr="005B722E">
        <w:rPr>
          <w:rFonts w:ascii="Arial" w:hAnsi="Arial" w:cs="Arial"/>
          <w:b w:val="0"/>
          <w:bCs/>
          <w:caps w:val="0"/>
          <w:sz w:val="20"/>
        </w:rPr>
        <w:t xml:space="preserve"> </w:t>
      </w:r>
      <w:proofErr w:type="spellStart"/>
      <w:r w:rsidRPr="005B722E">
        <w:rPr>
          <w:rFonts w:ascii="Arial" w:hAnsi="Arial" w:cs="Arial"/>
          <w:b w:val="0"/>
          <w:bCs/>
          <w:caps w:val="0"/>
          <w:sz w:val="20"/>
        </w:rPr>
        <w:t>Harapan</w:t>
      </w:r>
      <w:proofErr w:type="spellEnd"/>
      <w:r w:rsidRPr="005B722E">
        <w:rPr>
          <w:rFonts w:ascii="Arial" w:hAnsi="Arial" w:cs="Arial"/>
          <w:b w:val="0"/>
          <w:bCs/>
          <w:caps w:val="0"/>
          <w:sz w:val="20"/>
        </w:rPr>
        <w:t xml:space="preserve"> Jaya Cooperative and the collector in Dusun Kampung Mandar. The distribution of individuals caught by month, sex, and landing site is presented in Table 1. Overall, females dominated the total catch with 277 individuals (59.3%), while males accounted for 190 individuals (40.7%). The highest catch was recorded in July, whereas the lowest occurred in June.</w:t>
      </w:r>
    </w:p>
    <w:p w14:paraId="6D35D7B1" w14:textId="20399525" w:rsidR="00694220" w:rsidRDefault="00694220" w:rsidP="00694220">
      <w:pPr>
        <w:pStyle w:val="Head1"/>
        <w:jc w:val="both"/>
        <w:rPr>
          <w:rFonts w:ascii="Arial" w:hAnsi="Arial" w:cs="Arial"/>
          <w:b w:val="0"/>
          <w:bCs/>
          <w:caps w:val="0"/>
          <w:sz w:val="20"/>
        </w:rPr>
      </w:pPr>
      <w:r w:rsidRPr="00694220">
        <w:rPr>
          <w:rFonts w:ascii="Arial" w:hAnsi="Arial" w:cs="Arial"/>
          <w:b w:val="0"/>
          <w:bCs/>
          <w:caps w:val="0"/>
          <w:sz w:val="20"/>
        </w:rPr>
        <w:t xml:space="preserve">Table 1. Monthly catch composition of </w:t>
      </w:r>
      <w:r w:rsidRPr="00E97C8E">
        <w:rPr>
          <w:rFonts w:ascii="Arial" w:hAnsi="Arial" w:cs="Arial"/>
          <w:b w:val="0"/>
          <w:bCs/>
          <w:i/>
          <w:iCs/>
          <w:caps w:val="0"/>
          <w:sz w:val="20"/>
        </w:rPr>
        <w:t xml:space="preserve">Octopus </w:t>
      </w:r>
      <w:proofErr w:type="spellStart"/>
      <w:r w:rsidRPr="00E97C8E">
        <w:rPr>
          <w:rFonts w:ascii="Arial" w:hAnsi="Arial" w:cs="Arial"/>
          <w:b w:val="0"/>
          <w:bCs/>
          <w:i/>
          <w:iCs/>
          <w:caps w:val="0"/>
          <w:sz w:val="20"/>
        </w:rPr>
        <w:t>cyanea</w:t>
      </w:r>
      <w:proofErr w:type="spellEnd"/>
      <w:r w:rsidRPr="00694220">
        <w:rPr>
          <w:rFonts w:ascii="Arial" w:hAnsi="Arial" w:cs="Arial"/>
          <w:b w:val="0"/>
          <w:bCs/>
          <w:caps w:val="0"/>
          <w:sz w:val="20"/>
        </w:rPr>
        <w:t xml:space="preserve"> by sex and landing site (April–August).</w:t>
      </w:r>
    </w:p>
    <w:tbl>
      <w:tblPr>
        <w:tblStyle w:val="TableGrid"/>
        <w:tblW w:w="0" w:type="auto"/>
        <w:tblLook w:val="04A0" w:firstRow="1" w:lastRow="0" w:firstColumn="1" w:lastColumn="0" w:noHBand="0" w:noVBand="1"/>
      </w:tblPr>
      <w:tblGrid>
        <w:gridCol w:w="1366"/>
        <w:gridCol w:w="1366"/>
        <w:gridCol w:w="1366"/>
        <w:gridCol w:w="1366"/>
        <w:gridCol w:w="1367"/>
        <w:gridCol w:w="1367"/>
      </w:tblGrid>
      <w:tr w:rsidR="005B722E" w:rsidRPr="005B722E" w14:paraId="7C07D01F" w14:textId="77777777" w:rsidTr="00F7498C">
        <w:tc>
          <w:tcPr>
            <w:tcW w:w="1366" w:type="dxa"/>
            <w:vMerge w:val="restart"/>
          </w:tcPr>
          <w:p w14:paraId="1B4E5759" w14:textId="77777777" w:rsidR="005B722E" w:rsidRPr="005B722E" w:rsidRDefault="005B722E" w:rsidP="00F7498C">
            <w:pPr>
              <w:jc w:val="center"/>
              <w:rPr>
                <w:rFonts w:ascii="Arial" w:hAnsi="Arial" w:cs="Arial"/>
                <w:b/>
                <w:bCs/>
                <w:sz w:val="20"/>
                <w:szCs w:val="20"/>
              </w:rPr>
            </w:pPr>
            <w:r w:rsidRPr="005B722E">
              <w:rPr>
                <w:rFonts w:ascii="Arial" w:hAnsi="Arial" w:cs="Arial"/>
                <w:b/>
                <w:bCs/>
                <w:sz w:val="20"/>
                <w:szCs w:val="20"/>
              </w:rPr>
              <w:t>Month</w:t>
            </w:r>
          </w:p>
        </w:tc>
        <w:tc>
          <w:tcPr>
            <w:tcW w:w="2732" w:type="dxa"/>
            <w:gridSpan w:val="2"/>
          </w:tcPr>
          <w:p w14:paraId="2779AC61" w14:textId="77777777" w:rsidR="005B722E" w:rsidRPr="005B722E" w:rsidRDefault="005B722E" w:rsidP="00F7498C">
            <w:pPr>
              <w:jc w:val="center"/>
              <w:rPr>
                <w:rFonts w:ascii="Arial" w:hAnsi="Arial" w:cs="Arial"/>
                <w:b/>
                <w:bCs/>
                <w:sz w:val="20"/>
                <w:szCs w:val="20"/>
              </w:rPr>
            </w:pPr>
            <w:proofErr w:type="spellStart"/>
            <w:r w:rsidRPr="005B722E">
              <w:rPr>
                <w:rFonts w:ascii="Arial" w:hAnsi="Arial" w:cs="Arial"/>
                <w:b/>
                <w:bCs/>
                <w:sz w:val="20"/>
                <w:szCs w:val="20"/>
              </w:rPr>
              <w:t>Cooprative</w:t>
            </w:r>
            <w:proofErr w:type="spellEnd"/>
          </w:p>
        </w:tc>
        <w:tc>
          <w:tcPr>
            <w:tcW w:w="2733" w:type="dxa"/>
            <w:gridSpan w:val="2"/>
          </w:tcPr>
          <w:p w14:paraId="01D6BDD0" w14:textId="77777777" w:rsidR="005B722E" w:rsidRPr="005B722E" w:rsidRDefault="005B722E" w:rsidP="00F7498C">
            <w:pPr>
              <w:jc w:val="center"/>
              <w:rPr>
                <w:rFonts w:ascii="Arial" w:hAnsi="Arial" w:cs="Arial"/>
                <w:b/>
                <w:bCs/>
                <w:sz w:val="20"/>
                <w:szCs w:val="20"/>
              </w:rPr>
            </w:pPr>
            <w:r w:rsidRPr="005B722E">
              <w:rPr>
                <w:rFonts w:ascii="Arial" w:hAnsi="Arial" w:cs="Arial"/>
                <w:b/>
                <w:bCs/>
                <w:sz w:val="20"/>
                <w:szCs w:val="20"/>
              </w:rPr>
              <w:t>Collector</w:t>
            </w:r>
          </w:p>
        </w:tc>
        <w:tc>
          <w:tcPr>
            <w:tcW w:w="1367" w:type="dxa"/>
            <w:vMerge w:val="restart"/>
          </w:tcPr>
          <w:p w14:paraId="263C8D5C" w14:textId="77777777" w:rsidR="005B722E" w:rsidRPr="005B722E" w:rsidRDefault="005B722E" w:rsidP="00F7498C">
            <w:pPr>
              <w:jc w:val="center"/>
              <w:rPr>
                <w:rFonts w:ascii="Arial" w:hAnsi="Arial" w:cs="Arial"/>
                <w:b/>
                <w:bCs/>
                <w:sz w:val="20"/>
                <w:szCs w:val="20"/>
              </w:rPr>
            </w:pPr>
            <w:r w:rsidRPr="005B722E">
              <w:rPr>
                <w:rFonts w:ascii="Arial" w:hAnsi="Arial" w:cs="Arial"/>
                <w:b/>
                <w:bCs/>
                <w:sz w:val="20"/>
                <w:szCs w:val="20"/>
              </w:rPr>
              <w:t>Monthly Total</w:t>
            </w:r>
          </w:p>
        </w:tc>
      </w:tr>
      <w:tr w:rsidR="005B722E" w:rsidRPr="005B722E" w14:paraId="326B30AF" w14:textId="77777777" w:rsidTr="00F7498C">
        <w:tc>
          <w:tcPr>
            <w:tcW w:w="1366" w:type="dxa"/>
            <w:vMerge/>
          </w:tcPr>
          <w:p w14:paraId="52C833F7" w14:textId="77777777" w:rsidR="005B722E" w:rsidRPr="005B722E" w:rsidRDefault="005B722E" w:rsidP="00F7498C">
            <w:pPr>
              <w:jc w:val="both"/>
              <w:rPr>
                <w:rFonts w:ascii="Arial" w:hAnsi="Arial" w:cs="Arial"/>
                <w:b/>
                <w:bCs/>
                <w:sz w:val="20"/>
                <w:szCs w:val="20"/>
              </w:rPr>
            </w:pPr>
          </w:p>
        </w:tc>
        <w:tc>
          <w:tcPr>
            <w:tcW w:w="1366" w:type="dxa"/>
          </w:tcPr>
          <w:p w14:paraId="657E6A90" w14:textId="77777777" w:rsidR="005B722E" w:rsidRPr="005B722E" w:rsidRDefault="005B722E" w:rsidP="00F7498C">
            <w:pPr>
              <w:jc w:val="center"/>
              <w:rPr>
                <w:rFonts w:ascii="Arial" w:hAnsi="Arial" w:cs="Arial"/>
                <w:b/>
                <w:bCs/>
                <w:sz w:val="20"/>
                <w:szCs w:val="20"/>
              </w:rPr>
            </w:pPr>
            <w:r w:rsidRPr="005B722E">
              <w:rPr>
                <w:rFonts w:ascii="Arial" w:hAnsi="Arial" w:cs="Arial"/>
                <w:b/>
                <w:bCs/>
                <w:sz w:val="20"/>
                <w:szCs w:val="20"/>
              </w:rPr>
              <w:t>Female</w:t>
            </w:r>
          </w:p>
        </w:tc>
        <w:tc>
          <w:tcPr>
            <w:tcW w:w="1366" w:type="dxa"/>
          </w:tcPr>
          <w:p w14:paraId="3DCAFC5E" w14:textId="77777777" w:rsidR="005B722E" w:rsidRPr="005B722E" w:rsidRDefault="005B722E" w:rsidP="00F7498C">
            <w:pPr>
              <w:jc w:val="center"/>
              <w:rPr>
                <w:rFonts w:ascii="Arial" w:hAnsi="Arial" w:cs="Arial"/>
                <w:b/>
                <w:bCs/>
                <w:sz w:val="20"/>
                <w:szCs w:val="20"/>
              </w:rPr>
            </w:pPr>
            <w:r w:rsidRPr="005B722E">
              <w:rPr>
                <w:rFonts w:ascii="Arial" w:hAnsi="Arial" w:cs="Arial"/>
                <w:b/>
                <w:bCs/>
                <w:sz w:val="20"/>
                <w:szCs w:val="20"/>
              </w:rPr>
              <w:t>Male</w:t>
            </w:r>
          </w:p>
        </w:tc>
        <w:tc>
          <w:tcPr>
            <w:tcW w:w="1366" w:type="dxa"/>
          </w:tcPr>
          <w:p w14:paraId="2F4064C3" w14:textId="77777777" w:rsidR="005B722E" w:rsidRPr="005B722E" w:rsidRDefault="005B722E" w:rsidP="00F7498C">
            <w:pPr>
              <w:jc w:val="center"/>
              <w:rPr>
                <w:rFonts w:ascii="Arial" w:hAnsi="Arial" w:cs="Arial"/>
                <w:b/>
                <w:bCs/>
                <w:sz w:val="20"/>
                <w:szCs w:val="20"/>
              </w:rPr>
            </w:pPr>
            <w:r w:rsidRPr="005B722E">
              <w:rPr>
                <w:rFonts w:ascii="Arial" w:hAnsi="Arial" w:cs="Arial"/>
                <w:b/>
                <w:bCs/>
                <w:sz w:val="20"/>
                <w:szCs w:val="20"/>
              </w:rPr>
              <w:t>Female</w:t>
            </w:r>
          </w:p>
        </w:tc>
        <w:tc>
          <w:tcPr>
            <w:tcW w:w="1367" w:type="dxa"/>
          </w:tcPr>
          <w:p w14:paraId="546652AC" w14:textId="77777777" w:rsidR="005B722E" w:rsidRPr="005B722E" w:rsidRDefault="005B722E" w:rsidP="00F7498C">
            <w:pPr>
              <w:jc w:val="center"/>
              <w:rPr>
                <w:rFonts w:ascii="Arial" w:hAnsi="Arial" w:cs="Arial"/>
                <w:b/>
                <w:bCs/>
                <w:sz w:val="20"/>
                <w:szCs w:val="20"/>
              </w:rPr>
            </w:pPr>
            <w:r w:rsidRPr="005B722E">
              <w:rPr>
                <w:rFonts w:ascii="Arial" w:hAnsi="Arial" w:cs="Arial"/>
                <w:b/>
                <w:bCs/>
                <w:sz w:val="20"/>
                <w:szCs w:val="20"/>
              </w:rPr>
              <w:t>Male</w:t>
            </w:r>
          </w:p>
        </w:tc>
        <w:tc>
          <w:tcPr>
            <w:tcW w:w="1367" w:type="dxa"/>
            <w:vMerge/>
          </w:tcPr>
          <w:p w14:paraId="747E7569" w14:textId="77777777" w:rsidR="005B722E" w:rsidRPr="005B722E" w:rsidRDefault="005B722E" w:rsidP="00F7498C">
            <w:pPr>
              <w:jc w:val="both"/>
              <w:rPr>
                <w:rFonts w:ascii="Arial" w:hAnsi="Arial" w:cs="Arial"/>
                <w:sz w:val="20"/>
                <w:szCs w:val="20"/>
              </w:rPr>
            </w:pPr>
          </w:p>
        </w:tc>
      </w:tr>
      <w:tr w:rsidR="005B722E" w:rsidRPr="005B722E" w14:paraId="6AFB0502" w14:textId="77777777" w:rsidTr="00F7498C">
        <w:tc>
          <w:tcPr>
            <w:tcW w:w="1366" w:type="dxa"/>
          </w:tcPr>
          <w:p w14:paraId="55378702"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April</w:t>
            </w:r>
          </w:p>
        </w:tc>
        <w:tc>
          <w:tcPr>
            <w:tcW w:w="1366" w:type="dxa"/>
          </w:tcPr>
          <w:p w14:paraId="4E4344F9"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35</w:t>
            </w:r>
          </w:p>
        </w:tc>
        <w:tc>
          <w:tcPr>
            <w:tcW w:w="1366" w:type="dxa"/>
          </w:tcPr>
          <w:p w14:paraId="05B9D7DB"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38</w:t>
            </w:r>
          </w:p>
        </w:tc>
        <w:tc>
          <w:tcPr>
            <w:tcW w:w="1366" w:type="dxa"/>
          </w:tcPr>
          <w:p w14:paraId="459AA667"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0</w:t>
            </w:r>
          </w:p>
        </w:tc>
        <w:tc>
          <w:tcPr>
            <w:tcW w:w="1367" w:type="dxa"/>
          </w:tcPr>
          <w:p w14:paraId="58EE9FF3"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0</w:t>
            </w:r>
          </w:p>
        </w:tc>
        <w:tc>
          <w:tcPr>
            <w:tcW w:w="1367" w:type="dxa"/>
          </w:tcPr>
          <w:p w14:paraId="557B01A5"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73</w:t>
            </w:r>
          </w:p>
        </w:tc>
      </w:tr>
      <w:tr w:rsidR="005B722E" w:rsidRPr="005B722E" w14:paraId="2DF4A788" w14:textId="77777777" w:rsidTr="00F7498C">
        <w:tc>
          <w:tcPr>
            <w:tcW w:w="1366" w:type="dxa"/>
          </w:tcPr>
          <w:p w14:paraId="3AFC1769"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May</w:t>
            </w:r>
          </w:p>
        </w:tc>
        <w:tc>
          <w:tcPr>
            <w:tcW w:w="1366" w:type="dxa"/>
          </w:tcPr>
          <w:p w14:paraId="741AF062"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69</w:t>
            </w:r>
          </w:p>
        </w:tc>
        <w:tc>
          <w:tcPr>
            <w:tcW w:w="1366" w:type="dxa"/>
          </w:tcPr>
          <w:p w14:paraId="4884C641"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35</w:t>
            </w:r>
          </w:p>
        </w:tc>
        <w:tc>
          <w:tcPr>
            <w:tcW w:w="1366" w:type="dxa"/>
          </w:tcPr>
          <w:p w14:paraId="28B67FC2"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11</w:t>
            </w:r>
          </w:p>
        </w:tc>
        <w:tc>
          <w:tcPr>
            <w:tcW w:w="1367" w:type="dxa"/>
          </w:tcPr>
          <w:p w14:paraId="7C500EA3"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14</w:t>
            </w:r>
          </w:p>
        </w:tc>
        <w:tc>
          <w:tcPr>
            <w:tcW w:w="1367" w:type="dxa"/>
          </w:tcPr>
          <w:p w14:paraId="264E8943"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129</w:t>
            </w:r>
          </w:p>
        </w:tc>
      </w:tr>
      <w:tr w:rsidR="005B722E" w:rsidRPr="005B722E" w14:paraId="20DE63E0" w14:textId="77777777" w:rsidTr="00F7498C">
        <w:tc>
          <w:tcPr>
            <w:tcW w:w="1366" w:type="dxa"/>
          </w:tcPr>
          <w:p w14:paraId="1DCBDE3B"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June</w:t>
            </w:r>
          </w:p>
        </w:tc>
        <w:tc>
          <w:tcPr>
            <w:tcW w:w="1366" w:type="dxa"/>
          </w:tcPr>
          <w:p w14:paraId="31193E66"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9</w:t>
            </w:r>
          </w:p>
        </w:tc>
        <w:tc>
          <w:tcPr>
            <w:tcW w:w="1366" w:type="dxa"/>
          </w:tcPr>
          <w:p w14:paraId="307B950A"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4</w:t>
            </w:r>
          </w:p>
        </w:tc>
        <w:tc>
          <w:tcPr>
            <w:tcW w:w="1366" w:type="dxa"/>
          </w:tcPr>
          <w:p w14:paraId="10116D23"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4</w:t>
            </w:r>
          </w:p>
        </w:tc>
        <w:tc>
          <w:tcPr>
            <w:tcW w:w="1367" w:type="dxa"/>
          </w:tcPr>
          <w:p w14:paraId="07949CA7"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0</w:t>
            </w:r>
          </w:p>
        </w:tc>
        <w:tc>
          <w:tcPr>
            <w:tcW w:w="1367" w:type="dxa"/>
          </w:tcPr>
          <w:p w14:paraId="6B4A6A56"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17</w:t>
            </w:r>
          </w:p>
        </w:tc>
      </w:tr>
      <w:tr w:rsidR="005B722E" w:rsidRPr="005B722E" w14:paraId="765CFEAE" w14:textId="77777777" w:rsidTr="00F7498C">
        <w:tc>
          <w:tcPr>
            <w:tcW w:w="1366" w:type="dxa"/>
          </w:tcPr>
          <w:p w14:paraId="0EAA3AF4"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July</w:t>
            </w:r>
          </w:p>
        </w:tc>
        <w:tc>
          <w:tcPr>
            <w:tcW w:w="1366" w:type="dxa"/>
          </w:tcPr>
          <w:p w14:paraId="33A46D6C"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106</w:t>
            </w:r>
          </w:p>
        </w:tc>
        <w:tc>
          <w:tcPr>
            <w:tcW w:w="1366" w:type="dxa"/>
          </w:tcPr>
          <w:p w14:paraId="4606865A"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57</w:t>
            </w:r>
          </w:p>
        </w:tc>
        <w:tc>
          <w:tcPr>
            <w:tcW w:w="1366" w:type="dxa"/>
          </w:tcPr>
          <w:p w14:paraId="035CF46E"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0</w:t>
            </w:r>
          </w:p>
        </w:tc>
        <w:tc>
          <w:tcPr>
            <w:tcW w:w="1367" w:type="dxa"/>
          </w:tcPr>
          <w:p w14:paraId="2019C940"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0</w:t>
            </w:r>
          </w:p>
        </w:tc>
        <w:tc>
          <w:tcPr>
            <w:tcW w:w="1367" w:type="dxa"/>
          </w:tcPr>
          <w:p w14:paraId="184A52F3"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163</w:t>
            </w:r>
          </w:p>
        </w:tc>
      </w:tr>
      <w:tr w:rsidR="005B722E" w:rsidRPr="005B722E" w14:paraId="3D508018" w14:textId="77777777" w:rsidTr="00F7498C">
        <w:tc>
          <w:tcPr>
            <w:tcW w:w="1366" w:type="dxa"/>
          </w:tcPr>
          <w:p w14:paraId="68A34136"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August</w:t>
            </w:r>
          </w:p>
        </w:tc>
        <w:tc>
          <w:tcPr>
            <w:tcW w:w="1366" w:type="dxa"/>
          </w:tcPr>
          <w:p w14:paraId="5A0992F3"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43</w:t>
            </w:r>
          </w:p>
        </w:tc>
        <w:tc>
          <w:tcPr>
            <w:tcW w:w="1366" w:type="dxa"/>
          </w:tcPr>
          <w:p w14:paraId="3C57686B"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42</w:t>
            </w:r>
          </w:p>
        </w:tc>
        <w:tc>
          <w:tcPr>
            <w:tcW w:w="1366" w:type="dxa"/>
          </w:tcPr>
          <w:p w14:paraId="004D992E"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0</w:t>
            </w:r>
          </w:p>
        </w:tc>
        <w:tc>
          <w:tcPr>
            <w:tcW w:w="1367" w:type="dxa"/>
          </w:tcPr>
          <w:p w14:paraId="3BFA380D"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0</w:t>
            </w:r>
          </w:p>
        </w:tc>
        <w:tc>
          <w:tcPr>
            <w:tcW w:w="1367" w:type="dxa"/>
          </w:tcPr>
          <w:p w14:paraId="0945295D" w14:textId="77777777" w:rsidR="005B722E" w:rsidRPr="005B722E" w:rsidRDefault="005B722E" w:rsidP="00F7498C">
            <w:pPr>
              <w:jc w:val="center"/>
              <w:rPr>
                <w:rFonts w:ascii="Arial" w:hAnsi="Arial" w:cs="Arial"/>
                <w:sz w:val="20"/>
                <w:szCs w:val="20"/>
              </w:rPr>
            </w:pPr>
            <w:r w:rsidRPr="005B722E">
              <w:rPr>
                <w:rFonts w:ascii="Arial" w:hAnsi="Arial" w:cs="Arial"/>
                <w:sz w:val="20"/>
                <w:szCs w:val="20"/>
              </w:rPr>
              <w:t>85</w:t>
            </w:r>
          </w:p>
        </w:tc>
      </w:tr>
      <w:tr w:rsidR="005B722E" w:rsidRPr="005B722E" w14:paraId="73AAEA65" w14:textId="77777777" w:rsidTr="00F7498C">
        <w:tc>
          <w:tcPr>
            <w:tcW w:w="8198" w:type="dxa"/>
            <w:gridSpan w:val="6"/>
          </w:tcPr>
          <w:p w14:paraId="544EF21B" w14:textId="6FD5772F" w:rsidR="005B722E" w:rsidRPr="005B722E" w:rsidRDefault="005B722E" w:rsidP="00F7498C">
            <w:pPr>
              <w:rPr>
                <w:rFonts w:ascii="Arial" w:hAnsi="Arial" w:cs="Arial"/>
                <w:b/>
                <w:bCs/>
                <w:sz w:val="20"/>
                <w:szCs w:val="20"/>
              </w:rPr>
            </w:pPr>
            <w:r w:rsidRPr="005B722E">
              <w:rPr>
                <w:rFonts w:ascii="Arial" w:hAnsi="Arial" w:cs="Arial"/>
                <w:b/>
                <w:bCs/>
                <w:sz w:val="20"/>
                <w:szCs w:val="20"/>
              </w:rPr>
              <w:t xml:space="preserve">    Total                                                                                                      </w:t>
            </w:r>
            <w:r>
              <w:rPr>
                <w:rFonts w:ascii="Arial" w:hAnsi="Arial" w:cs="Arial"/>
                <w:b/>
                <w:bCs/>
                <w:sz w:val="20"/>
                <w:szCs w:val="20"/>
              </w:rPr>
              <w:t xml:space="preserve">            </w:t>
            </w:r>
            <w:r w:rsidRPr="005B722E">
              <w:rPr>
                <w:rFonts w:ascii="Arial" w:hAnsi="Arial" w:cs="Arial"/>
                <w:b/>
                <w:bCs/>
                <w:sz w:val="20"/>
                <w:szCs w:val="20"/>
              </w:rPr>
              <w:t xml:space="preserve">    467</w:t>
            </w:r>
          </w:p>
        </w:tc>
      </w:tr>
    </w:tbl>
    <w:p w14:paraId="7B706515" w14:textId="77777777" w:rsidR="00694220" w:rsidRDefault="00694220" w:rsidP="00694220">
      <w:pPr>
        <w:pStyle w:val="Head1"/>
        <w:spacing w:after="0"/>
        <w:jc w:val="both"/>
        <w:rPr>
          <w:rFonts w:ascii="Arial" w:hAnsi="Arial" w:cs="Arial"/>
          <w:b w:val="0"/>
          <w:bCs/>
          <w:caps w:val="0"/>
          <w:sz w:val="20"/>
        </w:rPr>
      </w:pPr>
    </w:p>
    <w:p w14:paraId="2C130CDB" w14:textId="73AA06AB" w:rsidR="00C03792" w:rsidRPr="00C03792" w:rsidRDefault="00C03792" w:rsidP="00C03792">
      <w:pPr>
        <w:pStyle w:val="Head1"/>
        <w:jc w:val="both"/>
        <w:rPr>
          <w:rFonts w:ascii="Arial" w:hAnsi="Arial" w:cs="Arial"/>
          <w:b w:val="0"/>
          <w:bCs/>
          <w:caps w:val="0"/>
          <w:sz w:val="20"/>
        </w:rPr>
      </w:pPr>
      <w:r w:rsidRPr="00C03792">
        <w:rPr>
          <w:rFonts w:ascii="Arial" w:hAnsi="Arial" w:cs="Arial"/>
          <w:b w:val="0"/>
          <w:bCs/>
          <w:caps w:val="0"/>
          <w:sz w:val="20"/>
        </w:rPr>
        <w:t xml:space="preserve">Morphometric analysis revealed a wide range of sizes within the population. The minimum dorsal mantle length (DML) recorded for both sexes was 6 cm; however, the maximum size of females reached 22 cm, exceeding that of males, which only reached 20 cm. The mean DML for males was 11.36 ± 2.55 cm, while females were slightly larger, with a mean of 11.62 ± 2.45 cm. Population structure based on size classes showed a single dominant mode for both sexes (Figures 3 &amp; </w:t>
      </w:r>
      <w:r w:rsidR="00E97C8E">
        <w:rPr>
          <w:rFonts w:ascii="Arial" w:hAnsi="Arial" w:cs="Arial"/>
          <w:b w:val="0"/>
          <w:bCs/>
          <w:caps w:val="0"/>
          <w:sz w:val="20"/>
        </w:rPr>
        <w:t xml:space="preserve">Figure </w:t>
      </w:r>
      <w:r w:rsidRPr="00C03792">
        <w:rPr>
          <w:rFonts w:ascii="Arial" w:hAnsi="Arial" w:cs="Arial"/>
          <w:b w:val="0"/>
          <w:bCs/>
          <w:caps w:val="0"/>
          <w:sz w:val="20"/>
        </w:rPr>
        <w:t>4), with the mode for males in the 8–10 cm class (54 individuals) and for females in the 10–12 cm class (84 individuals).</w:t>
      </w:r>
    </w:p>
    <w:p w14:paraId="5CE09406" w14:textId="487048ED" w:rsidR="00C03792" w:rsidRPr="00C03792" w:rsidRDefault="00C03792" w:rsidP="00C03792">
      <w:pPr>
        <w:pStyle w:val="Head1"/>
        <w:jc w:val="both"/>
        <w:rPr>
          <w:rFonts w:ascii="Arial" w:hAnsi="Arial" w:cs="Arial"/>
          <w:b w:val="0"/>
          <w:bCs/>
          <w:caps w:val="0"/>
          <w:sz w:val="20"/>
        </w:rPr>
      </w:pPr>
      <w:r w:rsidRPr="00C03792">
        <w:rPr>
          <w:rFonts w:ascii="Arial" w:hAnsi="Arial" w:cs="Arial"/>
          <w:b w:val="0"/>
          <w:bCs/>
          <w:caps w:val="0"/>
          <w:sz w:val="20"/>
        </w:rPr>
        <w:t xml:space="preserve">The larger maximum size of females compared to males indicates sexual dimorphism in </w:t>
      </w:r>
      <w:r w:rsidRPr="00C03792">
        <w:rPr>
          <w:rFonts w:ascii="Arial" w:hAnsi="Arial" w:cs="Arial"/>
          <w:b w:val="0"/>
          <w:bCs/>
          <w:i/>
          <w:iCs/>
          <w:caps w:val="0"/>
          <w:sz w:val="20"/>
        </w:rPr>
        <w:t xml:space="preserve">Octopus </w:t>
      </w:r>
      <w:proofErr w:type="spellStart"/>
      <w:r w:rsidRPr="00C03792">
        <w:rPr>
          <w:rFonts w:ascii="Arial" w:hAnsi="Arial" w:cs="Arial"/>
          <w:b w:val="0"/>
          <w:bCs/>
          <w:i/>
          <w:iCs/>
          <w:caps w:val="0"/>
          <w:sz w:val="20"/>
        </w:rPr>
        <w:t>cyanea</w:t>
      </w:r>
      <w:proofErr w:type="spellEnd"/>
      <w:r w:rsidRPr="00C03792">
        <w:rPr>
          <w:rFonts w:ascii="Arial" w:hAnsi="Arial" w:cs="Arial"/>
          <w:b w:val="0"/>
          <w:bCs/>
          <w:caps w:val="0"/>
          <w:sz w:val="20"/>
        </w:rPr>
        <w:t xml:space="preserve"> captured in the waters surrounding </w:t>
      </w:r>
      <w:proofErr w:type="spellStart"/>
      <w:r w:rsidRPr="00C03792">
        <w:rPr>
          <w:rFonts w:ascii="Arial" w:hAnsi="Arial" w:cs="Arial"/>
          <w:b w:val="0"/>
          <w:bCs/>
          <w:caps w:val="0"/>
          <w:sz w:val="20"/>
        </w:rPr>
        <w:t>Seruni</w:t>
      </w:r>
      <w:proofErr w:type="spellEnd"/>
      <w:r w:rsidRPr="00C03792">
        <w:rPr>
          <w:rFonts w:ascii="Arial" w:hAnsi="Arial" w:cs="Arial"/>
          <w:b w:val="0"/>
          <w:bCs/>
          <w:caps w:val="0"/>
          <w:sz w:val="20"/>
        </w:rPr>
        <w:t xml:space="preserve"> </w:t>
      </w:r>
      <w:proofErr w:type="spellStart"/>
      <w:r w:rsidRPr="00C03792">
        <w:rPr>
          <w:rFonts w:ascii="Arial" w:hAnsi="Arial" w:cs="Arial"/>
          <w:b w:val="0"/>
          <w:bCs/>
          <w:caps w:val="0"/>
          <w:sz w:val="20"/>
        </w:rPr>
        <w:t>Mumbul</w:t>
      </w:r>
      <w:proofErr w:type="spellEnd"/>
      <w:r w:rsidRPr="00C03792">
        <w:rPr>
          <w:rFonts w:ascii="Arial" w:hAnsi="Arial" w:cs="Arial"/>
          <w:b w:val="0"/>
          <w:bCs/>
          <w:caps w:val="0"/>
          <w:sz w:val="20"/>
        </w:rPr>
        <w:t xml:space="preserve"> Village, East Lombok Regency. Biologically, this reflects energy allocation strategies: females require a larger mantle cavity and body mass to support ovarian development and maximize fecundity</w:t>
      </w:r>
      <w:r w:rsidR="00E97C8E">
        <w:rPr>
          <w:rFonts w:ascii="Arial" w:hAnsi="Arial" w:cs="Arial"/>
          <w:b w:val="0"/>
          <w:bCs/>
          <w:caps w:val="0"/>
          <w:sz w:val="20"/>
        </w:rPr>
        <w:t xml:space="preserve"> </w:t>
      </w:r>
      <w:r w:rsidRPr="00C03792">
        <w:rPr>
          <w:rFonts w:ascii="Arial" w:hAnsi="Arial" w:cs="Arial"/>
          <w:b w:val="0"/>
          <w:bCs/>
          <w:caps w:val="0"/>
          <w:sz w:val="20"/>
        </w:rPr>
        <w:t xml:space="preserve">(Semmens </w:t>
      </w:r>
      <w:r w:rsidRPr="00C03792">
        <w:rPr>
          <w:rFonts w:ascii="Arial" w:hAnsi="Arial" w:cs="Arial"/>
          <w:b w:val="0"/>
          <w:bCs/>
          <w:i/>
          <w:iCs/>
          <w:caps w:val="0"/>
          <w:sz w:val="20"/>
        </w:rPr>
        <w:t>et al</w:t>
      </w:r>
      <w:r w:rsidRPr="00C03792">
        <w:rPr>
          <w:rFonts w:ascii="Arial" w:hAnsi="Arial" w:cs="Arial"/>
          <w:b w:val="0"/>
          <w:bCs/>
          <w:caps w:val="0"/>
          <w:sz w:val="20"/>
        </w:rPr>
        <w:t xml:space="preserve">., 2004). The shift of the mode toward larger size classes in females also </w:t>
      </w:r>
      <w:r w:rsidRPr="00C03792">
        <w:rPr>
          <w:rFonts w:ascii="Arial" w:hAnsi="Arial" w:cs="Arial"/>
          <w:b w:val="0"/>
          <w:bCs/>
          <w:caps w:val="0"/>
          <w:sz w:val="20"/>
        </w:rPr>
        <w:lastRenderedPageBreak/>
        <w:t>suggests that somatic growth rates in females are generally higher or that females have a slightly longer lifespan than males before entering the post-reproductive senescence phase.</w:t>
      </w:r>
    </w:p>
    <w:p w14:paraId="39DBD03C" w14:textId="7B708F9F" w:rsidR="00E97C8E" w:rsidRDefault="00C03792" w:rsidP="00C03792">
      <w:pPr>
        <w:pStyle w:val="Head1"/>
        <w:spacing w:after="0"/>
        <w:jc w:val="both"/>
        <w:rPr>
          <w:rFonts w:ascii="Arial" w:hAnsi="Arial" w:cs="Arial"/>
          <w:b w:val="0"/>
          <w:bCs/>
          <w:caps w:val="0"/>
          <w:sz w:val="20"/>
        </w:rPr>
      </w:pPr>
      <w:r w:rsidRPr="00C03792">
        <w:rPr>
          <w:rFonts w:ascii="Arial" w:hAnsi="Arial" w:cs="Arial"/>
          <w:b w:val="0"/>
          <w:bCs/>
          <w:caps w:val="0"/>
          <w:sz w:val="20"/>
        </w:rPr>
        <w:t>Based on the estimated first gonadal maturity size (</w:t>
      </w:r>
      <w:proofErr w:type="spellStart"/>
      <w:r w:rsidRPr="00C03792">
        <w:rPr>
          <w:rFonts w:ascii="Arial" w:hAnsi="Arial" w:cs="Arial"/>
          <w:b w:val="0"/>
          <w:bCs/>
          <w:caps w:val="0"/>
          <w:sz w:val="20"/>
        </w:rPr>
        <w:t>Lm</w:t>
      </w:r>
      <w:proofErr w:type="spellEnd"/>
      <w:r w:rsidRPr="00C03792">
        <w:rPr>
          <w:rFonts w:ascii="Arial" w:hAnsi="Arial" w:cs="Arial"/>
          <w:b w:val="0"/>
          <w:bCs/>
          <w:caps w:val="0"/>
          <w:sz w:val="20"/>
        </w:rPr>
        <w:t xml:space="preserve">) reported by Omar </w:t>
      </w:r>
      <w:r w:rsidRPr="003D59B7">
        <w:rPr>
          <w:rFonts w:ascii="Arial" w:hAnsi="Arial" w:cs="Arial"/>
          <w:b w:val="0"/>
          <w:bCs/>
          <w:i/>
          <w:iCs/>
          <w:caps w:val="0"/>
          <w:sz w:val="20"/>
        </w:rPr>
        <w:t>et al</w:t>
      </w:r>
      <w:r w:rsidRPr="00C03792">
        <w:rPr>
          <w:rFonts w:ascii="Arial" w:hAnsi="Arial" w:cs="Arial"/>
          <w:b w:val="0"/>
          <w:bCs/>
          <w:caps w:val="0"/>
          <w:sz w:val="20"/>
        </w:rPr>
        <w:t>. (2020)</w:t>
      </w:r>
      <w:r w:rsidR="003D59B7">
        <w:rPr>
          <w:rFonts w:ascii="Arial" w:hAnsi="Arial" w:cs="Arial"/>
          <w:b w:val="0"/>
          <w:bCs/>
          <w:caps w:val="0"/>
          <w:sz w:val="20"/>
        </w:rPr>
        <w:t>,</w:t>
      </w:r>
      <w:r w:rsidR="003D59B7" w:rsidRPr="003D59B7">
        <w:rPr>
          <w:rFonts w:ascii="Arial" w:hAnsi="Arial" w:cs="Arial"/>
          <w:b w:val="0"/>
          <w:bCs/>
          <w:caps w:val="0"/>
          <w:sz w:val="20"/>
        </w:rPr>
        <w:t xml:space="preserve"> </w:t>
      </w:r>
      <w:r w:rsidR="003D59B7" w:rsidRPr="00022BB1">
        <w:rPr>
          <w:rFonts w:ascii="Arial" w:hAnsi="Arial" w:cs="Arial"/>
          <w:b w:val="0"/>
          <w:bCs/>
          <w:caps w:val="0"/>
          <w:sz w:val="20"/>
        </w:rPr>
        <w:t xml:space="preserve">≥12.9 </w:t>
      </w:r>
      <w:r w:rsidRPr="00C03792">
        <w:rPr>
          <w:rFonts w:ascii="Arial" w:hAnsi="Arial" w:cs="Arial"/>
          <w:b w:val="0"/>
          <w:bCs/>
          <w:caps w:val="0"/>
          <w:sz w:val="20"/>
        </w:rPr>
        <w:t>cm for males and ≥15.5 cm for females</w:t>
      </w:r>
      <w:r w:rsidR="003D59B7">
        <w:rPr>
          <w:rFonts w:ascii="Arial" w:hAnsi="Arial" w:cs="Arial"/>
          <w:b w:val="0"/>
          <w:bCs/>
          <w:caps w:val="0"/>
          <w:sz w:val="20"/>
        </w:rPr>
        <w:t xml:space="preserve"> </w:t>
      </w:r>
      <w:r w:rsidRPr="00C03792">
        <w:rPr>
          <w:rFonts w:ascii="Arial" w:hAnsi="Arial" w:cs="Arial"/>
          <w:b w:val="0"/>
          <w:bCs/>
          <w:caps w:val="0"/>
          <w:sz w:val="20"/>
        </w:rPr>
        <w:t xml:space="preserve">the </w:t>
      </w:r>
      <w:r w:rsidRPr="00C03792">
        <w:rPr>
          <w:rFonts w:ascii="Arial" w:hAnsi="Arial" w:cs="Arial"/>
          <w:b w:val="0"/>
          <w:bCs/>
          <w:i/>
          <w:iCs/>
          <w:caps w:val="0"/>
          <w:sz w:val="20"/>
        </w:rPr>
        <w:t xml:space="preserve">Octopus </w:t>
      </w:r>
      <w:proofErr w:type="spellStart"/>
      <w:r w:rsidRPr="00C03792">
        <w:rPr>
          <w:rFonts w:ascii="Arial" w:hAnsi="Arial" w:cs="Arial"/>
          <w:b w:val="0"/>
          <w:bCs/>
          <w:i/>
          <w:iCs/>
          <w:caps w:val="0"/>
          <w:sz w:val="20"/>
        </w:rPr>
        <w:t>cyanea</w:t>
      </w:r>
      <w:proofErr w:type="spellEnd"/>
      <w:r w:rsidRPr="00C03792">
        <w:rPr>
          <w:rFonts w:ascii="Arial" w:hAnsi="Arial" w:cs="Arial"/>
          <w:b w:val="0"/>
          <w:bCs/>
          <w:caps w:val="0"/>
          <w:sz w:val="20"/>
        </w:rPr>
        <w:t xml:space="preserve"> population sampled was dominated by individuals that had not yet reached gonadal maturity. Of the total 467 individuals, only 74 (15.8%) were estimated to have reached </w:t>
      </w:r>
      <w:proofErr w:type="spellStart"/>
      <w:r w:rsidRPr="00C03792">
        <w:rPr>
          <w:rFonts w:ascii="Arial" w:hAnsi="Arial" w:cs="Arial"/>
          <w:b w:val="0"/>
          <w:bCs/>
          <w:caps w:val="0"/>
          <w:sz w:val="20"/>
        </w:rPr>
        <w:t>Lm</w:t>
      </w:r>
      <w:proofErr w:type="spellEnd"/>
      <w:r w:rsidRPr="00C03792">
        <w:rPr>
          <w:rFonts w:ascii="Arial" w:hAnsi="Arial" w:cs="Arial"/>
          <w:b w:val="0"/>
          <w:bCs/>
          <w:caps w:val="0"/>
          <w:sz w:val="20"/>
        </w:rPr>
        <w:t xml:space="preserve">, consisting of 62 males and 12 females. The low number of mature females, despite their dominance in the total sample, is primarily due to the higher </w:t>
      </w:r>
      <w:proofErr w:type="spellStart"/>
      <w:r w:rsidRPr="00C03792">
        <w:rPr>
          <w:rFonts w:ascii="Arial" w:hAnsi="Arial" w:cs="Arial"/>
          <w:b w:val="0"/>
          <w:bCs/>
          <w:caps w:val="0"/>
          <w:sz w:val="20"/>
        </w:rPr>
        <w:t>Lm</w:t>
      </w:r>
      <w:proofErr w:type="spellEnd"/>
      <w:r w:rsidRPr="00C03792">
        <w:rPr>
          <w:rFonts w:ascii="Arial" w:hAnsi="Arial" w:cs="Arial"/>
          <w:b w:val="0"/>
          <w:bCs/>
          <w:caps w:val="0"/>
          <w:sz w:val="20"/>
        </w:rPr>
        <w:t xml:space="preserve"> threshold for females and the predominance of small size classes (8–12 cm) in the catch. Therefore, most captured females were still in juvenile to sub-adult stages and had not yet attained sexual maturity.</w:t>
      </w:r>
    </w:p>
    <w:p w14:paraId="2842BA27" w14:textId="22EC3985" w:rsidR="00E97C8E" w:rsidRDefault="00E97C8E" w:rsidP="00C03792">
      <w:pPr>
        <w:pStyle w:val="Head1"/>
        <w:spacing w:after="0"/>
        <w:jc w:val="both"/>
        <w:rPr>
          <w:rFonts w:ascii="Arial" w:hAnsi="Arial" w:cs="Arial"/>
          <w:b w:val="0"/>
          <w:bCs/>
          <w:caps w:val="0"/>
          <w:sz w:val="20"/>
        </w:rPr>
      </w:pPr>
    </w:p>
    <w:p w14:paraId="625E82BB" w14:textId="7A6348ED" w:rsidR="00E97C8E" w:rsidRPr="00E97C8E" w:rsidRDefault="00E97C8E" w:rsidP="00E97C8E">
      <w:pPr>
        <w:pStyle w:val="Head1"/>
        <w:jc w:val="both"/>
        <w:rPr>
          <w:rFonts w:ascii="Arial" w:hAnsi="Arial" w:cs="Arial"/>
          <w:b w:val="0"/>
          <w:bCs/>
          <w:caps w:val="0"/>
          <w:sz w:val="20"/>
        </w:rPr>
      </w:pPr>
      <w:r w:rsidRPr="00E97C8E">
        <w:rPr>
          <w:rFonts w:ascii="Arial" w:hAnsi="Arial" w:cs="Arial"/>
          <w:b w:val="0"/>
          <w:bCs/>
          <w:caps w:val="0"/>
          <w:sz w:val="20"/>
        </w:rPr>
        <w:t>To date, no information is available regarding the first gonadal maturity size (</w:t>
      </w:r>
      <w:proofErr w:type="spellStart"/>
      <w:r w:rsidRPr="00E97C8E">
        <w:rPr>
          <w:rFonts w:ascii="Arial" w:hAnsi="Arial" w:cs="Arial"/>
          <w:b w:val="0"/>
          <w:bCs/>
          <w:caps w:val="0"/>
          <w:sz w:val="20"/>
        </w:rPr>
        <w:t>Lm</w:t>
      </w:r>
      <w:proofErr w:type="spellEnd"/>
      <w:r w:rsidRPr="00E97C8E">
        <w:rPr>
          <w:rFonts w:ascii="Arial" w:hAnsi="Arial" w:cs="Arial"/>
          <w:b w:val="0"/>
          <w:bCs/>
          <w:caps w:val="0"/>
          <w:sz w:val="20"/>
        </w:rPr>
        <w:t xml:space="preserve">) specific to the population in this area, making the use of </w:t>
      </w:r>
      <w:proofErr w:type="spellStart"/>
      <w:r w:rsidRPr="00E97C8E">
        <w:rPr>
          <w:rFonts w:ascii="Arial" w:hAnsi="Arial" w:cs="Arial"/>
          <w:b w:val="0"/>
          <w:bCs/>
          <w:caps w:val="0"/>
          <w:sz w:val="20"/>
        </w:rPr>
        <w:t>Lm</w:t>
      </w:r>
      <w:proofErr w:type="spellEnd"/>
      <w:r w:rsidRPr="00E97C8E">
        <w:rPr>
          <w:rFonts w:ascii="Arial" w:hAnsi="Arial" w:cs="Arial"/>
          <w:b w:val="0"/>
          <w:bCs/>
          <w:caps w:val="0"/>
          <w:sz w:val="20"/>
        </w:rPr>
        <w:t xml:space="preserve"> values from Omar </w:t>
      </w:r>
      <w:r w:rsidRPr="00E97C8E">
        <w:rPr>
          <w:rFonts w:ascii="Arial" w:hAnsi="Arial" w:cs="Arial"/>
          <w:b w:val="0"/>
          <w:bCs/>
          <w:i/>
          <w:iCs/>
          <w:caps w:val="0"/>
          <w:sz w:val="20"/>
        </w:rPr>
        <w:t>et al</w:t>
      </w:r>
      <w:r w:rsidRPr="00E97C8E">
        <w:rPr>
          <w:rFonts w:ascii="Arial" w:hAnsi="Arial" w:cs="Arial"/>
          <w:b w:val="0"/>
          <w:bCs/>
          <w:caps w:val="0"/>
          <w:sz w:val="20"/>
        </w:rPr>
        <w:t xml:space="preserve">. (2020) the most appropriate approach based on the available literature. Although there are technical differences in the definition of the initial measurement point of DML between this study and Omar </w:t>
      </w:r>
      <w:r w:rsidRPr="00E97C8E">
        <w:rPr>
          <w:rFonts w:ascii="Arial" w:hAnsi="Arial" w:cs="Arial"/>
          <w:b w:val="0"/>
          <w:bCs/>
          <w:i/>
          <w:iCs/>
          <w:caps w:val="0"/>
          <w:sz w:val="20"/>
        </w:rPr>
        <w:t>et al</w:t>
      </w:r>
      <w:r w:rsidRPr="00E97C8E">
        <w:rPr>
          <w:rFonts w:ascii="Arial" w:hAnsi="Arial" w:cs="Arial"/>
          <w:b w:val="0"/>
          <w:bCs/>
          <w:caps w:val="0"/>
          <w:sz w:val="20"/>
        </w:rPr>
        <w:t>. (2020), both rely on DML as the primary morphometric indicator, rendering the comparison biologically relevant at the population level.</w:t>
      </w:r>
    </w:p>
    <w:p w14:paraId="0F6A57A2" w14:textId="4DF1A39C" w:rsidR="00E97C8E" w:rsidRPr="00E97C8E" w:rsidRDefault="00E97C8E" w:rsidP="00E97C8E">
      <w:pPr>
        <w:pStyle w:val="Head1"/>
        <w:jc w:val="both"/>
        <w:rPr>
          <w:rFonts w:ascii="Arial" w:hAnsi="Arial" w:cs="Arial"/>
          <w:b w:val="0"/>
          <w:bCs/>
          <w:caps w:val="0"/>
          <w:sz w:val="20"/>
        </w:rPr>
      </w:pPr>
      <w:r w:rsidRPr="00E97C8E">
        <w:rPr>
          <w:rFonts w:ascii="Arial" w:hAnsi="Arial" w:cs="Arial"/>
          <w:b w:val="0"/>
          <w:bCs/>
          <w:caps w:val="0"/>
          <w:sz w:val="20"/>
        </w:rPr>
        <w:t xml:space="preserve">The relatively high proportion of individuals below </w:t>
      </w:r>
      <w:proofErr w:type="spellStart"/>
      <w:r w:rsidRPr="00E97C8E">
        <w:rPr>
          <w:rFonts w:ascii="Arial" w:hAnsi="Arial" w:cs="Arial"/>
          <w:b w:val="0"/>
          <w:bCs/>
          <w:caps w:val="0"/>
          <w:sz w:val="20"/>
        </w:rPr>
        <w:t>Lm</w:t>
      </w:r>
      <w:proofErr w:type="spellEnd"/>
      <w:r w:rsidRPr="00E97C8E">
        <w:rPr>
          <w:rFonts w:ascii="Arial" w:hAnsi="Arial" w:cs="Arial"/>
          <w:b w:val="0"/>
          <w:bCs/>
          <w:caps w:val="0"/>
          <w:sz w:val="20"/>
        </w:rPr>
        <w:t xml:space="preserve">, approximately 84%, indicates a potential risk of growth overfishing, in which the majority of individuals are harvested before contributing to reproduction. If this harvesting pattern persists, it could compromise the sustainability of natural population recruitment (Ben-Hasan </w:t>
      </w:r>
      <w:r w:rsidRPr="00E97C8E">
        <w:rPr>
          <w:rFonts w:ascii="Arial" w:hAnsi="Arial" w:cs="Arial"/>
          <w:b w:val="0"/>
          <w:bCs/>
          <w:i/>
          <w:iCs/>
          <w:caps w:val="0"/>
          <w:sz w:val="20"/>
        </w:rPr>
        <w:t>et al</w:t>
      </w:r>
      <w:r w:rsidRPr="00E97C8E">
        <w:rPr>
          <w:rFonts w:ascii="Arial" w:hAnsi="Arial" w:cs="Arial"/>
          <w:b w:val="0"/>
          <w:bCs/>
          <w:caps w:val="0"/>
          <w:sz w:val="20"/>
        </w:rPr>
        <w:t>., 2021). However, confirmation of this status requires further analysis based on population dynamics parameters and direct assessment of gonadal maturity in the local population.</w:t>
      </w:r>
    </w:p>
    <w:p w14:paraId="4D02916E" w14:textId="39AAD379" w:rsidR="006278FF" w:rsidRPr="00E97C8E" w:rsidRDefault="00E97C8E" w:rsidP="00E97C8E">
      <w:pPr>
        <w:pStyle w:val="Head1"/>
        <w:spacing w:after="0"/>
        <w:jc w:val="both"/>
        <w:rPr>
          <w:rFonts w:ascii="Arial" w:hAnsi="Arial" w:cs="Arial"/>
          <w:b w:val="0"/>
          <w:bCs/>
          <w:caps w:val="0"/>
          <w:sz w:val="20"/>
        </w:rPr>
      </w:pPr>
      <w:r w:rsidRPr="00E97C8E">
        <w:rPr>
          <w:rFonts w:ascii="Arial" w:hAnsi="Arial" w:cs="Arial"/>
          <w:b w:val="0"/>
          <w:bCs/>
          <w:caps w:val="0"/>
          <w:sz w:val="20"/>
        </w:rPr>
        <w:t xml:space="preserve">The data also show that males reach maturity at smaller sizes than females. This pattern is consistent with the general life-history strategy of cephalopods, in which males allocate energy to achieve sexual maturity earlier to maximize reproductive opportunities, whereas females delay maturity until reaching a larger body size to support egg production and the brooding period, typically followed by a fasting phase until death (Avila-Poveda </w:t>
      </w:r>
      <w:r w:rsidRPr="00E97C8E">
        <w:rPr>
          <w:rFonts w:ascii="Arial" w:hAnsi="Arial" w:cs="Arial"/>
          <w:b w:val="0"/>
          <w:bCs/>
          <w:i/>
          <w:iCs/>
          <w:caps w:val="0"/>
          <w:sz w:val="20"/>
        </w:rPr>
        <w:t>et al</w:t>
      </w:r>
      <w:r w:rsidRPr="00E97C8E">
        <w:rPr>
          <w:rFonts w:ascii="Arial" w:hAnsi="Arial" w:cs="Arial"/>
          <w:b w:val="0"/>
          <w:bCs/>
          <w:caps w:val="0"/>
          <w:sz w:val="20"/>
        </w:rPr>
        <w:t>., 2009).</w:t>
      </w:r>
    </w:p>
    <w:p w14:paraId="1765BC6A" w14:textId="77777777" w:rsidR="001F3270" w:rsidRPr="001F6062" w:rsidRDefault="001F3270" w:rsidP="001F3270">
      <w:pPr>
        <w:pStyle w:val="Head1"/>
        <w:spacing w:after="0"/>
        <w:jc w:val="both"/>
        <w:rPr>
          <w:rFonts w:ascii="Arial" w:hAnsi="Arial" w:cs="Arial"/>
          <w:b w:val="0"/>
          <w:caps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4010"/>
      </w:tblGrid>
      <w:tr w:rsidR="00A51BE9" w14:paraId="3A4B701E" w14:textId="77777777" w:rsidTr="007938B0">
        <w:trPr>
          <w:trHeight w:val="1908"/>
        </w:trPr>
        <w:tc>
          <w:tcPr>
            <w:tcW w:w="4212" w:type="dxa"/>
          </w:tcPr>
          <w:p w14:paraId="56F89AF5" w14:textId="6EDFEA34" w:rsidR="00A315B0" w:rsidRDefault="006F19BD" w:rsidP="001F3270">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1F28D0B1" wp14:editId="480A4789">
                  <wp:extent cx="2559366" cy="1534601"/>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88469" cy="1552051"/>
                          </a:xfrm>
                          <a:prstGeom prst="rect">
                            <a:avLst/>
                          </a:prstGeom>
                        </pic:spPr>
                      </pic:pic>
                    </a:graphicData>
                  </a:graphic>
                </wp:inline>
              </w:drawing>
            </w:r>
          </w:p>
        </w:tc>
        <w:tc>
          <w:tcPr>
            <w:tcW w:w="4212" w:type="dxa"/>
          </w:tcPr>
          <w:p w14:paraId="13262AFA" w14:textId="3A196C6F" w:rsidR="00A315B0" w:rsidRDefault="006F19BD" w:rsidP="001F3270">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7C61BC5B" wp14:editId="2E171EED">
                  <wp:extent cx="2436495" cy="1534160"/>
                  <wp:effectExtent l="0" t="0" r="190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20228" cy="1586883"/>
                          </a:xfrm>
                          <a:prstGeom prst="rect">
                            <a:avLst/>
                          </a:prstGeom>
                        </pic:spPr>
                      </pic:pic>
                    </a:graphicData>
                  </a:graphic>
                </wp:inline>
              </w:drawing>
            </w:r>
          </w:p>
        </w:tc>
      </w:tr>
      <w:tr w:rsidR="00A51BE9" w14:paraId="6119B36D" w14:textId="77777777" w:rsidTr="007938B0">
        <w:tc>
          <w:tcPr>
            <w:tcW w:w="4212" w:type="dxa"/>
          </w:tcPr>
          <w:p w14:paraId="7B190AAF" w14:textId="4F636585" w:rsidR="00A315B0" w:rsidRDefault="00FA5968" w:rsidP="001F3270">
            <w:pPr>
              <w:pStyle w:val="Head1"/>
              <w:spacing w:after="0"/>
              <w:jc w:val="center"/>
              <w:rPr>
                <w:rFonts w:ascii="Arial" w:hAnsi="Arial" w:cs="Arial"/>
                <w:b w:val="0"/>
                <w:bCs/>
                <w:caps w:val="0"/>
                <w:sz w:val="20"/>
              </w:rPr>
            </w:pPr>
            <w:r>
              <w:rPr>
                <w:rFonts w:ascii="Arial" w:hAnsi="Arial" w:cs="Arial"/>
                <w:b w:val="0"/>
                <w:bCs/>
                <w:caps w:val="0"/>
                <w:sz w:val="20"/>
              </w:rPr>
              <w:t>Figure</w:t>
            </w:r>
            <w:r w:rsidR="00A315B0">
              <w:rPr>
                <w:rFonts w:ascii="Arial" w:hAnsi="Arial" w:cs="Arial"/>
                <w:b w:val="0"/>
                <w:bCs/>
                <w:caps w:val="0"/>
                <w:sz w:val="20"/>
              </w:rPr>
              <w:t xml:space="preserve"> </w:t>
            </w:r>
            <w:r w:rsidR="00E97C8E">
              <w:rPr>
                <w:rFonts w:ascii="Arial" w:hAnsi="Arial" w:cs="Arial"/>
                <w:b w:val="0"/>
                <w:bCs/>
                <w:caps w:val="0"/>
                <w:sz w:val="20"/>
              </w:rPr>
              <w:t>3</w:t>
            </w:r>
            <w:r w:rsidR="006C436A">
              <w:rPr>
                <w:rFonts w:ascii="Arial" w:hAnsi="Arial" w:cs="Arial"/>
                <w:b w:val="0"/>
                <w:bCs/>
                <w:caps w:val="0"/>
                <w:sz w:val="20"/>
              </w:rPr>
              <w:t xml:space="preserve">. </w:t>
            </w:r>
            <w:r w:rsidR="006C436A" w:rsidRPr="006C436A">
              <w:rPr>
                <w:rFonts w:ascii="Arial" w:hAnsi="Arial" w:cs="Arial"/>
                <w:b w:val="0"/>
                <w:bCs/>
                <w:caps w:val="0"/>
                <w:sz w:val="20"/>
              </w:rPr>
              <w:t xml:space="preserve">Dorsal Mantle Length Distribution of Female </w:t>
            </w:r>
            <w:r w:rsidR="006C436A" w:rsidRPr="006C436A">
              <w:rPr>
                <w:rFonts w:ascii="Arial" w:hAnsi="Arial" w:cs="Arial"/>
                <w:b w:val="0"/>
                <w:bCs/>
                <w:i/>
                <w:iCs/>
                <w:caps w:val="0"/>
                <w:sz w:val="20"/>
              </w:rPr>
              <w:t xml:space="preserve">Octopus </w:t>
            </w:r>
            <w:proofErr w:type="spellStart"/>
            <w:r w:rsidR="006C436A" w:rsidRPr="006C436A">
              <w:rPr>
                <w:rFonts w:ascii="Arial" w:hAnsi="Arial" w:cs="Arial"/>
                <w:b w:val="0"/>
                <w:bCs/>
                <w:i/>
                <w:iCs/>
                <w:caps w:val="0"/>
                <w:sz w:val="20"/>
              </w:rPr>
              <w:t>cyanea</w:t>
            </w:r>
            <w:proofErr w:type="spellEnd"/>
          </w:p>
        </w:tc>
        <w:tc>
          <w:tcPr>
            <w:tcW w:w="4212" w:type="dxa"/>
          </w:tcPr>
          <w:p w14:paraId="0ABBC8F9" w14:textId="68070584" w:rsidR="00A315B0" w:rsidRDefault="00FA5968" w:rsidP="001F3270">
            <w:pPr>
              <w:pStyle w:val="Head1"/>
              <w:spacing w:after="0"/>
              <w:jc w:val="center"/>
              <w:rPr>
                <w:rFonts w:ascii="Arial" w:hAnsi="Arial" w:cs="Arial"/>
                <w:b w:val="0"/>
                <w:bCs/>
                <w:caps w:val="0"/>
                <w:sz w:val="20"/>
              </w:rPr>
            </w:pPr>
            <w:r>
              <w:rPr>
                <w:rFonts w:ascii="Arial" w:hAnsi="Arial" w:cs="Arial"/>
                <w:b w:val="0"/>
                <w:bCs/>
                <w:caps w:val="0"/>
                <w:sz w:val="20"/>
              </w:rPr>
              <w:t>Figure</w:t>
            </w:r>
            <w:r w:rsidR="00A315B0">
              <w:rPr>
                <w:rFonts w:ascii="Arial" w:hAnsi="Arial" w:cs="Arial"/>
                <w:b w:val="0"/>
                <w:bCs/>
                <w:caps w:val="0"/>
                <w:sz w:val="20"/>
              </w:rPr>
              <w:t xml:space="preserve"> </w:t>
            </w:r>
            <w:r w:rsidR="00E97C8E">
              <w:rPr>
                <w:rFonts w:ascii="Arial" w:hAnsi="Arial" w:cs="Arial"/>
                <w:b w:val="0"/>
                <w:bCs/>
                <w:caps w:val="0"/>
                <w:sz w:val="20"/>
              </w:rPr>
              <w:t>4</w:t>
            </w:r>
            <w:r w:rsidR="003102FE">
              <w:rPr>
                <w:rFonts w:ascii="Arial" w:hAnsi="Arial" w:cs="Arial"/>
                <w:b w:val="0"/>
                <w:bCs/>
                <w:caps w:val="0"/>
                <w:sz w:val="20"/>
              </w:rPr>
              <w:t xml:space="preserve">. </w:t>
            </w:r>
            <w:r w:rsidR="003102FE" w:rsidRPr="003102FE">
              <w:rPr>
                <w:rFonts w:ascii="Arial" w:hAnsi="Arial" w:cs="Arial"/>
                <w:b w:val="0"/>
                <w:bCs/>
                <w:caps w:val="0"/>
                <w:sz w:val="20"/>
              </w:rPr>
              <w:t xml:space="preserve">Dorsal Mantle Length Distribution of Male </w:t>
            </w:r>
            <w:r w:rsidR="003102FE" w:rsidRPr="003102FE">
              <w:rPr>
                <w:rFonts w:ascii="Arial" w:hAnsi="Arial" w:cs="Arial"/>
                <w:b w:val="0"/>
                <w:bCs/>
                <w:i/>
                <w:iCs/>
                <w:caps w:val="0"/>
                <w:sz w:val="20"/>
              </w:rPr>
              <w:t xml:space="preserve">Octopus </w:t>
            </w:r>
            <w:proofErr w:type="spellStart"/>
            <w:r w:rsidR="003102FE" w:rsidRPr="003102FE">
              <w:rPr>
                <w:rFonts w:ascii="Arial" w:hAnsi="Arial" w:cs="Arial"/>
                <w:b w:val="0"/>
                <w:bCs/>
                <w:i/>
                <w:iCs/>
                <w:caps w:val="0"/>
                <w:sz w:val="20"/>
              </w:rPr>
              <w:t>cyanea</w:t>
            </w:r>
            <w:proofErr w:type="spellEnd"/>
          </w:p>
        </w:tc>
      </w:tr>
    </w:tbl>
    <w:p w14:paraId="6CFFB58E" w14:textId="77777777" w:rsidR="001F3270" w:rsidRDefault="001F3270" w:rsidP="001F3270">
      <w:pPr>
        <w:pStyle w:val="Head1"/>
        <w:spacing w:after="0"/>
        <w:jc w:val="both"/>
        <w:rPr>
          <w:rFonts w:ascii="Arial" w:hAnsi="Arial" w:cs="Arial"/>
          <w:b w:val="0"/>
          <w:bCs/>
          <w:caps w:val="0"/>
        </w:rPr>
      </w:pPr>
    </w:p>
    <w:p w14:paraId="0099FC73" w14:textId="7743E5CA" w:rsidR="004F112C" w:rsidRDefault="004F112C" w:rsidP="004F112C">
      <w:pPr>
        <w:pStyle w:val="Head1"/>
        <w:spacing w:after="0"/>
        <w:jc w:val="both"/>
        <w:rPr>
          <w:rFonts w:ascii="Arial" w:hAnsi="Arial" w:cs="Arial"/>
          <w:caps w:val="0"/>
          <w:szCs w:val="22"/>
        </w:rPr>
      </w:pPr>
      <w:r w:rsidRPr="000B7BF1">
        <w:rPr>
          <w:rFonts w:ascii="Arial" w:hAnsi="Arial" w:cs="Arial"/>
          <w:szCs w:val="22"/>
        </w:rPr>
        <w:t xml:space="preserve">3.2 </w:t>
      </w:r>
      <w:r w:rsidR="00FA5968" w:rsidRPr="00FA5968">
        <w:rPr>
          <w:rFonts w:ascii="Arial" w:hAnsi="Arial" w:cs="Arial"/>
          <w:caps w:val="0"/>
          <w:szCs w:val="22"/>
        </w:rPr>
        <w:t xml:space="preserve">Body Weight Distribution of Male and Female </w:t>
      </w:r>
      <w:r w:rsidR="00FA5968" w:rsidRPr="00FA5968">
        <w:rPr>
          <w:rFonts w:ascii="Arial" w:hAnsi="Arial" w:cs="Arial"/>
          <w:i/>
          <w:iCs/>
          <w:caps w:val="0"/>
          <w:szCs w:val="22"/>
        </w:rPr>
        <w:t xml:space="preserve">Octopus </w:t>
      </w:r>
      <w:proofErr w:type="spellStart"/>
      <w:r w:rsidR="00FA5968" w:rsidRPr="00FA5968">
        <w:rPr>
          <w:rFonts w:ascii="Arial" w:hAnsi="Arial" w:cs="Arial"/>
          <w:i/>
          <w:iCs/>
          <w:caps w:val="0"/>
          <w:szCs w:val="22"/>
        </w:rPr>
        <w:t>cyanea</w:t>
      </w:r>
      <w:proofErr w:type="spellEnd"/>
    </w:p>
    <w:p w14:paraId="23FA87AB" w14:textId="31DA2703" w:rsidR="006A515D" w:rsidRPr="006A515D" w:rsidRDefault="006A515D" w:rsidP="006A515D">
      <w:pPr>
        <w:pStyle w:val="NormalWeb"/>
        <w:jc w:val="both"/>
        <w:rPr>
          <w:rFonts w:ascii="Arial" w:hAnsi="Arial" w:cs="Arial"/>
          <w:sz w:val="20"/>
          <w:szCs w:val="20"/>
        </w:rPr>
      </w:pPr>
      <w:r w:rsidRPr="006A515D">
        <w:rPr>
          <w:rFonts w:ascii="Arial" w:hAnsi="Arial" w:cs="Arial"/>
          <w:sz w:val="20"/>
          <w:szCs w:val="20"/>
        </w:rPr>
        <w:t xml:space="preserve">The body weight distribution of </w:t>
      </w:r>
      <w:r w:rsidRPr="006A515D">
        <w:rPr>
          <w:rFonts w:ascii="Arial" w:hAnsi="Arial" w:cs="Arial"/>
          <w:i/>
          <w:iCs/>
          <w:sz w:val="20"/>
          <w:szCs w:val="20"/>
        </w:rPr>
        <w:t xml:space="preserve">Octopus </w:t>
      </w:r>
      <w:proofErr w:type="spellStart"/>
      <w:r w:rsidRPr="006A515D">
        <w:rPr>
          <w:rFonts w:ascii="Arial" w:hAnsi="Arial" w:cs="Arial"/>
          <w:i/>
          <w:iCs/>
          <w:sz w:val="20"/>
          <w:szCs w:val="20"/>
        </w:rPr>
        <w:t>cyanea</w:t>
      </w:r>
      <w:proofErr w:type="spellEnd"/>
      <w:r w:rsidRPr="006A515D">
        <w:rPr>
          <w:rFonts w:ascii="Arial" w:hAnsi="Arial" w:cs="Arial"/>
          <w:sz w:val="20"/>
          <w:szCs w:val="20"/>
        </w:rPr>
        <w:t xml:space="preserve"> in the waters surrounding </w:t>
      </w:r>
      <w:proofErr w:type="spellStart"/>
      <w:r w:rsidRPr="006A515D">
        <w:rPr>
          <w:rFonts w:ascii="Arial" w:hAnsi="Arial" w:cs="Arial"/>
          <w:sz w:val="20"/>
          <w:szCs w:val="20"/>
        </w:rPr>
        <w:t>Seruni</w:t>
      </w:r>
      <w:proofErr w:type="spellEnd"/>
      <w:r w:rsidRPr="006A515D">
        <w:rPr>
          <w:rFonts w:ascii="Arial" w:hAnsi="Arial" w:cs="Arial"/>
          <w:sz w:val="20"/>
          <w:szCs w:val="20"/>
        </w:rPr>
        <w:t xml:space="preserve"> </w:t>
      </w:r>
      <w:proofErr w:type="spellStart"/>
      <w:r w:rsidRPr="006A515D">
        <w:rPr>
          <w:rFonts w:ascii="Arial" w:hAnsi="Arial" w:cs="Arial"/>
          <w:sz w:val="20"/>
          <w:szCs w:val="20"/>
        </w:rPr>
        <w:t>Mumbul</w:t>
      </w:r>
      <w:proofErr w:type="spellEnd"/>
      <w:r w:rsidRPr="006A515D">
        <w:rPr>
          <w:rFonts w:ascii="Arial" w:hAnsi="Arial" w:cs="Arial"/>
          <w:sz w:val="20"/>
          <w:szCs w:val="20"/>
        </w:rPr>
        <w:t xml:space="preserve"> Village exhibited a similar range and overlapping distribution between males and females, although variation was evident at the extreme values. The minimum body weight recorded for both sexes was 60 g. The maximum weight of males reached 3,876 g, slightly exceeding that </w:t>
      </w:r>
      <w:r w:rsidRPr="006A515D">
        <w:rPr>
          <w:rFonts w:ascii="Arial" w:hAnsi="Arial" w:cs="Arial"/>
          <w:sz w:val="20"/>
          <w:szCs w:val="20"/>
        </w:rPr>
        <w:lastRenderedPageBreak/>
        <w:t>of females at 3,600 g. The mean body weight of males was 1,140.6 ± 669.9 g (Figure 5), while females averaged 1,102.38 ± 622.35 g (Figure 6).</w:t>
      </w:r>
    </w:p>
    <w:p w14:paraId="1AD7362F" w14:textId="409F144A" w:rsidR="006A515D" w:rsidRPr="006A515D" w:rsidRDefault="006A515D" w:rsidP="006A515D">
      <w:pPr>
        <w:pStyle w:val="NormalWeb"/>
        <w:jc w:val="both"/>
        <w:rPr>
          <w:rFonts w:ascii="Arial" w:hAnsi="Arial" w:cs="Arial"/>
          <w:sz w:val="20"/>
          <w:szCs w:val="20"/>
        </w:rPr>
      </w:pPr>
      <w:r w:rsidRPr="006A515D">
        <w:rPr>
          <w:rFonts w:ascii="Arial" w:hAnsi="Arial" w:cs="Arial"/>
          <w:sz w:val="20"/>
          <w:szCs w:val="20"/>
        </w:rPr>
        <w:t>Based on weight-class distribution, the population was dominated by medium-sized individuals. The mode for males occurred in the 823–1,077 g class (40 individuals), whereas females showed a modal peak in the 568–823 g class (56 individuals). This difference in modal weight classes indicates variation in size distribution between sexes, although most individuals were concentrated within comparable weight intervals.</w:t>
      </w:r>
    </w:p>
    <w:p w14:paraId="74779074" w14:textId="6E07E999" w:rsidR="006A515D" w:rsidRDefault="006A515D" w:rsidP="006A515D">
      <w:pPr>
        <w:pStyle w:val="NormalWeb"/>
        <w:spacing w:before="0" w:beforeAutospacing="0" w:after="0" w:afterAutospacing="0"/>
        <w:jc w:val="both"/>
        <w:rPr>
          <w:rFonts w:ascii="Arial" w:hAnsi="Arial" w:cs="Arial"/>
          <w:sz w:val="20"/>
          <w:szCs w:val="20"/>
        </w:rPr>
      </w:pPr>
      <w:r w:rsidRPr="006A515D">
        <w:rPr>
          <w:rFonts w:ascii="Arial" w:hAnsi="Arial" w:cs="Arial"/>
          <w:sz w:val="20"/>
          <w:szCs w:val="20"/>
        </w:rPr>
        <w:t xml:space="preserve">Although females exhibited a larger maximum dorsal mantle length, the slightly higher maximum body weight observed in males may reflect individual growth variability or differences in reproductive stage at the time of capture. In cephalopods, females entering or having completed the reproductive phase often undergo changes in body composition due to energy allocation toward egg production and brooding, which may temporarily influence body mass during the reproductive period (Semmens </w:t>
      </w:r>
      <w:r w:rsidRPr="006A515D">
        <w:rPr>
          <w:rFonts w:ascii="Arial" w:hAnsi="Arial" w:cs="Arial"/>
          <w:i/>
          <w:iCs/>
          <w:sz w:val="20"/>
          <w:szCs w:val="20"/>
        </w:rPr>
        <w:t>et al</w:t>
      </w:r>
      <w:r w:rsidRPr="006A515D">
        <w:rPr>
          <w:rFonts w:ascii="Arial" w:hAnsi="Arial" w:cs="Arial"/>
          <w:sz w:val="20"/>
          <w:szCs w:val="20"/>
        </w:rPr>
        <w:t>., 2004).</w:t>
      </w:r>
    </w:p>
    <w:p w14:paraId="3C4CADCA" w14:textId="33DF70AA" w:rsidR="006A515D" w:rsidRPr="006A515D" w:rsidRDefault="006A515D" w:rsidP="006A515D">
      <w:pPr>
        <w:pStyle w:val="NormalWeb"/>
        <w:jc w:val="both"/>
        <w:rPr>
          <w:rFonts w:ascii="Arial" w:hAnsi="Arial" w:cs="Arial"/>
          <w:sz w:val="20"/>
          <w:szCs w:val="20"/>
        </w:rPr>
      </w:pPr>
      <w:r w:rsidRPr="006A515D">
        <w:rPr>
          <w:rFonts w:ascii="Arial" w:hAnsi="Arial" w:cs="Arial"/>
          <w:sz w:val="20"/>
          <w:szCs w:val="20"/>
        </w:rPr>
        <w:t xml:space="preserve">Referring to the estimated body weight at first gonadal maturity (Wm) reported by Omar </w:t>
      </w:r>
      <w:r w:rsidRPr="006A515D">
        <w:rPr>
          <w:rFonts w:ascii="Arial" w:hAnsi="Arial" w:cs="Arial"/>
          <w:i/>
          <w:iCs/>
          <w:sz w:val="20"/>
          <w:szCs w:val="20"/>
        </w:rPr>
        <w:t>et al</w:t>
      </w:r>
      <w:r w:rsidRPr="006A515D">
        <w:rPr>
          <w:rFonts w:ascii="Arial" w:hAnsi="Arial" w:cs="Arial"/>
          <w:sz w:val="20"/>
          <w:szCs w:val="20"/>
        </w:rPr>
        <w:t xml:space="preserve">. (2020), which is 750 g for males and 900 g for females, a total of 241 individuals (51.6%) were estimated to have reached biological adulthood based on weight criteria. This proportion is substantially higher than the maturity estimate based on dorsal mantle length (DML) (15.8%), suggesting that </w:t>
      </w:r>
      <w:r w:rsidRPr="006A515D">
        <w:rPr>
          <w:rFonts w:ascii="Arial" w:hAnsi="Arial" w:cs="Arial"/>
          <w:i/>
          <w:iCs/>
          <w:sz w:val="20"/>
          <w:szCs w:val="20"/>
        </w:rPr>
        <w:t xml:space="preserve">Octopus </w:t>
      </w:r>
      <w:proofErr w:type="spellStart"/>
      <w:r w:rsidRPr="006A515D">
        <w:rPr>
          <w:rFonts w:ascii="Arial" w:hAnsi="Arial" w:cs="Arial"/>
          <w:i/>
          <w:iCs/>
          <w:sz w:val="20"/>
          <w:szCs w:val="20"/>
        </w:rPr>
        <w:t>cyanea</w:t>
      </w:r>
      <w:proofErr w:type="spellEnd"/>
      <w:r w:rsidRPr="006A515D">
        <w:rPr>
          <w:rFonts w:ascii="Arial" w:hAnsi="Arial" w:cs="Arial"/>
          <w:sz w:val="20"/>
          <w:szCs w:val="20"/>
        </w:rPr>
        <w:t xml:space="preserve"> captured in the waters surrounding </w:t>
      </w:r>
      <w:proofErr w:type="spellStart"/>
      <w:r w:rsidRPr="006A515D">
        <w:rPr>
          <w:rFonts w:ascii="Arial" w:hAnsi="Arial" w:cs="Arial"/>
          <w:sz w:val="20"/>
          <w:szCs w:val="20"/>
        </w:rPr>
        <w:t>Seruni</w:t>
      </w:r>
      <w:proofErr w:type="spellEnd"/>
      <w:r w:rsidRPr="006A515D">
        <w:rPr>
          <w:rFonts w:ascii="Arial" w:hAnsi="Arial" w:cs="Arial"/>
          <w:sz w:val="20"/>
          <w:szCs w:val="20"/>
        </w:rPr>
        <w:t xml:space="preserve"> </w:t>
      </w:r>
      <w:proofErr w:type="spellStart"/>
      <w:r w:rsidRPr="006A515D">
        <w:rPr>
          <w:rFonts w:ascii="Arial" w:hAnsi="Arial" w:cs="Arial"/>
          <w:sz w:val="20"/>
          <w:szCs w:val="20"/>
        </w:rPr>
        <w:t>Mumbul</w:t>
      </w:r>
      <w:proofErr w:type="spellEnd"/>
      <w:r w:rsidRPr="006A515D">
        <w:rPr>
          <w:rFonts w:ascii="Arial" w:hAnsi="Arial" w:cs="Arial"/>
          <w:sz w:val="20"/>
          <w:szCs w:val="20"/>
        </w:rPr>
        <w:t xml:space="preserve"> Village have a relatively faster weight growth rate compared to length growth. This pattern is likely supported by prey abundance within the habitat, enabling individuals to attain critical reproductive weight more rapidly (</w:t>
      </w:r>
      <w:proofErr w:type="spellStart"/>
      <w:r w:rsidRPr="006A515D">
        <w:rPr>
          <w:rFonts w:ascii="Arial" w:hAnsi="Arial" w:cs="Arial"/>
          <w:sz w:val="20"/>
          <w:szCs w:val="20"/>
        </w:rPr>
        <w:t>Diniariwisan</w:t>
      </w:r>
      <w:proofErr w:type="spellEnd"/>
      <w:r w:rsidRPr="006A515D">
        <w:rPr>
          <w:rFonts w:ascii="Arial" w:hAnsi="Arial" w:cs="Arial"/>
          <w:sz w:val="20"/>
          <w:szCs w:val="20"/>
        </w:rPr>
        <w:t xml:space="preserve"> </w:t>
      </w:r>
      <w:r w:rsidRPr="006A515D">
        <w:rPr>
          <w:rFonts w:ascii="Arial" w:hAnsi="Arial" w:cs="Arial"/>
          <w:i/>
          <w:iCs/>
          <w:sz w:val="20"/>
          <w:szCs w:val="20"/>
        </w:rPr>
        <w:t>et al</w:t>
      </w:r>
      <w:r w:rsidRPr="006A515D">
        <w:rPr>
          <w:rFonts w:ascii="Arial" w:hAnsi="Arial" w:cs="Arial"/>
          <w:sz w:val="20"/>
          <w:szCs w:val="20"/>
        </w:rPr>
        <w:t xml:space="preserve">., 2023). Such conditions are presumed to be influenced by food availability and local oceanographic parameters, as reflected in the variation of gonadal maturity size of </w:t>
      </w:r>
      <w:r w:rsidRPr="006A515D">
        <w:rPr>
          <w:rFonts w:ascii="Arial" w:hAnsi="Arial" w:cs="Arial"/>
          <w:i/>
          <w:iCs/>
          <w:sz w:val="20"/>
          <w:szCs w:val="20"/>
        </w:rPr>
        <w:t xml:space="preserve">Octopus </w:t>
      </w:r>
      <w:proofErr w:type="spellStart"/>
      <w:r w:rsidRPr="006A515D">
        <w:rPr>
          <w:rFonts w:ascii="Arial" w:hAnsi="Arial" w:cs="Arial"/>
          <w:i/>
          <w:iCs/>
          <w:sz w:val="20"/>
          <w:szCs w:val="20"/>
        </w:rPr>
        <w:t>cyanea</w:t>
      </w:r>
      <w:proofErr w:type="spellEnd"/>
      <w:r w:rsidRPr="006A515D">
        <w:rPr>
          <w:rFonts w:ascii="Arial" w:hAnsi="Arial" w:cs="Arial"/>
          <w:sz w:val="20"/>
          <w:szCs w:val="20"/>
        </w:rPr>
        <w:t xml:space="preserve"> across different geographic regions (Guard &amp; </w:t>
      </w:r>
      <w:proofErr w:type="spellStart"/>
      <w:r w:rsidRPr="006A515D">
        <w:rPr>
          <w:rFonts w:ascii="Arial" w:hAnsi="Arial" w:cs="Arial"/>
          <w:sz w:val="20"/>
          <w:szCs w:val="20"/>
        </w:rPr>
        <w:t>Mgaya</w:t>
      </w:r>
      <w:proofErr w:type="spellEnd"/>
      <w:r w:rsidRPr="006A515D">
        <w:rPr>
          <w:rFonts w:ascii="Arial" w:hAnsi="Arial" w:cs="Arial"/>
          <w:sz w:val="20"/>
          <w:szCs w:val="20"/>
        </w:rPr>
        <w:t xml:space="preserve">, 2002; </w:t>
      </w:r>
      <w:proofErr w:type="spellStart"/>
      <w:r w:rsidRPr="006A515D">
        <w:rPr>
          <w:rFonts w:ascii="Arial" w:hAnsi="Arial" w:cs="Arial"/>
          <w:sz w:val="20"/>
          <w:szCs w:val="20"/>
        </w:rPr>
        <w:t>Raberinary</w:t>
      </w:r>
      <w:proofErr w:type="spellEnd"/>
      <w:r w:rsidRPr="006A515D">
        <w:rPr>
          <w:rFonts w:ascii="Arial" w:hAnsi="Arial" w:cs="Arial"/>
          <w:sz w:val="20"/>
          <w:szCs w:val="20"/>
        </w:rPr>
        <w:t xml:space="preserve"> &amp; Benbow, 2012; Courage, 2013).</w:t>
      </w:r>
    </w:p>
    <w:p w14:paraId="0119EC51" w14:textId="19F8C55F" w:rsidR="00FA5968" w:rsidRPr="006A515D" w:rsidRDefault="006A515D" w:rsidP="006A515D">
      <w:pPr>
        <w:pStyle w:val="NormalWeb"/>
        <w:spacing w:before="0" w:beforeAutospacing="0" w:after="0" w:afterAutospacing="0"/>
        <w:jc w:val="both"/>
        <w:rPr>
          <w:rFonts w:ascii="Arial" w:hAnsi="Arial" w:cs="Arial"/>
          <w:sz w:val="20"/>
          <w:szCs w:val="20"/>
        </w:rPr>
      </w:pPr>
      <w:r w:rsidRPr="006A515D">
        <w:rPr>
          <w:rFonts w:ascii="Arial" w:hAnsi="Arial" w:cs="Arial"/>
          <w:sz w:val="20"/>
          <w:szCs w:val="20"/>
        </w:rPr>
        <w:t xml:space="preserve">The variability in gonadal maturity size further confirms the phenomenon of phenotypic plasticity in octopuses, which is strongly influenced by geographic location. For comparison, male </w:t>
      </w:r>
      <w:r w:rsidRPr="006A515D">
        <w:rPr>
          <w:rFonts w:ascii="Arial" w:hAnsi="Arial" w:cs="Arial"/>
          <w:i/>
          <w:iCs/>
          <w:sz w:val="20"/>
          <w:szCs w:val="20"/>
        </w:rPr>
        <w:t xml:space="preserve">Octopus </w:t>
      </w:r>
      <w:proofErr w:type="spellStart"/>
      <w:r w:rsidRPr="006A515D">
        <w:rPr>
          <w:rFonts w:ascii="Arial" w:hAnsi="Arial" w:cs="Arial"/>
          <w:i/>
          <w:iCs/>
          <w:sz w:val="20"/>
          <w:szCs w:val="20"/>
        </w:rPr>
        <w:t>cyanea</w:t>
      </w:r>
      <w:proofErr w:type="spellEnd"/>
      <w:r w:rsidRPr="006A515D">
        <w:rPr>
          <w:rFonts w:ascii="Arial" w:hAnsi="Arial" w:cs="Arial"/>
          <w:sz w:val="20"/>
          <w:szCs w:val="20"/>
        </w:rPr>
        <w:t xml:space="preserve"> in Tanzania reach gonadal maturity at 320 g and females at 600 g (Guard &amp; </w:t>
      </w:r>
      <w:proofErr w:type="spellStart"/>
      <w:r w:rsidRPr="006A515D">
        <w:rPr>
          <w:rFonts w:ascii="Arial" w:hAnsi="Arial" w:cs="Arial"/>
          <w:sz w:val="20"/>
          <w:szCs w:val="20"/>
        </w:rPr>
        <w:t>Mgaya</w:t>
      </w:r>
      <w:proofErr w:type="spellEnd"/>
      <w:r w:rsidRPr="006A515D">
        <w:rPr>
          <w:rFonts w:ascii="Arial" w:hAnsi="Arial" w:cs="Arial"/>
          <w:sz w:val="20"/>
          <w:szCs w:val="20"/>
        </w:rPr>
        <w:t>, 2002), whereas in Madagascar the maturity size is considerably larger, reaching 643 g for males and 2,246 g for females (</w:t>
      </w:r>
      <w:proofErr w:type="spellStart"/>
      <w:r w:rsidRPr="006A515D">
        <w:rPr>
          <w:rFonts w:ascii="Arial" w:hAnsi="Arial" w:cs="Arial"/>
          <w:sz w:val="20"/>
          <w:szCs w:val="20"/>
        </w:rPr>
        <w:t>Raberinary</w:t>
      </w:r>
      <w:proofErr w:type="spellEnd"/>
      <w:r w:rsidRPr="006A515D">
        <w:rPr>
          <w:rFonts w:ascii="Arial" w:hAnsi="Arial" w:cs="Arial"/>
          <w:sz w:val="20"/>
          <w:szCs w:val="20"/>
        </w:rPr>
        <w:t xml:space="preserve"> &amp; Benbow, 2012). These geographic differences, as explained by Courage (2013) and Semmens et al. (2004), are largely driven by local oceanographic conditions such as temperature and food availability. Optimal water temperature in the coral reef ecosystem of </w:t>
      </w:r>
      <w:proofErr w:type="spellStart"/>
      <w:r w:rsidRPr="006A515D">
        <w:rPr>
          <w:rFonts w:ascii="Arial" w:hAnsi="Arial" w:cs="Arial"/>
          <w:sz w:val="20"/>
          <w:szCs w:val="20"/>
        </w:rPr>
        <w:t>Seruni</w:t>
      </w:r>
      <w:proofErr w:type="spellEnd"/>
      <w:r w:rsidRPr="006A515D">
        <w:rPr>
          <w:rFonts w:ascii="Arial" w:hAnsi="Arial" w:cs="Arial"/>
          <w:sz w:val="20"/>
          <w:szCs w:val="20"/>
        </w:rPr>
        <w:t xml:space="preserve"> </w:t>
      </w:r>
      <w:proofErr w:type="spellStart"/>
      <w:r w:rsidRPr="006A515D">
        <w:rPr>
          <w:rFonts w:ascii="Arial" w:hAnsi="Arial" w:cs="Arial"/>
          <w:sz w:val="20"/>
          <w:szCs w:val="20"/>
        </w:rPr>
        <w:t>Mumbul</w:t>
      </w:r>
      <w:proofErr w:type="spellEnd"/>
      <w:r w:rsidRPr="006A515D">
        <w:rPr>
          <w:rFonts w:ascii="Arial" w:hAnsi="Arial" w:cs="Arial"/>
          <w:sz w:val="20"/>
          <w:szCs w:val="20"/>
        </w:rPr>
        <w:t xml:space="preserve"> is presumed to enhance metabolic rates, which in turn influence energy allocation for somatic growth and reproductive organ development.</w:t>
      </w:r>
    </w:p>
    <w:p w14:paraId="7B39C91A" w14:textId="77777777" w:rsidR="007938B0" w:rsidRPr="001F6062" w:rsidRDefault="007938B0" w:rsidP="001F3270">
      <w:pPr>
        <w:pStyle w:val="Head1"/>
        <w:spacing w:after="0"/>
        <w:jc w:val="both"/>
        <w:rPr>
          <w:rFonts w:ascii="Arial" w:hAnsi="Arial" w:cs="Arial"/>
          <w:b w:val="0"/>
          <w:bCs/>
          <w:caps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4192"/>
      </w:tblGrid>
      <w:tr w:rsidR="008B1F7B" w14:paraId="69C5D7D8" w14:textId="77777777" w:rsidTr="008B1F7B">
        <w:trPr>
          <w:trHeight w:val="2105"/>
        </w:trPr>
        <w:tc>
          <w:tcPr>
            <w:tcW w:w="3972" w:type="dxa"/>
          </w:tcPr>
          <w:p w14:paraId="0301288F" w14:textId="735C9941" w:rsidR="00A315B0" w:rsidRDefault="006F19BD" w:rsidP="008B1A84">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42705344" wp14:editId="6A372CE5">
                  <wp:extent cx="2456121" cy="194754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2499538" cy="1981972"/>
                          </a:xfrm>
                          <a:prstGeom prst="rect">
                            <a:avLst/>
                          </a:prstGeom>
                        </pic:spPr>
                      </pic:pic>
                    </a:graphicData>
                  </a:graphic>
                </wp:inline>
              </w:drawing>
            </w:r>
          </w:p>
        </w:tc>
        <w:tc>
          <w:tcPr>
            <w:tcW w:w="4236" w:type="dxa"/>
          </w:tcPr>
          <w:p w14:paraId="14C87890" w14:textId="16B34BBF" w:rsidR="00A315B0" w:rsidRDefault="006F19BD" w:rsidP="008B1A84">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776D9289" wp14:editId="419B7BCB">
                  <wp:extent cx="2570480" cy="1947545"/>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9">
                            <a:extLst>
                              <a:ext uri="{28A0092B-C50C-407E-A947-70E740481C1C}">
                                <a14:useLocalDpi xmlns:a14="http://schemas.microsoft.com/office/drawing/2010/main" val="0"/>
                              </a:ext>
                            </a:extLst>
                          </a:blip>
                          <a:stretch>
                            <a:fillRect/>
                          </a:stretch>
                        </pic:blipFill>
                        <pic:spPr>
                          <a:xfrm>
                            <a:off x="0" y="0"/>
                            <a:ext cx="2593347" cy="1964870"/>
                          </a:xfrm>
                          <a:prstGeom prst="rect">
                            <a:avLst/>
                          </a:prstGeom>
                        </pic:spPr>
                      </pic:pic>
                    </a:graphicData>
                  </a:graphic>
                </wp:inline>
              </w:drawing>
            </w:r>
          </w:p>
        </w:tc>
      </w:tr>
      <w:tr w:rsidR="008B1F7B" w14:paraId="0BC5350E" w14:textId="77777777" w:rsidTr="008B1F7B">
        <w:tc>
          <w:tcPr>
            <w:tcW w:w="3972" w:type="dxa"/>
          </w:tcPr>
          <w:p w14:paraId="65F667C3" w14:textId="6FD89737" w:rsidR="00A315B0" w:rsidRDefault="00AD5E81" w:rsidP="00AD5E81">
            <w:pPr>
              <w:pStyle w:val="Head1"/>
              <w:spacing w:after="0"/>
              <w:jc w:val="center"/>
              <w:rPr>
                <w:rFonts w:ascii="Arial" w:hAnsi="Arial" w:cs="Arial"/>
                <w:b w:val="0"/>
                <w:bCs/>
                <w:caps w:val="0"/>
                <w:sz w:val="20"/>
              </w:rPr>
            </w:pPr>
            <w:r>
              <w:rPr>
                <w:rFonts w:ascii="Arial" w:hAnsi="Arial" w:cs="Arial"/>
                <w:b w:val="0"/>
                <w:bCs/>
                <w:caps w:val="0"/>
                <w:sz w:val="20"/>
              </w:rPr>
              <w:t>Figure</w:t>
            </w:r>
            <w:r w:rsidR="00A315B0">
              <w:rPr>
                <w:rFonts w:ascii="Arial" w:hAnsi="Arial" w:cs="Arial"/>
                <w:b w:val="0"/>
                <w:bCs/>
                <w:caps w:val="0"/>
                <w:sz w:val="20"/>
              </w:rPr>
              <w:t xml:space="preserve"> </w:t>
            </w:r>
            <w:r w:rsidR="006A515D">
              <w:rPr>
                <w:rFonts w:ascii="Arial" w:hAnsi="Arial" w:cs="Arial"/>
                <w:b w:val="0"/>
                <w:bCs/>
                <w:caps w:val="0"/>
                <w:sz w:val="20"/>
              </w:rPr>
              <w:t>5</w:t>
            </w:r>
            <w:r w:rsidR="003102FE">
              <w:rPr>
                <w:rFonts w:ascii="Arial" w:hAnsi="Arial" w:cs="Arial"/>
                <w:b w:val="0"/>
                <w:bCs/>
                <w:caps w:val="0"/>
                <w:sz w:val="20"/>
              </w:rPr>
              <w:t xml:space="preserve">. </w:t>
            </w:r>
            <w:r w:rsidR="003102FE" w:rsidRPr="003102FE">
              <w:rPr>
                <w:rFonts w:ascii="Arial" w:hAnsi="Arial" w:cs="Arial"/>
                <w:b w:val="0"/>
                <w:bCs/>
                <w:caps w:val="0"/>
                <w:sz w:val="20"/>
              </w:rPr>
              <w:t xml:space="preserve">Body Weight Distribution of Male </w:t>
            </w:r>
            <w:r w:rsidR="003102FE" w:rsidRPr="00897AA3">
              <w:rPr>
                <w:rFonts w:ascii="Arial" w:hAnsi="Arial" w:cs="Arial"/>
                <w:b w:val="0"/>
                <w:bCs/>
                <w:i/>
                <w:iCs/>
                <w:caps w:val="0"/>
                <w:sz w:val="20"/>
              </w:rPr>
              <w:t xml:space="preserve">Octopus </w:t>
            </w:r>
            <w:proofErr w:type="spellStart"/>
            <w:r w:rsidR="003102FE" w:rsidRPr="00897AA3">
              <w:rPr>
                <w:rFonts w:ascii="Arial" w:hAnsi="Arial" w:cs="Arial"/>
                <w:b w:val="0"/>
                <w:bCs/>
                <w:i/>
                <w:iCs/>
                <w:caps w:val="0"/>
                <w:sz w:val="20"/>
              </w:rPr>
              <w:t>cyanea</w:t>
            </w:r>
            <w:proofErr w:type="spellEnd"/>
          </w:p>
        </w:tc>
        <w:tc>
          <w:tcPr>
            <w:tcW w:w="4236" w:type="dxa"/>
          </w:tcPr>
          <w:p w14:paraId="38F78C11" w14:textId="2644B2FE" w:rsidR="00A315B0" w:rsidRDefault="006A515D" w:rsidP="003102FE">
            <w:pPr>
              <w:pStyle w:val="Head1"/>
              <w:tabs>
                <w:tab w:val="center" w:pos="2024"/>
                <w:tab w:val="left" w:pos="3015"/>
              </w:tabs>
              <w:spacing w:after="0"/>
              <w:jc w:val="center"/>
              <w:rPr>
                <w:rFonts w:ascii="Arial" w:hAnsi="Arial" w:cs="Arial"/>
                <w:b w:val="0"/>
                <w:bCs/>
                <w:caps w:val="0"/>
                <w:sz w:val="20"/>
              </w:rPr>
            </w:pPr>
            <w:r w:rsidRPr="006A515D">
              <w:rPr>
                <w:rFonts w:ascii="Arial" w:hAnsi="Arial" w:cs="Arial"/>
                <w:b w:val="0"/>
                <w:bCs/>
                <w:caps w:val="0"/>
                <w:sz w:val="20"/>
              </w:rPr>
              <w:t>Figure 6</w:t>
            </w:r>
            <w:r w:rsidR="003102FE">
              <w:rPr>
                <w:rFonts w:ascii="Arial" w:hAnsi="Arial" w:cs="Arial"/>
                <w:b w:val="0"/>
                <w:bCs/>
                <w:caps w:val="0"/>
                <w:sz w:val="20"/>
              </w:rPr>
              <w:t xml:space="preserve">. </w:t>
            </w:r>
            <w:r w:rsidR="003102FE" w:rsidRPr="003102FE">
              <w:rPr>
                <w:rFonts w:ascii="Arial" w:hAnsi="Arial" w:cs="Arial"/>
                <w:b w:val="0"/>
                <w:bCs/>
                <w:caps w:val="0"/>
                <w:sz w:val="20"/>
              </w:rPr>
              <w:t xml:space="preserve">Body Weight Distribution of Female </w:t>
            </w:r>
            <w:r w:rsidR="003102FE" w:rsidRPr="003102FE">
              <w:rPr>
                <w:rFonts w:ascii="Arial" w:hAnsi="Arial" w:cs="Arial"/>
                <w:b w:val="0"/>
                <w:bCs/>
                <w:i/>
                <w:iCs/>
                <w:caps w:val="0"/>
                <w:sz w:val="20"/>
              </w:rPr>
              <w:t xml:space="preserve">Octopus </w:t>
            </w:r>
            <w:proofErr w:type="spellStart"/>
            <w:r w:rsidR="003102FE" w:rsidRPr="003102FE">
              <w:rPr>
                <w:rFonts w:ascii="Arial" w:hAnsi="Arial" w:cs="Arial"/>
                <w:b w:val="0"/>
                <w:bCs/>
                <w:i/>
                <w:iCs/>
                <w:caps w:val="0"/>
                <w:sz w:val="20"/>
              </w:rPr>
              <w:t>cyanea</w:t>
            </w:r>
            <w:proofErr w:type="spellEnd"/>
          </w:p>
        </w:tc>
      </w:tr>
    </w:tbl>
    <w:p w14:paraId="4C554C1F" w14:textId="77777777" w:rsidR="001F3270" w:rsidRDefault="001F3270" w:rsidP="00103A8B">
      <w:pPr>
        <w:pStyle w:val="Head1"/>
        <w:spacing w:after="0"/>
        <w:jc w:val="both"/>
        <w:rPr>
          <w:rFonts w:ascii="Arial" w:hAnsi="Arial" w:cs="Arial"/>
          <w:b w:val="0"/>
          <w:bCs/>
          <w:caps w:val="0"/>
          <w:sz w:val="20"/>
        </w:rPr>
      </w:pPr>
    </w:p>
    <w:p w14:paraId="41E8EF65" w14:textId="6C32C343" w:rsidR="00103A8B" w:rsidRPr="001F6062" w:rsidRDefault="00103A8B" w:rsidP="00103A8B">
      <w:pPr>
        <w:pStyle w:val="Head1"/>
        <w:spacing w:after="0"/>
        <w:jc w:val="both"/>
        <w:rPr>
          <w:rFonts w:ascii="Arial" w:hAnsi="Arial" w:cs="Arial"/>
          <w:caps w:val="0"/>
          <w:szCs w:val="22"/>
        </w:rPr>
      </w:pPr>
      <w:r w:rsidRPr="001F6062">
        <w:rPr>
          <w:rFonts w:ascii="Arial" w:hAnsi="Arial" w:cs="Arial"/>
          <w:caps w:val="0"/>
          <w:szCs w:val="22"/>
        </w:rPr>
        <w:t xml:space="preserve">3.3 </w:t>
      </w:r>
      <w:r w:rsidR="00AD5E81" w:rsidRPr="001F6062">
        <w:rPr>
          <w:rFonts w:ascii="Arial" w:hAnsi="Arial" w:cs="Arial"/>
          <w:caps w:val="0"/>
          <w:szCs w:val="22"/>
        </w:rPr>
        <w:t xml:space="preserve">Growth Patterns of Male and Female </w:t>
      </w:r>
      <w:r w:rsidR="00AD5E81" w:rsidRPr="001F6062">
        <w:rPr>
          <w:rFonts w:ascii="Arial" w:hAnsi="Arial" w:cs="Arial"/>
          <w:i/>
          <w:iCs/>
          <w:caps w:val="0"/>
          <w:szCs w:val="22"/>
        </w:rPr>
        <w:t>Octopus</w:t>
      </w:r>
      <w:r w:rsidR="00AD5E81" w:rsidRPr="001F6062">
        <w:rPr>
          <w:rFonts w:ascii="Arial" w:hAnsi="Arial" w:cs="Arial"/>
          <w:caps w:val="0"/>
          <w:szCs w:val="22"/>
        </w:rPr>
        <w:t xml:space="preserve"> </w:t>
      </w:r>
      <w:proofErr w:type="spellStart"/>
      <w:r w:rsidR="00AD5E81" w:rsidRPr="001F6062">
        <w:rPr>
          <w:rFonts w:ascii="Arial" w:hAnsi="Arial" w:cs="Arial"/>
          <w:i/>
          <w:iCs/>
          <w:caps w:val="0"/>
          <w:szCs w:val="22"/>
        </w:rPr>
        <w:t>cyanea</w:t>
      </w:r>
      <w:proofErr w:type="spellEnd"/>
    </w:p>
    <w:p w14:paraId="10AB869A" w14:textId="6AEA3483" w:rsidR="006A515D" w:rsidRPr="006A515D" w:rsidRDefault="006A515D" w:rsidP="006A515D">
      <w:pPr>
        <w:pStyle w:val="NormalWeb"/>
        <w:jc w:val="both"/>
        <w:rPr>
          <w:rFonts w:ascii="Arial" w:hAnsi="Arial" w:cs="Arial"/>
          <w:sz w:val="20"/>
          <w:szCs w:val="20"/>
        </w:rPr>
      </w:pPr>
      <w:r w:rsidRPr="006A515D">
        <w:rPr>
          <w:rFonts w:ascii="Arial" w:hAnsi="Arial" w:cs="Arial"/>
          <w:sz w:val="20"/>
          <w:szCs w:val="20"/>
        </w:rPr>
        <w:t xml:space="preserve">Regression analysis showed that both sexes exhibited a similar growth pattern (Figures 7 </w:t>
      </w:r>
      <w:r w:rsidR="004F7E5B">
        <w:rPr>
          <w:rFonts w:ascii="Arial" w:hAnsi="Arial" w:cs="Arial"/>
          <w:sz w:val="20"/>
          <w:szCs w:val="20"/>
        </w:rPr>
        <w:t>&amp; Figure</w:t>
      </w:r>
      <w:r w:rsidRPr="006A515D">
        <w:rPr>
          <w:rFonts w:ascii="Arial" w:hAnsi="Arial" w:cs="Arial"/>
          <w:sz w:val="20"/>
          <w:szCs w:val="20"/>
        </w:rPr>
        <w:t xml:space="preserve"> 8). In male </w:t>
      </w:r>
      <w:r w:rsidRPr="004F7E5B">
        <w:rPr>
          <w:rFonts w:ascii="Arial" w:hAnsi="Arial" w:cs="Arial"/>
          <w:i/>
          <w:iCs/>
          <w:sz w:val="20"/>
          <w:szCs w:val="20"/>
        </w:rPr>
        <w:t xml:space="preserve">Octopus </w:t>
      </w:r>
      <w:proofErr w:type="spellStart"/>
      <w:r w:rsidRPr="004F7E5B">
        <w:rPr>
          <w:rFonts w:ascii="Arial" w:hAnsi="Arial" w:cs="Arial"/>
          <w:i/>
          <w:iCs/>
          <w:sz w:val="20"/>
          <w:szCs w:val="20"/>
        </w:rPr>
        <w:t>cyanea</w:t>
      </w:r>
      <w:proofErr w:type="spellEnd"/>
      <w:r w:rsidRPr="006A515D">
        <w:rPr>
          <w:rFonts w:ascii="Arial" w:hAnsi="Arial" w:cs="Arial"/>
          <w:sz w:val="20"/>
          <w:szCs w:val="20"/>
        </w:rPr>
        <w:t>, the relationship between dorsal mantle length (DML) and body weight was expressed as W = 6.6401 (DML)²·⁰⁶⁷⁶ with a coefficient of determination (R²) of 0.6177 (Figure 7). In females, the relationship followed the equation W = 2.8043 (DML)²·³⁸⁷⁵ with an R² value of 0.6742 (Figure 8). The R² values indicate that approximately 61–67% of the variation in body weight can be explained by increases in mantle length, while the remaining variation is likely influenced by other biological factors such as stomach fullness and arm condition. The correlation coefficient (r), derived from the square root of R², indicates a moderately strong positive relationship between mantle length and body weight in both sexes.</w:t>
      </w:r>
    </w:p>
    <w:p w14:paraId="77A57466" w14:textId="5E22D396" w:rsidR="006A515D" w:rsidRPr="006A515D" w:rsidRDefault="006A515D" w:rsidP="006A515D">
      <w:pPr>
        <w:pStyle w:val="NormalWeb"/>
        <w:jc w:val="both"/>
        <w:rPr>
          <w:rFonts w:ascii="Arial" w:hAnsi="Arial" w:cs="Arial"/>
          <w:sz w:val="20"/>
          <w:szCs w:val="20"/>
        </w:rPr>
      </w:pPr>
      <w:r w:rsidRPr="006A515D">
        <w:rPr>
          <w:rFonts w:ascii="Arial" w:hAnsi="Arial" w:cs="Arial"/>
          <w:sz w:val="20"/>
          <w:szCs w:val="20"/>
        </w:rPr>
        <w:t>The estimated allometric coefficients (b) for both sexes (</w:t>
      </w:r>
      <w:proofErr w:type="spellStart"/>
      <w:r w:rsidRPr="006A515D">
        <w:rPr>
          <w:rFonts w:ascii="Arial" w:hAnsi="Arial" w:cs="Arial"/>
          <w:sz w:val="20"/>
          <w:szCs w:val="20"/>
        </w:rPr>
        <w:t>b</w:t>
      </w:r>
      <w:r w:rsidRPr="004F7E5B">
        <w:rPr>
          <w:rFonts w:ascii="Arial" w:hAnsi="Arial" w:cs="Arial"/>
          <w:sz w:val="20"/>
          <w:szCs w:val="20"/>
          <w:vertAlign w:val="subscript"/>
        </w:rPr>
        <w:t>male</w:t>
      </w:r>
      <w:proofErr w:type="spellEnd"/>
      <w:r w:rsidRPr="006A515D">
        <w:rPr>
          <w:rFonts w:ascii="Arial" w:hAnsi="Arial" w:cs="Arial"/>
          <w:sz w:val="20"/>
          <w:szCs w:val="20"/>
        </w:rPr>
        <w:t xml:space="preserve"> = 2.06; </w:t>
      </w:r>
      <w:proofErr w:type="spellStart"/>
      <w:r w:rsidRPr="006A515D">
        <w:rPr>
          <w:rFonts w:ascii="Arial" w:hAnsi="Arial" w:cs="Arial"/>
          <w:sz w:val="20"/>
          <w:szCs w:val="20"/>
        </w:rPr>
        <w:t>b</w:t>
      </w:r>
      <w:r w:rsidRPr="004F7E5B">
        <w:rPr>
          <w:rFonts w:ascii="Arial" w:hAnsi="Arial" w:cs="Arial"/>
          <w:sz w:val="20"/>
          <w:szCs w:val="20"/>
          <w:vertAlign w:val="subscript"/>
        </w:rPr>
        <w:t>female</w:t>
      </w:r>
      <w:proofErr w:type="spellEnd"/>
      <w:r w:rsidRPr="006A515D">
        <w:rPr>
          <w:rFonts w:ascii="Arial" w:hAnsi="Arial" w:cs="Arial"/>
          <w:sz w:val="20"/>
          <w:szCs w:val="20"/>
        </w:rPr>
        <w:t xml:space="preserve"> = 2.38) were significantly lower than 3 (b &lt; 3), indicating a negative allometric growth pattern in </w:t>
      </w:r>
      <w:r w:rsidRPr="004F7E5B">
        <w:rPr>
          <w:rFonts w:ascii="Arial" w:hAnsi="Arial" w:cs="Arial"/>
          <w:i/>
          <w:iCs/>
          <w:sz w:val="20"/>
          <w:szCs w:val="20"/>
        </w:rPr>
        <w:t>O</w:t>
      </w:r>
      <w:r w:rsidR="004F7E5B" w:rsidRPr="004F7E5B">
        <w:rPr>
          <w:rFonts w:ascii="Arial" w:hAnsi="Arial" w:cs="Arial"/>
          <w:i/>
          <w:iCs/>
          <w:sz w:val="20"/>
          <w:szCs w:val="20"/>
        </w:rPr>
        <w:t>ctopus</w:t>
      </w:r>
      <w:r w:rsidRPr="004F7E5B">
        <w:rPr>
          <w:rFonts w:ascii="Arial" w:hAnsi="Arial" w:cs="Arial"/>
          <w:i/>
          <w:iCs/>
          <w:sz w:val="20"/>
          <w:szCs w:val="20"/>
        </w:rPr>
        <w:t xml:space="preserve"> </w:t>
      </w:r>
      <w:proofErr w:type="spellStart"/>
      <w:r w:rsidRPr="004F7E5B">
        <w:rPr>
          <w:rFonts w:ascii="Arial" w:hAnsi="Arial" w:cs="Arial"/>
          <w:i/>
          <w:iCs/>
          <w:sz w:val="20"/>
          <w:szCs w:val="20"/>
        </w:rPr>
        <w:t>cyanea</w:t>
      </w:r>
      <w:proofErr w:type="spellEnd"/>
      <w:r w:rsidRPr="006A515D">
        <w:rPr>
          <w:rFonts w:ascii="Arial" w:hAnsi="Arial" w:cs="Arial"/>
          <w:sz w:val="20"/>
          <w:szCs w:val="20"/>
        </w:rPr>
        <w:t xml:space="preserve">. This negative allometry suggests that the population is dominated by individuals still undergoing active somatic growth, in which energy is preferentially allocated to mantle elongation rather than to muscle mass accumulation. These findings are consistent with those reported by </w:t>
      </w:r>
      <w:proofErr w:type="spellStart"/>
      <w:r w:rsidRPr="006A515D">
        <w:rPr>
          <w:rFonts w:ascii="Arial" w:hAnsi="Arial" w:cs="Arial"/>
          <w:sz w:val="20"/>
          <w:szCs w:val="20"/>
        </w:rPr>
        <w:t>Marzuki</w:t>
      </w:r>
      <w:proofErr w:type="spellEnd"/>
      <w:r w:rsidRPr="006A515D">
        <w:rPr>
          <w:rFonts w:ascii="Arial" w:hAnsi="Arial" w:cs="Arial"/>
          <w:sz w:val="20"/>
          <w:szCs w:val="20"/>
        </w:rPr>
        <w:t xml:space="preserve"> </w:t>
      </w:r>
      <w:r w:rsidRPr="004F7E5B">
        <w:rPr>
          <w:rFonts w:ascii="Arial" w:hAnsi="Arial" w:cs="Arial"/>
          <w:i/>
          <w:iCs/>
          <w:sz w:val="20"/>
          <w:szCs w:val="20"/>
        </w:rPr>
        <w:t>et al</w:t>
      </w:r>
      <w:r w:rsidRPr="006A515D">
        <w:rPr>
          <w:rFonts w:ascii="Arial" w:hAnsi="Arial" w:cs="Arial"/>
          <w:sz w:val="20"/>
          <w:szCs w:val="20"/>
        </w:rPr>
        <w:t xml:space="preserve">. (2023) and </w:t>
      </w:r>
      <w:proofErr w:type="spellStart"/>
      <w:r w:rsidRPr="006A515D">
        <w:rPr>
          <w:rFonts w:ascii="Arial" w:hAnsi="Arial" w:cs="Arial"/>
          <w:sz w:val="20"/>
          <w:szCs w:val="20"/>
        </w:rPr>
        <w:t>Diniariwisan</w:t>
      </w:r>
      <w:proofErr w:type="spellEnd"/>
      <w:r w:rsidRPr="006A515D">
        <w:rPr>
          <w:rFonts w:ascii="Arial" w:hAnsi="Arial" w:cs="Arial"/>
          <w:sz w:val="20"/>
          <w:szCs w:val="20"/>
        </w:rPr>
        <w:t xml:space="preserve"> </w:t>
      </w:r>
      <w:r w:rsidRPr="004F7E5B">
        <w:rPr>
          <w:rFonts w:ascii="Arial" w:hAnsi="Arial" w:cs="Arial"/>
          <w:i/>
          <w:iCs/>
          <w:sz w:val="20"/>
          <w:szCs w:val="20"/>
        </w:rPr>
        <w:t>et al</w:t>
      </w:r>
      <w:r w:rsidRPr="006A515D">
        <w:rPr>
          <w:rFonts w:ascii="Arial" w:hAnsi="Arial" w:cs="Arial"/>
          <w:sz w:val="20"/>
          <w:szCs w:val="20"/>
        </w:rPr>
        <w:t xml:space="preserve">. (2023), who also documented negative allometric growth in </w:t>
      </w:r>
      <w:proofErr w:type="gramStart"/>
      <w:r w:rsidRPr="006A515D">
        <w:rPr>
          <w:rFonts w:ascii="Arial" w:hAnsi="Arial" w:cs="Arial"/>
          <w:sz w:val="20"/>
          <w:szCs w:val="20"/>
        </w:rPr>
        <w:t>octopus</w:t>
      </w:r>
      <w:proofErr w:type="gramEnd"/>
      <w:r w:rsidRPr="006A515D">
        <w:rPr>
          <w:rFonts w:ascii="Arial" w:hAnsi="Arial" w:cs="Arial"/>
          <w:sz w:val="20"/>
          <w:szCs w:val="20"/>
        </w:rPr>
        <w:t xml:space="preserve"> populations from </w:t>
      </w:r>
      <w:proofErr w:type="spellStart"/>
      <w:r w:rsidRPr="006A515D">
        <w:rPr>
          <w:rFonts w:ascii="Arial" w:hAnsi="Arial" w:cs="Arial"/>
          <w:sz w:val="20"/>
          <w:szCs w:val="20"/>
        </w:rPr>
        <w:t>Ketapang</w:t>
      </w:r>
      <w:proofErr w:type="spellEnd"/>
      <w:r w:rsidRPr="006A515D">
        <w:rPr>
          <w:rFonts w:ascii="Arial" w:hAnsi="Arial" w:cs="Arial"/>
          <w:sz w:val="20"/>
          <w:szCs w:val="20"/>
        </w:rPr>
        <w:t xml:space="preserve"> Beach, East Lombok. The consistency of results across adjacent coastal waters suggests similar habitat characteristics along the eastern Lombok coastline.</w:t>
      </w:r>
    </w:p>
    <w:p w14:paraId="33962666" w14:textId="216F544F" w:rsidR="007B79F2" w:rsidRPr="007B79F2" w:rsidRDefault="006A515D" w:rsidP="006A515D">
      <w:pPr>
        <w:pStyle w:val="NormalWeb"/>
        <w:spacing w:before="0" w:beforeAutospacing="0" w:after="0" w:afterAutospacing="0"/>
        <w:jc w:val="both"/>
        <w:rPr>
          <w:rFonts w:ascii="Arial" w:hAnsi="Arial" w:cs="Arial"/>
          <w:sz w:val="20"/>
          <w:szCs w:val="20"/>
        </w:rPr>
      </w:pPr>
      <w:r w:rsidRPr="006A515D">
        <w:rPr>
          <w:rFonts w:ascii="Arial" w:hAnsi="Arial" w:cs="Arial"/>
          <w:sz w:val="20"/>
          <w:szCs w:val="20"/>
        </w:rPr>
        <w:t xml:space="preserve">Low b values may be influenced by both environmental (external) and biological (internal) factors. According to Amir </w:t>
      </w:r>
      <w:r w:rsidRPr="004F7E5B">
        <w:rPr>
          <w:rFonts w:ascii="Arial" w:hAnsi="Arial" w:cs="Arial"/>
          <w:i/>
          <w:iCs/>
          <w:sz w:val="20"/>
          <w:szCs w:val="20"/>
        </w:rPr>
        <w:t>et al</w:t>
      </w:r>
      <w:r w:rsidRPr="006A515D">
        <w:rPr>
          <w:rFonts w:ascii="Arial" w:hAnsi="Arial" w:cs="Arial"/>
          <w:sz w:val="20"/>
          <w:szCs w:val="20"/>
        </w:rPr>
        <w:t xml:space="preserve">. (2021), variation in b is strongly determined by prey availability and water conditions. From an </w:t>
      </w:r>
      <w:proofErr w:type="spellStart"/>
      <w:r w:rsidRPr="006A515D">
        <w:rPr>
          <w:rFonts w:ascii="Arial" w:hAnsi="Arial" w:cs="Arial"/>
          <w:sz w:val="20"/>
          <w:szCs w:val="20"/>
        </w:rPr>
        <w:t>ecophysiological</w:t>
      </w:r>
      <w:proofErr w:type="spellEnd"/>
      <w:r w:rsidRPr="006A515D">
        <w:rPr>
          <w:rFonts w:ascii="Arial" w:hAnsi="Arial" w:cs="Arial"/>
          <w:sz w:val="20"/>
          <w:szCs w:val="20"/>
        </w:rPr>
        <w:t xml:space="preserve"> perspective, Semmens </w:t>
      </w:r>
      <w:r w:rsidRPr="004F7E5B">
        <w:rPr>
          <w:rFonts w:ascii="Arial" w:hAnsi="Arial" w:cs="Arial"/>
          <w:i/>
          <w:iCs/>
          <w:sz w:val="20"/>
          <w:szCs w:val="20"/>
        </w:rPr>
        <w:t>et al</w:t>
      </w:r>
      <w:r w:rsidRPr="006A515D">
        <w:rPr>
          <w:rFonts w:ascii="Arial" w:hAnsi="Arial" w:cs="Arial"/>
          <w:sz w:val="20"/>
          <w:szCs w:val="20"/>
        </w:rPr>
        <w:t xml:space="preserve">. (2004) explained that warm water temperatures, typical of tropical waters such as those of West Nusa Tenggara, may accelerate </w:t>
      </w:r>
      <w:proofErr w:type="gramStart"/>
      <w:r w:rsidRPr="006A515D">
        <w:rPr>
          <w:rFonts w:ascii="Arial" w:hAnsi="Arial" w:cs="Arial"/>
          <w:sz w:val="20"/>
          <w:szCs w:val="20"/>
        </w:rPr>
        <w:t>octopus</w:t>
      </w:r>
      <w:proofErr w:type="gramEnd"/>
      <w:r w:rsidRPr="006A515D">
        <w:rPr>
          <w:rFonts w:ascii="Arial" w:hAnsi="Arial" w:cs="Arial"/>
          <w:sz w:val="20"/>
          <w:szCs w:val="20"/>
        </w:rPr>
        <w:t xml:space="preserve"> metabolic rates. As a consequence, energy obtained from food is rapidly expended for activity and linear growth, leaving relatively less energy available for body mass deposition. Furthermore, intensive fishing pressure in the study area (Omar </w:t>
      </w:r>
      <w:r w:rsidRPr="004F7E5B">
        <w:rPr>
          <w:rFonts w:ascii="Arial" w:hAnsi="Arial" w:cs="Arial"/>
          <w:i/>
          <w:iCs/>
          <w:sz w:val="20"/>
          <w:szCs w:val="20"/>
        </w:rPr>
        <w:t>et</w:t>
      </w:r>
      <w:r w:rsidRPr="006A515D">
        <w:rPr>
          <w:rFonts w:ascii="Arial" w:hAnsi="Arial" w:cs="Arial"/>
          <w:sz w:val="20"/>
          <w:szCs w:val="20"/>
        </w:rPr>
        <w:t xml:space="preserve"> </w:t>
      </w:r>
      <w:r w:rsidRPr="004F7E5B">
        <w:rPr>
          <w:rFonts w:ascii="Arial" w:hAnsi="Arial" w:cs="Arial"/>
          <w:i/>
          <w:iCs/>
          <w:sz w:val="20"/>
          <w:szCs w:val="20"/>
        </w:rPr>
        <w:t>al</w:t>
      </w:r>
      <w:r w:rsidRPr="006A515D">
        <w:rPr>
          <w:rFonts w:ascii="Arial" w:hAnsi="Arial" w:cs="Arial"/>
          <w:sz w:val="20"/>
          <w:szCs w:val="20"/>
        </w:rPr>
        <w:t>., 2020) may increase the risk of growth overfishing, in which individuals are harvested during rapid growth phases before reaching an optimal (isometric) body proportion.</w:t>
      </w:r>
    </w:p>
    <w:p w14:paraId="19CDC237" w14:textId="72ADD0DA" w:rsidR="009A020D" w:rsidRPr="001F6062" w:rsidRDefault="009A020D" w:rsidP="001F3270">
      <w:pPr>
        <w:pStyle w:val="Head1"/>
        <w:spacing w:after="0"/>
        <w:jc w:val="both"/>
        <w:rPr>
          <w:rFonts w:ascii="Arial" w:hAnsi="Arial" w:cs="Arial"/>
          <w:b w:val="0"/>
          <w:bCs/>
          <w:caps w:val="0"/>
          <w:sz w:val="20"/>
        </w:rPr>
      </w:pPr>
      <w:r w:rsidRPr="001F6062">
        <w:rPr>
          <w:rFonts w:ascii="Arial" w:hAnsi="Arial" w:cs="Arial"/>
          <w:b w:val="0"/>
          <w:bCs/>
          <w:caps w:val="0"/>
          <w:sz w:val="20"/>
        </w:rPr>
        <w:lastRenderedPageBreak/>
        <w:t xml:space="preserve"> </w:t>
      </w: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0"/>
        <w:gridCol w:w="4088"/>
      </w:tblGrid>
      <w:tr w:rsidR="004509F1" w14:paraId="6E7085A2" w14:textId="77777777" w:rsidTr="004509F1">
        <w:trPr>
          <w:trHeight w:val="2105"/>
        </w:trPr>
        <w:tc>
          <w:tcPr>
            <w:tcW w:w="4301" w:type="dxa"/>
          </w:tcPr>
          <w:p w14:paraId="57AF193B" w14:textId="35C58F77" w:rsidR="00A315B0" w:rsidRDefault="006F19BD" w:rsidP="009A020D">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771D8D29" wp14:editId="43BD624B">
                  <wp:extent cx="2515896" cy="2105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0">
                            <a:extLst>
                              <a:ext uri="{28A0092B-C50C-407E-A947-70E740481C1C}">
                                <a14:useLocalDpi xmlns:a14="http://schemas.microsoft.com/office/drawing/2010/main" val="0"/>
                              </a:ext>
                            </a:extLst>
                          </a:blip>
                          <a:stretch>
                            <a:fillRect/>
                          </a:stretch>
                        </pic:blipFill>
                        <pic:spPr>
                          <a:xfrm>
                            <a:off x="0" y="0"/>
                            <a:ext cx="2540579" cy="2125677"/>
                          </a:xfrm>
                          <a:prstGeom prst="rect">
                            <a:avLst/>
                          </a:prstGeom>
                        </pic:spPr>
                      </pic:pic>
                    </a:graphicData>
                  </a:graphic>
                </wp:inline>
              </w:drawing>
            </w:r>
          </w:p>
        </w:tc>
        <w:tc>
          <w:tcPr>
            <w:tcW w:w="3889" w:type="dxa"/>
          </w:tcPr>
          <w:p w14:paraId="7367C153" w14:textId="062BE4A9" w:rsidR="00A315B0" w:rsidRDefault="006F19BD" w:rsidP="009A020D">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5CEFD181" wp14:editId="77451ED9">
                  <wp:extent cx="2495085" cy="2105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1">
                            <a:extLst>
                              <a:ext uri="{28A0092B-C50C-407E-A947-70E740481C1C}">
                                <a14:useLocalDpi xmlns:a14="http://schemas.microsoft.com/office/drawing/2010/main" val="0"/>
                              </a:ext>
                            </a:extLst>
                          </a:blip>
                          <a:stretch>
                            <a:fillRect/>
                          </a:stretch>
                        </pic:blipFill>
                        <pic:spPr>
                          <a:xfrm>
                            <a:off x="0" y="0"/>
                            <a:ext cx="2513153" cy="2120269"/>
                          </a:xfrm>
                          <a:prstGeom prst="rect">
                            <a:avLst/>
                          </a:prstGeom>
                        </pic:spPr>
                      </pic:pic>
                    </a:graphicData>
                  </a:graphic>
                </wp:inline>
              </w:drawing>
            </w:r>
          </w:p>
        </w:tc>
      </w:tr>
      <w:tr w:rsidR="004509F1" w14:paraId="5F1EB170" w14:textId="77777777" w:rsidTr="004509F1">
        <w:tc>
          <w:tcPr>
            <w:tcW w:w="4301" w:type="dxa"/>
          </w:tcPr>
          <w:p w14:paraId="6DC39B0C" w14:textId="0226514A" w:rsidR="00A315B0" w:rsidRDefault="00897AA3" w:rsidP="001F3270">
            <w:pPr>
              <w:pStyle w:val="Head1"/>
              <w:spacing w:after="0"/>
              <w:jc w:val="center"/>
              <w:rPr>
                <w:rFonts w:ascii="Arial" w:hAnsi="Arial" w:cs="Arial"/>
                <w:b w:val="0"/>
                <w:bCs/>
                <w:caps w:val="0"/>
                <w:sz w:val="20"/>
              </w:rPr>
            </w:pPr>
            <w:r>
              <w:rPr>
                <w:rFonts w:ascii="Arial" w:hAnsi="Arial" w:cs="Arial"/>
                <w:b w:val="0"/>
                <w:bCs/>
                <w:caps w:val="0"/>
                <w:sz w:val="20"/>
              </w:rPr>
              <w:t>Figure</w:t>
            </w:r>
            <w:r w:rsidR="00A315B0">
              <w:rPr>
                <w:rFonts w:ascii="Arial" w:hAnsi="Arial" w:cs="Arial"/>
                <w:b w:val="0"/>
                <w:bCs/>
                <w:caps w:val="0"/>
                <w:sz w:val="20"/>
              </w:rPr>
              <w:t xml:space="preserve"> </w:t>
            </w:r>
            <w:r w:rsidR="004F7E5B">
              <w:rPr>
                <w:rFonts w:ascii="Arial" w:hAnsi="Arial" w:cs="Arial"/>
                <w:b w:val="0"/>
                <w:bCs/>
                <w:caps w:val="0"/>
                <w:sz w:val="20"/>
              </w:rPr>
              <w:t>7</w:t>
            </w:r>
            <w:r>
              <w:rPr>
                <w:rFonts w:ascii="Arial" w:hAnsi="Arial" w:cs="Arial"/>
                <w:b w:val="0"/>
                <w:bCs/>
                <w:caps w:val="0"/>
                <w:sz w:val="20"/>
              </w:rPr>
              <w:t xml:space="preserve">. </w:t>
            </w:r>
            <w:r w:rsidRPr="00897AA3">
              <w:rPr>
                <w:rFonts w:ascii="Arial" w:hAnsi="Arial" w:cs="Arial"/>
                <w:b w:val="0"/>
                <w:bCs/>
                <w:caps w:val="0"/>
                <w:sz w:val="20"/>
              </w:rPr>
              <w:t xml:space="preserve">Relationship between Length and Weight of Male </w:t>
            </w:r>
            <w:r w:rsidRPr="00897AA3">
              <w:rPr>
                <w:rFonts w:ascii="Arial" w:hAnsi="Arial" w:cs="Arial"/>
                <w:b w:val="0"/>
                <w:bCs/>
                <w:i/>
                <w:iCs/>
                <w:caps w:val="0"/>
                <w:sz w:val="20"/>
              </w:rPr>
              <w:t xml:space="preserve">Octopus </w:t>
            </w:r>
            <w:proofErr w:type="spellStart"/>
            <w:r w:rsidRPr="00897AA3">
              <w:rPr>
                <w:rFonts w:ascii="Arial" w:hAnsi="Arial" w:cs="Arial"/>
                <w:b w:val="0"/>
                <w:bCs/>
                <w:i/>
                <w:iCs/>
                <w:caps w:val="0"/>
                <w:sz w:val="20"/>
              </w:rPr>
              <w:t>cyanea</w:t>
            </w:r>
            <w:proofErr w:type="spellEnd"/>
          </w:p>
        </w:tc>
        <w:tc>
          <w:tcPr>
            <w:tcW w:w="3889" w:type="dxa"/>
          </w:tcPr>
          <w:p w14:paraId="04201DAA" w14:textId="3A7CE0EA" w:rsidR="00A315B0" w:rsidRDefault="00897AA3" w:rsidP="001F3270">
            <w:pPr>
              <w:pStyle w:val="Head1"/>
              <w:spacing w:after="0"/>
              <w:jc w:val="center"/>
              <w:rPr>
                <w:rFonts w:ascii="Arial" w:hAnsi="Arial" w:cs="Arial"/>
                <w:b w:val="0"/>
                <w:bCs/>
                <w:caps w:val="0"/>
                <w:sz w:val="20"/>
              </w:rPr>
            </w:pPr>
            <w:r>
              <w:rPr>
                <w:rFonts w:ascii="Arial" w:hAnsi="Arial" w:cs="Arial"/>
                <w:b w:val="0"/>
                <w:bCs/>
                <w:caps w:val="0"/>
                <w:sz w:val="20"/>
              </w:rPr>
              <w:t>Figure</w:t>
            </w:r>
            <w:r w:rsidR="00A315B0">
              <w:rPr>
                <w:rFonts w:ascii="Arial" w:hAnsi="Arial" w:cs="Arial"/>
                <w:b w:val="0"/>
                <w:bCs/>
                <w:caps w:val="0"/>
                <w:sz w:val="20"/>
              </w:rPr>
              <w:t xml:space="preserve"> </w:t>
            </w:r>
            <w:r w:rsidR="004F7E5B">
              <w:rPr>
                <w:rFonts w:ascii="Arial" w:hAnsi="Arial" w:cs="Arial"/>
                <w:b w:val="0"/>
                <w:bCs/>
                <w:caps w:val="0"/>
                <w:sz w:val="20"/>
              </w:rPr>
              <w:t>8</w:t>
            </w:r>
            <w:r>
              <w:rPr>
                <w:rFonts w:ascii="Arial" w:hAnsi="Arial" w:cs="Arial"/>
                <w:b w:val="0"/>
                <w:bCs/>
                <w:caps w:val="0"/>
                <w:sz w:val="20"/>
              </w:rPr>
              <w:t xml:space="preserve">. </w:t>
            </w:r>
            <w:r w:rsidRPr="00897AA3">
              <w:rPr>
                <w:rFonts w:ascii="Arial" w:hAnsi="Arial" w:cs="Arial"/>
                <w:b w:val="0"/>
                <w:bCs/>
                <w:caps w:val="0"/>
                <w:sz w:val="20"/>
              </w:rPr>
              <w:t xml:space="preserve">Relationship between Length and Weight of </w:t>
            </w:r>
            <w:proofErr w:type="spellStart"/>
            <w:r w:rsidR="004F7E5B">
              <w:rPr>
                <w:rFonts w:ascii="Arial" w:hAnsi="Arial" w:cs="Arial"/>
                <w:b w:val="0"/>
                <w:bCs/>
                <w:caps w:val="0"/>
                <w:sz w:val="20"/>
              </w:rPr>
              <w:t>Famale</w:t>
            </w:r>
            <w:proofErr w:type="spellEnd"/>
            <w:r w:rsidRPr="00897AA3">
              <w:rPr>
                <w:rFonts w:ascii="Arial" w:hAnsi="Arial" w:cs="Arial"/>
                <w:b w:val="0"/>
                <w:bCs/>
                <w:caps w:val="0"/>
                <w:sz w:val="20"/>
              </w:rPr>
              <w:t xml:space="preserve"> </w:t>
            </w:r>
            <w:r w:rsidRPr="00897AA3">
              <w:rPr>
                <w:rFonts w:ascii="Arial" w:hAnsi="Arial" w:cs="Arial"/>
                <w:b w:val="0"/>
                <w:bCs/>
                <w:i/>
                <w:iCs/>
                <w:caps w:val="0"/>
                <w:sz w:val="20"/>
              </w:rPr>
              <w:t xml:space="preserve">Octopus </w:t>
            </w:r>
            <w:proofErr w:type="spellStart"/>
            <w:r w:rsidRPr="00897AA3">
              <w:rPr>
                <w:rFonts w:ascii="Arial" w:hAnsi="Arial" w:cs="Arial"/>
                <w:b w:val="0"/>
                <w:bCs/>
                <w:i/>
                <w:iCs/>
                <w:caps w:val="0"/>
                <w:sz w:val="20"/>
              </w:rPr>
              <w:t>cyanea</w:t>
            </w:r>
            <w:proofErr w:type="spellEnd"/>
          </w:p>
        </w:tc>
      </w:tr>
    </w:tbl>
    <w:p w14:paraId="2A0DB574" w14:textId="77777777" w:rsidR="001F3270" w:rsidRPr="00FB3A86" w:rsidRDefault="001F3270" w:rsidP="00441B6F">
      <w:pPr>
        <w:pStyle w:val="Body"/>
        <w:spacing w:after="0"/>
        <w:rPr>
          <w:rFonts w:ascii="Arial" w:hAnsi="Arial" w:cs="Arial"/>
        </w:rPr>
      </w:pPr>
    </w:p>
    <w:p w14:paraId="1BBE96A7" w14:textId="03C5F9F5" w:rsidR="0069111D" w:rsidRDefault="00000F8F" w:rsidP="007B79F2">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510C0D" w14:textId="05988F51" w:rsidR="00860000" w:rsidRDefault="004F7E5B" w:rsidP="004F7E5B">
      <w:pPr>
        <w:pStyle w:val="NormalWeb"/>
        <w:jc w:val="both"/>
        <w:rPr>
          <w:rFonts w:ascii="Arial" w:hAnsi="Arial" w:cs="Arial"/>
          <w:sz w:val="20"/>
          <w:szCs w:val="20"/>
        </w:rPr>
      </w:pPr>
      <w:r w:rsidRPr="004F7E5B">
        <w:rPr>
          <w:rFonts w:ascii="Arial" w:hAnsi="Arial" w:cs="Arial"/>
          <w:sz w:val="20"/>
          <w:szCs w:val="20"/>
        </w:rPr>
        <w:t xml:space="preserve">The </w:t>
      </w:r>
      <w:r w:rsidRPr="004F7E5B">
        <w:rPr>
          <w:rFonts w:ascii="Arial" w:hAnsi="Arial" w:cs="Arial"/>
          <w:i/>
          <w:iCs/>
          <w:sz w:val="20"/>
          <w:szCs w:val="20"/>
        </w:rPr>
        <w:t xml:space="preserve">Octopus </w:t>
      </w:r>
      <w:proofErr w:type="spellStart"/>
      <w:r w:rsidRPr="004F7E5B">
        <w:rPr>
          <w:rFonts w:ascii="Arial" w:hAnsi="Arial" w:cs="Arial"/>
          <w:i/>
          <w:iCs/>
          <w:sz w:val="20"/>
          <w:szCs w:val="20"/>
        </w:rPr>
        <w:t>cyanea</w:t>
      </w:r>
      <w:proofErr w:type="spellEnd"/>
      <w:r w:rsidRPr="004F7E5B">
        <w:rPr>
          <w:rFonts w:ascii="Arial" w:hAnsi="Arial" w:cs="Arial"/>
          <w:sz w:val="20"/>
          <w:szCs w:val="20"/>
        </w:rPr>
        <w:t xml:space="preserve"> population in the waters of </w:t>
      </w:r>
      <w:proofErr w:type="spellStart"/>
      <w:r w:rsidRPr="004F7E5B">
        <w:rPr>
          <w:rFonts w:ascii="Arial" w:hAnsi="Arial" w:cs="Arial"/>
          <w:sz w:val="20"/>
          <w:szCs w:val="20"/>
        </w:rPr>
        <w:t>Seruni</w:t>
      </w:r>
      <w:proofErr w:type="spellEnd"/>
      <w:r w:rsidRPr="004F7E5B">
        <w:rPr>
          <w:rFonts w:ascii="Arial" w:hAnsi="Arial" w:cs="Arial"/>
          <w:sz w:val="20"/>
          <w:szCs w:val="20"/>
        </w:rPr>
        <w:t xml:space="preserve"> </w:t>
      </w:r>
      <w:proofErr w:type="spellStart"/>
      <w:r w:rsidRPr="004F7E5B">
        <w:rPr>
          <w:rFonts w:ascii="Arial" w:hAnsi="Arial" w:cs="Arial"/>
          <w:sz w:val="20"/>
          <w:szCs w:val="20"/>
        </w:rPr>
        <w:t>Mumbul</w:t>
      </w:r>
      <w:proofErr w:type="spellEnd"/>
      <w:r w:rsidRPr="004F7E5B">
        <w:rPr>
          <w:rFonts w:ascii="Arial" w:hAnsi="Arial" w:cs="Arial"/>
          <w:sz w:val="20"/>
          <w:szCs w:val="20"/>
        </w:rPr>
        <w:t xml:space="preserve"> Village is dominated by medium-sized individuals exhibiting sexual dimorphism, with females attaining greater dorsal mantle length and males reaching higher maximum body weight. Length–weight relationship analysis revealed a negative allometric growth pattern (b &lt; 3), indicating the predominance of individuals in an active somatic growth phase</w:t>
      </w:r>
      <w:r w:rsidR="005D2527">
        <w:rPr>
          <w:rFonts w:ascii="Arial" w:hAnsi="Arial" w:cs="Arial"/>
          <w:sz w:val="20"/>
          <w:szCs w:val="20"/>
        </w:rPr>
        <w:t xml:space="preserve">. </w:t>
      </w:r>
      <w:r w:rsidRPr="004F7E5B">
        <w:rPr>
          <w:rFonts w:ascii="Arial" w:hAnsi="Arial" w:cs="Arial"/>
          <w:sz w:val="20"/>
          <w:szCs w:val="20"/>
        </w:rPr>
        <w:t>The proportion of gonadally mature individuals based on mantle length (15.8%) was substantially lower than the estimate based on body weight (51.6%), suggesting phenotypic plasticity in response to local environmental conditions. However, this discrepancy also indicates a potential risk of excessive harvesting of immature (juvenile) individuals.</w:t>
      </w:r>
    </w:p>
    <w:p w14:paraId="48BEC0AF" w14:textId="58F2E47F" w:rsidR="00E64FF2" w:rsidRDefault="00E64FF2" w:rsidP="004F7E5B">
      <w:pPr>
        <w:pStyle w:val="NormalWeb"/>
        <w:jc w:val="both"/>
        <w:rPr>
          <w:rFonts w:ascii="Arial" w:hAnsi="Arial" w:cs="Arial"/>
          <w:sz w:val="20"/>
          <w:szCs w:val="20"/>
        </w:rPr>
      </w:pPr>
    </w:p>
    <w:p w14:paraId="775E1C2B" w14:textId="77777777" w:rsidR="00E64FF2" w:rsidRPr="00005ED1" w:rsidRDefault="00E64FF2" w:rsidP="00E64FF2">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706B9AF9" w14:textId="77777777" w:rsidR="00E64FF2" w:rsidRPr="00005ED1" w:rsidRDefault="00E64FF2" w:rsidP="00E64FF2">
      <w:pPr>
        <w:pStyle w:val="NoSpacing"/>
        <w:rPr>
          <w:rFonts w:ascii="Arial" w:hAnsi="Arial" w:cs="Arial"/>
          <w:highlight w:val="yellow"/>
        </w:rPr>
      </w:pPr>
    </w:p>
    <w:p w14:paraId="6B253E50" w14:textId="77777777" w:rsidR="00E64FF2" w:rsidRPr="00005ED1" w:rsidRDefault="00E64FF2" w:rsidP="00E64FF2">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0ED466A5" w14:textId="77777777" w:rsidR="00E64FF2" w:rsidRDefault="00E64FF2" w:rsidP="00E64FF2">
      <w:pPr>
        <w:pStyle w:val="NoSpacing"/>
        <w:rPr>
          <w:rFonts w:ascii="Arial" w:hAnsi="Arial" w:cs="Arial"/>
        </w:rPr>
      </w:pPr>
    </w:p>
    <w:p w14:paraId="05728ADB" w14:textId="77777777" w:rsidR="00E64FF2" w:rsidRDefault="00E64FF2" w:rsidP="00E64FF2">
      <w:pPr>
        <w:pStyle w:val="NoSpacing"/>
        <w:rPr>
          <w:rFonts w:ascii="Arial" w:hAnsi="Arial" w:cs="Arial"/>
        </w:rPr>
      </w:pPr>
    </w:p>
    <w:p w14:paraId="1645AEE8" w14:textId="77777777" w:rsidR="00E64FF2" w:rsidRPr="00005ED1" w:rsidRDefault="00E64FF2" w:rsidP="00E64FF2">
      <w:pPr>
        <w:pStyle w:val="NoSpacing"/>
        <w:rPr>
          <w:rFonts w:ascii="Arial" w:hAnsi="Arial" w:cs="Arial"/>
        </w:rPr>
      </w:pPr>
    </w:p>
    <w:p w14:paraId="7934BDB1" w14:textId="77777777" w:rsidR="00E64FF2" w:rsidRPr="004F7E5B" w:rsidRDefault="00E64FF2" w:rsidP="004F7E5B">
      <w:pPr>
        <w:pStyle w:val="NormalWeb"/>
        <w:jc w:val="both"/>
        <w:rPr>
          <w:rFonts w:ascii="Arial" w:hAnsi="Arial" w:cs="Arial"/>
          <w:sz w:val="20"/>
          <w:szCs w:val="20"/>
        </w:rPr>
      </w:pPr>
      <w:bookmarkStart w:id="2" w:name="_GoBack"/>
      <w:bookmarkEnd w:id="2"/>
    </w:p>
    <w:p w14:paraId="2D9EC103" w14:textId="54E3773A" w:rsidR="00D02E8A" w:rsidRDefault="00B01FCD" w:rsidP="001140E0">
      <w:pPr>
        <w:pStyle w:val="ReferHead"/>
        <w:spacing w:after="0"/>
        <w:jc w:val="both"/>
        <w:rPr>
          <w:rFonts w:ascii="Arial" w:hAnsi="Arial" w:cs="Arial"/>
        </w:rPr>
      </w:pPr>
      <w:r w:rsidRPr="00FB3A86">
        <w:rPr>
          <w:rFonts w:ascii="Arial" w:hAnsi="Arial" w:cs="Arial"/>
        </w:rPr>
        <w:t>References</w:t>
      </w:r>
    </w:p>
    <w:p w14:paraId="3561CAEE" w14:textId="77777777" w:rsidR="001140E0" w:rsidRPr="001140E0" w:rsidRDefault="001140E0" w:rsidP="001140E0">
      <w:pPr>
        <w:pStyle w:val="ReferHead"/>
        <w:spacing w:after="0"/>
        <w:jc w:val="both"/>
        <w:rPr>
          <w:rFonts w:ascii="Arial" w:hAnsi="Arial" w:cs="Arial"/>
        </w:rPr>
      </w:pPr>
    </w:p>
    <w:p w14:paraId="3E5F50FA" w14:textId="36930F97" w:rsidR="00D02E8A" w:rsidRPr="00E64FF2" w:rsidRDefault="0067624C" w:rsidP="00E64FF2">
      <w:pPr>
        <w:pStyle w:val="ListParagraph"/>
        <w:numPr>
          <w:ilvl w:val="0"/>
          <w:numId w:val="32"/>
        </w:numPr>
        <w:jc w:val="both"/>
        <w:rPr>
          <w:bCs/>
        </w:rPr>
      </w:pPr>
      <w:r w:rsidRPr="00E64FF2">
        <w:rPr>
          <w:bCs/>
          <w:color w:val="000000"/>
        </w:rPr>
        <w:t>Ahmed, A. S., El-</w:t>
      </w:r>
      <w:proofErr w:type="spellStart"/>
      <w:r w:rsidRPr="00E64FF2">
        <w:rPr>
          <w:bCs/>
          <w:color w:val="000000"/>
        </w:rPr>
        <w:t>Ganainy</w:t>
      </w:r>
      <w:proofErr w:type="spellEnd"/>
      <w:r w:rsidRPr="00E64FF2">
        <w:rPr>
          <w:bCs/>
          <w:color w:val="000000"/>
        </w:rPr>
        <w:t xml:space="preserve">, A. A., Osman, M. F., &amp; Khalil, M. T. (2021). </w:t>
      </w:r>
      <w:r>
        <w:t xml:space="preserve">Observations on some morphometric characters of the webfoot octopus, </w:t>
      </w:r>
      <w:proofErr w:type="spellStart"/>
      <w:r>
        <w:rPr>
          <w:rStyle w:val="Emphasis"/>
        </w:rPr>
        <w:t>Amphioctopus</w:t>
      </w:r>
      <w:proofErr w:type="spellEnd"/>
      <w:r>
        <w:rPr>
          <w:rStyle w:val="Emphasis"/>
        </w:rPr>
        <w:t xml:space="preserve"> </w:t>
      </w:r>
      <w:proofErr w:type="spellStart"/>
      <w:r>
        <w:rPr>
          <w:rStyle w:val="Emphasis"/>
        </w:rPr>
        <w:t>membranaceus</w:t>
      </w:r>
      <w:proofErr w:type="spellEnd"/>
      <w:r>
        <w:t xml:space="preserve"> (</w:t>
      </w:r>
      <w:proofErr w:type="spellStart"/>
      <w:r>
        <w:t>Quoy</w:t>
      </w:r>
      <w:proofErr w:type="spellEnd"/>
      <w:r>
        <w:t xml:space="preserve"> and </w:t>
      </w:r>
      <w:proofErr w:type="spellStart"/>
      <w:r>
        <w:t>Gaimard</w:t>
      </w:r>
      <w:proofErr w:type="spellEnd"/>
      <w:r>
        <w:t>, 1832) from the Gulf of Suez, Red Sea, Egypt</w:t>
      </w:r>
      <w:r w:rsidRPr="00E64FF2">
        <w:rPr>
          <w:bCs/>
          <w:color w:val="000000"/>
        </w:rPr>
        <w:t xml:space="preserve">. Egyptian Journal </w:t>
      </w:r>
      <w:r w:rsidR="00923932" w:rsidRPr="00E64FF2">
        <w:rPr>
          <w:bCs/>
          <w:color w:val="000000"/>
        </w:rPr>
        <w:t>o</w:t>
      </w:r>
      <w:r w:rsidRPr="00E64FF2">
        <w:rPr>
          <w:bCs/>
          <w:color w:val="000000"/>
        </w:rPr>
        <w:t xml:space="preserve">f Aquatic Biology </w:t>
      </w:r>
      <w:r w:rsidR="00923932" w:rsidRPr="00E64FF2">
        <w:rPr>
          <w:bCs/>
          <w:color w:val="000000"/>
        </w:rPr>
        <w:t>a</w:t>
      </w:r>
      <w:r w:rsidRPr="00E64FF2">
        <w:rPr>
          <w:bCs/>
          <w:color w:val="000000"/>
        </w:rPr>
        <w:t xml:space="preserve">nd Fisheries, 25(2), 103 - 115. </w:t>
      </w:r>
      <w:hyperlink r:id="rId22" w:history="1">
        <w:r w:rsidR="005940F3" w:rsidRPr="00E64FF2">
          <w:rPr>
            <w:rStyle w:val="Hyperlink"/>
            <w:bCs/>
          </w:rPr>
          <w:t>https://doi.org/10.21608/Ejabf.2021.158705</w:t>
        </w:r>
      </w:hyperlink>
    </w:p>
    <w:p w14:paraId="42C9E4A1" w14:textId="0F8521CC" w:rsidR="00503BB3" w:rsidRPr="00E64FF2" w:rsidRDefault="00503BB3" w:rsidP="00E64FF2">
      <w:pPr>
        <w:pStyle w:val="ListParagraph"/>
        <w:numPr>
          <w:ilvl w:val="0"/>
          <w:numId w:val="32"/>
        </w:numPr>
        <w:jc w:val="both"/>
        <w:rPr>
          <w:color w:val="222222"/>
          <w:shd w:val="clear" w:color="auto" w:fill="FFFFFF"/>
          <w:lang w:val="sv-SE"/>
        </w:rPr>
      </w:pPr>
      <w:proofErr w:type="spellStart"/>
      <w:r w:rsidRPr="00E64FF2">
        <w:rPr>
          <w:color w:val="222222"/>
          <w:shd w:val="clear" w:color="auto" w:fill="FFFFFF"/>
        </w:rPr>
        <w:lastRenderedPageBreak/>
        <w:t>Alim</w:t>
      </w:r>
      <w:proofErr w:type="spellEnd"/>
      <w:r w:rsidRPr="00E64FF2">
        <w:rPr>
          <w:color w:val="222222"/>
          <w:shd w:val="clear" w:color="auto" w:fill="FFFFFF"/>
        </w:rPr>
        <w:t xml:space="preserve">, S., </w:t>
      </w:r>
      <w:proofErr w:type="spellStart"/>
      <w:r w:rsidRPr="00E64FF2">
        <w:rPr>
          <w:color w:val="222222"/>
          <w:shd w:val="clear" w:color="auto" w:fill="FFFFFF"/>
        </w:rPr>
        <w:t>Marzuki</w:t>
      </w:r>
      <w:proofErr w:type="spellEnd"/>
      <w:r w:rsidRPr="00E64FF2">
        <w:rPr>
          <w:color w:val="222222"/>
          <w:shd w:val="clear" w:color="auto" w:fill="FFFFFF"/>
        </w:rPr>
        <w:t xml:space="preserve">, M., &amp; </w:t>
      </w:r>
      <w:proofErr w:type="spellStart"/>
      <w:r w:rsidRPr="00E64FF2">
        <w:rPr>
          <w:color w:val="222222"/>
          <w:shd w:val="clear" w:color="auto" w:fill="FFFFFF"/>
        </w:rPr>
        <w:t>Nuryadi</w:t>
      </w:r>
      <w:proofErr w:type="spellEnd"/>
      <w:r w:rsidRPr="00E64FF2">
        <w:rPr>
          <w:color w:val="222222"/>
          <w:shd w:val="clear" w:color="auto" w:fill="FFFFFF"/>
        </w:rPr>
        <w:t xml:space="preserve">, R. (2023). Analysis Existing Conditions of Octopus (Octopus vulgaris) in </w:t>
      </w:r>
      <w:proofErr w:type="spellStart"/>
      <w:r w:rsidRPr="00E64FF2">
        <w:rPr>
          <w:color w:val="222222"/>
          <w:shd w:val="clear" w:color="auto" w:fill="FFFFFF"/>
        </w:rPr>
        <w:t>Pandanan</w:t>
      </w:r>
      <w:proofErr w:type="spellEnd"/>
      <w:r w:rsidRPr="00E64FF2">
        <w:rPr>
          <w:color w:val="222222"/>
          <w:shd w:val="clear" w:color="auto" w:fill="FFFFFF"/>
        </w:rPr>
        <w:t xml:space="preserve"> Beach, </w:t>
      </w:r>
      <w:proofErr w:type="spellStart"/>
      <w:r w:rsidRPr="00E64FF2">
        <w:rPr>
          <w:color w:val="222222"/>
          <w:shd w:val="clear" w:color="auto" w:fill="FFFFFF"/>
        </w:rPr>
        <w:t>Malaka</w:t>
      </w:r>
      <w:proofErr w:type="spellEnd"/>
      <w:r w:rsidRPr="00E64FF2">
        <w:rPr>
          <w:color w:val="222222"/>
          <w:shd w:val="clear" w:color="auto" w:fill="FFFFFF"/>
        </w:rPr>
        <w:t xml:space="preserve"> Village, North Lombok. </w:t>
      </w:r>
      <w:r w:rsidRPr="00E64FF2">
        <w:rPr>
          <w:color w:val="222222"/>
          <w:shd w:val="clear" w:color="auto" w:fill="FFFFFF"/>
          <w:lang w:val="sv-SE"/>
        </w:rPr>
        <w:t xml:space="preserve">Jurnal Biologi Tropis, 23(2), 535–542. </w:t>
      </w:r>
      <w:r w:rsidR="00915F86">
        <w:fldChar w:fldCharType="begin"/>
      </w:r>
      <w:r w:rsidR="00915F86">
        <w:instrText xml:space="preserve"> HYPERLINK "https://doi.org/10.29303/jbt.v23i2.5278" </w:instrText>
      </w:r>
      <w:r w:rsidR="00915F86">
        <w:fldChar w:fldCharType="separate"/>
      </w:r>
      <w:r w:rsidRPr="00E64FF2">
        <w:rPr>
          <w:rStyle w:val="Hyperlink"/>
          <w:shd w:val="clear" w:color="auto" w:fill="FFFFFF"/>
          <w:lang w:val="sv-SE"/>
        </w:rPr>
        <w:t>https://doi.org/10.29303/jbt.v23i2.5278</w:t>
      </w:r>
      <w:r w:rsidR="00915F86" w:rsidRPr="00E64FF2">
        <w:rPr>
          <w:rStyle w:val="Hyperlink"/>
          <w:shd w:val="clear" w:color="auto" w:fill="FFFFFF"/>
          <w:lang w:val="sv-SE"/>
        </w:rPr>
        <w:fldChar w:fldCharType="end"/>
      </w:r>
    </w:p>
    <w:p w14:paraId="0220C6BA" w14:textId="5AD875D2" w:rsidR="0067624C" w:rsidRPr="00E64FF2" w:rsidRDefault="0067624C" w:rsidP="00E64FF2">
      <w:pPr>
        <w:pStyle w:val="ListParagraph"/>
        <w:numPr>
          <w:ilvl w:val="0"/>
          <w:numId w:val="32"/>
        </w:numPr>
        <w:jc w:val="both"/>
        <w:rPr>
          <w:lang w:val="sv-SE"/>
        </w:rPr>
      </w:pPr>
      <w:r w:rsidRPr="00E64FF2">
        <w:rPr>
          <w:color w:val="222222"/>
          <w:shd w:val="clear" w:color="auto" w:fill="FFFFFF"/>
          <w:lang w:val="sv-SE"/>
        </w:rPr>
        <w:t xml:space="preserve">Amir, F., Mallawa, A., &amp; Umar, M. T. (2021). </w:t>
      </w:r>
      <w:r>
        <w:t>Growth pattern and sex ratio of octopus (</w:t>
      </w:r>
      <w:r>
        <w:rPr>
          <w:rStyle w:val="Emphasis"/>
        </w:rPr>
        <w:t>Octopus vulgaris</w:t>
      </w:r>
      <w:r>
        <w:t>) in Bone Bay</w:t>
      </w:r>
      <w:r w:rsidRPr="00E64FF2">
        <w:rPr>
          <w:color w:val="222222"/>
          <w:shd w:val="clear" w:color="auto" w:fill="FFFFFF"/>
        </w:rPr>
        <w:t>. </w:t>
      </w:r>
      <w:r w:rsidRPr="00E64FF2">
        <w:rPr>
          <w:color w:val="222222"/>
          <w:shd w:val="clear" w:color="auto" w:fill="FFFFFF"/>
          <w:lang w:val="sv-SE"/>
        </w:rPr>
        <w:t xml:space="preserve">Jurnal Ilmiah </w:t>
      </w:r>
      <w:r w:rsidR="00923932" w:rsidRPr="00E64FF2">
        <w:rPr>
          <w:color w:val="222222"/>
          <w:shd w:val="clear" w:color="auto" w:fill="FFFFFF"/>
          <w:lang w:val="sv-SE"/>
        </w:rPr>
        <w:t>A</w:t>
      </w:r>
      <w:r w:rsidRPr="00E64FF2">
        <w:rPr>
          <w:color w:val="222222"/>
          <w:shd w:val="clear" w:color="auto" w:fill="FFFFFF"/>
          <w:lang w:val="sv-SE"/>
        </w:rPr>
        <w:t xml:space="preserve">gribisnis dan Perikanan, 14(2), </w:t>
      </w:r>
      <w:r w:rsidRPr="00E64FF2">
        <w:rPr>
          <w:lang w:val="sv-SE"/>
        </w:rPr>
        <w:t>527-532.</w:t>
      </w:r>
      <w:r w:rsidR="006B0152" w:rsidRPr="00E64FF2">
        <w:rPr>
          <w:lang w:val="sv-SE"/>
        </w:rPr>
        <w:t xml:space="preserve"> </w:t>
      </w:r>
      <w:r w:rsidR="006B0152" w:rsidRPr="00E64FF2">
        <w:rPr>
          <w:rStyle w:val="Strong"/>
          <w:b w:val="0"/>
          <w:bCs w:val="0"/>
          <w:lang w:val="sv-SE"/>
        </w:rPr>
        <w:t>[In Bahasa Indonesia]</w:t>
      </w:r>
      <w:r w:rsidR="005940F3" w:rsidRPr="00E64FF2">
        <w:rPr>
          <w:rStyle w:val="Strong"/>
          <w:b w:val="0"/>
          <w:bCs w:val="0"/>
          <w:lang w:val="sv-SE"/>
        </w:rPr>
        <w:t>.</w:t>
      </w:r>
      <w:r w:rsidRPr="00E64FF2">
        <w:rPr>
          <w:rStyle w:val="Strong"/>
          <w:lang w:val="sv-SE"/>
        </w:rPr>
        <w:t xml:space="preserve"> </w:t>
      </w:r>
      <w:hyperlink r:id="rId23" w:history="1">
        <w:r w:rsidR="00503BB3" w:rsidRPr="00E64FF2">
          <w:rPr>
            <w:rStyle w:val="Hyperlink"/>
            <w:shd w:val="clear" w:color="auto" w:fill="FFFFFF"/>
            <w:lang w:val="sv-SE"/>
          </w:rPr>
          <w:t>http://pakdosen.unhas.ac.id/storage/dokumen/artikel-1686708162-873-Article%20Text-1636-2-10-20211114.pdf</w:t>
        </w:r>
      </w:hyperlink>
    </w:p>
    <w:p w14:paraId="714EFFC1" w14:textId="46CB2D8B" w:rsidR="00F63E3F" w:rsidRDefault="0067624C" w:rsidP="00E64FF2">
      <w:pPr>
        <w:pStyle w:val="ListParagraph"/>
        <w:numPr>
          <w:ilvl w:val="0"/>
          <w:numId w:val="32"/>
        </w:numPr>
        <w:pBdr>
          <w:top w:val="nil"/>
          <w:left w:val="nil"/>
          <w:bottom w:val="nil"/>
          <w:right w:val="nil"/>
          <w:between w:val="nil"/>
        </w:pBdr>
        <w:jc w:val="both"/>
      </w:pPr>
      <w:r w:rsidRPr="00E64FF2">
        <w:rPr>
          <w:color w:val="222222"/>
          <w:shd w:val="clear" w:color="auto" w:fill="FFFFFF"/>
          <w:lang w:val="sv-SE"/>
        </w:rPr>
        <w:t xml:space="preserve">Omar, S. B. A., Safitri, A. R. D., Rahmadhani, A., Tresnati, J., Suwarni, S., Umar, M. T., &amp; Kaseng, E. S. (2020). </w:t>
      </w:r>
      <w:r>
        <w:t xml:space="preserve">Relative growth of octopus, </w:t>
      </w:r>
      <w:r>
        <w:rPr>
          <w:rStyle w:val="Emphasis"/>
        </w:rPr>
        <w:t xml:space="preserve">Octopus </w:t>
      </w:r>
      <w:proofErr w:type="spellStart"/>
      <w:r>
        <w:rPr>
          <w:rStyle w:val="Emphasis"/>
        </w:rPr>
        <w:t>cyanea</w:t>
      </w:r>
      <w:proofErr w:type="spellEnd"/>
      <w:r>
        <w:t xml:space="preserve"> Gray, 1849, in the Makassar Strait and Bone Bay waters. </w:t>
      </w:r>
      <w:r w:rsidRPr="00E64FF2">
        <w:rPr>
          <w:rStyle w:val="Emphasis"/>
          <w:i w:val="0"/>
          <w:iCs w:val="0"/>
        </w:rPr>
        <w:t>Proceedings of the National Symposium on Marine and Fisheries</w:t>
      </w:r>
      <w:r w:rsidRPr="00E64FF2">
        <w:rPr>
          <w:i/>
          <w:iCs/>
        </w:rPr>
        <w:t>,</w:t>
      </w:r>
      <w:r>
        <w:t xml:space="preserve"> 7</w:t>
      </w:r>
      <w:r w:rsidR="000E39B1">
        <w:t>. [In Bahasa Indonesia]</w:t>
      </w:r>
      <w:r w:rsidR="00923932">
        <w:t>.</w:t>
      </w:r>
      <w:r w:rsidR="000E39B1">
        <w:t xml:space="preserve"> </w:t>
      </w:r>
    </w:p>
    <w:p w14:paraId="57E58311" w14:textId="4D32B31A" w:rsidR="00F63E3F" w:rsidRPr="00E64FF2" w:rsidRDefault="0067624C" w:rsidP="00E64FF2">
      <w:pPr>
        <w:pStyle w:val="ListParagraph"/>
        <w:numPr>
          <w:ilvl w:val="0"/>
          <w:numId w:val="32"/>
        </w:numPr>
        <w:jc w:val="both"/>
        <w:rPr>
          <w:color w:val="222222"/>
          <w:shd w:val="clear" w:color="auto" w:fill="FFFFFF"/>
        </w:rPr>
      </w:pPr>
      <w:r w:rsidRPr="00E64FF2">
        <w:rPr>
          <w:color w:val="222222"/>
          <w:shd w:val="clear" w:color="auto" w:fill="FFFFFF"/>
        </w:rPr>
        <w:t xml:space="preserve">Avila-Poveda, O. H., Colin-Flores, R. F., &amp; Rosas, C. (2009). </w:t>
      </w:r>
      <w:r>
        <w:t xml:space="preserve">Gonad development during the early life of </w:t>
      </w:r>
      <w:r>
        <w:rPr>
          <w:rStyle w:val="Emphasis"/>
        </w:rPr>
        <w:t xml:space="preserve">Octopus </w:t>
      </w:r>
      <w:proofErr w:type="spellStart"/>
      <w:r>
        <w:rPr>
          <w:rStyle w:val="Emphasis"/>
        </w:rPr>
        <w:t>maya</w:t>
      </w:r>
      <w:proofErr w:type="spellEnd"/>
      <w:r>
        <w:t xml:space="preserve"> (Mollusca: Cephalopoda)</w:t>
      </w:r>
      <w:r w:rsidRPr="00E64FF2">
        <w:rPr>
          <w:color w:val="222222"/>
          <w:shd w:val="clear" w:color="auto" w:fill="FFFFFF"/>
        </w:rPr>
        <w:t xml:space="preserve">. The Biological Bulletin, 216(1), 94-102. </w:t>
      </w:r>
      <w:hyperlink r:id="rId24" w:history="1">
        <w:r w:rsidRPr="00E64FF2">
          <w:rPr>
            <w:rStyle w:val="Hyperlink"/>
            <w:shd w:val="clear" w:color="auto" w:fill="FFFFFF"/>
          </w:rPr>
          <w:t>https://doi.org/10.1086/BBLv216n1p94</w:t>
        </w:r>
      </w:hyperlink>
      <w:r w:rsidR="00923932">
        <w:t>.</w:t>
      </w:r>
      <w:r w:rsidRPr="00E64FF2">
        <w:rPr>
          <w:color w:val="222222"/>
          <w:shd w:val="clear" w:color="auto" w:fill="FFFFFF"/>
        </w:rPr>
        <w:t xml:space="preserve"> </w:t>
      </w:r>
      <w:r w:rsidR="002F40CD" w:rsidRPr="00E64FF2">
        <w:rPr>
          <w:color w:val="222222"/>
          <w:shd w:val="clear" w:color="auto" w:fill="FFFFFF"/>
        </w:rPr>
        <w:t xml:space="preserve"> </w:t>
      </w:r>
    </w:p>
    <w:p w14:paraId="1E0DAF9F" w14:textId="500A37DB" w:rsidR="00DD7E2D" w:rsidRDefault="00C05713" w:rsidP="00E64FF2">
      <w:pPr>
        <w:pStyle w:val="ListParagraph"/>
        <w:numPr>
          <w:ilvl w:val="0"/>
          <w:numId w:val="32"/>
        </w:numPr>
        <w:pBdr>
          <w:top w:val="nil"/>
          <w:left w:val="nil"/>
          <w:bottom w:val="nil"/>
          <w:right w:val="nil"/>
          <w:between w:val="nil"/>
        </w:pBdr>
        <w:jc w:val="both"/>
      </w:pPr>
      <w:proofErr w:type="spellStart"/>
      <w:r>
        <w:t>Balansada</w:t>
      </w:r>
      <w:proofErr w:type="spellEnd"/>
      <w:r>
        <w:t xml:space="preserve">, A. R., </w:t>
      </w:r>
      <w:proofErr w:type="spellStart"/>
      <w:r>
        <w:t>Ompi</w:t>
      </w:r>
      <w:proofErr w:type="spellEnd"/>
      <w:r>
        <w:t xml:space="preserve">, M., &amp; </w:t>
      </w:r>
      <w:proofErr w:type="spellStart"/>
      <w:r>
        <w:t>Lumoindong</w:t>
      </w:r>
      <w:proofErr w:type="spellEnd"/>
      <w:r>
        <w:t xml:space="preserve">, F. (2019). Identification and habitat of octopus (Cephalopoda) from </w:t>
      </w:r>
      <w:proofErr w:type="spellStart"/>
      <w:r>
        <w:t>Salibabu</w:t>
      </w:r>
      <w:proofErr w:type="spellEnd"/>
      <w:r>
        <w:t xml:space="preserve"> waters, Talaud Islands Regency. </w:t>
      </w:r>
      <w:proofErr w:type="spellStart"/>
      <w:r w:rsidRPr="00E64FF2">
        <w:rPr>
          <w:rStyle w:val="Emphasis"/>
          <w:i w:val="0"/>
          <w:iCs w:val="0"/>
        </w:rPr>
        <w:t>Jurnal</w:t>
      </w:r>
      <w:proofErr w:type="spellEnd"/>
      <w:r w:rsidRPr="00E64FF2">
        <w:rPr>
          <w:rStyle w:val="Emphasis"/>
          <w:i w:val="0"/>
          <w:iCs w:val="0"/>
        </w:rPr>
        <w:t xml:space="preserve"> </w:t>
      </w:r>
      <w:proofErr w:type="spellStart"/>
      <w:r w:rsidRPr="00E64FF2">
        <w:rPr>
          <w:rStyle w:val="Emphasis"/>
          <w:i w:val="0"/>
          <w:iCs w:val="0"/>
        </w:rPr>
        <w:t>Pesisir</w:t>
      </w:r>
      <w:proofErr w:type="spellEnd"/>
      <w:r w:rsidRPr="00E64FF2">
        <w:rPr>
          <w:rStyle w:val="Emphasis"/>
          <w:i w:val="0"/>
          <w:iCs w:val="0"/>
        </w:rPr>
        <w:t xml:space="preserve"> dan </w:t>
      </w:r>
      <w:proofErr w:type="spellStart"/>
      <w:r w:rsidRPr="00E64FF2">
        <w:rPr>
          <w:rStyle w:val="Emphasis"/>
          <w:i w:val="0"/>
          <w:iCs w:val="0"/>
        </w:rPr>
        <w:t>Laut</w:t>
      </w:r>
      <w:proofErr w:type="spellEnd"/>
      <w:r w:rsidRPr="00E64FF2">
        <w:rPr>
          <w:rStyle w:val="Emphasis"/>
          <w:i w:val="0"/>
          <w:iCs w:val="0"/>
        </w:rPr>
        <w:t xml:space="preserve"> </w:t>
      </w:r>
      <w:proofErr w:type="spellStart"/>
      <w:r w:rsidRPr="00E64FF2">
        <w:rPr>
          <w:rStyle w:val="Emphasis"/>
          <w:i w:val="0"/>
          <w:iCs w:val="0"/>
        </w:rPr>
        <w:t>Tropis</w:t>
      </w:r>
      <w:proofErr w:type="spellEnd"/>
      <w:r w:rsidRPr="00E64FF2">
        <w:rPr>
          <w:rStyle w:val="Emphasis"/>
          <w:i w:val="0"/>
          <w:iCs w:val="0"/>
        </w:rPr>
        <w:t>, 7</w:t>
      </w:r>
      <w:r>
        <w:t>(3), 247–255.</w:t>
      </w:r>
      <w:r w:rsidR="000B4AEA">
        <w:t xml:space="preserve"> </w:t>
      </w:r>
      <w:r w:rsidRPr="00E64FF2">
        <w:rPr>
          <w:rStyle w:val="Strong"/>
          <w:b w:val="0"/>
          <w:bCs w:val="0"/>
        </w:rPr>
        <w:t>[In Bahasa Indonesia]</w:t>
      </w:r>
      <w:r w:rsidR="00923932" w:rsidRPr="00E64FF2">
        <w:rPr>
          <w:rStyle w:val="Strong"/>
          <w:b w:val="0"/>
          <w:bCs w:val="0"/>
        </w:rPr>
        <w:t>.</w:t>
      </w:r>
      <w:r>
        <w:rPr>
          <w:rStyle w:val="Strong"/>
        </w:rPr>
        <w:t xml:space="preserve"> </w:t>
      </w:r>
      <w:hyperlink r:id="rId25" w:history="1">
        <w:r w:rsidR="00B626D7" w:rsidRPr="00E64FF2">
          <w:rPr>
            <w:rStyle w:val="Hyperlink"/>
            <w:bCs/>
          </w:rPr>
          <w:t>https://doi.org/10.35800/Jplt.7.3.2019.24742</w:t>
        </w:r>
      </w:hyperlink>
      <w:r w:rsidR="00DD7E2D">
        <w:t>.</w:t>
      </w:r>
    </w:p>
    <w:p w14:paraId="330DA6D9" w14:textId="349A4E48" w:rsidR="00DD7E2D" w:rsidRPr="00E64FF2" w:rsidRDefault="00DD7E2D" w:rsidP="00E64FF2">
      <w:pPr>
        <w:pStyle w:val="ListParagraph"/>
        <w:numPr>
          <w:ilvl w:val="0"/>
          <w:numId w:val="32"/>
        </w:numPr>
        <w:pBdr>
          <w:top w:val="nil"/>
          <w:left w:val="nil"/>
          <w:bottom w:val="nil"/>
          <w:right w:val="nil"/>
          <w:between w:val="nil"/>
        </w:pBdr>
        <w:jc w:val="both"/>
        <w:rPr>
          <w:lang w:val="sv-SE"/>
        </w:rPr>
      </w:pPr>
      <w:r w:rsidRPr="00E64FF2">
        <w:rPr>
          <w:bCs/>
          <w:color w:val="000000"/>
        </w:rPr>
        <w:t>Ben</w:t>
      </w:r>
      <w:r w:rsidRPr="00E64FF2">
        <w:rPr>
          <w:rFonts w:ascii="Cambria Math" w:hAnsi="Cambria Math" w:cs="Cambria Math"/>
          <w:bCs/>
          <w:color w:val="000000"/>
        </w:rPr>
        <w:t>‐</w:t>
      </w:r>
      <w:r w:rsidRPr="00E64FF2">
        <w:rPr>
          <w:bCs/>
          <w:color w:val="000000"/>
        </w:rPr>
        <w:t xml:space="preserve">Hasan, A., Walters, C., </w:t>
      </w:r>
      <w:proofErr w:type="spellStart"/>
      <w:r w:rsidRPr="00E64FF2">
        <w:rPr>
          <w:bCs/>
          <w:color w:val="000000"/>
        </w:rPr>
        <w:t>Hordyk</w:t>
      </w:r>
      <w:proofErr w:type="spellEnd"/>
      <w:r w:rsidRPr="00E64FF2">
        <w:rPr>
          <w:bCs/>
          <w:color w:val="000000"/>
        </w:rPr>
        <w:t>, A., Christensen, V., &amp; Al</w:t>
      </w:r>
      <w:r w:rsidRPr="00E64FF2">
        <w:rPr>
          <w:rFonts w:ascii="Cambria Math" w:hAnsi="Cambria Math" w:cs="Cambria Math"/>
          <w:bCs/>
          <w:color w:val="000000"/>
        </w:rPr>
        <w:t>‐</w:t>
      </w:r>
      <w:proofErr w:type="spellStart"/>
      <w:r w:rsidRPr="00E64FF2">
        <w:rPr>
          <w:bCs/>
          <w:color w:val="000000"/>
        </w:rPr>
        <w:t>Husaini</w:t>
      </w:r>
      <w:proofErr w:type="spellEnd"/>
      <w:r w:rsidRPr="00E64FF2">
        <w:rPr>
          <w:bCs/>
          <w:color w:val="000000"/>
        </w:rPr>
        <w:t>, M. (2021). Alleviating growth and recruitment overfishing through simple management changes: insights from an overexploited long</w:t>
      </w:r>
      <w:r w:rsidRPr="00E64FF2">
        <w:rPr>
          <w:rFonts w:ascii="Cambria Math" w:hAnsi="Cambria Math" w:cs="Cambria Math"/>
          <w:bCs/>
          <w:color w:val="000000"/>
        </w:rPr>
        <w:t>‐</w:t>
      </w:r>
      <w:r w:rsidRPr="00E64FF2">
        <w:rPr>
          <w:bCs/>
          <w:color w:val="000000"/>
        </w:rPr>
        <w:t xml:space="preserve">lived fish. </w:t>
      </w:r>
      <w:r w:rsidRPr="00E64FF2">
        <w:rPr>
          <w:bCs/>
          <w:color w:val="000000"/>
          <w:lang w:val="sv-SE"/>
        </w:rPr>
        <w:t xml:space="preserve">Marine and Coastal Fisheries, 13(2), 87-98. </w:t>
      </w:r>
      <w:hyperlink r:id="rId26" w:history="1">
        <w:r w:rsidRPr="00E64FF2">
          <w:rPr>
            <w:rStyle w:val="Hyperlink"/>
            <w:bCs/>
            <w:lang w:val="sv-SE"/>
          </w:rPr>
          <w:t>https://doi.org/10.1002/mcf2.10140</w:t>
        </w:r>
      </w:hyperlink>
      <w:r w:rsidRPr="00E64FF2">
        <w:rPr>
          <w:bCs/>
          <w:color w:val="000000"/>
          <w:lang w:val="sv-SE"/>
        </w:rPr>
        <w:t xml:space="preserve"> </w:t>
      </w:r>
    </w:p>
    <w:p w14:paraId="200DEC77" w14:textId="56C83BB2" w:rsidR="00503BB3" w:rsidRPr="00E64FF2" w:rsidRDefault="00503BB3" w:rsidP="00E64FF2">
      <w:pPr>
        <w:pStyle w:val="ListParagraph"/>
        <w:numPr>
          <w:ilvl w:val="0"/>
          <w:numId w:val="32"/>
        </w:numPr>
        <w:pBdr>
          <w:top w:val="nil"/>
          <w:left w:val="nil"/>
          <w:bottom w:val="nil"/>
          <w:right w:val="nil"/>
          <w:between w:val="nil"/>
        </w:pBdr>
        <w:jc w:val="both"/>
        <w:rPr>
          <w:bCs/>
          <w:color w:val="000000"/>
        </w:rPr>
      </w:pPr>
      <w:bookmarkStart w:id="3" w:name="_Hlk222303512"/>
      <w:r w:rsidRPr="00E64FF2">
        <w:rPr>
          <w:bCs/>
          <w:color w:val="000000"/>
          <w:lang w:val="sv-SE"/>
        </w:rPr>
        <w:t xml:space="preserve">Dinas Kelautan dan Perikanan Provinsi Nusa Tenggara Barat (Dislutkan NTB). </w:t>
      </w:r>
      <w:r w:rsidRPr="00E64FF2">
        <w:rPr>
          <w:bCs/>
          <w:color w:val="000000"/>
        </w:rPr>
        <w:t xml:space="preserve">(2023). Capture fisheries statistics. </w:t>
      </w:r>
      <w:proofErr w:type="spellStart"/>
      <w:r w:rsidRPr="00E64FF2">
        <w:rPr>
          <w:bCs/>
          <w:color w:val="000000"/>
        </w:rPr>
        <w:t>Mataram</w:t>
      </w:r>
      <w:proofErr w:type="spellEnd"/>
      <w:r w:rsidRPr="00E64FF2">
        <w:rPr>
          <w:bCs/>
          <w:color w:val="000000"/>
        </w:rPr>
        <w:t xml:space="preserve">: </w:t>
      </w:r>
      <w:proofErr w:type="spellStart"/>
      <w:r w:rsidRPr="00E64FF2">
        <w:rPr>
          <w:bCs/>
          <w:color w:val="000000"/>
        </w:rPr>
        <w:t>Dislutkan</w:t>
      </w:r>
      <w:proofErr w:type="spellEnd"/>
      <w:r w:rsidRPr="00E64FF2">
        <w:rPr>
          <w:bCs/>
          <w:color w:val="000000"/>
        </w:rPr>
        <w:t xml:space="preserve"> NTB. </w:t>
      </w:r>
      <w:bookmarkEnd w:id="3"/>
    </w:p>
    <w:p w14:paraId="5E5CB0D0" w14:textId="5B81DBA7" w:rsidR="00D02E8A" w:rsidRPr="00E64FF2" w:rsidRDefault="00D02E8A" w:rsidP="00E64FF2">
      <w:pPr>
        <w:pStyle w:val="ListParagraph"/>
        <w:numPr>
          <w:ilvl w:val="0"/>
          <w:numId w:val="32"/>
        </w:numPr>
        <w:pBdr>
          <w:top w:val="nil"/>
          <w:left w:val="nil"/>
          <w:bottom w:val="nil"/>
          <w:right w:val="nil"/>
          <w:between w:val="nil"/>
        </w:pBdr>
        <w:jc w:val="both"/>
        <w:rPr>
          <w:bCs/>
          <w:color w:val="000000"/>
        </w:rPr>
      </w:pPr>
      <w:proofErr w:type="spellStart"/>
      <w:r w:rsidRPr="00E64FF2">
        <w:rPr>
          <w:bCs/>
          <w:color w:val="000000"/>
        </w:rPr>
        <w:t>Diniariwisan</w:t>
      </w:r>
      <w:proofErr w:type="spellEnd"/>
      <w:r w:rsidRPr="00E64FF2">
        <w:rPr>
          <w:bCs/>
          <w:color w:val="000000"/>
        </w:rPr>
        <w:t xml:space="preserve">, D., </w:t>
      </w:r>
      <w:proofErr w:type="spellStart"/>
      <w:r w:rsidRPr="00E64FF2">
        <w:rPr>
          <w:bCs/>
          <w:color w:val="000000"/>
        </w:rPr>
        <w:t>Marzuki</w:t>
      </w:r>
      <w:proofErr w:type="spellEnd"/>
      <w:r w:rsidRPr="00E64FF2">
        <w:rPr>
          <w:bCs/>
          <w:color w:val="000000"/>
        </w:rPr>
        <w:t xml:space="preserve">, M., &amp; </w:t>
      </w:r>
      <w:proofErr w:type="spellStart"/>
      <w:r w:rsidRPr="00E64FF2">
        <w:rPr>
          <w:bCs/>
          <w:color w:val="000000"/>
        </w:rPr>
        <w:t>Lestariningsih</w:t>
      </w:r>
      <w:proofErr w:type="spellEnd"/>
      <w:r w:rsidRPr="00E64FF2">
        <w:rPr>
          <w:bCs/>
          <w:color w:val="000000"/>
        </w:rPr>
        <w:t xml:space="preserve">, W. A. (2023). </w:t>
      </w:r>
      <w:r w:rsidR="00C741C7">
        <w:t xml:space="preserve">Identification of biological dimensions of octopus in </w:t>
      </w:r>
      <w:proofErr w:type="spellStart"/>
      <w:r w:rsidR="00C741C7">
        <w:t>Ketapang</w:t>
      </w:r>
      <w:proofErr w:type="spellEnd"/>
      <w:r w:rsidR="00C741C7">
        <w:t xml:space="preserve"> Beach, East Lombok, for sustainable fisheries management</w:t>
      </w:r>
      <w:r w:rsidRPr="00E64FF2">
        <w:rPr>
          <w:bCs/>
          <w:color w:val="000000"/>
        </w:rPr>
        <w:t xml:space="preserve">. </w:t>
      </w:r>
      <w:proofErr w:type="spellStart"/>
      <w:r w:rsidRPr="00E64FF2">
        <w:rPr>
          <w:bCs/>
          <w:color w:val="000000"/>
        </w:rPr>
        <w:t>Jurnal</w:t>
      </w:r>
      <w:proofErr w:type="spellEnd"/>
      <w:r w:rsidRPr="00E64FF2">
        <w:rPr>
          <w:bCs/>
          <w:color w:val="000000"/>
        </w:rPr>
        <w:t xml:space="preserve"> </w:t>
      </w:r>
      <w:proofErr w:type="spellStart"/>
      <w:r w:rsidRPr="00E64FF2">
        <w:rPr>
          <w:bCs/>
          <w:color w:val="000000"/>
        </w:rPr>
        <w:t>Ganec</w:t>
      </w:r>
      <w:proofErr w:type="spellEnd"/>
      <w:r w:rsidRPr="00E64FF2">
        <w:rPr>
          <w:bCs/>
          <w:color w:val="000000"/>
        </w:rPr>
        <w:t xml:space="preserve"> </w:t>
      </w:r>
      <w:proofErr w:type="spellStart"/>
      <w:r w:rsidRPr="00E64FF2">
        <w:rPr>
          <w:bCs/>
          <w:color w:val="000000"/>
        </w:rPr>
        <w:t>Swara</w:t>
      </w:r>
      <w:proofErr w:type="spellEnd"/>
      <w:r w:rsidR="00B626D7" w:rsidRPr="00E64FF2">
        <w:rPr>
          <w:bCs/>
          <w:color w:val="000000"/>
        </w:rPr>
        <w:t xml:space="preserve">, </w:t>
      </w:r>
      <w:r w:rsidRPr="00E64FF2">
        <w:rPr>
          <w:bCs/>
          <w:color w:val="000000"/>
        </w:rPr>
        <w:t>17(4)</w:t>
      </w:r>
      <w:r w:rsidR="00251AE1" w:rsidRPr="00E64FF2">
        <w:rPr>
          <w:bCs/>
          <w:color w:val="000000"/>
        </w:rPr>
        <w:t>, 1308-1312</w:t>
      </w:r>
      <w:r w:rsidRPr="00E64FF2">
        <w:rPr>
          <w:bCs/>
          <w:color w:val="000000"/>
        </w:rPr>
        <w:t>.</w:t>
      </w:r>
      <w:r w:rsidR="000B4AEA" w:rsidRPr="000B4AEA">
        <w:t xml:space="preserve"> </w:t>
      </w:r>
      <w:r w:rsidR="000B4AEA" w:rsidRPr="00E64FF2">
        <w:rPr>
          <w:bCs/>
          <w:color w:val="000000"/>
        </w:rPr>
        <w:t>[In Bahasa Indonesia]</w:t>
      </w:r>
      <w:r w:rsidR="00923932" w:rsidRPr="00E64FF2">
        <w:rPr>
          <w:bCs/>
          <w:color w:val="000000"/>
        </w:rPr>
        <w:t xml:space="preserve">. </w:t>
      </w:r>
      <w:hyperlink r:id="rId27" w:history="1">
        <w:r w:rsidR="00F5564F" w:rsidRPr="00E64FF2">
          <w:rPr>
            <w:rStyle w:val="Hyperlink"/>
            <w:bCs/>
          </w:rPr>
          <w:t>https://pdfs.semanticscholar.org/03af/93821928d801023a794c1fb224ac44a4c142.pdf</w:t>
        </w:r>
      </w:hyperlink>
      <w:r w:rsidR="00923932">
        <w:t>.</w:t>
      </w:r>
      <w:r w:rsidR="00F5564F" w:rsidRPr="00E64FF2">
        <w:rPr>
          <w:bCs/>
          <w:color w:val="000000"/>
        </w:rPr>
        <w:t xml:space="preserve"> </w:t>
      </w:r>
    </w:p>
    <w:p w14:paraId="559994BF" w14:textId="667AC416" w:rsidR="00CB20FA" w:rsidRPr="00E64FF2" w:rsidRDefault="00D02E8A" w:rsidP="00E64FF2">
      <w:pPr>
        <w:pStyle w:val="ListParagraph"/>
        <w:numPr>
          <w:ilvl w:val="0"/>
          <w:numId w:val="32"/>
        </w:numPr>
        <w:pBdr>
          <w:top w:val="nil"/>
          <w:left w:val="nil"/>
          <w:bottom w:val="nil"/>
          <w:right w:val="nil"/>
          <w:between w:val="nil"/>
        </w:pBdr>
        <w:spacing w:line="360" w:lineRule="auto"/>
        <w:jc w:val="both"/>
        <w:rPr>
          <w:bCs/>
          <w:color w:val="000000"/>
        </w:rPr>
      </w:pPr>
      <w:r w:rsidRPr="00E64FF2">
        <w:rPr>
          <w:bCs/>
          <w:color w:val="000000"/>
          <w:lang w:val="sv-SE"/>
        </w:rPr>
        <w:t xml:space="preserve">Forum Ilmiah Pengelolaan Perikanan Berkelanjutan Provinsi Nusa Tenggara Barat (FIP2B-NTB). </w:t>
      </w:r>
      <w:r w:rsidRPr="00E64FF2">
        <w:rPr>
          <w:bCs/>
          <w:color w:val="000000"/>
        </w:rPr>
        <w:t xml:space="preserve">(2022). </w:t>
      </w:r>
      <w:r w:rsidR="005F6CC2" w:rsidRPr="00E64FF2">
        <w:rPr>
          <w:rStyle w:val="Emphasis"/>
          <w:i w:val="0"/>
          <w:iCs w:val="0"/>
        </w:rPr>
        <w:t>Ecological database of West Nusa Tenggara Province</w:t>
      </w:r>
      <w:r w:rsidR="005F6CC2">
        <w:t>. FIP2B-NTB.</w:t>
      </w:r>
    </w:p>
    <w:p w14:paraId="48F8BBC2" w14:textId="3B934558" w:rsidR="001344F5" w:rsidRPr="00CB20FA" w:rsidRDefault="001344F5" w:rsidP="00E64FF2">
      <w:pPr>
        <w:pStyle w:val="ListParagraph"/>
        <w:numPr>
          <w:ilvl w:val="0"/>
          <w:numId w:val="32"/>
        </w:numPr>
        <w:pBdr>
          <w:top w:val="nil"/>
          <w:left w:val="nil"/>
          <w:bottom w:val="nil"/>
          <w:right w:val="nil"/>
          <w:between w:val="nil"/>
        </w:pBdr>
        <w:jc w:val="both"/>
      </w:pPr>
      <w:r w:rsidRPr="00E64FF2">
        <w:rPr>
          <w:color w:val="222222"/>
          <w:shd w:val="clear" w:color="auto" w:fill="FFFFFF"/>
        </w:rPr>
        <w:t xml:space="preserve">Guard, M., &amp; </w:t>
      </w:r>
      <w:proofErr w:type="spellStart"/>
      <w:r w:rsidRPr="00E64FF2">
        <w:rPr>
          <w:color w:val="222222"/>
          <w:shd w:val="clear" w:color="auto" w:fill="FFFFFF"/>
        </w:rPr>
        <w:t>Mgaya</w:t>
      </w:r>
      <w:proofErr w:type="spellEnd"/>
      <w:r w:rsidRPr="00E64FF2">
        <w:rPr>
          <w:color w:val="222222"/>
          <w:shd w:val="clear" w:color="auto" w:fill="FFFFFF"/>
        </w:rPr>
        <w:t xml:space="preserve">, Y. D. (2002). The artisanal fishery for </w:t>
      </w:r>
      <w:r w:rsidRPr="00E64FF2">
        <w:rPr>
          <w:i/>
          <w:iCs/>
          <w:color w:val="222222"/>
          <w:shd w:val="clear" w:color="auto" w:fill="FFFFFF"/>
        </w:rPr>
        <w:t xml:space="preserve">Octopus </w:t>
      </w:r>
      <w:proofErr w:type="spellStart"/>
      <w:r w:rsidRPr="00E64FF2">
        <w:rPr>
          <w:i/>
          <w:iCs/>
          <w:color w:val="222222"/>
          <w:shd w:val="clear" w:color="auto" w:fill="FFFFFF"/>
        </w:rPr>
        <w:t>cyanea</w:t>
      </w:r>
      <w:proofErr w:type="spellEnd"/>
      <w:r w:rsidRPr="00E64FF2">
        <w:rPr>
          <w:color w:val="222222"/>
          <w:shd w:val="clear" w:color="auto" w:fill="FFFFFF"/>
        </w:rPr>
        <w:t xml:space="preserve"> Gray in Tanzania. AMBIO:</w:t>
      </w:r>
      <w:r w:rsidRPr="00E64FF2">
        <w:rPr>
          <w:i/>
          <w:iCs/>
          <w:color w:val="222222"/>
          <w:shd w:val="clear" w:color="auto" w:fill="FFFFFF"/>
        </w:rPr>
        <w:t xml:space="preserve"> </w:t>
      </w:r>
      <w:r w:rsidRPr="00E64FF2">
        <w:rPr>
          <w:color w:val="222222"/>
          <w:shd w:val="clear" w:color="auto" w:fill="FFFFFF"/>
        </w:rPr>
        <w:t xml:space="preserve">Journal of the Human Environment, 31(7), 528-536. </w:t>
      </w:r>
      <w:hyperlink r:id="rId28" w:history="1">
        <w:r w:rsidRPr="00E64FF2">
          <w:rPr>
            <w:rStyle w:val="Hyperlink"/>
            <w:shd w:val="clear" w:color="auto" w:fill="FFFFFF"/>
          </w:rPr>
          <w:t>https://doi.org/10.1579/0044-7447-31.7.528</w:t>
        </w:r>
      </w:hyperlink>
      <w:r w:rsidR="00923932">
        <w:t>.</w:t>
      </w:r>
      <w:r w:rsidRPr="00E64FF2">
        <w:rPr>
          <w:color w:val="222222"/>
          <w:shd w:val="clear" w:color="auto" w:fill="FFFFFF"/>
        </w:rPr>
        <w:t xml:space="preserve"> </w:t>
      </w:r>
    </w:p>
    <w:p w14:paraId="322A1FD7" w14:textId="6966B8FD" w:rsidR="006B0152" w:rsidRPr="00E64FF2" w:rsidRDefault="006B0152" w:rsidP="00E64FF2">
      <w:pPr>
        <w:pStyle w:val="ListParagraph"/>
        <w:numPr>
          <w:ilvl w:val="0"/>
          <w:numId w:val="32"/>
        </w:numPr>
        <w:pBdr>
          <w:top w:val="nil"/>
          <w:left w:val="nil"/>
          <w:bottom w:val="nil"/>
          <w:right w:val="nil"/>
          <w:between w:val="nil"/>
        </w:pBdr>
        <w:jc w:val="both"/>
        <w:rPr>
          <w:bCs/>
          <w:color w:val="000000"/>
          <w:lang w:val="sv-SE"/>
        </w:rPr>
      </w:pPr>
      <w:r w:rsidRPr="00E64FF2">
        <w:rPr>
          <w:bCs/>
          <w:color w:val="000000"/>
          <w:lang w:val="sv-SE"/>
        </w:rPr>
        <w:t xml:space="preserve">Kalih, L. A. T. T. W. S. (2024). </w:t>
      </w:r>
      <w:r w:rsidRPr="00E64FF2">
        <w:rPr>
          <w:bCs/>
          <w:color w:val="000000"/>
        </w:rPr>
        <w:t xml:space="preserve">Population condition analysis and sustainability of </w:t>
      </w:r>
      <w:proofErr w:type="spellStart"/>
      <w:r w:rsidRPr="00E64FF2">
        <w:rPr>
          <w:bCs/>
          <w:color w:val="000000"/>
        </w:rPr>
        <w:t>lemuru</w:t>
      </w:r>
      <w:proofErr w:type="spellEnd"/>
      <w:r w:rsidRPr="00E64FF2">
        <w:rPr>
          <w:bCs/>
          <w:color w:val="000000"/>
        </w:rPr>
        <w:t xml:space="preserve"> (</w:t>
      </w:r>
      <w:r w:rsidRPr="00E64FF2">
        <w:rPr>
          <w:bCs/>
          <w:i/>
          <w:iCs/>
          <w:color w:val="000000"/>
        </w:rPr>
        <w:t xml:space="preserve">Sardinella </w:t>
      </w:r>
      <w:proofErr w:type="spellStart"/>
      <w:r w:rsidRPr="00E64FF2">
        <w:rPr>
          <w:bCs/>
          <w:i/>
          <w:iCs/>
          <w:color w:val="000000"/>
        </w:rPr>
        <w:t>lemuru</w:t>
      </w:r>
      <w:proofErr w:type="spellEnd"/>
      <w:r w:rsidRPr="00E64FF2">
        <w:rPr>
          <w:bCs/>
          <w:color w:val="000000"/>
        </w:rPr>
        <w:t xml:space="preserve">) fishery in Awang Bay, Central </w:t>
      </w:r>
      <w:r w:rsidRPr="00E64FF2">
        <w:rPr>
          <w:bCs/>
          <w:color w:val="000000"/>
        </w:rPr>
        <w:lastRenderedPageBreak/>
        <w:t xml:space="preserve">Lombok Regency. </w:t>
      </w:r>
      <w:r w:rsidRPr="00E64FF2">
        <w:rPr>
          <w:bCs/>
          <w:color w:val="000000"/>
          <w:lang w:val="sv-SE"/>
        </w:rPr>
        <w:t xml:space="preserve">Jurnal Teknologi Perikanan </w:t>
      </w:r>
      <w:r w:rsidR="00923932" w:rsidRPr="00E64FF2">
        <w:rPr>
          <w:bCs/>
          <w:color w:val="000000"/>
          <w:lang w:val="sv-SE"/>
        </w:rPr>
        <w:t>d</w:t>
      </w:r>
      <w:r w:rsidRPr="00E64FF2">
        <w:rPr>
          <w:bCs/>
          <w:color w:val="000000"/>
          <w:lang w:val="sv-SE"/>
        </w:rPr>
        <w:t>an Kelautan, 15(1), 1-10.</w:t>
      </w:r>
      <w:r w:rsidR="00465FFC" w:rsidRPr="00E64FF2">
        <w:rPr>
          <w:rStyle w:val="Strong"/>
          <w:b w:val="0"/>
          <w:bCs w:val="0"/>
          <w:lang w:val="sv-SE"/>
        </w:rPr>
        <w:t xml:space="preserve"> [In Bahasa Indonesia]</w:t>
      </w:r>
      <w:r w:rsidR="00923932" w:rsidRPr="00E64FF2">
        <w:rPr>
          <w:rStyle w:val="Strong"/>
          <w:b w:val="0"/>
          <w:bCs w:val="0"/>
          <w:lang w:val="sv-SE"/>
        </w:rPr>
        <w:t>.</w:t>
      </w:r>
      <w:r w:rsidR="00465FFC" w:rsidRPr="00E64FF2">
        <w:rPr>
          <w:rStyle w:val="Strong"/>
          <w:lang w:val="sv-SE"/>
        </w:rPr>
        <w:t xml:space="preserve">  </w:t>
      </w:r>
      <w:r w:rsidRPr="00E64FF2">
        <w:rPr>
          <w:bCs/>
          <w:color w:val="000000"/>
          <w:lang w:val="sv-SE"/>
        </w:rPr>
        <w:t xml:space="preserve"> </w:t>
      </w:r>
      <w:hyperlink r:id="rId29" w:history="1">
        <w:r w:rsidRPr="00E64FF2">
          <w:rPr>
            <w:rStyle w:val="Hyperlink"/>
            <w:bCs/>
            <w:lang w:val="sv-SE"/>
          </w:rPr>
          <w:t>https://doi.org/10.24319/jtpk.15.1-10</w:t>
        </w:r>
      </w:hyperlink>
      <w:r w:rsidR="00923932" w:rsidRPr="00E64FF2">
        <w:rPr>
          <w:bCs/>
          <w:color w:val="000000"/>
          <w:lang w:val="sv-SE"/>
        </w:rPr>
        <w:t>.</w:t>
      </w:r>
      <w:r w:rsidRPr="00E64FF2">
        <w:rPr>
          <w:bCs/>
          <w:color w:val="000000"/>
          <w:lang w:val="sv-SE"/>
        </w:rPr>
        <w:t xml:space="preserve"> </w:t>
      </w:r>
    </w:p>
    <w:p w14:paraId="56158642" w14:textId="2DE12A8D" w:rsidR="004E2056" w:rsidRPr="00E64FF2" w:rsidRDefault="004E2056" w:rsidP="00E64FF2">
      <w:pPr>
        <w:pStyle w:val="ListParagraph"/>
        <w:numPr>
          <w:ilvl w:val="0"/>
          <w:numId w:val="32"/>
        </w:numPr>
        <w:pBdr>
          <w:top w:val="nil"/>
          <w:left w:val="nil"/>
          <w:bottom w:val="nil"/>
          <w:right w:val="nil"/>
          <w:between w:val="nil"/>
        </w:pBdr>
        <w:jc w:val="both"/>
        <w:rPr>
          <w:color w:val="222222"/>
          <w:shd w:val="clear" w:color="auto" w:fill="FFFFFF"/>
        </w:rPr>
      </w:pPr>
      <w:proofErr w:type="spellStart"/>
      <w:r w:rsidRPr="00E64FF2">
        <w:rPr>
          <w:color w:val="222222"/>
          <w:shd w:val="clear" w:color="auto" w:fill="FFFFFF"/>
        </w:rPr>
        <w:t>Kartini</w:t>
      </w:r>
      <w:proofErr w:type="spellEnd"/>
      <w:r w:rsidRPr="00E64FF2">
        <w:rPr>
          <w:color w:val="222222"/>
          <w:shd w:val="clear" w:color="auto" w:fill="FFFFFF"/>
        </w:rPr>
        <w:t>, S. (2023). </w:t>
      </w:r>
      <w:r w:rsidR="00C048B8" w:rsidRPr="00E64FF2">
        <w:rPr>
          <w:rStyle w:val="Emphasis"/>
          <w:i w:val="0"/>
          <w:iCs w:val="0"/>
        </w:rPr>
        <w:t>Population dynamics of octopus (</w:t>
      </w:r>
      <w:r w:rsidR="00C048B8">
        <w:rPr>
          <w:rStyle w:val="Emphasis"/>
        </w:rPr>
        <w:t xml:space="preserve">Octopus </w:t>
      </w:r>
      <w:proofErr w:type="spellStart"/>
      <w:r w:rsidR="00C048B8">
        <w:rPr>
          <w:rStyle w:val="Emphasis"/>
        </w:rPr>
        <w:t>cyanea</w:t>
      </w:r>
      <w:proofErr w:type="spellEnd"/>
      <w:r w:rsidR="00C048B8" w:rsidRPr="00E64FF2">
        <w:rPr>
          <w:rStyle w:val="Emphasis"/>
          <w:i w:val="0"/>
          <w:iCs w:val="0"/>
        </w:rPr>
        <w:t xml:space="preserve">) on </w:t>
      </w:r>
      <w:proofErr w:type="spellStart"/>
      <w:r w:rsidR="00C048B8" w:rsidRPr="00E64FF2">
        <w:rPr>
          <w:rStyle w:val="Emphasis"/>
          <w:i w:val="0"/>
          <w:iCs w:val="0"/>
        </w:rPr>
        <w:t>Darawa</w:t>
      </w:r>
      <w:proofErr w:type="spellEnd"/>
      <w:r w:rsidR="00C048B8" w:rsidRPr="00E64FF2">
        <w:rPr>
          <w:rStyle w:val="Emphasis"/>
          <w:i w:val="0"/>
          <w:iCs w:val="0"/>
        </w:rPr>
        <w:t xml:space="preserve"> Island, </w:t>
      </w:r>
      <w:proofErr w:type="spellStart"/>
      <w:r w:rsidR="00C048B8" w:rsidRPr="00E64FF2">
        <w:rPr>
          <w:rStyle w:val="Emphasis"/>
          <w:i w:val="0"/>
          <w:iCs w:val="0"/>
        </w:rPr>
        <w:t>Wakatobi</w:t>
      </w:r>
      <w:proofErr w:type="spellEnd"/>
      <w:r w:rsidR="00C048B8" w:rsidRPr="00E64FF2">
        <w:rPr>
          <w:rStyle w:val="Emphasis"/>
          <w:i w:val="0"/>
          <w:iCs w:val="0"/>
        </w:rPr>
        <w:t xml:space="preserve"> Regency, Southeast Sulawesi</w:t>
      </w:r>
      <w:r w:rsidR="00C048B8" w:rsidRPr="00E64FF2">
        <w:rPr>
          <w:i/>
          <w:iCs/>
        </w:rPr>
        <w:t xml:space="preserve"> </w:t>
      </w:r>
      <w:r w:rsidR="00C048B8" w:rsidRPr="0067624C">
        <w:t>(Doctoral dissertation</w:t>
      </w:r>
      <w:r w:rsidR="00C048B8">
        <w:t xml:space="preserve">, </w:t>
      </w:r>
      <w:proofErr w:type="spellStart"/>
      <w:r w:rsidR="00C048B8">
        <w:t>Universitas</w:t>
      </w:r>
      <w:proofErr w:type="spellEnd"/>
      <w:r w:rsidR="00C048B8">
        <w:t xml:space="preserve"> </w:t>
      </w:r>
      <w:proofErr w:type="spellStart"/>
      <w:r w:rsidR="00C048B8">
        <w:t>Hasanuddin</w:t>
      </w:r>
      <w:proofErr w:type="spellEnd"/>
      <w:r w:rsidR="00C048B8">
        <w:t>)</w:t>
      </w:r>
      <w:r w:rsidRPr="00E64FF2">
        <w:rPr>
          <w:color w:val="222222"/>
          <w:shd w:val="clear" w:color="auto" w:fill="FFFFFF"/>
        </w:rPr>
        <w:t>.</w:t>
      </w:r>
      <w:r w:rsidR="0084450D" w:rsidRPr="00E64FF2">
        <w:rPr>
          <w:color w:val="222222"/>
          <w:shd w:val="clear" w:color="auto" w:fill="FFFFFF"/>
        </w:rPr>
        <w:t xml:space="preserve"> </w:t>
      </w:r>
    </w:p>
    <w:p w14:paraId="3890FC81" w14:textId="67B969C8" w:rsidR="00D02E8A" w:rsidRPr="00E64FF2" w:rsidRDefault="00D02E8A" w:rsidP="00E64FF2">
      <w:pPr>
        <w:pStyle w:val="ListParagraph"/>
        <w:numPr>
          <w:ilvl w:val="0"/>
          <w:numId w:val="32"/>
        </w:numPr>
        <w:pBdr>
          <w:top w:val="nil"/>
          <w:left w:val="nil"/>
          <w:bottom w:val="nil"/>
          <w:right w:val="nil"/>
          <w:between w:val="nil"/>
        </w:pBdr>
        <w:jc w:val="both"/>
        <w:rPr>
          <w:bCs/>
          <w:color w:val="000000"/>
        </w:rPr>
      </w:pPr>
      <w:r w:rsidRPr="00E64FF2">
        <w:rPr>
          <w:bCs/>
          <w:color w:val="000000"/>
        </w:rPr>
        <w:t xml:space="preserve">Le </w:t>
      </w:r>
      <w:proofErr w:type="spellStart"/>
      <w:r w:rsidRPr="00E64FF2">
        <w:rPr>
          <w:bCs/>
          <w:color w:val="000000"/>
        </w:rPr>
        <w:t>Cren</w:t>
      </w:r>
      <w:proofErr w:type="spellEnd"/>
      <w:r w:rsidRPr="00E64FF2">
        <w:rPr>
          <w:bCs/>
          <w:color w:val="000000"/>
        </w:rPr>
        <w:t xml:space="preserve">, E. D. (1951). </w:t>
      </w:r>
      <w:r w:rsidR="00BC1336">
        <w:t>The length–weight relationship and seasonal cycle in gonad weight and condition in the perch (</w:t>
      </w:r>
      <w:proofErr w:type="spellStart"/>
      <w:r w:rsidR="00BC1336">
        <w:rPr>
          <w:rStyle w:val="Emphasis"/>
        </w:rPr>
        <w:t>Perca</w:t>
      </w:r>
      <w:proofErr w:type="spellEnd"/>
      <w:r w:rsidR="00BC1336">
        <w:rPr>
          <w:rStyle w:val="Emphasis"/>
        </w:rPr>
        <w:t xml:space="preserve"> </w:t>
      </w:r>
      <w:proofErr w:type="spellStart"/>
      <w:r w:rsidR="00BC1336">
        <w:rPr>
          <w:rStyle w:val="Emphasis"/>
        </w:rPr>
        <w:t>fluviatilis</w:t>
      </w:r>
      <w:proofErr w:type="spellEnd"/>
      <w:r w:rsidR="00BC1336">
        <w:t xml:space="preserve">). </w:t>
      </w:r>
      <w:r w:rsidRPr="00E64FF2">
        <w:rPr>
          <w:bCs/>
          <w:color w:val="000000"/>
        </w:rPr>
        <w:t xml:space="preserve">Journal </w:t>
      </w:r>
      <w:r w:rsidR="00923932" w:rsidRPr="00E64FF2">
        <w:rPr>
          <w:bCs/>
          <w:color w:val="000000"/>
        </w:rPr>
        <w:t>o</w:t>
      </w:r>
      <w:r w:rsidRPr="00E64FF2">
        <w:rPr>
          <w:bCs/>
          <w:color w:val="000000"/>
        </w:rPr>
        <w:t xml:space="preserve">f Animal Ecology, 20(2), 201–219. </w:t>
      </w:r>
      <w:hyperlink r:id="rId30" w:history="1">
        <w:r w:rsidR="00B626D7" w:rsidRPr="00E64FF2">
          <w:rPr>
            <w:rStyle w:val="Hyperlink"/>
            <w:bCs/>
          </w:rPr>
          <w:t>Https://doi.org/10.2307/1540</w:t>
        </w:r>
      </w:hyperlink>
      <w:r w:rsidR="00923932">
        <w:t>.</w:t>
      </w:r>
      <w:r w:rsidRPr="00E64FF2">
        <w:rPr>
          <w:bCs/>
          <w:color w:val="000000"/>
        </w:rPr>
        <w:t xml:space="preserve"> </w:t>
      </w:r>
    </w:p>
    <w:p w14:paraId="2D33BD1A" w14:textId="5AF18207" w:rsidR="00D02E8A" w:rsidRPr="00E64FF2" w:rsidRDefault="00D02E8A" w:rsidP="00E64FF2">
      <w:pPr>
        <w:pStyle w:val="ListParagraph"/>
        <w:numPr>
          <w:ilvl w:val="0"/>
          <w:numId w:val="32"/>
        </w:numPr>
        <w:pBdr>
          <w:top w:val="nil"/>
          <w:left w:val="nil"/>
          <w:bottom w:val="nil"/>
          <w:right w:val="nil"/>
          <w:between w:val="nil"/>
        </w:pBdr>
        <w:jc w:val="both"/>
        <w:rPr>
          <w:bCs/>
          <w:color w:val="000000"/>
        </w:rPr>
      </w:pPr>
      <w:proofErr w:type="spellStart"/>
      <w:r w:rsidRPr="00E64FF2">
        <w:rPr>
          <w:bCs/>
          <w:color w:val="000000"/>
        </w:rPr>
        <w:t>Lempoy</w:t>
      </w:r>
      <w:proofErr w:type="spellEnd"/>
      <w:r w:rsidRPr="00E64FF2">
        <w:rPr>
          <w:bCs/>
          <w:color w:val="000000"/>
        </w:rPr>
        <w:t xml:space="preserve">, R., </w:t>
      </w:r>
      <w:proofErr w:type="spellStart"/>
      <w:r w:rsidRPr="00E64FF2">
        <w:rPr>
          <w:bCs/>
          <w:color w:val="000000"/>
        </w:rPr>
        <w:t>Rondonuwu</w:t>
      </w:r>
      <w:proofErr w:type="spellEnd"/>
      <w:r w:rsidRPr="00E64FF2">
        <w:rPr>
          <w:bCs/>
          <w:color w:val="000000"/>
        </w:rPr>
        <w:t xml:space="preserve">, A. B., &amp; </w:t>
      </w:r>
      <w:proofErr w:type="spellStart"/>
      <w:r w:rsidRPr="00E64FF2">
        <w:rPr>
          <w:bCs/>
          <w:color w:val="000000"/>
        </w:rPr>
        <w:t>Bataragoa</w:t>
      </w:r>
      <w:proofErr w:type="spellEnd"/>
      <w:r w:rsidRPr="00E64FF2">
        <w:rPr>
          <w:bCs/>
          <w:color w:val="000000"/>
        </w:rPr>
        <w:t xml:space="preserve">, N. E. (2020). </w:t>
      </w:r>
      <w:r w:rsidR="00C048B8">
        <w:t xml:space="preserve">Size, length–weight relationship, and condition factor of </w:t>
      </w:r>
      <w:proofErr w:type="spellStart"/>
      <w:r w:rsidR="00C048B8">
        <w:t>Banggai</w:t>
      </w:r>
      <w:proofErr w:type="spellEnd"/>
      <w:r w:rsidR="00C048B8">
        <w:t xml:space="preserve"> cardinalfish (</w:t>
      </w:r>
      <w:proofErr w:type="spellStart"/>
      <w:r w:rsidR="00C048B8">
        <w:rPr>
          <w:rStyle w:val="Emphasis"/>
        </w:rPr>
        <w:t>Pterapogon</w:t>
      </w:r>
      <w:proofErr w:type="spellEnd"/>
      <w:r w:rsidR="00C048B8">
        <w:rPr>
          <w:rStyle w:val="Emphasis"/>
        </w:rPr>
        <w:t xml:space="preserve"> </w:t>
      </w:r>
      <w:proofErr w:type="spellStart"/>
      <w:r w:rsidR="00C048B8">
        <w:rPr>
          <w:rStyle w:val="Emphasis"/>
        </w:rPr>
        <w:t>kauderni</w:t>
      </w:r>
      <w:proofErr w:type="spellEnd"/>
      <w:r w:rsidR="00C048B8">
        <w:t xml:space="preserve"> </w:t>
      </w:r>
      <w:proofErr w:type="spellStart"/>
      <w:r w:rsidR="00C048B8">
        <w:t>Koumans</w:t>
      </w:r>
      <w:proofErr w:type="spellEnd"/>
      <w:r w:rsidR="00C048B8">
        <w:t xml:space="preserve">, 1933) in </w:t>
      </w:r>
      <w:proofErr w:type="spellStart"/>
      <w:r w:rsidR="00C048B8">
        <w:t>Lembeh</w:t>
      </w:r>
      <w:proofErr w:type="spellEnd"/>
      <w:r w:rsidR="00C048B8">
        <w:t xml:space="preserve"> Strait, North Sulawesi. </w:t>
      </w:r>
      <w:proofErr w:type="spellStart"/>
      <w:r w:rsidRPr="00E64FF2">
        <w:rPr>
          <w:bCs/>
          <w:color w:val="000000"/>
        </w:rPr>
        <w:t>Jurnal</w:t>
      </w:r>
      <w:proofErr w:type="spellEnd"/>
      <w:r w:rsidRPr="00E64FF2">
        <w:rPr>
          <w:bCs/>
          <w:color w:val="000000"/>
        </w:rPr>
        <w:t xml:space="preserve"> </w:t>
      </w:r>
      <w:proofErr w:type="spellStart"/>
      <w:r w:rsidRPr="00E64FF2">
        <w:rPr>
          <w:bCs/>
          <w:color w:val="000000"/>
        </w:rPr>
        <w:t>Ilmiah</w:t>
      </w:r>
      <w:proofErr w:type="spellEnd"/>
      <w:r w:rsidRPr="00E64FF2">
        <w:rPr>
          <w:bCs/>
          <w:color w:val="000000"/>
        </w:rPr>
        <w:t xml:space="preserve"> </w:t>
      </w:r>
      <w:proofErr w:type="spellStart"/>
      <w:r w:rsidRPr="00E64FF2">
        <w:rPr>
          <w:bCs/>
          <w:color w:val="000000"/>
        </w:rPr>
        <w:t>Platax</w:t>
      </w:r>
      <w:proofErr w:type="spellEnd"/>
      <w:r w:rsidRPr="00E64FF2">
        <w:rPr>
          <w:bCs/>
          <w:color w:val="000000"/>
        </w:rPr>
        <w:t>, 8(1), 30–36.</w:t>
      </w:r>
      <w:r w:rsidR="00842D9C" w:rsidRPr="00E64FF2">
        <w:rPr>
          <w:bCs/>
          <w:color w:val="000000"/>
        </w:rPr>
        <w:t xml:space="preserve"> [In Bahasa Indonesia]</w:t>
      </w:r>
      <w:r w:rsidR="00923932" w:rsidRPr="00E64FF2">
        <w:rPr>
          <w:bCs/>
          <w:color w:val="000000"/>
        </w:rPr>
        <w:t>.</w:t>
      </w:r>
      <w:r w:rsidR="009E0E94" w:rsidRPr="00E64FF2">
        <w:rPr>
          <w:bCs/>
          <w:color w:val="000000"/>
        </w:rPr>
        <w:t xml:space="preserve"> </w:t>
      </w:r>
      <w:hyperlink r:id="rId31" w:history="1">
        <w:r w:rsidR="009E0E94" w:rsidRPr="00E64FF2">
          <w:rPr>
            <w:rStyle w:val="Hyperlink"/>
            <w:bCs/>
          </w:rPr>
          <w:t>https://doi.org/10.35800/jip.8.1.2020.27599</w:t>
        </w:r>
      </w:hyperlink>
      <w:r w:rsidR="009E0E94" w:rsidRPr="00E64FF2">
        <w:rPr>
          <w:bCs/>
          <w:color w:val="000000"/>
        </w:rPr>
        <w:t xml:space="preserve">. </w:t>
      </w:r>
    </w:p>
    <w:p w14:paraId="45FF06D2" w14:textId="6C7C052C" w:rsidR="00D035BE" w:rsidRPr="00841252" w:rsidRDefault="00841252" w:rsidP="00E64FF2">
      <w:pPr>
        <w:pStyle w:val="ListParagraph"/>
        <w:numPr>
          <w:ilvl w:val="0"/>
          <w:numId w:val="32"/>
        </w:numPr>
        <w:pBdr>
          <w:top w:val="nil"/>
          <w:left w:val="nil"/>
          <w:bottom w:val="nil"/>
          <w:right w:val="nil"/>
          <w:between w:val="nil"/>
        </w:pBdr>
        <w:jc w:val="both"/>
      </w:pPr>
      <w:r w:rsidRPr="00E64FF2">
        <w:rPr>
          <w:lang w:val="sv-SE"/>
        </w:rPr>
        <w:t xml:space="preserve">Linung, M. K., Soewarlan, L. C., &amp; Boikh, L. I. (2024). </w:t>
      </w:r>
      <w:r>
        <w:t>Morphometrics of octopus (</w:t>
      </w:r>
      <w:r w:rsidRPr="00E64FF2">
        <w:rPr>
          <w:i/>
          <w:iCs/>
        </w:rPr>
        <w:t xml:space="preserve">Octopus </w:t>
      </w:r>
      <w:proofErr w:type="spellStart"/>
      <w:r w:rsidRPr="00E64FF2">
        <w:rPr>
          <w:i/>
          <w:iCs/>
        </w:rPr>
        <w:t>cyanea</w:t>
      </w:r>
      <w:proofErr w:type="spellEnd"/>
      <w:r>
        <w:t xml:space="preserve">) in </w:t>
      </w:r>
      <w:proofErr w:type="spellStart"/>
      <w:r>
        <w:t>Arubara</w:t>
      </w:r>
      <w:proofErr w:type="spellEnd"/>
      <w:r>
        <w:t xml:space="preserve"> waters, </w:t>
      </w:r>
      <w:proofErr w:type="spellStart"/>
      <w:r>
        <w:t>Tetandara</w:t>
      </w:r>
      <w:proofErr w:type="spellEnd"/>
      <w:r>
        <w:t xml:space="preserve"> Village, South Ende District, Ende Regency, East Nusa Tenggara Province. </w:t>
      </w:r>
      <w:proofErr w:type="spellStart"/>
      <w:r>
        <w:t>Papadak</w:t>
      </w:r>
      <w:proofErr w:type="spellEnd"/>
      <w:r>
        <w:t xml:space="preserve"> Marine Journal, 5(1), 122–131. </w:t>
      </w:r>
      <w:hyperlink r:id="rId32" w:history="1">
        <w:r w:rsidR="00D035BE" w:rsidRPr="00E64FF2">
          <w:rPr>
            <w:rStyle w:val="Hyperlink"/>
            <w:shd w:val="clear" w:color="auto" w:fill="FFFFFF"/>
          </w:rPr>
          <w:t>https://ejurnal.undana.ac.id/index.php/JBP/article/view/16059</w:t>
        </w:r>
      </w:hyperlink>
    </w:p>
    <w:p w14:paraId="18804776" w14:textId="38DA1386" w:rsidR="008165FC" w:rsidRPr="001F6062" w:rsidRDefault="00D02E8A" w:rsidP="00E64FF2">
      <w:pPr>
        <w:pStyle w:val="ListParagraph"/>
        <w:numPr>
          <w:ilvl w:val="0"/>
          <w:numId w:val="32"/>
        </w:numPr>
        <w:pBdr>
          <w:top w:val="nil"/>
          <w:left w:val="nil"/>
          <w:bottom w:val="nil"/>
          <w:right w:val="nil"/>
          <w:between w:val="nil"/>
        </w:pBdr>
        <w:jc w:val="both"/>
        <w:rPr>
          <w:rStyle w:val="Hyperlink"/>
        </w:rPr>
      </w:pPr>
      <w:proofErr w:type="spellStart"/>
      <w:r w:rsidRPr="00E64FF2">
        <w:rPr>
          <w:color w:val="222222"/>
          <w:shd w:val="clear" w:color="auto" w:fill="FFFFFF"/>
        </w:rPr>
        <w:t>Marzuki</w:t>
      </w:r>
      <w:proofErr w:type="spellEnd"/>
      <w:r w:rsidRPr="00E64FF2">
        <w:rPr>
          <w:color w:val="222222"/>
          <w:shd w:val="clear" w:color="auto" w:fill="FFFFFF"/>
        </w:rPr>
        <w:t xml:space="preserve">, M., </w:t>
      </w:r>
      <w:proofErr w:type="spellStart"/>
      <w:r w:rsidRPr="00E64FF2">
        <w:rPr>
          <w:color w:val="222222"/>
          <w:shd w:val="clear" w:color="auto" w:fill="FFFFFF"/>
        </w:rPr>
        <w:t>Diniariwisan</w:t>
      </w:r>
      <w:proofErr w:type="spellEnd"/>
      <w:r w:rsidRPr="00E64FF2">
        <w:rPr>
          <w:color w:val="222222"/>
          <w:shd w:val="clear" w:color="auto" w:fill="FFFFFF"/>
        </w:rPr>
        <w:t xml:space="preserve">, D., &amp; </w:t>
      </w:r>
      <w:proofErr w:type="spellStart"/>
      <w:r w:rsidRPr="00E64FF2">
        <w:rPr>
          <w:color w:val="222222"/>
          <w:shd w:val="clear" w:color="auto" w:fill="FFFFFF"/>
        </w:rPr>
        <w:t>Lestariningsih</w:t>
      </w:r>
      <w:proofErr w:type="spellEnd"/>
      <w:r w:rsidRPr="00E64FF2">
        <w:rPr>
          <w:color w:val="222222"/>
          <w:shd w:val="clear" w:color="auto" w:fill="FFFFFF"/>
        </w:rPr>
        <w:t xml:space="preserve">, W. A. (2023). </w:t>
      </w:r>
      <w:r w:rsidR="00C048B8">
        <w:t>Identification of octopus biology and index values for fisheries management in the Alas Strait, West Nusa Tenggara.</w:t>
      </w:r>
      <w:r w:rsidRPr="00E64FF2">
        <w:rPr>
          <w:color w:val="222222"/>
          <w:shd w:val="clear" w:color="auto" w:fill="FFFFFF"/>
        </w:rPr>
        <w:t> </w:t>
      </w:r>
      <w:proofErr w:type="spellStart"/>
      <w:r w:rsidRPr="00E64FF2">
        <w:rPr>
          <w:color w:val="222222"/>
          <w:shd w:val="clear" w:color="auto" w:fill="FFFFFF"/>
        </w:rPr>
        <w:t>Jurnal</w:t>
      </w:r>
      <w:proofErr w:type="spellEnd"/>
      <w:r w:rsidRPr="00E64FF2">
        <w:rPr>
          <w:color w:val="222222"/>
          <w:shd w:val="clear" w:color="auto" w:fill="FFFFFF"/>
        </w:rPr>
        <w:t xml:space="preserve"> </w:t>
      </w:r>
      <w:proofErr w:type="spellStart"/>
      <w:r w:rsidRPr="00E64FF2">
        <w:rPr>
          <w:color w:val="222222"/>
          <w:shd w:val="clear" w:color="auto" w:fill="FFFFFF"/>
        </w:rPr>
        <w:t>Penelitian</w:t>
      </w:r>
      <w:proofErr w:type="spellEnd"/>
      <w:r w:rsidRPr="00E64FF2">
        <w:rPr>
          <w:color w:val="222222"/>
          <w:shd w:val="clear" w:color="auto" w:fill="FFFFFF"/>
        </w:rPr>
        <w:t xml:space="preserve"> Pendidikan IPA, 9(12), 12149-12154</w:t>
      </w:r>
      <w:r w:rsidRPr="001F6062">
        <w:t xml:space="preserve">. </w:t>
      </w:r>
      <w:hyperlink r:id="rId33" w:history="1">
        <w:r w:rsidRPr="001F6062">
          <w:rPr>
            <w:rStyle w:val="Hyperlink"/>
          </w:rPr>
          <w:t>https://doi.org/10.29303/jppipa.v9i12.5956</w:t>
        </w:r>
      </w:hyperlink>
      <w:r w:rsidR="009E0E94">
        <w:t>.</w:t>
      </w:r>
    </w:p>
    <w:p w14:paraId="6E680048" w14:textId="3D2DE0C4" w:rsidR="008165FC" w:rsidRPr="00E64FF2" w:rsidRDefault="008165FC" w:rsidP="00E64FF2">
      <w:pPr>
        <w:pStyle w:val="ListParagraph"/>
        <w:numPr>
          <w:ilvl w:val="0"/>
          <w:numId w:val="32"/>
        </w:numPr>
        <w:pBdr>
          <w:top w:val="nil"/>
          <w:left w:val="nil"/>
          <w:bottom w:val="nil"/>
          <w:right w:val="nil"/>
          <w:between w:val="nil"/>
        </w:pBdr>
        <w:jc w:val="both"/>
        <w:rPr>
          <w:color w:val="222222"/>
          <w:shd w:val="clear" w:color="auto" w:fill="FFFFFF"/>
        </w:rPr>
      </w:pPr>
      <w:proofErr w:type="spellStart"/>
      <w:r w:rsidRPr="00E64FF2">
        <w:rPr>
          <w:color w:val="222222"/>
          <w:shd w:val="clear" w:color="auto" w:fill="FFFFFF"/>
        </w:rPr>
        <w:t>Mulyani</w:t>
      </w:r>
      <w:proofErr w:type="spellEnd"/>
      <w:r w:rsidRPr="00E64FF2">
        <w:rPr>
          <w:color w:val="222222"/>
          <w:shd w:val="clear" w:color="auto" w:fill="FFFFFF"/>
        </w:rPr>
        <w:t xml:space="preserve">, L. F., </w:t>
      </w:r>
      <w:proofErr w:type="spellStart"/>
      <w:r w:rsidRPr="00E64FF2">
        <w:rPr>
          <w:color w:val="222222"/>
          <w:shd w:val="clear" w:color="auto" w:fill="FFFFFF"/>
        </w:rPr>
        <w:t>Arfiati</w:t>
      </w:r>
      <w:proofErr w:type="spellEnd"/>
      <w:r w:rsidRPr="00E64FF2">
        <w:rPr>
          <w:color w:val="222222"/>
          <w:shd w:val="clear" w:color="auto" w:fill="FFFFFF"/>
        </w:rPr>
        <w:t xml:space="preserve">, D., Widodo, M. S., &amp; </w:t>
      </w:r>
      <w:proofErr w:type="spellStart"/>
      <w:r w:rsidRPr="00E64FF2">
        <w:rPr>
          <w:color w:val="222222"/>
          <w:shd w:val="clear" w:color="auto" w:fill="FFFFFF"/>
        </w:rPr>
        <w:t>Yamindago</w:t>
      </w:r>
      <w:proofErr w:type="spellEnd"/>
      <w:r w:rsidRPr="00E64FF2">
        <w:rPr>
          <w:color w:val="222222"/>
          <w:shd w:val="clear" w:color="auto" w:fill="FFFFFF"/>
        </w:rPr>
        <w:t xml:space="preserve">, A. (2024). Molecular </w:t>
      </w:r>
      <w:r w:rsidR="009E0E94" w:rsidRPr="00E64FF2">
        <w:rPr>
          <w:color w:val="222222"/>
          <w:shd w:val="clear" w:color="auto" w:fill="FFFFFF"/>
        </w:rPr>
        <w:t>identification of the octopus</w:t>
      </w:r>
      <w:r w:rsidRPr="00E64FF2">
        <w:rPr>
          <w:color w:val="222222"/>
          <w:shd w:val="clear" w:color="auto" w:fill="FFFFFF"/>
        </w:rPr>
        <w:t xml:space="preserve"> (</w:t>
      </w:r>
      <w:r w:rsidRPr="00E64FF2">
        <w:rPr>
          <w:i/>
          <w:iCs/>
          <w:color w:val="222222"/>
          <w:shd w:val="clear" w:color="auto" w:fill="FFFFFF"/>
        </w:rPr>
        <w:t xml:space="preserve">Octopus </w:t>
      </w:r>
      <w:proofErr w:type="spellStart"/>
      <w:r w:rsidRPr="00E64FF2">
        <w:rPr>
          <w:i/>
          <w:iCs/>
          <w:color w:val="222222"/>
          <w:shd w:val="clear" w:color="auto" w:fill="FFFFFF"/>
        </w:rPr>
        <w:t>cyanea</w:t>
      </w:r>
      <w:proofErr w:type="spellEnd"/>
      <w:r w:rsidRPr="00E64FF2">
        <w:rPr>
          <w:color w:val="222222"/>
          <w:shd w:val="clear" w:color="auto" w:fill="FFFFFF"/>
        </w:rPr>
        <w:t xml:space="preserve">, Gray 1849) </w:t>
      </w:r>
      <w:r w:rsidR="009E0E94" w:rsidRPr="00E64FF2">
        <w:rPr>
          <w:color w:val="222222"/>
          <w:shd w:val="clear" w:color="auto" w:fill="FFFFFF"/>
        </w:rPr>
        <w:t>usi</w:t>
      </w:r>
      <w:r w:rsidRPr="00E64FF2">
        <w:rPr>
          <w:color w:val="222222"/>
          <w:shd w:val="clear" w:color="auto" w:fill="FFFFFF"/>
        </w:rPr>
        <w:t>ng Mt-DNA COI from Alas Strait Waters, Indonesia. Egyptian Journal of Aquatic Biology &amp; Fisheries, 28(6)</w:t>
      </w:r>
      <w:r w:rsidR="00AF176F" w:rsidRPr="00E64FF2">
        <w:rPr>
          <w:color w:val="222222"/>
          <w:shd w:val="clear" w:color="auto" w:fill="FFFFFF"/>
        </w:rPr>
        <w:t>, 603–615</w:t>
      </w:r>
      <w:r w:rsidRPr="00E64FF2">
        <w:rPr>
          <w:color w:val="222222"/>
          <w:shd w:val="clear" w:color="auto" w:fill="FFFFFF"/>
        </w:rPr>
        <w:t xml:space="preserve">. </w:t>
      </w:r>
      <w:hyperlink r:id="rId34" w:history="1">
        <w:r w:rsidRPr="00E64FF2">
          <w:rPr>
            <w:rStyle w:val="Hyperlink"/>
            <w:shd w:val="clear" w:color="auto" w:fill="FFFFFF"/>
          </w:rPr>
          <w:t>https://doi.org/10.21608/ejabf.2024.392406</w:t>
        </w:r>
      </w:hyperlink>
      <w:r w:rsidR="009E0E94">
        <w:t>.</w:t>
      </w:r>
      <w:r w:rsidRPr="00E64FF2">
        <w:rPr>
          <w:color w:val="222222"/>
          <w:shd w:val="clear" w:color="auto" w:fill="FFFFFF"/>
        </w:rPr>
        <w:t xml:space="preserve"> </w:t>
      </w:r>
    </w:p>
    <w:p w14:paraId="24149D51" w14:textId="02438022" w:rsidR="00841252" w:rsidRPr="00E64FF2" w:rsidRDefault="00841252" w:rsidP="00E64FF2">
      <w:pPr>
        <w:pStyle w:val="ListParagraph"/>
        <w:numPr>
          <w:ilvl w:val="0"/>
          <w:numId w:val="32"/>
        </w:numPr>
        <w:pBdr>
          <w:top w:val="nil"/>
          <w:left w:val="nil"/>
          <w:bottom w:val="nil"/>
          <w:right w:val="nil"/>
          <w:between w:val="nil"/>
        </w:pBdr>
        <w:jc w:val="both"/>
        <w:rPr>
          <w:shd w:val="clear" w:color="auto" w:fill="FFFFFF"/>
        </w:rPr>
      </w:pPr>
      <w:r w:rsidRPr="00E64FF2">
        <w:rPr>
          <w:shd w:val="clear" w:color="auto" w:fill="FFFFFF"/>
          <w:lang w:val="sv-SE"/>
        </w:rPr>
        <w:t xml:space="preserve">Norman, M. D., Finn, J. K., &amp; Hochberg, F. G. (2016). </w:t>
      </w:r>
      <w:r w:rsidRPr="00E64FF2">
        <w:rPr>
          <w:shd w:val="clear" w:color="auto" w:fill="FFFFFF"/>
        </w:rPr>
        <w:t xml:space="preserve">Family </w:t>
      </w:r>
      <w:proofErr w:type="spellStart"/>
      <w:r w:rsidRPr="00E64FF2">
        <w:rPr>
          <w:shd w:val="clear" w:color="auto" w:fill="FFFFFF"/>
        </w:rPr>
        <w:t>Octopodidae</w:t>
      </w:r>
      <w:proofErr w:type="spellEnd"/>
      <w:r w:rsidRPr="00E64FF2">
        <w:rPr>
          <w:shd w:val="clear" w:color="auto" w:fill="FFFFFF"/>
        </w:rPr>
        <w:t xml:space="preserve">. In P. </w:t>
      </w:r>
      <w:proofErr w:type="spellStart"/>
      <w:r w:rsidRPr="00E64FF2">
        <w:rPr>
          <w:shd w:val="clear" w:color="auto" w:fill="FFFFFF"/>
        </w:rPr>
        <w:t>Jereb</w:t>
      </w:r>
      <w:proofErr w:type="spellEnd"/>
      <w:r w:rsidRPr="00E64FF2">
        <w:rPr>
          <w:shd w:val="clear" w:color="auto" w:fill="FFFFFF"/>
        </w:rPr>
        <w:t>, C. F. E. Roper, M. D. Norman, &amp; J. K. Finn (Eds.), Cephalopods of the world: An annotated and illustrated catalogue of cephalopod species known to date. Vol. 3: Octopods and vampire squids (pp. 36–215). Rome: Food and Agriculture Organization of the United Nations (FAO).</w:t>
      </w:r>
    </w:p>
    <w:p w14:paraId="7106C46B" w14:textId="009E9E39" w:rsidR="00D035BE" w:rsidRPr="00E64FF2" w:rsidRDefault="00D035BE" w:rsidP="00E64FF2">
      <w:pPr>
        <w:pStyle w:val="ListParagraph"/>
        <w:numPr>
          <w:ilvl w:val="0"/>
          <w:numId w:val="32"/>
        </w:numPr>
        <w:pBdr>
          <w:top w:val="nil"/>
          <w:left w:val="nil"/>
          <w:bottom w:val="nil"/>
          <w:right w:val="nil"/>
          <w:between w:val="nil"/>
        </w:pBdr>
        <w:jc w:val="both"/>
      </w:pPr>
      <w:r w:rsidRPr="00E64FF2">
        <w:t xml:space="preserve">Putri, E., &amp; </w:t>
      </w:r>
      <w:proofErr w:type="spellStart"/>
      <w:r w:rsidRPr="00E64FF2">
        <w:t>Zuraidah</w:t>
      </w:r>
      <w:proofErr w:type="spellEnd"/>
      <w:r w:rsidRPr="00E64FF2">
        <w:t xml:space="preserve">, S. (2022). Production value and marketing of octopus (Octopus sp.) in </w:t>
      </w:r>
      <w:proofErr w:type="spellStart"/>
      <w:r w:rsidRPr="00E64FF2">
        <w:t>Tiga</w:t>
      </w:r>
      <w:proofErr w:type="spellEnd"/>
      <w:r w:rsidRPr="00E64FF2">
        <w:t xml:space="preserve"> </w:t>
      </w:r>
      <w:proofErr w:type="spellStart"/>
      <w:r w:rsidRPr="00E64FF2">
        <w:t>Bersaudara</w:t>
      </w:r>
      <w:proofErr w:type="spellEnd"/>
      <w:r w:rsidRPr="00E64FF2">
        <w:t xml:space="preserve">, </w:t>
      </w:r>
      <w:proofErr w:type="spellStart"/>
      <w:r w:rsidRPr="00E64FF2">
        <w:t>Simeulue</w:t>
      </w:r>
      <w:proofErr w:type="spellEnd"/>
      <w:r w:rsidRPr="00E64FF2">
        <w:t xml:space="preserve"> Regency, Aceh Province. Journal of Coastal Socio-Economics, 3(2), 10–16. [In Bahasa Indonesia] </w:t>
      </w:r>
      <w:hyperlink r:id="rId35" w:history="1">
        <w:r w:rsidRPr="00E64FF2">
          <w:rPr>
            <w:rStyle w:val="Hyperlink"/>
          </w:rPr>
          <w:t>https://sep.ejournal.unri.ac.id/index.php/jsep/article/view/82</w:t>
        </w:r>
      </w:hyperlink>
      <w:r w:rsidRPr="00E64FF2">
        <w:t xml:space="preserve"> </w:t>
      </w:r>
    </w:p>
    <w:p w14:paraId="35D00281" w14:textId="438F53AC" w:rsidR="008165FC" w:rsidRPr="00E64FF2" w:rsidRDefault="008165FC" w:rsidP="00E64FF2">
      <w:pPr>
        <w:pStyle w:val="ListParagraph"/>
        <w:numPr>
          <w:ilvl w:val="0"/>
          <w:numId w:val="32"/>
        </w:numPr>
        <w:pBdr>
          <w:top w:val="nil"/>
          <w:left w:val="nil"/>
          <w:bottom w:val="nil"/>
          <w:right w:val="nil"/>
          <w:between w:val="nil"/>
        </w:pBdr>
        <w:jc w:val="both"/>
        <w:rPr>
          <w:color w:val="222222"/>
          <w:shd w:val="clear" w:color="auto" w:fill="FFFFFF"/>
        </w:rPr>
      </w:pPr>
      <w:proofErr w:type="spellStart"/>
      <w:r w:rsidRPr="00E64FF2">
        <w:rPr>
          <w:color w:val="222222"/>
          <w:shd w:val="clear" w:color="auto" w:fill="FFFFFF"/>
        </w:rPr>
        <w:t>Raberinary</w:t>
      </w:r>
      <w:proofErr w:type="spellEnd"/>
      <w:r w:rsidRPr="00E64FF2">
        <w:rPr>
          <w:color w:val="222222"/>
          <w:shd w:val="clear" w:color="auto" w:fill="FFFFFF"/>
        </w:rPr>
        <w:t xml:space="preserve">, D., &amp; Benbow, S. (2012). The reproductive cycle of </w:t>
      </w:r>
      <w:r w:rsidRPr="00E64FF2">
        <w:rPr>
          <w:i/>
          <w:iCs/>
          <w:color w:val="222222"/>
          <w:shd w:val="clear" w:color="auto" w:fill="FFFFFF"/>
        </w:rPr>
        <w:t xml:space="preserve">Octopus </w:t>
      </w:r>
      <w:proofErr w:type="spellStart"/>
      <w:r w:rsidRPr="00E64FF2">
        <w:rPr>
          <w:i/>
          <w:iCs/>
          <w:color w:val="222222"/>
          <w:shd w:val="clear" w:color="auto" w:fill="FFFFFF"/>
        </w:rPr>
        <w:t>cyanea</w:t>
      </w:r>
      <w:proofErr w:type="spellEnd"/>
      <w:r w:rsidRPr="00E64FF2">
        <w:rPr>
          <w:color w:val="222222"/>
          <w:shd w:val="clear" w:color="auto" w:fill="FFFFFF"/>
        </w:rPr>
        <w:t xml:space="preserve"> in southwest Madagascar and implications for fisheries management. Fisheries Research, 125, 190-197. </w:t>
      </w:r>
      <w:hyperlink r:id="rId36" w:history="1">
        <w:r w:rsidR="00982DC6" w:rsidRPr="00E64FF2">
          <w:rPr>
            <w:rStyle w:val="Hyperlink"/>
            <w:shd w:val="clear" w:color="auto" w:fill="FFFFFF"/>
          </w:rPr>
          <w:t>https://doi.org/10.1016/j.fishres.2012.02.025</w:t>
        </w:r>
      </w:hyperlink>
      <w:r w:rsidR="009E0E94">
        <w:t>.</w:t>
      </w:r>
      <w:r w:rsidR="00982DC6" w:rsidRPr="00E64FF2">
        <w:rPr>
          <w:color w:val="222222"/>
          <w:shd w:val="clear" w:color="auto" w:fill="FFFFFF"/>
        </w:rPr>
        <w:t xml:space="preserve"> </w:t>
      </w:r>
    </w:p>
    <w:p w14:paraId="5A7C5AA6" w14:textId="5471A8EC" w:rsidR="00D02E8A" w:rsidRPr="00E64FF2" w:rsidRDefault="00982DC6" w:rsidP="00E64FF2">
      <w:pPr>
        <w:pStyle w:val="ListParagraph"/>
        <w:numPr>
          <w:ilvl w:val="0"/>
          <w:numId w:val="32"/>
        </w:numPr>
        <w:pBdr>
          <w:top w:val="nil"/>
          <w:left w:val="nil"/>
          <w:bottom w:val="nil"/>
          <w:right w:val="nil"/>
          <w:between w:val="nil"/>
        </w:pBdr>
        <w:jc w:val="both"/>
        <w:rPr>
          <w:bCs/>
          <w:color w:val="000000"/>
        </w:rPr>
      </w:pPr>
      <w:proofErr w:type="spellStart"/>
      <w:r w:rsidRPr="00E64FF2">
        <w:rPr>
          <w:color w:val="222222"/>
          <w:shd w:val="clear" w:color="auto" w:fill="FFFFFF"/>
        </w:rPr>
        <w:t>Rufiati</w:t>
      </w:r>
      <w:proofErr w:type="spellEnd"/>
      <w:r w:rsidRPr="00E64FF2">
        <w:rPr>
          <w:color w:val="222222"/>
          <w:shd w:val="clear" w:color="auto" w:fill="FFFFFF"/>
        </w:rPr>
        <w:t xml:space="preserve">, I., </w:t>
      </w:r>
      <w:proofErr w:type="spellStart"/>
      <w:r w:rsidRPr="00E64FF2">
        <w:rPr>
          <w:color w:val="222222"/>
          <w:shd w:val="clear" w:color="auto" w:fill="FFFFFF"/>
        </w:rPr>
        <w:t>Mahardika</w:t>
      </w:r>
      <w:proofErr w:type="spellEnd"/>
      <w:r w:rsidRPr="00E64FF2">
        <w:rPr>
          <w:color w:val="222222"/>
          <w:shd w:val="clear" w:color="auto" w:fill="FFFFFF"/>
        </w:rPr>
        <w:t xml:space="preserve">, I., &amp; </w:t>
      </w:r>
      <w:proofErr w:type="spellStart"/>
      <w:r w:rsidRPr="00E64FF2">
        <w:rPr>
          <w:color w:val="222222"/>
          <w:shd w:val="clear" w:color="auto" w:fill="FFFFFF"/>
        </w:rPr>
        <w:t>Wijana</w:t>
      </w:r>
      <w:proofErr w:type="spellEnd"/>
      <w:r w:rsidRPr="00E64FF2">
        <w:rPr>
          <w:color w:val="222222"/>
          <w:shd w:val="clear" w:color="auto" w:fill="FFFFFF"/>
        </w:rPr>
        <w:t xml:space="preserve">, M. (2024). </w:t>
      </w:r>
      <w:r w:rsidR="00DC71E1" w:rsidRPr="00E64FF2">
        <w:rPr>
          <w:color w:val="222222"/>
          <w:shd w:val="clear" w:color="auto" w:fill="FFFFFF"/>
        </w:rPr>
        <w:t>A</w:t>
      </w:r>
      <w:r w:rsidR="00C048B8">
        <w:t>ge estimation of octopus (</w:t>
      </w:r>
      <w:r w:rsidR="00C048B8">
        <w:rPr>
          <w:rStyle w:val="Emphasis"/>
        </w:rPr>
        <w:t xml:space="preserve">Octopus </w:t>
      </w:r>
      <w:proofErr w:type="spellStart"/>
      <w:r w:rsidR="00C048B8">
        <w:rPr>
          <w:rStyle w:val="Emphasis"/>
        </w:rPr>
        <w:t>cyanea</w:t>
      </w:r>
      <w:proofErr w:type="spellEnd"/>
      <w:r w:rsidR="00C048B8">
        <w:t xml:space="preserve">) in </w:t>
      </w:r>
      <w:proofErr w:type="spellStart"/>
      <w:r w:rsidR="00C048B8">
        <w:t>Pringgabaya</w:t>
      </w:r>
      <w:proofErr w:type="spellEnd"/>
      <w:r w:rsidR="00C048B8">
        <w:t xml:space="preserve"> and </w:t>
      </w:r>
      <w:proofErr w:type="spellStart"/>
      <w:r w:rsidR="00C048B8">
        <w:t>Poto</w:t>
      </w:r>
      <w:proofErr w:type="spellEnd"/>
      <w:r w:rsidR="00C048B8">
        <w:t xml:space="preserve"> </w:t>
      </w:r>
      <w:proofErr w:type="spellStart"/>
      <w:r w:rsidR="00C048B8">
        <w:t>Tano</w:t>
      </w:r>
      <w:proofErr w:type="spellEnd"/>
      <w:r w:rsidR="00C048B8">
        <w:t xml:space="preserve"> districts using the stylet increment analysis (SIA) method</w:t>
      </w:r>
      <w:r w:rsidRPr="00E64FF2">
        <w:rPr>
          <w:color w:val="222222"/>
          <w:shd w:val="clear" w:color="auto" w:fill="FFFFFF"/>
        </w:rPr>
        <w:t>. </w:t>
      </w:r>
      <w:proofErr w:type="spellStart"/>
      <w:r w:rsidRPr="00E64FF2">
        <w:rPr>
          <w:color w:val="222222"/>
          <w:shd w:val="clear" w:color="auto" w:fill="FFFFFF"/>
        </w:rPr>
        <w:t>Ecotrophic</w:t>
      </w:r>
      <w:proofErr w:type="spellEnd"/>
      <w:r w:rsidRPr="00E64FF2">
        <w:rPr>
          <w:color w:val="222222"/>
          <w:shd w:val="clear" w:color="auto" w:fill="FFFFFF"/>
        </w:rPr>
        <w:t xml:space="preserve"> 18(2), 144</w:t>
      </w:r>
      <w:r w:rsidR="00DC71E1" w:rsidRPr="00E64FF2">
        <w:rPr>
          <w:color w:val="222222"/>
          <w:shd w:val="clear" w:color="auto" w:fill="FFFFFF"/>
        </w:rPr>
        <w:t>-160</w:t>
      </w:r>
      <w:r w:rsidRPr="00E64FF2">
        <w:rPr>
          <w:color w:val="222222"/>
          <w:shd w:val="clear" w:color="auto" w:fill="FFFFFF"/>
        </w:rPr>
        <w:t>.</w:t>
      </w:r>
      <w:r w:rsidR="007C514D" w:rsidRPr="007C514D">
        <w:t xml:space="preserve"> </w:t>
      </w:r>
      <w:r w:rsidR="00DC71E1" w:rsidRPr="00E64FF2">
        <w:rPr>
          <w:bCs/>
          <w:color w:val="000000"/>
        </w:rPr>
        <w:t>[In Bahasa Indonesia]</w:t>
      </w:r>
      <w:r w:rsidR="009E0E94" w:rsidRPr="00E64FF2">
        <w:rPr>
          <w:bCs/>
          <w:color w:val="000000"/>
        </w:rPr>
        <w:t>.</w:t>
      </w:r>
      <w:r w:rsidR="00DC71E1">
        <w:t xml:space="preserve"> </w:t>
      </w:r>
      <w:hyperlink r:id="rId37" w:history="1">
        <w:r w:rsidR="00DC71E1" w:rsidRPr="00E64FF2">
          <w:rPr>
            <w:rStyle w:val="Hyperlink"/>
            <w:shd w:val="clear" w:color="auto" w:fill="FFFFFF"/>
          </w:rPr>
          <w:t>https://doi.org/10.24843/EJES.2024.v18.i02.p01</w:t>
        </w:r>
      </w:hyperlink>
      <w:r w:rsidR="009E0E94">
        <w:t>.</w:t>
      </w:r>
      <w:r w:rsidR="007C514D" w:rsidRPr="00E64FF2">
        <w:rPr>
          <w:color w:val="222222"/>
          <w:shd w:val="clear" w:color="auto" w:fill="FFFFFF"/>
        </w:rPr>
        <w:t xml:space="preserve"> </w:t>
      </w:r>
      <w:r w:rsidRPr="00E64FF2">
        <w:rPr>
          <w:bCs/>
          <w:color w:val="000000"/>
        </w:rPr>
        <w:t xml:space="preserve"> </w:t>
      </w:r>
    </w:p>
    <w:p w14:paraId="6FAE88C4" w14:textId="4F32AF7B" w:rsidR="00D02E8A" w:rsidRPr="00E64FF2" w:rsidRDefault="004F2ED9" w:rsidP="00E64FF2">
      <w:pPr>
        <w:pStyle w:val="ListParagraph"/>
        <w:numPr>
          <w:ilvl w:val="0"/>
          <w:numId w:val="32"/>
        </w:numPr>
        <w:pBdr>
          <w:top w:val="nil"/>
          <w:left w:val="nil"/>
          <w:bottom w:val="nil"/>
          <w:right w:val="nil"/>
          <w:between w:val="nil"/>
        </w:pBdr>
        <w:jc w:val="both"/>
        <w:rPr>
          <w:bCs/>
          <w:color w:val="000000"/>
        </w:rPr>
      </w:pPr>
      <w:r w:rsidRPr="00E64FF2">
        <w:rPr>
          <w:color w:val="222222"/>
          <w:shd w:val="clear" w:color="auto" w:fill="FFFFFF"/>
          <w:lang w:val="sv-SE"/>
        </w:rPr>
        <w:lastRenderedPageBreak/>
        <w:t xml:space="preserve">Semmens, J. M., Pecl, G. T., Villanueva, R., Jouffre, D., Sobrino, I., Wood, J. B., &amp; Rigby, P. R. (2004). </w:t>
      </w:r>
      <w:r w:rsidRPr="00E64FF2">
        <w:rPr>
          <w:color w:val="222222"/>
          <w:shd w:val="clear" w:color="auto" w:fill="FFFFFF"/>
        </w:rPr>
        <w:t>Understanding</w:t>
      </w:r>
      <w:r w:rsidR="009E0E94" w:rsidRPr="00E64FF2">
        <w:rPr>
          <w:color w:val="222222"/>
          <w:shd w:val="clear" w:color="auto" w:fill="FFFFFF"/>
        </w:rPr>
        <w:t xml:space="preserve"> </w:t>
      </w:r>
      <w:r w:rsidRPr="00E64FF2">
        <w:rPr>
          <w:color w:val="222222"/>
          <w:shd w:val="clear" w:color="auto" w:fill="FFFFFF"/>
        </w:rPr>
        <w:t>octopus growth: patterns, variability and physiology. Marine and Freshwater Research, 55(4), 367-377.</w:t>
      </w:r>
      <w:r w:rsidRPr="00E64FF2">
        <w:rPr>
          <w:bCs/>
          <w:color w:val="000000"/>
        </w:rPr>
        <w:t xml:space="preserve"> </w:t>
      </w:r>
      <w:hyperlink r:id="rId38" w:history="1">
        <w:r w:rsidRPr="00E64FF2">
          <w:rPr>
            <w:rStyle w:val="Hyperlink"/>
            <w:bCs/>
          </w:rPr>
          <w:t>https://doi.org/10.1071/MF03155</w:t>
        </w:r>
      </w:hyperlink>
      <w:r w:rsidR="009E0E94">
        <w:t>.</w:t>
      </w:r>
      <w:r w:rsidRPr="00E64FF2">
        <w:rPr>
          <w:bCs/>
          <w:color w:val="000000"/>
        </w:rPr>
        <w:t xml:space="preserve"> </w:t>
      </w:r>
    </w:p>
    <w:p w14:paraId="7F28A31E" w14:textId="57DB7236" w:rsidR="007C514D" w:rsidRDefault="00D02E8A" w:rsidP="00E64FF2">
      <w:pPr>
        <w:pStyle w:val="ListParagraph"/>
        <w:numPr>
          <w:ilvl w:val="0"/>
          <w:numId w:val="32"/>
        </w:numPr>
        <w:pBdr>
          <w:top w:val="nil"/>
          <w:left w:val="nil"/>
          <w:bottom w:val="nil"/>
          <w:right w:val="nil"/>
          <w:between w:val="nil"/>
        </w:pBdr>
        <w:jc w:val="both"/>
      </w:pPr>
      <w:proofErr w:type="spellStart"/>
      <w:r w:rsidRPr="00E64FF2">
        <w:rPr>
          <w:bCs/>
          <w:color w:val="000000"/>
        </w:rPr>
        <w:t>Tarigan</w:t>
      </w:r>
      <w:proofErr w:type="spellEnd"/>
      <w:r w:rsidRPr="00E64FF2">
        <w:rPr>
          <w:bCs/>
          <w:color w:val="000000"/>
        </w:rPr>
        <w:t xml:space="preserve">, D.J, </w:t>
      </w:r>
      <w:r w:rsidR="001344F5" w:rsidRPr="00E64FF2">
        <w:rPr>
          <w:bCs/>
          <w:color w:val="000000"/>
        </w:rPr>
        <w:t>&amp;</w:t>
      </w:r>
      <w:r w:rsidRPr="00E64FF2">
        <w:rPr>
          <w:bCs/>
          <w:color w:val="000000"/>
        </w:rPr>
        <w:t xml:space="preserve"> </w:t>
      </w:r>
      <w:proofErr w:type="spellStart"/>
      <w:r w:rsidRPr="00E64FF2">
        <w:rPr>
          <w:bCs/>
          <w:color w:val="000000"/>
        </w:rPr>
        <w:t>Simbolon</w:t>
      </w:r>
      <w:proofErr w:type="spellEnd"/>
      <w:r w:rsidRPr="00E64FF2">
        <w:rPr>
          <w:bCs/>
          <w:color w:val="000000"/>
        </w:rPr>
        <w:t xml:space="preserve"> D. (2020). </w:t>
      </w:r>
      <w:r w:rsidR="00BC1336">
        <w:t xml:space="preserve">Social and economic characteristics of octopus fishers based on EAFM indicators in </w:t>
      </w:r>
      <w:proofErr w:type="spellStart"/>
      <w:r w:rsidR="00BC1336">
        <w:t>Banggai</w:t>
      </w:r>
      <w:proofErr w:type="spellEnd"/>
      <w:r w:rsidR="00BC1336">
        <w:t xml:space="preserve"> </w:t>
      </w:r>
      <w:proofErr w:type="spellStart"/>
      <w:r w:rsidR="00BC1336">
        <w:t>Laut</w:t>
      </w:r>
      <w:proofErr w:type="spellEnd"/>
      <w:r w:rsidR="00BC1336">
        <w:t xml:space="preserve"> Regency. </w:t>
      </w:r>
      <w:r w:rsidRPr="00E64FF2">
        <w:rPr>
          <w:bCs/>
          <w:color w:val="000000"/>
        </w:rPr>
        <w:t xml:space="preserve">Indonesian Journal </w:t>
      </w:r>
      <w:r w:rsidR="009E0E94" w:rsidRPr="00E64FF2">
        <w:rPr>
          <w:bCs/>
          <w:color w:val="000000"/>
        </w:rPr>
        <w:t>o</w:t>
      </w:r>
      <w:r w:rsidRPr="00E64FF2">
        <w:rPr>
          <w:bCs/>
          <w:color w:val="000000"/>
        </w:rPr>
        <w:t>f Maritime</w:t>
      </w:r>
      <w:r w:rsidR="009E0E94" w:rsidRPr="00E64FF2">
        <w:rPr>
          <w:bCs/>
          <w:color w:val="000000"/>
        </w:rPr>
        <w:t xml:space="preserve">, </w:t>
      </w:r>
      <w:r w:rsidRPr="00E64FF2">
        <w:rPr>
          <w:bCs/>
          <w:color w:val="000000"/>
        </w:rPr>
        <w:t>1(1)</w:t>
      </w:r>
      <w:r w:rsidR="00777882" w:rsidRPr="00E64FF2">
        <w:rPr>
          <w:bCs/>
          <w:color w:val="000000"/>
        </w:rPr>
        <w:t xml:space="preserve">, </w:t>
      </w:r>
      <w:r w:rsidRPr="00E64FF2">
        <w:rPr>
          <w:bCs/>
          <w:color w:val="000000"/>
        </w:rPr>
        <w:t>1–10.</w:t>
      </w:r>
      <w:r w:rsidR="006A7468" w:rsidRPr="00E64FF2">
        <w:rPr>
          <w:bCs/>
          <w:color w:val="000000"/>
        </w:rPr>
        <w:t xml:space="preserve"> </w:t>
      </w:r>
      <w:r w:rsidR="00777882" w:rsidRPr="00E64FF2">
        <w:rPr>
          <w:bCs/>
          <w:color w:val="000000"/>
        </w:rPr>
        <w:t>[In Bahasa Indonesia]</w:t>
      </w:r>
      <w:r w:rsidR="009E0E94" w:rsidRPr="00E64FF2">
        <w:rPr>
          <w:bCs/>
          <w:color w:val="000000"/>
        </w:rPr>
        <w:t>.</w:t>
      </w:r>
      <w:r w:rsidR="00777882">
        <w:t xml:space="preserve"> </w:t>
      </w:r>
      <w:hyperlink r:id="rId39" w:history="1">
        <w:r w:rsidR="00777882" w:rsidRPr="00F27BDB">
          <w:rPr>
            <w:rStyle w:val="Hyperlink"/>
          </w:rPr>
          <w:t>https://doi.org/10.17509/ijom.v1i1.24620</w:t>
        </w:r>
      </w:hyperlink>
      <w:r w:rsidR="007C514D">
        <w:t xml:space="preserve"> </w:t>
      </w:r>
    </w:p>
    <w:p w14:paraId="21D8460F" w14:textId="4539BF87" w:rsidR="001344F5" w:rsidRPr="00E64FF2" w:rsidRDefault="00D035BE" w:rsidP="00E64FF2">
      <w:pPr>
        <w:pStyle w:val="ListParagraph"/>
        <w:numPr>
          <w:ilvl w:val="0"/>
          <w:numId w:val="32"/>
        </w:numPr>
        <w:pBdr>
          <w:top w:val="nil"/>
          <w:left w:val="nil"/>
          <w:bottom w:val="nil"/>
          <w:right w:val="nil"/>
          <w:between w:val="nil"/>
        </w:pBdr>
        <w:jc w:val="both"/>
        <w:rPr>
          <w:bCs/>
        </w:rPr>
      </w:pPr>
      <w:proofErr w:type="spellStart"/>
      <w:r w:rsidRPr="00E64FF2">
        <w:rPr>
          <w:shd w:val="clear" w:color="auto" w:fill="FFFFFF"/>
        </w:rPr>
        <w:t>Taqwa</w:t>
      </w:r>
      <w:proofErr w:type="spellEnd"/>
      <w:r w:rsidRPr="00E64FF2">
        <w:rPr>
          <w:shd w:val="clear" w:color="auto" w:fill="FFFFFF"/>
        </w:rPr>
        <w:t xml:space="preserve">, M. (2020). Distribution map of octopus (Octopus </w:t>
      </w:r>
      <w:proofErr w:type="spellStart"/>
      <w:r w:rsidRPr="00E64FF2">
        <w:rPr>
          <w:shd w:val="clear" w:color="auto" w:fill="FFFFFF"/>
        </w:rPr>
        <w:t>cyanea</w:t>
      </w:r>
      <w:proofErr w:type="spellEnd"/>
      <w:r w:rsidRPr="00E64FF2">
        <w:rPr>
          <w:shd w:val="clear" w:color="auto" w:fill="FFFFFF"/>
        </w:rPr>
        <w:t xml:space="preserve">) fishing grounds in the </w:t>
      </w:r>
      <w:proofErr w:type="spellStart"/>
      <w:r w:rsidRPr="00E64FF2">
        <w:rPr>
          <w:shd w:val="clear" w:color="auto" w:fill="FFFFFF"/>
        </w:rPr>
        <w:t>Maros-Pangkep</w:t>
      </w:r>
      <w:proofErr w:type="spellEnd"/>
      <w:r w:rsidRPr="00E64FF2">
        <w:rPr>
          <w:shd w:val="clear" w:color="auto" w:fill="FFFFFF"/>
        </w:rPr>
        <w:t xml:space="preserve"> Geopark area, South Sulawesi (Thesis, </w:t>
      </w:r>
      <w:proofErr w:type="spellStart"/>
      <w:r w:rsidRPr="00E64FF2">
        <w:rPr>
          <w:shd w:val="clear" w:color="auto" w:fill="FFFFFF"/>
        </w:rPr>
        <w:t>Hasanuddin</w:t>
      </w:r>
      <w:proofErr w:type="spellEnd"/>
      <w:r w:rsidRPr="00E64FF2">
        <w:rPr>
          <w:shd w:val="clear" w:color="auto" w:fill="FFFFFF"/>
        </w:rPr>
        <w:t xml:space="preserve"> University). </w:t>
      </w:r>
    </w:p>
    <w:p w14:paraId="7D2B6BA3" w14:textId="77777777" w:rsidR="007C514D" w:rsidRPr="00E64FF2" w:rsidRDefault="00D02E8A" w:rsidP="00E64FF2">
      <w:pPr>
        <w:pStyle w:val="ListParagraph"/>
        <w:numPr>
          <w:ilvl w:val="0"/>
          <w:numId w:val="32"/>
        </w:numPr>
        <w:pBdr>
          <w:top w:val="nil"/>
          <w:left w:val="nil"/>
          <w:bottom w:val="nil"/>
          <w:right w:val="nil"/>
          <w:between w:val="nil"/>
        </w:pBdr>
        <w:jc w:val="both"/>
        <w:rPr>
          <w:bCs/>
          <w:color w:val="000000"/>
          <w:lang w:val="sv-SE"/>
        </w:rPr>
      </w:pPr>
      <w:r w:rsidRPr="00E64FF2">
        <w:rPr>
          <w:bCs/>
          <w:color w:val="000000"/>
        </w:rPr>
        <w:t xml:space="preserve">Walpole, R. E. (1992). </w:t>
      </w:r>
      <w:r w:rsidR="00BC1336" w:rsidRPr="00E64FF2">
        <w:rPr>
          <w:rStyle w:val="Emphasis"/>
          <w:i w:val="0"/>
          <w:iCs w:val="0"/>
        </w:rPr>
        <w:t>Introduction to statistics</w:t>
      </w:r>
      <w:r w:rsidR="00BC1336">
        <w:t xml:space="preserve"> (3rd ed.</w:t>
      </w:r>
      <w:r w:rsidRPr="00E64FF2">
        <w:rPr>
          <w:bCs/>
          <w:color w:val="000000"/>
        </w:rPr>
        <w:t xml:space="preserve">). </w:t>
      </w:r>
      <w:r w:rsidR="00BC1336" w:rsidRPr="00E64FF2">
        <w:rPr>
          <w:bCs/>
          <w:color w:val="000000"/>
          <w:lang w:val="sv-SE"/>
        </w:rPr>
        <w:t xml:space="preserve">Jakarta: </w:t>
      </w:r>
      <w:r w:rsidRPr="00E64FF2">
        <w:rPr>
          <w:bCs/>
          <w:color w:val="000000"/>
          <w:lang w:val="sv-SE"/>
        </w:rPr>
        <w:t>PT Gramedia Pustaka Utama</w:t>
      </w:r>
      <w:r w:rsidR="00BC1336" w:rsidRPr="00E64FF2">
        <w:rPr>
          <w:bCs/>
          <w:color w:val="000000"/>
          <w:lang w:val="sv-SE"/>
        </w:rPr>
        <w:t>.</w:t>
      </w:r>
    </w:p>
    <w:p w14:paraId="77C23E4E" w14:textId="136409AB" w:rsidR="007C514D" w:rsidRPr="00E64FF2" w:rsidRDefault="007C514D" w:rsidP="00E64FF2">
      <w:pPr>
        <w:pStyle w:val="ListParagraph"/>
        <w:numPr>
          <w:ilvl w:val="0"/>
          <w:numId w:val="32"/>
        </w:numPr>
        <w:pBdr>
          <w:top w:val="nil"/>
          <w:left w:val="nil"/>
          <w:bottom w:val="nil"/>
          <w:right w:val="nil"/>
          <w:between w:val="nil"/>
        </w:pBdr>
        <w:jc w:val="both"/>
        <w:rPr>
          <w:bCs/>
          <w:color w:val="000000"/>
          <w:lang w:val="sv-SE"/>
        </w:rPr>
      </w:pPr>
      <w:r w:rsidRPr="00E64FF2">
        <w:rPr>
          <w:color w:val="222222"/>
          <w:shd w:val="clear" w:color="auto" w:fill="FFFFFF"/>
          <w:lang w:val="sv-SE"/>
        </w:rPr>
        <w:t xml:space="preserve">Yunita, L. H., Ramdhani, F., Wulanda, Y., Magwa, R. J., Gelis, E. R. E., &amp; Heltria, S. (2023). </w:t>
      </w:r>
      <w:r w:rsidRPr="00E64FF2">
        <w:rPr>
          <w:color w:val="222222"/>
          <w:shd w:val="clear" w:color="auto" w:fill="FFFFFF"/>
        </w:rPr>
        <w:t>Gonad maturity stages of snappers (</w:t>
      </w:r>
      <w:proofErr w:type="spellStart"/>
      <w:r w:rsidRPr="00E64FF2">
        <w:rPr>
          <w:i/>
          <w:iCs/>
          <w:color w:val="222222"/>
          <w:shd w:val="clear" w:color="auto" w:fill="FFFFFF"/>
        </w:rPr>
        <w:t>Lutjanus</w:t>
      </w:r>
      <w:proofErr w:type="spellEnd"/>
      <w:r w:rsidRPr="00E64FF2">
        <w:rPr>
          <w:i/>
          <w:iCs/>
          <w:color w:val="222222"/>
          <w:shd w:val="clear" w:color="auto" w:fill="FFFFFF"/>
        </w:rPr>
        <w:t xml:space="preserve"> </w:t>
      </w:r>
      <w:proofErr w:type="spellStart"/>
      <w:r w:rsidRPr="00E64FF2">
        <w:rPr>
          <w:i/>
          <w:iCs/>
          <w:color w:val="222222"/>
          <w:shd w:val="clear" w:color="auto" w:fill="FFFFFF"/>
        </w:rPr>
        <w:t>vitta</w:t>
      </w:r>
      <w:proofErr w:type="spellEnd"/>
      <w:r w:rsidRPr="00E64FF2">
        <w:rPr>
          <w:color w:val="222222"/>
          <w:shd w:val="clear" w:color="auto" w:fill="FFFFFF"/>
        </w:rPr>
        <w:t xml:space="preserve">) landed at TPI </w:t>
      </w:r>
      <w:proofErr w:type="spellStart"/>
      <w:r w:rsidRPr="00E64FF2">
        <w:rPr>
          <w:color w:val="222222"/>
          <w:shd w:val="clear" w:color="auto" w:fill="FFFFFF"/>
        </w:rPr>
        <w:t>Tanjung</w:t>
      </w:r>
      <w:proofErr w:type="spellEnd"/>
      <w:r w:rsidRPr="00E64FF2">
        <w:rPr>
          <w:color w:val="222222"/>
          <w:shd w:val="clear" w:color="auto" w:fill="FFFFFF"/>
        </w:rPr>
        <w:t xml:space="preserve"> </w:t>
      </w:r>
      <w:proofErr w:type="spellStart"/>
      <w:r w:rsidRPr="00E64FF2">
        <w:rPr>
          <w:color w:val="222222"/>
          <w:shd w:val="clear" w:color="auto" w:fill="FFFFFF"/>
        </w:rPr>
        <w:t>Pasir</w:t>
      </w:r>
      <w:proofErr w:type="spellEnd"/>
      <w:r w:rsidRPr="00E64FF2">
        <w:rPr>
          <w:color w:val="222222"/>
          <w:shd w:val="clear" w:color="auto" w:fill="FFFFFF"/>
        </w:rPr>
        <w:t>, Tangerang</w:t>
      </w:r>
      <w:r w:rsidRPr="00E64FF2">
        <w:rPr>
          <w:b/>
          <w:caps/>
          <w:color w:val="222222"/>
          <w:shd w:val="clear" w:color="auto" w:fill="FFFFFF"/>
        </w:rPr>
        <w:t xml:space="preserve"> </w:t>
      </w:r>
      <w:r w:rsidRPr="00E64FF2">
        <w:rPr>
          <w:color w:val="222222"/>
          <w:shd w:val="clear" w:color="auto" w:fill="FFFFFF"/>
        </w:rPr>
        <w:t xml:space="preserve">Regency. </w:t>
      </w:r>
      <w:r w:rsidRPr="00E64FF2">
        <w:rPr>
          <w:i/>
          <w:iCs/>
          <w:color w:val="222222"/>
          <w:shd w:val="clear" w:color="auto" w:fill="FFFFFF"/>
          <w:lang w:val="sv-SE"/>
        </w:rPr>
        <w:t>Jurnal Teknologi Perikanan Dan Kelautan, 14</w:t>
      </w:r>
      <w:r w:rsidRPr="00E64FF2">
        <w:rPr>
          <w:color w:val="222222"/>
          <w:shd w:val="clear" w:color="auto" w:fill="FFFFFF"/>
          <w:lang w:val="sv-SE"/>
        </w:rPr>
        <w:t xml:space="preserve">(2), 213–219. </w:t>
      </w:r>
      <w:r w:rsidR="009E0E94" w:rsidRPr="00E64FF2">
        <w:rPr>
          <w:color w:val="222222"/>
          <w:shd w:val="clear" w:color="auto" w:fill="FFFFFF"/>
          <w:lang w:val="sv-SE"/>
        </w:rPr>
        <w:t xml:space="preserve">[In Bahasa Indonesia]. </w:t>
      </w:r>
      <w:hyperlink r:id="rId40" w:history="1">
        <w:r w:rsidR="009E0E94" w:rsidRPr="00E64FF2">
          <w:rPr>
            <w:rStyle w:val="Hyperlink"/>
            <w:shd w:val="clear" w:color="auto" w:fill="FFFFFF"/>
            <w:lang w:val="sv-SE"/>
          </w:rPr>
          <w:t>https://doi.org/10.24319/jtpk.14.213-219</w:t>
        </w:r>
      </w:hyperlink>
      <w:r w:rsidR="009E0E94" w:rsidRPr="00E64FF2">
        <w:rPr>
          <w:lang w:val="sv-SE"/>
        </w:rPr>
        <w:t xml:space="preserve">. </w:t>
      </w:r>
    </w:p>
    <w:p w14:paraId="56B62788" w14:textId="77777777" w:rsidR="000E74A1" w:rsidRDefault="000E74A1" w:rsidP="00441B6F">
      <w:pPr>
        <w:pStyle w:val="Appendix"/>
        <w:spacing w:after="0"/>
        <w:jc w:val="both"/>
        <w:rPr>
          <w:rFonts w:ascii="Arial" w:hAnsi="Arial" w:cs="Arial"/>
          <w:b w:val="0"/>
          <w:caps w:val="0"/>
          <w:color w:val="222222"/>
          <w:sz w:val="20"/>
          <w:shd w:val="clear" w:color="auto" w:fill="FFFFFF"/>
          <w:lang w:val="sv-SE"/>
        </w:rPr>
      </w:pPr>
    </w:p>
    <w:p w14:paraId="43311F0B" w14:textId="0F76D88B" w:rsidR="004D4277" w:rsidRPr="009F5FB8" w:rsidRDefault="004D4277" w:rsidP="00441B6F">
      <w:pPr>
        <w:pStyle w:val="Appendix"/>
        <w:spacing w:after="0"/>
        <w:jc w:val="both"/>
        <w:rPr>
          <w:rFonts w:ascii="Arial" w:hAnsi="Arial" w:cs="Arial"/>
          <w:b w:val="0"/>
          <w:lang w:val="sv-SE"/>
        </w:rPr>
        <w:sectPr w:rsidR="004D4277" w:rsidRPr="009F5FB8" w:rsidSect="00AB3153">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p>
    <w:p w14:paraId="4E80BE57" w14:textId="77777777" w:rsidR="00B01FCD" w:rsidRPr="009F5FB8" w:rsidRDefault="00B01FCD" w:rsidP="000E74A1">
      <w:pPr>
        <w:pStyle w:val="Appendix"/>
        <w:spacing w:after="0"/>
        <w:jc w:val="both"/>
        <w:rPr>
          <w:rFonts w:ascii="Arial" w:hAnsi="Arial" w:cs="Arial"/>
          <w:b w:val="0"/>
          <w:lang w:val="sv-SE"/>
        </w:rPr>
      </w:pPr>
    </w:p>
    <w:sectPr w:rsidR="00B01FCD" w:rsidRPr="009F5FB8" w:rsidSect="00AB315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3ACF7" w14:textId="77777777" w:rsidR="00915F86" w:rsidRDefault="00915F86" w:rsidP="00C37E61">
      <w:r>
        <w:separator/>
      </w:r>
    </w:p>
  </w:endnote>
  <w:endnote w:type="continuationSeparator" w:id="0">
    <w:p w14:paraId="6E3E6B33" w14:textId="77777777" w:rsidR="00915F86" w:rsidRDefault="00915F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57910"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FF762" w14:textId="03C679EC" w:rsidR="00C37E61" w:rsidRPr="008218EA" w:rsidRDefault="00C37E61" w:rsidP="00821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CB80F" w14:textId="77777777" w:rsidR="009E048A" w:rsidRDefault="009E048A">
    <w:pPr>
      <w:pStyle w:val="Footer"/>
      <w:rPr>
        <w:rFonts w:ascii="Arial" w:hAnsi="Arial" w:cs="Arial"/>
        <w:sz w:val="16"/>
      </w:rPr>
    </w:pPr>
  </w:p>
  <w:p w14:paraId="68CDCF9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A0EFC1" w14:textId="77777777" w:rsidR="009E048A" w:rsidRDefault="009E048A">
    <w:pPr>
      <w:pStyle w:val="Footer"/>
      <w:rPr>
        <w:rFonts w:ascii="Arial" w:hAnsi="Arial" w:cs="Arial"/>
        <w:sz w:val="16"/>
      </w:rPr>
    </w:pPr>
  </w:p>
  <w:p w14:paraId="4B1A8D9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FE91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09511" w14:textId="77777777" w:rsidR="00915F86" w:rsidRDefault="00915F86" w:rsidP="00C37E61">
      <w:r>
        <w:separator/>
      </w:r>
    </w:p>
  </w:footnote>
  <w:footnote w:type="continuationSeparator" w:id="0">
    <w:p w14:paraId="139819FE" w14:textId="77777777" w:rsidR="00915F86" w:rsidRDefault="00915F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AD948" w14:textId="1B47297A" w:rsidR="00BF121F" w:rsidRDefault="00915F86">
    <w:pPr>
      <w:pStyle w:val="Header"/>
    </w:pPr>
    <w:r>
      <w:rPr>
        <w:noProof/>
      </w:rPr>
      <w:pict w14:anchorId="7C6A7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2F50" w14:textId="0D82F84E" w:rsidR="00BF121F" w:rsidRDefault="00915F86">
    <w:pPr>
      <w:pStyle w:val="Header"/>
    </w:pPr>
    <w:r>
      <w:rPr>
        <w:noProof/>
      </w:rPr>
      <w:pict w14:anchorId="1D096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7B808" w14:textId="5033F8F9" w:rsidR="00296529" w:rsidRPr="00296529" w:rsidRDefault="00915F86" w:rsidP="00296529">
    <w:pPr>
      <w:ind w:left="2160"/>
      <w:jc w:val="center"/>
      <w:rPr>
        <w:rFonts w:ascii="Times New Roman" w:eastAsia="Calibri" w:hAnsi="Times New Roman"/>
        <w:i/>
        <w:sz w:val="18"/>
        <w:szCs w:val="22"/>
      </w:rPr>
    </w:pPr>
    <w:r>
      <w:rPr>
        <w:noProof/>
      </w:rPr>
      <w:pict w14:anchorId="530A6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DBCA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F252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51FA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F8F42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BBB41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F9B9F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D5C8A" w14:textId="3F0BA07F" w:rsidR="00AB3153" w:rsidRDefault="00915F86">
    <w:pPr>
      <w:pStyle w:val="Header"/>
    </w:pPr>
    <w:r>
      <w:rPr>
        <w:noProof/>
      </w:rPr>
      <w:pict w14:anchorId="78B12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6645" w14:textId="31DE5AC9" w:rsidR="00AB3153" w:rsidRDefault="00915F86">
    <w:pPr>
      <w:pStyle w:val="Header"/>
    </w:pPr>
    <w:r>
      <w:rPr>
        <w:noProof/>
      </w:rPr>
      <w:pict w14:anchorId="372F6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8D3A9" w14:textId="24489162" w:rsidR="00AB3153" w:rsidRDefault="00915F86">
    <w:pPr>
      <w:pStyle w:val="Header"/>
    </w:pPr>
    <w:r>
      <w:rPr>
        <w:noProof/>
      </w:rPr>
      <w:pict w14:anchorId="16505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B47B89"/>
    <w:multiLevelType w:val="hybridMultilevel"/>
    <w:tmpl w:val="3782FC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C51F8E"/>
    <w:multiLevelType w:val="hybridMultilevel"/>
    <w:tmpl w:val="8730CB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2"/>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EDD"/>
    <w:rsid w:val="000151C5"/>
    <w:rsid w:val="00022BB1"/>
    <w:rsid w:val="00023265"/>
    <w:rsid w:val="00023ADB"/>
    <w:rsid w:val="00024FBC"/>
    <w:rsid w:val="00030174"/>
    <w:rsid w:val="0003118F"/>
    <w:rsid w:val="00033C9C"/>
    <w:rsid w:val="0004579C"/>
    <w:rsid w:val="00045E04"/>
    <w:rsid w:val="000552C3"/>
    <w:rsid w:val="0006683C"/>
    <w:rsid w:val="0007085A"/>
    <w:rsid w:val="00072423"/>
    <w:rsid w:val="0007254D"/>
    <w:rsid w:val="00082A59"/>
    <w:rsid w:val="000A47FA"/>
    <w:rsid w:val="000A65D3"/>
    <w:rsid w:val="000B1E33"/>
    <w:rsid w:val="000B4AEA"/>
    <w:rsid w:val="000B7BF1"/>
    <w:rsid w:val="000C3D25"/>
    <w:rsid w:val="000D689F"/>
    <w:rsid w:val="000E39B1"/>
    <w:rsid w:val="000E74A1"/>
    <w:rsid w:val="000E7B7B"/>
    <w:rsid w:val="000E7D62"/>
    <w:rsid w:val="000F3182"/>
    <w:rsid w:val="00102933"/>
    <w:rsid w:val="00103357"/>
    <w:rsid w:val="00103A8B"/>
    <w:rsid w:val="0011220D"/>
    <w:rsid w:val="001140E0"/>
    <w:rsid w:val="00121554"/>
    <w:rsid w:val="001215EB"/>
    <w:rsid w:val="00123C9F"/>
    <w:rsid w:val="00126190"/>
    <w:rsid w:val="00130AF5"/>
    <w:rsid w:val="00130F17"/>
    <w:rsid w:val="001320BF"/>
    <w:rsid w:val="00133771"/>
    <w:rsid w:val="001344F5"/>
    <w:rsid w:val="00163BC4"/>
    <w:rsid w:val="00180666"/>
    <w:rsid w:val="00183B0D"/>
    <w:rsid w:val="00191062"/>
    <w:rsid w:val="00192B72"/>
    <w:rsid w:val="001A20EB"/>
    <w:rsid w:val="001A29D8"/>
    <w:rsid w:val="001A5CAA"/>
    <w:rsid w:val="001A7A65"/>
    <w:rsid w:val="001B0427"/>
    <w:rsid w:val="001D3890"/>
    <w:rsid w:val="001D3A51"/>
    <w:rsid w:val="001E10D2"/>
    <w:rsid w:val="001E25B4"/>
    <w:rsid w:val="001E44FE"/>
    <w:rsid w:val="001F3270"/>
    <w:rsid w:val="001F6062"/>
    <w:rsid w:val="00200595"/>
    <w:rsid w:val="00200689"/>
    <w:rsid w:val="00204835"/>
    <w:rsid w:val="00212B7F"/>
    <w:rsid w:val="0021644E"/>
    <w:rsid w:val="00222B62"/>
    <w:rsid w:val="00231920"/>
    <w:rsid w:val="0023195C"/>
    <w:rsid w:val="0024282C"/>
    <w:rsid w:val="002460DC"/>
    <w:rsid w:val="00250985"/>
    <w:rsid w:val="00250BAB"/>
    <w:rsid w:val="00251AE1"/>
    <w:rsid w:val="002556F6"/>
    <w:rsid w:val="00256507"/>
    <w:rsid w:val="00283105"/>
    <w:rsid w:val="00284C4C"/>
    <w:rsid w:val="00287E68"/>
    <w:rsid w:val="00291A1A"/>
    <w:rsid w:val="00296529"/>
    <w:rsid w:val="00296C27"/>
    <w:rsid w:val="002A0826"/>
    <w:rsid w:val="002B27FB"/>
    <w:rsid w:val="002B685A"/>
    <w:rsid w:val="002C57D2"/>
    <w:rsid w:val="002D0C77"/>
    <w:rsid w:val="002D2FFB"/>
    <w:rsid w:val="002D5034"/>
    <w:rsid w:val="002E0D56"/>
    <w:rsid w:val="002E447E"/>
    <w:rsid w:val="002F40CD"/>
    <w:rsid w:val="003102FE"/>
    <w:rsid w:val="003119B2"/>
    <w:rsid w:val="003123E7"/>
    <w:rsid w:val="00315186"/>
    <w:rsid w:val="0033343E"/>
    <w:rsid w:val="00340341"/>
    <w:rsid w:val="003512C2"/>
    <w:rsid w:val="00360FE5"/>
    <w:rsid w:val="00371FB6"/>
    <w:rsid w:val="00372A2C"/>
    <w:rsid w:val="003763C1"/>
    <w:rsid w:val="00376BBE"/>
    <w:rsid w:val="0038222C"/>
    <w:rsid w:val="00387725"/>
    <w:rsid w:val="0039224F"/>
    <w:rsid w:val="003A12EC"/>
    <w:rsid w:val="003A43A4"/>
    <w:rsid w:val="003A667B"/>
    <w:rsid w:val="003A7E18"/>
    <w:rsid w:val="003B1130"/>
    <w:rsid w:val="003C1DE0"/>
    <w:rsid w:val="003C4C86"/>
    <w:rsid w:val="003C6258"/>
    <w:rsid w:val="003D59B7"/>
    <w:rsid w:val="003D79EC"/>
    <w:rsid w:val="003E2904"/>
    <w:rsid w:val="003E2D5B"/>
    <w:rsid w:val="003F43B9"/>
    <w:rsid w:val="003F5A97"/>
    <w:rsid w:val="003F61C2"/>
    <w:rsid w:val="00401927"/>
    <w:rsid w:val="0041027F"/>
    <w:rsid w:val="00410623"/>
    <w:rsid w:val="00412475"/>
    <w:rsid w:val="00421D49"/>
    <w:rsid w:val="00423789"/>
    <w:rsid w:val="00431C12"/>
    <w:rsid w:val="00440F43"/>
    <w:rsid w:val="00441B6F"/>
    <w:rsid w:val="00446221"/>
    <w:rsid w:val="004509F1"/>
    <w:rsid w:val="00450E62"/>
    <w:rsid w:val="004539DB"/>
    <w:rsid w:val="0046528E"/>
    <w:rsid w:val="004652D0"/>
    <w:rsid w:val="00465FFC"/>
    <w:rsid w:val="00471A80"/>
    <w:rsid w:val="00473CD9"/>
    <w:rsid w:val="004768AE"/>
    <w:rsid w:val="00480624"/>
    <w:rsid w:val="00483791"/>
    <w:rsid w:val="004867B4"/>
    <w:rsid w:val="00487BBF"/>
    <w:rsid w:val="004B669B"/>
    <w:rsid w:val="004C4C1B"/>
    <w:rsid w:val="004D19B3"/>
    <w:rsid w:val="004D2350"/>
    <w:rsid w:val="004D305E"/>
    <w:rsid w:val="004D3BA5"/>
    <w:rsid w:val="004D4277"/>
    <w:rsid w:val="004E13DD"/>
    <w:rsid w:val="004E2056"/>
    <w:rsid w:val="004F112C"/>
    <w:rsid w:val="004F2ED9"/>
    <w:rsid w:val="004F7471"/>
    <w:rsid w:val="004F7E5B"/>
    <w:rsid w:val="005003F9"/>
    <w:rsid w:val="00502516"/>
    <w:rsid w:val="005033E1"/>
    <w:rsid w:val="00503BB3"/>
    <w:rsid w:val="00503E51"/>
    <w:rsid w:val="00505F06"/>
    <w:rsid w:val="00506828"/>
    <w:rsid w:val="00513FF5"/>
    <w:rsid w:val="00521FC3"/>
    <w:rsid w:val="00524C32"/>
    <w:rsid w:val="0053056E"/>
    <w:rsid w:val="00532524"/>
    <w:rsid w:val="00540D2C"/>
    <w:rsid w:val="00544286"/>
    <w:rsid w:val="0055271B"/>
    <w:rsid w:val="00552E22"/>
    <w:rsid w:val="00554FDA"/>
    <w:rsid w:val="00560ABD"/>
    <w:rsid w:val="00560F80"/>
    <w:rsid w:val="00567265"/>
    <w:rsid w:val="00583075"/>
    <w:rsid w:val="005923A6"/>
    <w:rsid w:val="005940F3"/>
    <w:rsid w:val="005B722E"/>
    <w:rsid w:val="005C784C"/>
    <w:rsid w:val="005D17F6"/>
    <w:rsid w:val="005D2527"/>
    <w:rsid w:val="005D7B89"/>
    <w:rsid w:val="005E5539"/>
    <w:rsid w:val="005F6CC2"/>
    <w:rsid w:val="00602BF5"/>
    <w:rsid w:val="006054C0"/>
    <w:rsid w:val="0061114F"/>
    <w:rsid w:val="00614201"/>
    <w:rsid w:val="00617FDD"/>
    <w:rsid w:val="00626008"/>
    <w:rsid w:val="006278FF"/>
    <w:rsid w:val="00633614"/>
    <w:rsid w:val="00633F68"/>
    <w:rsid w:val="00636EB2"/>
    <w:rsid w:val="006375B8"/>
    <w:rsid w:val="006530F6"/>
    <w:rsid w:val="0066510A"/>
    <w:rsid w:val="00673F9F"/>
    <w:rsid w:val="0067624C"/>
    <w:rsid w:val="00681BEA"/>
    <w:rsid w:val="00686953"/>
    <w:rsid w:val="00687DEA"/>
    <w:rsid w:val="00687E67"/>
    <w:rsid w:val="0069111D"/>
    <w:rsid w:val="00694220"/>
    <w:rsid w:val="006967F7"/>
    <w:rsid w:val="006A250C"/>
    <w:rsid w:val="006A38C5"/>
    <w:rsid w:val="006A515D"/>
    <w:rsid w:val="006A7468"/>
    <w:rsid w:val="006B0152"/>
    <w:rsid w:val="006B21D3"/>
    <w:rsid w:val="006B57D0"/>
    <w:rsid w:val="006B5ABD"/>
    <w:rsid w:val="006C436A"/>
    <w:rsid w:val="006C48D1"/>
    <w:rsid w:val="006C5F1A"/>
    <w:rsid w:val="006D30FF"/>
    <w:rsid w:val="006D6940"/>
    <w:rsid w:val="006E1A86"/>
    <w:rsid w:val="006F11EC"/>
    <w:rsid w:val="006F19BD"/>
    <w:rsid w:val="006F27BF"/>
    <w:rsid w:val="006F7BE6"/>
    <w:rsid w:val="0070082C"/>
    <w:rsid w:val="00710D60"/>
    <w:rsid w:val="00717AF4"/>
    <w:rsid w:val="00723E5A"/>
    <w:rsid w:val="007248F6"/>
    <w:rsid w:val="007369E6"/>
    <w:rsid w:val="00746E59"/>
    <w:rsid w:val="00747E28"/>
    <w:rsid w:val="0075135D"/>
    <w:rsid w:val="00754C9A"/>
    <w:rsid w:val="0075599A"/>
    <w:rsid w:val="00755E94"/>
    <w:rsid w:val="0075638F"/>
    <w:rsid w:val="007577CF"/>
    <w:rsid w:val="00761D52"/>
    <w:rsid w:val="00762F79"/>
    <w:rsid w:val="00771ECC"/>
    <w:rsid w:val="00776A83"/>
    <w:rsid w:val="0077749E"/>
    <w:rsid w:val="00777882"/>
    <w:rsid w:val="007801F1"/>
    <w:rsid w:val="00790ADA"/>
    <w:rsid w:val="007938B0"/>
    <w:rsid w:val="00796045"/>
    <w:rsid w:val="007B4C33"/>
    <w:rsid w:val="007B79F2"/>
    <w:rsid w:val="007C514D"/>
    <w:rsid w:val="007D2288"/>
    <w:rsid w:val="007E088F"/>
    <w:rsid w:val="007F369D"/>
    <w:rsid w:val="007F45B3"/>
    <w:rsid w:val="007F72D4"/>
    <w:rsid w:val="007F7B32"/>
    <w:rsid w:val="007F7EFE"/>
    <w:rsid w:val="00803E65"/>
    <w:rsid w:val="00804BC2"/>
    <w:rsid w:val="008059D2"/>
    <w:rsid w:val="00812D77"/>
    <w:rsid w:val="008130EF"/>
    <w:rsid w:val="0081431A"/>
    <w:rsid w:val="008165FC"/>
    <w:rsid w:val="008218EA"/>
    <w:rsid w:val="0083216F"/>
    <w:rsid w:val="00834B50"/>
    <w:rsid w:val="0083566A"/>
    <w:rsid w:val="00835D69"/>
    <w:rsid w:val="00841252"/>
    <w:rsid w:val="00842D9C"/>
    <w:rsid w:val="0084450D"/>
    <w:rsid w:val="00860000"/>
    <w:rsid w:val="00863BD3"/>
    <w:rsid w:val="008641ED"/>
    <w:rsid w:val="00866D66"/>
    <w:rsid w:val="008671C6"/>
    <w:rsid w:val="00870C64"/>
    <w:rsid w:val="00875803"/>
    <w:rsid w:val="00882039"/>
    <w:rsid w:val="008825A6"/>
    <w:rsid w:val="008857FC"/>
    <w:rsid w:val="00893F40"/>
    <w:rsid w:val="00896363"/>
    <w:rsid w:val="00897AA3"/>
    <w:rsid w:val="008B1BAF"/>
    <w:rsid w:val="008B1F7B"/>
    <w:rsid w:val="008B459E"/>
    <w:rsid w:val="008C5027"/>
    <w:rsid w:val="008D0D62"/>
    <w:rsid w:val="008E13AE"/>
    <w:rsid w:val="008E1506"/>
    <w:rsid w:val="008E710C"/>
    <w:rsid w:val="008F4E18"/>
    <w:rsid w:val="008F69D6"/>
    <w:rsid w:val="00902823"/>
    <w:rsid w:val="00915CA6"/>
    <w:rsid w:val="00915F86"/>
    <w:rsid w:val="0091630F"/>
    <w:rsid w:val="00923932"/>
    <w:rsid w:val="00927834"/>
    <w:rsid w:val="00946B33"/>
    <w:rsid w:val="009500A6"/>
    <w:rsid w:val="00957C18"/>
    <w:rsid w:val="009659BA"/>
    <w:rsid w:val="00965EED"/>
    <w:rsid w:val="00982DC6"/>
    <w:rsid w:val="00983040"/>
    <w:rsid w:val="00986C1A"/>
    <w:rsid w:val="009A020D"/>
    <w:rsid w:val="009A56B9"/>
    <w:rsid w:val="009B3D79"/>
    <w:rsid w:val="009B3FB9"/>
    <w:rsid w:val="009C2465"/>
    <w:rsid w:val="009D14EE"/>
    <w:rsid w:val="009D35A0"/>
    <w:rsid w:val="009D7EB7"/>
    <w:rsid w:val="009E048A"/>
    <w:rsid w:val="009E08E9"/>
    <w:rsid w:val="009E0E94"/>
    <w:rsid w:val="009E37BC"/>
    <w:rsid w:val="009E3DB9"/>
    <w:rsid w:val="009E6E35"/>
    <w:rsid w:val="009F0EDA"/>
    <w:rsid w:val="009F56B8"/>
    <w:rsid w:val="009F5FB8"/>
    <w:rsid w:val="00A019BB"/>
    <w:rsid w:val="00A01DCC"/>
    <w:rsid w:val="00A03B96"/>
    <w:rsid w:val="00A05202"/>
    <w:rsid w:val="00A05B19"/>
    <w:rsid w:val="00A06F81"/>
    <w:rsid w:val="00A1134E"/>
    <w:rsid w:val="00A24E7E"/>
    <w:rsid w:val="00A2566F"/>
    <w:rsid w:val="00A258C3"/>
    <w:rsid w:val="00A26CF0"/>
    <w:rsid w:val="00A315B0"/>
    <w:rsid w:val="00A32EA4"/>
    <w:rsid w:val="00A347C0"/>
    <w:rsid w:val="00A44AAC"/>
    <w:rsid w:val="00A4558D"/>
    <w:rsid w:val="00A51431"/>
    <w:rsid w:val="00A51BE9"/>
    <w:rsid w:val="00A539AD"/>
    <w:rsid w:val="00A628FD"/>
    <w:rsid w:val="00A92B58"/>
    <w:rsid w:val="00A94063"/>
    <w:rsid w:val="00A97366"/>
    <w:rsid w:val="00A97752"/>
    <w:rsid w:val="00AA6219"/>
    <w:rsid w:val="00AA74E0"/>
    <w:rsid w:val="00AB0F66"/>
    <w:rsid w:val="00AB3153"/>
    <w:rsid w:val="00AB703F"/>
    <w:rsid w:val="00AC2533"/>
    <w:rsid w:val="00AC6BB8"/>
    <w:rsid w:val="00AD5E81"/>
    <w:rsid w:val="00AE008F"/>
    <w:rsid w:val="00AE7607"/>
    <w:rsid w:val="00AE78A6"/>
    <w:rsid w:val="00AF04E9"/>
    <w:rsid w:val="00AF176F"/>
    <w:rsid w:val="00B0000A"/>
    <w:rsid w:val="00B01FCD"/>
    <w:rsid w:val="00B03938"/>
    <w:rsid w:val="00B1776C"/>
    <w:rsid w:val="00B20A56"/>
    <w:rsid w:val="00B236B1"/>
    <w:rsid w:val="00B271C8"/>
    <w:rsid w:val="00B32CA9"/>
    <w:rsid w:val="00B35ECE"/>
    <w:rsid w:val="00B37D04"/>
    <w:rsid w:val="00B52248"/>
    <w:rsid w:val="00B52583"/>
    <w:rsid w:val="00B52896"/>
    <w:rsid w:val="00B626D7"/>
    <w:rsid w:val="00B873A7"/>
    <w:rsid w:val="00B95236"/>
    <w:rsid w:val="00B96BD9"/>
    <w:rsid w:val="00BA1B01"/>
    <w:rsid w:val="00BA2641"/>
    <w:rsid w:val="00BA58B3"/>
    <w:rsid w:val="00BB37AA"/>
    <w:rsid w:val="00BC1336"/>
    <w:rsid w:val="00BC53A0"/>
    <w:rsid w:val="00BD0B69"/>
    <w:rsid w:val="00BD63DC"/>
    <w:rsid w:val="00BE62AD"/>
    <w:rsid w:val="00BF121F"/>
    <w:rsid w:val="00BF1F80"/>
    <w:rsid w:val="00C03792"/>
    <w:rsid w:val="00C048B8"/>
    <w:rsid w:val="00C05713"/>
    <w:rsid w:val="00C166EF"/>
    <w:rsid w:val="00C17EB0"/>
    <w:rsid w:val="00C202B7"/>
    <w:rsid w:val="00C213E1"/>
    <w:rsid w:val="00C27F5F"/>
    <w:rsid w:val="00C30A0F"/>
    <w:rsid w:val="00C31484"/>
    <w:rsid w:val="00C32CEE"/>
    <w:rsid w:val="00C37E61"/>
    <w:rsid w:val="00C43B49"/>
    <w:rsid w:val="00C57FF9"/>
    <w:rsid w:val="00C6271E"/>
    <w:rsid w:val="00C64E94"/>
    <w:rsid w:val="00C66242"/>
    <w:rsid w:val="00C70F1B"/>
    <w:rsid w:val="00C71A47"/>
    <w:rsid w:val="00C741C7"/>
    <w:rsid w:val="00C7464C"/>
    <w:rsid w:val="00C85588"/>
    <w:rsid w:val="00C87916"/>
    <w:rsid w:val="00C94837"/>
    <w:rsid w:val="00CB01A1"/>
    <w:rsid w:val="00CB20FA"/>
    <w:rsid w:val="00CB35A1"/>
    <w:rsid w:val="00CC6DD5"/>
    <w:rsid w:val="00CD3AB5"/>
    <w:rsid w:val="00CD6755"/>
    <w:rsid w:val="00CD6856"/>
    <w:rsid w:val="00CE0089"/>
    <w:rsid w:val="00CE0A80"/>
    <w:rsid w:val="00CE5571"/>
    <w:rsid w:val="00CE793C"/>
    <w:rsid w:val="00CF193C"/>
    <w:rsid w:val="00D004BF"/>
    <w:rsid w:val="00D02E8A"/>
    <w:rsid w:val="00D035BE"/>
    <w:rsid w:val="00D03CFD"/>
    <w:rsid w:val="00D100DD"/>
    <w:rsid w:val="00D1452C"/>
    <w:rsid w:val="00D14C9B"/>
    <w:rsid w:val="00D173F1"/>
    <w:rsid w:val="00D36572"/>
    <w:rsid w:val="00D4046E"/>
    <w:rsid w:val="00D56E1E"/>
    <w:rsid w:val="00D61BFC"/>
    <w:rsid w:val="00D71BCE"/>
    <w:rsid w:val="00D727CC"/>
    <w:rsid w:val="00D74CB0"/>
    <w:rsid w:val="00D8295D"/>
    <w:rsid w:val="00DA7AA3"/>
    <w:rsid w:val="00DB182E"/>
    <w:rsid w:val="00DC2A65"/>
    <w:rsid w:val="00DC71E1"/>
    <w:rsid w:val="00DD2ADA"/>
    <w:rsid w:val="00DD76A6"/>
    <w:rsid w:val="00DD7E2D"/>
    <w:rsid w:val="00DE1285"/>
    <w:rsid w:val="00DE15F0"/>
    <w:rsid w:val="00DE5663"/>
    <w:rsid w:val="00DE78AA"/>
    <w:rsid w:val="00DF0313"/>
    <w:rsid w:val="00E015F2"/>
    <w:rsid w:val="00E053D0"/>
    <w:rsid w:val="00E118ED"/>
    <w:rsid w:val="00E11CE9"/>
    <w:rsid w:val="00E15994"/>
    <w:rsid w:val="00E17150"/>
    <w:rsid w:val="00E3114E"/>
    <w:rsid w:val="00E31A70"/>
    <w:rsid w:val="00E31B76"/>
    <w:rsid w:val="00E35B02"/>
    <w:rsid w:val="00E449A0"/>
    <w:rsid w:val="00E46903"/>
    <w:rsid w:val="00E55906"/>
    <w:rsid w:val="00E648AB"/>
    <w:rsid w:val="00E64FF2"/>
    <w:rsid w:val="00E66496"/>
    <w:rsid w:val="00E66B35"/>
    <w:rsid w:val="00E66E10"/>
    <w:rsid w:val="00E709D6"/>
    <w:rsid w:val="00E769F6"/>
    <w:rsid w:val="00E8407C"/>
    <w:rsid w:val="00E84F3C"/>
    <w:rsid w:val="00E97C8E"/>
    <w:rsid w:val="00EA012C"/>
    <w:rsid w:val="00EA018E"/>
    <w:rsid w:val="00EA47A2"/>
    <w:rsid w:val="00EA4990"/>
    <w:rsid w:val="00EB3725"/>
    <w:rsid w:val="00EC6A55"/>
    <w:rsid w:val="00ED0288"/>
    <w:rsid w:val="00ED2620"/>
    <w:rsid w:val="00ED4D99"/>
    <w:rsid w:val="00ED5AA8"/>
    <w:rsid w:val="00ED5F53"/>
    <w:rsid w:val="00EE52CB"/>
    <w:rsid w:val="00EF464C"/>
    <w:rsid w:val="00EF534A"/>
    <w:rsid w:val="00EF581D"/>
    <w:rsid w:val="00EF5B86"/>
    <w:rsid w:val="00EF5FAB"/>
    <w:rsid w:val="00EF64A2"/>
    <w:rsid w:val="00EF7FD8"/>
    <w:rsid w:val="00F05BE4"/>
    <w:rsid w:val="00F06F59"/>
    <w:rsid w:val="00F1064C"/>
    <w:rsid w:val="00F11563"/>
    <w:rsid w:val="00F12B54"/>
    <w:rsid w:val="00F17988"/>
    <w:rsid w:val="00F2303B"/>
    <w:rsid w:val="00F23650"/>
    <w:rsid w:val="00F2379F"/>
    <w:rsid w:val="00F35D6D"/>
    <w:rsid w:val="00F469F0"/>
    <w:rsid w:val="00F51D33"/>
    <w:rsid w:val="00F53273"/>
    <w:rsid w:val="00F5564F"/>
    <w:rsid w:val="00F56A80"/>
    <w:rsid w:val="00F63E3F"/>
    <w:rsid w:val="00F70708"/>
    <w:rsid w:val="00F755E4"/>
    <w:rsid w:val="00F767A6"/>
    <w:rsid w:val="00F77D02"/>
    <w:rsid w:val="00F80415"/>
    <w:rsid w:val="00F82020"/>
    <w:rsid w:val="00F84955"/>
    <w:rsid w:val="00F9208B"/>
    <w:rsid w:val="00FA46D8"/>
    <w:rsid w:val="00FA5968"/>
    <w:rsid w:val="00FB3A86"/>
    <w:rsid w:val="00FC3F49"/>
    <w:rsid w:val="00FC4CE2"/>
    <w:rsid w:val="00FD36C8"/>
    <w:rsid w:val="00FE3C98"/>
    <w:rsid w:val="00FF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2420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DE128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123E7"/>
    <w:pPr>
      <w:autoSpaceDE w:val="0"/>
      <w:autoSpaceDN w:val="0"/>
      <w:ind w:left="720"/>
      <w:contextualSpacing/>
    </w:pPr>
    <w:rPr>
      <w:rFonts w:ascii="Arial" w:eastAsia="Arial" w:hAnsi="Arial" w:cs="Arial"/>
      <w:sz w:val="23"/>
      <w:szCs w:val="24"/>
      <w:lang w:val="id-ID"/>
    </w:rPr>
  </w:style>
  <w:style w:type="character" w:customStyle="1" w:styleId="Heading2Char">
    <w:name w:val="Heading 2 Char"/>
    <w:basedOn w:val="DefaultParagraphFont"/>
    <w:link w:val="Heading2"/>
    <w:uiPriority w:val="9"/>
    <w:rsid w:val="00DE128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E13DD"/>
    <w:pPr>
      <w:spacing w:before="100" w:beforeAutospacing="1" w:after="100" w:afterAutospacing="1"/>
    </w:pPr>
    <w:rPr>
      <w:rFonts w:ascii="Times New Roman" w:hAnsi="Times New Roman"/>
      <w:sz w:val="24"/>
      <w:szCs w:val="24"/>
    </w:rPr>
  </w:style>
  <w:style w:type="character" w:customStyle="1" w:styleId="anchor-text">
    <w:name w:val="anchor-text"/>
    <w:basedOn w:val="DefaultParagraphFont"/>
    <w:rsid w:val="008165FC"/>
  </w:style>
  <w:style w:type="character" w:customStyle="1" w:styleId="text">
    <w:name w:val="text"/>
    <w:basedOn w:val="DefaultParagraphFont"/>
    <w:rsid w:val="004F2ED9"/>
  </w:style>
  <w:style w:type="character" w:styleId="Strong">
    <w:name w:val="Strong"/>
    <w:basedOn w:val="DefaultParagraphFont"/>
    <w:uiPriority w:val="22"/>
    <w:qFormat/>
    <w:rsid w:val="00C66242"/>
    <w:rPr>
      <w:b/>
      <w:bCs/>
    </w:rPr>
  </w:style>
  <w:style w:type="character" w:customStyle="1" w:styleId="katex-mathml">
    <w:name w:val="katex-mathml"/>
    <w:basedOn w:val="DefaultParagraphFont"/>
    <w:rsid w:val="0046528E"/>
  </w:style>
  <w:style w:type="character" w:customStyle="1" w:styleId="mord">
    <w:name w:val="mord"/>
    <w:basedOn w:val="DefaultParagraphFont"/>
    <w:rsid w:val="0046528E"/>
  </w:style>
  <w:style w:type="character" w:customStyle="1" w:styleId="mrel">
    <w:name w:val="mrel"/>
    <w:basedOn w:val="DefaultParagraphFont"/>
    <w:rsid w:val="0046528E"/>
  </w:style>
  <w:style w:type="paragraph" w:styleId="CommentSubject">
    <w:name w:val="annotation subject"/>
    <w:basedOn w:val="CommentText"/>
    <w:next w:val="CommentText"/>
    <w:link w:val="CommentSubjectChar"/>
    <w:semiHidden/>
    <w:unhideWhenUsed/>
    <w:rsid w:val="001F3270"/>
    <w:rPr>
      <w:rFonts w:ascii="Helvetica" w:hAnsi="Helvetica"/>
      <w:b/>
      <w:bCs/>
      <w:lang w:val="en-US" w:eastAsia="en-US"/>
    </w:rPr>
  </w:style>
  <w:style w:type="character" w:customStyle="1" w:styleId="CommentSubjectChar">
    <w:name w:val="Comment Subject Char"/>
    <w:basedOn w:val="CommentTextChar"/>
    <w:link w:val="CommentSubject"/>
    <w:semiHidden/>
    <w:rsid w:val="001F3270"/>
    <w:rPr>
      <w:rFonts w:ascii="Helvetica" w:hAnsi="Helvetica"/>
      <w:b/>
      <w:bCs/>
      <w:lang w:val="nb-NO" w:eastAsia="nb-NO"/>
    </w:rPr>
  </w:style>
  <w:style w:type="paragraph" w:styleId="NoSpacing">
    <w:name w:val="No Spacing"/>
    <w:uiPriority w:val="1"/>
    <w:qFormat/>
    <w:rsid w:val="00E64FF2"/>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2682381">
      <w:bodyDiv w:val="1"/>
      <w:marLeft w:val="0"/>
      <w:marRight w:val="0"/>
      <w:marTop w:val="0"/>
      <w:marBottom w:val="0"/>
      <w:divBdr>
        <w:top w:val="none" w:sz="0" w:space="0" w:color="auto"/>
        <w:left w:val="none" w:sz="0" w:space="0" w:color="auto"/>
        <w:bottom w:val="none" w:sz="0" w:space="0" w:color="auto"/>
        <w:right w:val="none" w:sz="0" w:space="0" w:color="auto"/>
      </w:divBdr>
    </w:div>
    <w:div w:id="9066321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280714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9074014">
      <w:bodyDiv w:val="1"/>
      <w:marLeft w:val="0"/>
      <w:marRight w:val="0"/>
      <w:marTop w:val="0"/>
      <w:marBottom w:val="0"/>
      <w:divBdr>
        <w:top w:val="none" w:sz="0" w:space="0" w:color="auto"/>
        <w:left w:val="none" w:sz="0" w:space="0" w:color="auto"/>
        <w:bottom w:val="none" w:sz="0" w:space="0" w:color="auto"/>
        <w:right w:val="none" w:sz="0" w:space="0" w:color="auto"/>
      </w:divBdr>
    </w:div>
    <w:div w:id="264193460">
      <w:bodyDiv w:val="1"/>
      <w:marLeft w:val="0"/>
      <w:marRight w:val="0"/>
      <w:marTop w:val="0"/>
      <w:marBottom w:val="0"/>
      <w:divBdr>
        <w:top w:val="none" w:sz="0" w:space="0" w:color="auto"/>
        <w:left w:val="none" w:sz="0" w:space="0" w:color="auto"/>
        <w:bottom w:val="none" w:sz="0" w:space="0" w:color="auto"/>
        <w:right w:val="none" w:sz="0" w:space="0" w:color="auto"/>
      </w:divBdr>
    </w:div>
    <w:div w:id="376050522">
      <w:bodyDiv w:val="1"/>
      <w:marLeft w:val="0"/>
      <w:marRight w:val="0"/>
      <w:marTop w:val="0"/>
      <w:marBottom w:val="0"/>
      <w:divBdr>
        <w:top w:val="none" w:sz="0" w:space="0" w:color="auto"/>
        <w:left w:val="none" w:sz="0" w:space="0" w:color="auto"/>
        <w:bottom w:val="none" w:sz="0" w:space="0" w:color="auto"/>
        <w:right w:val="none" w:sz="0" w:space="0" w:color="auto"/>
      </w:divBdr>
    </w:div>
    <w:div w:id="455105674">
      <w:bodyDiv w:val="1"/>
      <w:marLeft w:val="0"/>
      <w:marRight w:val="0"/>
      <w:marTop w:val="0"/>
      <w:marBottom w:val="0"/>
      <w:divBdr>
        <w:top w:val="none" w:sz="0" w:space="0" w:color="auto"/>
        <w:left w:val="none" w:sz="0" w:space="0" w:color="auto"/>
        <w:bottom w:val="none" w:sz="0" w:space="0" w:color="auto"/>
        <w:right w:val="none" w:sz="0" w:space="0" w:color="auto"/>
      </w:divBdr>
    </w:div>
    <w:div w:id="513687310">
      <w:bodyDiv w:val="1"/>
      <w:marLeft w:val="0"/>
      <w:marRight w:val="0"/>
      <w:marTop w:val="0"/>
      <w:marBottom w:val="0"/>
      <w:divBdr>
        <w:top w:val="none" w:sz="0" w:space="0" w:color="auto"/>
        <w:left w:val="none" w:sz="0" w:space="0" w:color="auto"/>
        <w:bottom w:val="none" w:sz="0" w:space="0" w:color="auto"/>
        <w:right w:val="none" w:sz="0" w:space="0" w:color="auto"/>
      </w:divBdr>
    </w:div>
    <w:div w:id="55928856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0765172">
      <w:bodyDiv w:val="1"/>
      <w:marLeft w:val="0"/>
      <w:marRight w:val="0"/>
      <w:marTop w:val="0"/>
      <w:marBottom w:val="0"/>
      <w:divBdr>
        <w:top w:val="none" w:sz="0" w:space="0" w:color="auto"/>
        <w:left w:val="none" w:sz="0" w:space="0" w:color="auto"/>
        <w:bottom w:val="none" w:sz="0" w:space="0" w:color="auto"/>
        <w:right w:val="none" w:sz="0" w:space="0" w:color="auto"/>
      </w:divBdr>
    </w:div>
    <w:div w:id="642002522">
      <w:bodyDiv w:val="1"/>
      <w:marLeft w:val="0"/>
      <w:marRight w:val="0"/>
      <w:marTop w:val="0"/>
      <w:marBottom w:val="0"/>
      <w:divBdr>
        <w:top w:val="none" w:sz="0" w:space="0" w:color="auto"/>
        <w:left w:val="none" w:sz="0" w:space="0" w:color="auto"/>
        <w:bottom w:val="none" w:sz="0" w:space="0" w:color="auto"/>
        <w:right w:val="none" w:sz="0" w:space="0" w:color="auto"/>
      </w:divBdr>
    </w:div>
    <w:div w:id="652484620">
      <w:bodyDiv w:val="1"/>
      <w:marLeft w:val="0"/>
      <w:marRight w:val="0"/>
      <w:marTop w:val="0"/>
      <w:marBottom w:val="0"/>
      <w:divBdr>
        <w:top w:val="none" w:sz="0" w:space="0" w:color="auto"/>
        <w:left w:val="none" w:sz="0" w:space="0" w:color="auto"/>
        <w:bottom w:val="none" w:sz="0" w:space="0" w:color="auto"/>
        <w:right w:val="none" w:sz="0" w:space="0" w:color="auto"/>
      </w:divBdr>
    </w:div>
    <w:div w:id="653295248">
      <w:bodyDiv w:val="1"/>
      <w:marLeft w:val="0"/>
      <w:marRight w:val="0"/>
      <w:marTop w:val="0"/>
      <w:marBottom w:val="0"/>
      <w:divBdr>
        <w:top w:val="none" w:sz="0" w:space="0" w:color="auto"/>
        <w:left w:val="none" w:sz="0" w:space="0" w:color="auto"/>
        <w:bottom w:val="none" w:sz="0" w:space="0" w:color="auto"/>
        <w:right w:val="none" w:sz="0" w:space="0" w:color="auto"/>
      </w:divBdr>
    </w:div>
    <w:div w:id="668675251">
      <w:bodyDiv w:val="1"/>
      <w:marLeft w:val="0"/>
      <w:marRight w:val="0"/>
      <w:marTop w:val="0"/>
      <w:marBottom w:val="0"/>
      <w:divBdr>
        <w:top w:val="none" w:sz="0" w:space="0" w:color="auto"/>
        <w:left w:val="none" w:sz="0" w:space="0" w:color="auto"/>
        <w:bottom w:val="none" w:sz="0" w:space="0" w:color="auto"/>
        <w:right w:val="none" w:sz="0" w:space="0" w:color="auto"/>
      </w:divBdr>
    </w:div>
    <w:div w:id="761798566">
      <w:bodyDiv w:val="1"/>
      <w:marLeft w:val="0"/>
      <w:marRight w:val="0"/>
      <w:marTop w:val="0"/>
      <w:marBottom w:val="0"/>
      <w:divBdr>
        <w:top w:val="none" w:sz="0" w:space="0" w:color="auto"/>
        <w:left w:val="none" w:sz="0" w:space="0" w:color="auto"/>
        <w:bottom w:val="none" w:sz="0" w:space="0" w:color="auto"/>
        <w:right w:val="none" w:sz="0" w:space="0" w:color="auto"/>
      </w:divBdr>
    </w:div>
    <w:div w:id="765536659">
      <w:bodyDiv w:val="1"/>
      <w:marLeft w:val="0"/>
      <w:marRight w:val="0"/>
      <w:marTop w:val="0"/>
      <w:marBottom w:val="0"/>
      <w:divBdr>
        <w:top w:val="none" w:sz="0" w:space="0" w:color="auto"/>
        <w:left w:val="none" w:sz="0" w:space="0" w:color="auto"/>
        <w:bottom w:val="none" w:sz="0" w:space="0" w:color="auto"/>
        <w:right w:val="none" w:sz="0" w:space="0" w:color="auto"/>
      </w:divBdr>
    </w:div>
    <w:div w:id="814419629">
      <w:bodyDiv w:val="1"/>
      <w:marLeft w:val="0"/>
      <w:marRight w:val="0"/>
      <w:marTop w:val="0"/>
      <w:marBottom w:val="0"/>
      <w:divBdr>
        <w:top w:val="none" w:sz="0" w:space="0" w:color="auto"/>
        <w:left w:val="none" w:sz="0" w:space="0" w:color="auto"/>
        <w:bottom w:val="none" w:sz="0" w:space="0" w:color="auto"/>
        <w:right w:val="none" w:sz="0" w:space="0" w:color="auto"/>
      </w:divBdr>
    </w:div>
    <w:div w:id="838883212">
      <w:bodyDiv w:val="1"/>
      <w:marLeft w:val="0"/>
      <w:marRight w:val="0"/>
      <w:marTop w:val="0"/>
      <w:marBottom w:val="0"/>
      <w:divBdr>
        <w:top w:val="none" w:sz="0" w:space="0" w:color="auto"/>
        <w:left w:val="none" w:sz="0" w:space="0" w:color="auto"/>
        <w:bottom w:val="none" w:sz="0" w:space="0" w:color="auto"/>
        <w:right w:val="none" w:sz="0" w:space="0" w:color="auto"/>
      </w:divBdr>
    </w:div>
    <w:div w:id="887255484">
      <w:bodyDiv w:val="1"/>
      <w:marLeft w:val="0"/>
      <w:marRight w:val="0"/>
      <w:marTop w:val="0"/>
      <w:marBottom w:val="0"/>
      <w:divBdr>
        <w:top w:val="none" w:sz="0" w:space="0" w:color="auto"/>
        <w:left w:val="none" w:sz="0" w:space="0" w:color="auto"/>
        <w:bottom w:val="none" w:sz="0" w:space="0" w:color="auto"/>
        <w:right w:val="none" w:sz="0" w:space="0" w:color="auto"/>
      </w:divBdr>
    </w:div>
    <w:div w:id="894968433">
      <w:bodyDiv w:val="1"/>
      <w:marLeft w:val="0"/>
      <w:marRight w:val="0"/>
      <w:marTop w:val="0"/>
      <w:marBottom w:val="0"/>
      <w:divBdr>
        <w:top w:val="none" w:sz="0" w:space="0" w:color="auto"/>
        <w:left w:val="none" w:sz="0" w:space="0" w:color="auto"/>
        <w:bottom w:val="none" w:sz="0" w:space="0" w:color="auto"/>
        <w:right w:val="none" w:sz="0" w:space="0" w:color="auto"/>
      </w:divBdr>
    </w:div>
    <w:div w:id="901671988">
      <w:bodyDiv w:val="1"/>
      <w:marLeft w:val="0"/>
      <w:marRight w:val="0"/>
      <w:marTop w:val="0"/>
      <w:marBottom w:val="0"/>
      <w:divBdr>
        <w:top w:val="none" w:sz="0" w:space="0" w:color="auto"/>
        <w:left w:val="none" w:sz="0" w:space="0" w:color="auto"/>
        <w:bottom w:val="none" w:sz="0" w:space="0" w:color="auto"/>
        <w:right w:val="none" w:sz="0" w:space="0" w:color="auto"/>
      </w:divBdr>
    </w:div>
    <w:div w:id="907613017">
      <w:bodyDiv w:val="1"/>
      <w:marLeft w:val="0"/>
      <w:marRight w:val="0"/>
      <w:marTop w:val="0"/>
      <w:marBottom w:val="0"/>
      <w:divBdr>
        <w:top w:val="none" w:sz="0" w:space="0" w:color="auto"/>
        <w:left w:val="none" w:sz="0" w:space="0" w:color="auto"/>
        <w:bottom w:val="none" w:sz="0" w:space="0" w:color="auto"/>
        <w:right w:val="none" w:sz="0" w:space="0" w:color="auto"/>
      </w:divBdr>
    </w:div>
    <w:div w:id="92657449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326175">
      <w:bodyDiv w:val="1"/>
      <w:marLeft w:val="0"/>
      <w:marRight w:val="0"/>
      <w:marTop w:val="0"/>
      <w:marBottom w:val="0"/>
      <w:divBdr>
        <w:top w:val="none" w:sz="0" w:space="0" w:color="auto"/>
        <w:left w:val="none" w:sz="0" w:space="0" w:color="auto"/>
        <w:bottom w:val="none" w:sz="0" w:space="0" w:color="auto"/>
        <w:right w:val="none" w:sz="0" w:space="0" w:color="auto"/>
      </w:divBdr>
    </w:div>
    <w:div w:id="105272703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8527435">
      <w:bodyDiv w:val="1"/>
      <w:marLeft w:val="0"/>
      <w:marRight w:val="0"/>
      <w:marTop w:val="0"/>
      <w:marBottom w:val="0"/>
      <w:divBdr>
        <w:top w:val="none" w:sz="0" w:space="0" w:color="auto"/>
        <w:left w:val="none" w:sz="0" w:space="0" w:color="auto"/>
        <w:bottom w:val="none" w:sz="0" w:space="0" w:color="auto"/>
        <w:right w:val="none" w:sz="0" w:space="0" w:color="auto"/>
      </w:divBdr>
    </w:div>
    <w:div w:id="1132359796">
      <w:bodyDiv w:val="1"/>
      <w:marLeft w:val="0"/>
      <w:marRight w:val="0"/>
      <w:marTop w:val="0"/>
      <w:marBottom w:val="0"/>
      <w:divBdr>
        <w:top w:val="none" w:sz="0" w:space="0" w:color="auto"/>
        <w:left w:val="none" w:sz="0" w:space="0" w:color="auto"/>
        <w:bottom w:val="none" w:sz="0" w:space="0" w:color="auto"/>
        <w:right w:val="none" w:sz="0" w:space="0" w:color="auto"/>
      </w:divBdr>
    </w:div>
    <w:div w:id="1138644856">
      <w:bodyDiv w:val="1"/>
      <w:marLeft w:val="0"/>
      <w:marRight w:val="0"/>
      <w:marTop w:val="0"/>
      <w:marBottom w:val="0"/>
      <w:divBdr>
        <w:top w:val="none" w:sz="0" w:space="0" w:color="auto"/>
        <w:left w:val="none" w:sz="0" w:space="0" w:color="auto"/>
        <w:bottom w:val="none" w:sz="0" w:space="0" w:color="auto"/>
        <w:right w:val="none" w:sz="0" w:space="0" w:color="auto"/>
      </w:divBdr>
    </w:div>
    <w:div w:id="1216311280">
      <w:bodyDiv w:val="1"/>
      <w:marLeft w:val="0"/>
      <w:marRight w:val="0"/>
      <w:marTop w:val="0"/>
      <w:marBottom w:val="0"/>
      <w:divBdr>
        <w:top w:val="none" w:sz="0" w:space="0" w:color="auto"/>
        <w:left w:val="none" w:sz="0" w:space="0" w:color="auto"/>
        <w:bottom w:val="none" w:sz="0" w:space="0" w:color="auto"/>
        <w:right w:val="none" w:sz="0" w:space="0" w:color="auto"/>
      </w:divBdr>
    </w:div>
    <w:div w:id="1234505507">
      <w:bodyDiv w:val="1"/>
      <w:marLeft w:val="0"/>
      <w:marRight w:val="0"/>
      <w:marTop w:val="0"/>
      <w:marBottom w:val="0"/>
      <w:divBdr>
        <w:top w:val="none" w:sz="0" w:space="0" w:color="auto"/>
        <w:left w:val="none" w:sz="0" w:space="0" w:color="auto"/>
        <w:bottom w:val="none" w:sz="0" w:space="0" w:color="auto"/>
        <w:right w:val="none" w:sz="0" w:space="0" w:color="auto"/>
      </w:divBdr>
    </w:div>
    <w:div w:id="1239829550">
      <w:bodyDiv w:val="1"/>
      <w:marLeft w:val="0"/>
      <w:marRight w:val="0"/>
      <w:marTop w:val="0"/>
      <w:marBottom w:val="0"/>
      <w:divBdr>
        <w:top w:val="none" w:sz="0" w:space="0" w:color="auto"/>
        <w:left w:val="none" w:sz="0" w:space="0" w:color="auto"/>
        <w:bottom w:val="none" w:sz="0" w:space="0" w:color="auto"/>
        <w:right w:val="none" w:sz="0" w:space="0" w:color="auto"/>
      </w:divBdr>
    </w:div>
    <w:div w:id="1384136541">
      <w:bodyDiv w:val="1"/>
      <w:marLeft w:val="0"/>
      <w:marRight w:val="0"/>
      <w:marTop w:val="0"/>
      <w:marBottom w:val="0"/>
      <w:divBdr>
        <w:top w:val="none" w:sz="0" w:space="0" w:color="auto"/>
        <w:left w:val="none" w:sz="0" w:space="0" w:color="auto"/>
        <w:bottom w:val="none" w:sz="0" w:space="0" w:color="auto"/>
        <w:right w:val="none" w:sz="0" w:space="0" w:color="auto"/>
      </w:divBdr>
    </w:div>
    <w:div w:id="1491556943">
      <w:bodyDiv w:val="1"/>
      <w:marLeft w:val="0"/>
      <w:marRight w:val="0"/>
      <w:marTop w:val="0"/>
      <w:marBottom w:val="0"/>
      <w:divBdr>
        <w:top w:val="none" w:sz="0" w:space="0" w:color="auto"/>
        <w:left w:val="none" w:sz="0" w:space="0" w:color="auto"/>
        <w:bottom w:val="none" w:sz="0" w:space="0" w:color="auto"/>
        <w:right w:val="none" w:sz="0" w:space="0" w:color="auto"/>
      </w:divBdr>
    </w:div>
    <w:div w:id="1528448101">
      <w:bodyDiv w:val="1"/>
      <w:marLeft w:val="0"/>
      <w:marRight w:val="0"/>
      <w:marTop w:val="0"/>
      <w:marBottom w:val="0"/>
      <w:divBdr>
        <w:top w:val="none" w:sz="0" w:space="0" w:color="auto"/>
        <w:left w:val="none" w:sz="0" w:space="0" w:color="auto"/>
        <w:bottom w:val="none" w:sz="0" w:space="0" w:color="auto"/>
        <w:right w:val="none" w:sz="0" w:space="0" w:color="auto"/>
      </w:divBdr>
    </w:div>
    <w:div w:id="1533033080">
      <w:bodyDiv w:val="1"/>
      <w:marLeft w:val="0"/>
      <w:marRight w:val="0"/>
      <w:marTop w:val="0"/>
      <w:marBottom w:val="0"/>
      <w:divBdr>
        <w:top w:val="none" w:sz="0" w:space="0" w:color="auto"/>
        <w:left w:val="none" w:sz="0" w:space="0" w:color="auto"/>
        <w:bottom w:val="none" w:sz="0" w:space="0" w:color="auto"/>
        <w:right w:val="none" w:sz="0" w:space="0" w:color="auto"/>
      </w:divBdr>
    </w:div>
    <w:div w:id="1553077028">
      <w:bodyDiv w:val="1"/>
      <w:marLeft w:val="0"/>
      <w:marRight w:val="0"/>
      <w:marTop w:val="0"/>
      <w:marBottom w:val="0"/>
      <w:divBdr>
        <w:top w:val="none" w:sz="0" w:space="0" w:color="auto"/>
        <w:left w:val="none" w:sz="0" w:space="0" w:color="auto"/>
        <w:bottom w:val="none" w:sz="0" w:space="0" w:color="auto"/>
        <w:right w:val="none" w:sz="0" w:space="0" w:color="auto"/>
      </w:divBdr>
    </w:div>
    <w:div w:id="1569727908">
      <w:bodyDiv w:val="1"/>
      <w:marLeft w:val="0"/>
      <w:marRight w:val="0"/>
      <w:marTop w:val="0"/>
      <w:marBottom w:val="0"/>
      <w:divBdr>
        <w:top w:val="none" w:sz="0" w:space="0" w:color="auto"/>
        <w:left w:val="none" w:sz="0" w:space="0" w:color="auto"/>
        <w:bottom w:val="none" w:sz="0" w:space="0" w:color="auto"/>
        <w:right w:val="none" w:sz="0" w:space="0" w:color="auto"/>
      </w:divBdr>
    </w:div>
    <w:div w:id="1576164103">
      <w:bodyDiv w:val="1"/>
      <w:marLeft w:val="0"/>
      <w:marRight w:val="0"/>
      <w:marTop w:val="0"/>
      <w:marBottom w:val="0"/>
      <w:divBdr>
        <w:top w:val="none" w:sz="0" w:space="0" w:color="auto"/>
        <w:left w:val="none" w:sz="0" w:space="0" w:color="auto"/>
        <w:bottom w:val="none" w:sz="0" w:space="0" w:color="auto"/>
        <w:right w:val="none" w:sz="0" w:space="0" w:color="auto"/>
      </w:divBdr>
    </w:div>
    <w:div w:id="1613584374">
      <w:bodyDiv w:val="1"/>
      <w:marLeft w:val="0"/>
      <w:marRight w:val="0"/>
      <w:marTop w:val="0"/>
      <w:marBottom w:val="0"/>
      <w:divBdr>
        <w:top w:val="none" w:sz="0" w:space="0" w:color="auto"/>
        <w:left w:val="none" w:sz="0" w:space="0" w:color="auto"/>
        <w:bottom w:val="none" w:sz="0" w:space="0" w:color="auto"/>
        <w:right w:val="none" w:sz="0" w:space="0" w:color="auto"/>
      </w:divBdr>
    </w:div>
    <w:div w:id="1640573554">
      <w:bodyDiv w:val="1"/>
      <w:marLeft w:val="0"/>
      <w:marRight w:val="0"/>
      <w:marTop w:val="0"/>
      <w:marBottom w:val="0"/>
      <w:divBdr>
        <w:top w:val="none" w:sz="0" w:space="0" w:color="auto"/>
        <w:left w:val="none" w:sz="0" w:space="0" w:color="auto"/>
        <w:bottom w:val="none" w:sz="0" w:space="0" w:color="auto"/>
        <w:right w:val="none" w:sz="0" w:space="0" w:color="auto"/>
      </w:divBdr>
    </w:div>
    <w:div w:id="1668942149">
      <w:bodyDiv w:val="1"/>
      <w:marLeft w:val="0"/>
      <w:marRight w:val="0"/>
      <w:marTop w:val="0"/>
      <w:marBottom w:val="0"/>
      <w:divBdr>
        <w:top w:val="none" w:sz="0" w:space="0" w:color="auto"/>
        <w:left w:val="none" w:sz="0" w:space="0" w:color="auto"/>
        <w:bottom w:val="none" w:sz="0" w:space="0" w:color="auto"/>
        <w:right w:val="none" w:sz="0" w:space="0" w:color="auto"/>
      </w:divBdr>
    </w:div>
    <w:div w:id="1696999487">
      <w:bodyDiv w:val="1"/>
      <w:marLeft w:val="0"/>
      <w:marRight w:val="0"/>
      <w:marTop w:val="0"/>
      <w:marBottom w:val="0"/>
      <w:divBdr>
        <w:top w:val="none" w:sz="0" w:space="0" w:color="auto"/>
        <w:left w:val="none" w:sz="0" w:space="0" w:color="auto"/>
        <w:bottom w:val="none" w:sz="0" w:space="0" w:color="auto"/>
        <w:right w:val="none" w:sz="0" w:space="0" w:color="auto"/>
      </w:divBdr>
    </w:div>
    <w:div w:id="1719353482">
      <w:bodyDiv w:val="1"/>
      <w:marLeft w:val="0"/>
      <w:marRight w:val="0"/>
      <w:marTop w:val="0"/>
      <w:marBottom w:val="0"/>
      <w:divBdr>
        <w:top w:val="none" w:sz="0" w:space="0" w:color="auto"/>
        <w:left w:val="none" w:sz="0" w:space="0" w:color="auto"/>
        <w:bottom w:val="none" w:sz="0" w:space="0" w:color="auto"/>
        <w:right w:val="none" w:sz="0" w:space="0" w:color="auto"/>
      </w:divBdr>
    </w:div>
    <w:div w:id="172386566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5471508">
      <w:bodyDiv w:val="1"/>
      <w:marLeft w:val="0"/>
      <w:marRight w:val="0"/>
      <w:marTop w:val="0"/>
      <w:marBottom w:val="0"/>
      <w:divBdr>
        <w:top w:val="none" w:sz="0" w:space="0" w:color="auto"/>
        <w:left w:val="none" w:sz="0" w:space="0" w:color="auto"/>
        <w:bottom w:val="none" w:sz="0" w:space="0" w:color="auto"/>
        <w:right w:val="none" w:sz="0" w:space="0" w:color="auto"/>
      </w:divBdr>
    </w:div>
    <w:div w:id="1870801666">
      <w:bodyDiv w:val="1"/>
      <w:marLeft w:val="0"/>
      <w:marRight w:val="0"/>
      <w:marTop w:val="0"/>
      <w:marBottom w:val="0"/>
      <w:divBdr>
        <w:top w:val="none" w:sz="0" w:space="0" w:color="auto"/>
        <w:left w:val="none" w:sz="0" w:space="0" w:color="auto"/>
        <w:bottom w:val="none" w:sz="0" w:space="0" w:color="auto"/>
        <w:right w:val="none" w:sz="0" w:space="0" w:color="auto"/>
      </w:divBdr>
    </w:div>
    <w:div w:id="1887059306">
      <w:bodyDiv w:val="1"/>
      <w:marLeft w:val="0"/>
      <w:marRight w:val="0"/>
      <w:marTop w:val="0"/>
      <w:marBottom w:val="0"/>
      <w:divBdr>
        <w:top w:val="none" w:sz="0" w:space="0" w:color="auto"/>
        <w:left w:val="none" w:sz="0" w:space="0" w:color="auto"/>
        <w:bottom w:val="none" w:sz="0" w:space="0" w:color="auto"/>
        <w:right w:val="none" w:sz="0" w:space="0" w:color="auto"/>
      </w:divBdr>
    </w:div>
    <w:div w:id="1904564111">
      <w:bodyDiv w:val="1"/>
      <w:marLeft w:val="0"/>
      <w:marRight w:val="0"/>
      <w:marTop w:val="0"/>
      <w:marBottom w:val="0"/>
      <w:divBdr>
        <w:top w:val="none" w:sz="0" w:space="0" w:color="auto"/>
        <w:left w:val="none" w:sz="0" w:space="0" w:color="auto"/>
        <w:bottom w:val="none" w:sz="0" w:space="0" w:color="auto"/>
        <w:right w:val="none" w:sz="0" w:space="0" w:color="auto"/>
      </w:divBdr>
    </w:div>
    <w:div w:id="194688079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991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02/mcf2.10140" TargetMode="External"/><Relationship Id="rId39" Type="http://schemas.openxmlformats.org/officeDocument/2006/relationships/hyperlink" Target="https://doi.org/10.17509/ijom.v1i1.24620" TargetMode="External"/><Relationship Id="rId21" Type="http://schemas.openxmlformats.org/officeDocument/2006/relationships/image" Target="media/image8.png"/><Relationship Id="rId34" Type="http://schemas.openxmlformats.org/officeDocument/2006/relationships/hyperlink" Target="https://doi.org/10.21608/ejabf.2024.392406"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24319/jtpk.15.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6/BBLv216n1p94" TargetMode="External"/><Relationship Id="rId32" Type="http://schemas.openxmlformats.org/officeDocument/2006/relationships/hyperlink" Target="https://ejurnal.undana.ac.id/index.php/JBP/article/view/16059" TargetMode="External"/><Relationship Id="rId37" Type="http://schemas.openxmlformats.org/officeDocument/2006/relationships/hyperlink" Target="https://doi.org/10.24843/EJES.2024.v18.i02.p01" TargetMode="External"/><Relationship Id="rId40" Type="http://schemas.openxmlformats.org/officeDocument/2006/relationships/hyperlink" Target="https://doi.org/10.24319/jtpk.14.213-21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pakdosen.unhas.ac.id/storage/dokumen/artikel-1686708162-873-Article%20Text-1636-2-10-20211114.pdf" TargetMode="External"/><Relationship Id="rId28" Type="http://schemas.openxmlformats.org/officeDocument/2006/relationships/hyperlink" Target="https://doi.org/10.1579/0044-7447-31.7.528" TargetMode="External"/><Relationship Id="rId36" Type="http://schemas.openxmlformats.org/officeDocument/2006/relationships/hyperlink" Target="https://doi.org/10.1016/j.fishres.2012.02.025"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35800/jip.8.1.2020.27599"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21608/Ejabf.2021.158705" TargetMode="External"/><Relationship Id="rId27" Type="http://schemas.openxmlformats.org/officeDocument/2006/relationships/hyperlink" Target="https://pdfs.semanticscholar.org/03af/93821928d801023a794c1fb224ac44a4c142.pdf" TargetMode="External"/><Relationship Id="rId30" Type="http://schemas.openxmlformats.org/officeDocument/2006/relationships/hyperlink" Target="Https://doi.org/10.2307/1540" TargetMode="External"/><Relationship Id="rId35" Type="http://schemas.openxmlformats.org/officeDocument/2006/relationships/hyperlink" Target="https://sep.ejournal.unri.ac.id/index.php/jsep/article/view/82"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35800/Jplt.7.3.2019.24742" TargetMode="External"/><Relationship Id="rId33" Type="http://schemas.openxmlformats.org/officeDocument/2006/relationships/hyperlink" Target="https://doi.org/10.29303/jppipa.v9i12.5956" TargetMode="External"/><Relationship Id="rId38" Type="http://schemas.openxmlformats.org/officeDocument/2006/relationships/hyperlink" Target="https://doi.org/10.1071/MF03155" TargetMode="External"/><Relationship Id="rId46"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3C867-EF09-404D-B819-1AF9EC52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167</TotalTime>
  <Pages>12</Pages>
  <Words>4550</Words>
  <Characters>25941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30431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19</cp:revision>
  <cp:lastPrinted>1999-07-06T11:00:00Z</cp:lastPrinted>
  <dcterms:created xsi:type="dcterms:W3CDTF">2026-02-10T08:53:00Z</dcterms:created>
  <dcterms:modified xsi:type="dcterms:W3CDTF">2026-02-23T07:30:00Z</dcterms:modified>
</cp:coreProperties>
</file>