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92BAC3" w14:textId="77777777" w:rsidR="00C225C6" w:rsidRDefault="0081615B" w:rsidP="00AF795C">
      <w:pPr>
        <w:spacing w:line="360" w:lineRule="auto"/>
        <w:rPr>
          <w:rFonts w:ascii="Times New Roman" w:eastAsia="Times New Roman" w:hAnsi="Times New Roman" w:cs="Times New Roman"/>
          <w:b/>
          <w:bCs/>
          <w:sz w:val="36"/>
          <w:szCs w:val="36"/>
        </w:rPr>
      </w:pPr>
      <w:r w:rsidRPr="008A187F">
        <w:rPr>
          <w:rFonts w:ascii="Times New Roman" w:eastAsia="Times New Roman" w:hAnsi="Times New Roman" w:cs="Times New Roman"/>
          <w:b/>
          <w:bCs/>
          <w:sz w:val="36"/>
          <w:szCs w:val="36"/>
        </w:rPr>
        <w:t>A demographical analysis of scientific aptitude among Indian secondary school students</w:t>
      </w:r>
    </w:p>
    <w:p w14:paraId="0ECA8137" w14:textId="77777777" w:rsidR="000220BA" w:rsidRDefault="000220BA" w:rsidP="00AF795C">
      <w:pPr>
        <w:spacing w:line="360" w:lineRule="auto"/>
        <w:rPr>
          <w:rFonts w:ascii="Times New Roman" w:eastAsia="Times New Roman" w:hAnsi="Times New Roman" w:cs="Times New Roman"/>
          <w:b/>
          <w:bCs/>
          <w:sz w:val="28"/>
          <w:szCs w:val="28"/>
        </w:rPr>
      </w:pPr>
    </w:p>
    <w:p w14:paraId="63775579" w14:textId="2E4100DA" w:rsidR="005B49D9" w:rsidRPr="000220BA" w:rsidRDefault="005B49D9" w:rsidP="00AF795C">
      <w:pPr>
        <w:spacing w:line="360" w:lineRule="auto"/>
        <w:rPr>
          <w:rFonts w:ascii="Times New Roman" w:eastAsia="Times New Roman" w:hAnsi="Times New Roman" w:cs="Times New Roman"/>
          <w:b/>
          <w:bCs/>
          <w:sz w:val="24"/>
          <w:szCs w:val="24"/>
        </w:rPr>
      </w:pPr>
      <w:r w:rsidRPr="000220BA">
        <w:rPr>
          <w:rFonts w:ascii="Times New Roman" w:eastAsia="Times New Roman" w:hAnsi="Times New Roman" w:cs="Times New Roman"/>
          <w:b/>
          <w:bCs/>
          <w:sz w:val="24"/>
          <w:szCs w:val="24"/>
        </w:rPr>
        <w:t>Article Type: Original Research Article</w:t>
      </w:r>
    </w:p>
    <w:p w14:paraId="7A607D73" w14:textId="77777777" w:rsidR="00AF795C" w:rsidRDefault="00AF795C" w:rsidP="00DB6DA8">
      <w:pPr>
        <w:spacing w:line="360" w:lineRule="auto"/>
        <w:jc w:val="right"/>
        <w:rPr>
          <w:rFonts w:ascii="Times New Roman" w:eastAsia="Times New Roman" w:hAnsi="Times New Roman" w:cs="Times New Roman"/>
          <w:sz w:val="24"/>
          <w:szCs w:val="24"/>
        </w:rPr>
      </w:pPr>
    </w:p>
    <w:p w14:paraId="0F1BBAF8" w14:textId="53478906" w:rsidR="00DB6DA8" w:rsidRDefault="009733E7" w:rsidP="00DB6DA8">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1F8A1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2014CEC"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a natural ability of a person to understand, apply, and reason over scientific concepts and procedures.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research compares scientific competence of secondary school students according to gender and type of students (public and private).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Its purpose was to determine how gender, educational institution, geographical location, family structure and paternal occupation affected scientific aptitude.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survey involved 200 students in the government and private schools.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Independent samples t-tests and a one-way ANOVA were used to evaluate scientific aptitude tests.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There were no statistically significant differences of scientific aptitude on all variables.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girls had a slightly higher score than the boys, the rural students scored better than the urban students, and the pupils of nuclear families scored higher than the mixed families, but none of the differences was found to be 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statistics suggest that gender, institutional affiliation and the socio-demographic background might not have much impact on scientific aptitude.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findings show that justifiable educational methods are efficient and all the groups of students can achieve similar success in science when they have equal learning conditions.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study supports the egalitarian National Education Policy (NEP) 2020 in the sense of showing that diverse peoples can develop scientific ability.</w:t>
      </w:r>
    </w:p>
    <w:p w14:paraId="36F0FF42" w14:textId="77777777" w:rsidR="00C225C6" w:rsidRDefault="00C225C6">
      <w:pPr>
        <w:spacing w:line="360" w:lineRule="auto"/>
        <w:jc w:val="both"/>
        <w:rPr>
          <w:rFonts w:ascii="Times New Roman" w:eastAsia="Times New Roman" w:hAnsi="Times New Roman" w:cs="Times New Roman"/>
          <w:color w:val="111111"/>
          <w:sz w:val="24"/>
          <w:szCs w:val="24"/>
        </w:rPr>
      </w:pPr>
    </w:p>
    <w:p w14:paraId="567D54D3" w14:textId="77777777" w:rsidR="00C225C6" w:rsidRDefault="0081615B">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i/>
          <w:iCs/>
          <w:sz w:val="24"/>
          <w:szCs w:val="24"/>
        </w:rPr>
        <w:t xml:space="preserve"> Scientific Aptitude; Demographic Variables; Gender Differences; Government and Private Schools; Urban and Rural Students; Family Structure; Father's Occupation; Educational Equity; Secondary Education; NEP 2020; Aptitude Assessment. </w:t>
      </w:r>
    </w:p>
    <w:p w14:paraId="212C184B" w14:textId="77777777" w:rsidR="00C225C6" w:rsidRDefault="0081615B">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Introduction</w:t>
      </w:r>
    </w:p>
    <w:p w14:paraId="33ACAF7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the modern world, where science and technology are put in the center stage of all aspects of societal growth, development of scientific skills among students is now more crucial than before. The systematic use of scientific knowledge and reasoning has been the force that has led to the evolution of human civilization encompassing the agrarian societies to </w:t>
      </w:r>
      <w:r>
        <w:rPr>
          <w:rFonts w:ascii="Times New Roman" w:eastAsia="Times New Roman" w:hAnsi="Times New Roman" w:cs="Times New Roman"/>
          <w:color w:val="111111"/>
          <w:sz w:val="24"/>
          <w:szCs w:val="24"/>
        </w:rPr>
        <w:lastRenderedPageBreak/>
        <w:t>technologically advanced nations. Scientific aptitude is a group of interconnected elements: logical and analytical thinking, numerical and quantitative, solid understanding of scientific facts and concepts and knowledge of scientific terms. In this understanding, the National Education Policy 2020 (NEP 2020) of India offers a vision of progress to transform science education to an inquiry-based, experiential, and competency-driven style of learning. The policy clearly changes the emphasis to a higher order of cognition that involve problem solving, conceptual clarity and reflective thought as opposed to rote memorization. It emphasizes the value of reasoning capacity by combining analytical aptitude of subjects, and it emphasizes the value of numerical aptitude by interdisciplinary associations with mathematics with its supportive position in scientific understanding and innovation. Also, NEP 2020 promotes sharing information related to science based on conceptual and contextual learning, and development of vocabulary associated with science based on instructional approaches that is multilingual and rich in comprehension. It concurs with the worldwide vision established in the National Curriculum Framework of science (England, 2013), which considers the quality education in science to be the key to knowing and being active in the world. Similarly, the National Curriculum Framework (NCF) 2005 in India focuses on scientific inquiry, reasoning, and creativity as the most fundamental pedagogical goals, which requires an abandonment of didactic approaches to teaching. The development of scientific attitudes and aptitudes were also found by historical commissions such as Kothari Commission report of 1964-66 and the Secondary Education Commission report of 1952-53 as key to individual and national progress. All these points of view form scientific aptitude as not only an academic concept but a multidimensional and dynamic entity that enables profound learning and proper use of science. As a result, scientific aptitude needs to be considered an important variable in terms of science achievement in policy and practice, as well as, scientific aptitude needs to be actively researched in order to streamline the educational strategies and outcomes.</w:t>
      </w:r>
    </w:p>
    <w:p w14:paraId="02D4473E" w14:textId="77777777" w:rsidR="00C225C6" w:rsidRDefault="00C225C6">
      <w:pPr>
        <w:spacing w:line="360" w:lineRule="auto"/>
        <w:jc w:val="both"/>
        <w:rPr>
          <w:rFonts w:ascii="Times New Roman" w:eastAsia="Times New Roman" w:hAnsi="Times New Roman" w:cs="Times New Roman"/>
          <w:color w:val="111111"/>
          <w:sz w:val="24"/>
          <w:szCs w:val="24"/>
        </w:rPr>
      </w:pPr>
    </w:p>
    <w:p w14:paraId="24BDD54A"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Need and significance of the study</w:t>
      </w:r>
    </w:p>
    <w:p w14:paraId="21AC417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Due to the fact that India is progressing towards a knowledge-driven economy, the importance of science education is increasingly being felt. Development of scientific capability among students is very important to equip the workforce in the country with technological competency.</w:t>
      </w:r>
    </w:p>
    <w:p w14:paraId="68584AF2"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Although there are general curricular changes, there is still a loophole in the cultivation of the scientific aptitude at the school level. The number of students who show less interest in science is very high, and this can be explained with the fact that the level of scientific aptitude is not </w:t>
      </w:r>
      <w:r>
        <w:rPr>
          <w:rFonts w:ascii="Times New Roman" w:eastAsia="Times New Roman" w:hAnsi="Times New Roman" w:cs="Times New Roman"/>
          <w:color w:val="111111"/>
          <w:sz w:val="24"/>
          <w:szCs w:val="24"/>
        </w:rPr>
        <w:lastRenderedPageBreak/>
        <w:t>high enough. This lack does not only impact on the academic performance in the sciences but also shapes the career choice of the students where they may avoid anything to do with sciences.</w:t>
      </w:r>
    </w:p>
    <w:p w14:paraId="1E40022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the intellectual and emotional capacity to grasp the principles of science, and to be involved in solving a scientific problem. It encompasses such traits as logical thinking, analysis, visualizing, and understanding abstract scientific concepts. These skills are essential during the learning process and they directly determine the achievement of a student in science.</w:t>
      </w:r>
    </w:p>
    <w:p w14:paraId="189F5CA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There is a mounting necessity to </w:t>
      </w:r>
      <w:proofErr w:type="spellStart"/>
      <w:r>
        <w:rPr>
          <w:rFonts w:ascii="Times New Roman" w:eastAsia="Times New Roman" w:hAnsi="Times New Roman" w:cs="Times New Roman"/>
          <w:color w:val="111111"/>
          <w:sz w:val="24"/>
          <w:szCs w:val="24"/>
        </w:rPr>
        <w:t>analyse</w:t>
      </w:r>
      <w:proofErr w:type="spellEnd"/>
      <w:r>
        <w:rPr>
          <w:rFonts w:ascii="Times New Roman" w:eastAsia="Times New Roman" w:hAnsi="Times New Roman" w:cs="Times New Roman"/>
          <w:color w:val="111111"/>
          <w:sz w:val="24"/>
          <w:szCs w:val="24"/>
        </w:rPr>
        <w:t xml:space="preserve"> the role of scientific aptitude in the scholarly field especially in the secondary school level where the attitude and proficiencies are acquired. The knowledge of the correlation between scientific aptitude and science achievement can assist teachers, curriculum developers as well as policy-makers to come up with improved science teaching methods that are congruent to </w:t>
      </w:r>
      <w:proofErr w:type="gramStart"/>
      <w:r>
        <w:rPr>
          <w:rFonts w:ascii="Times New Roman" w:eastAsia="Times New Roman" w:hAnsi="Times New Roman" w:cs="Times New Roman"/>
          <w:color w:val="111111"/>
          <w:sz w:val="24"/>
          <w:szCs w:val="24"/>
        </w:rPr>
        <w:t>students</w:t>
      </w:r>
      <w:proofErr w:type="gramEnd"/>
      <w:r>
        <w:rPr>
          <w:rFonts w:ascii="Times New Roman" w:eastAsia="Times New Roman" w:hAnsi="Times New Roman" w:cs="Times New Roman"/>
          <w:color w:val="111111"/>
          <w:sz w:val="24"/>
          <w:szCs w:val="24"/>
        </w:rPr>
        <w:t xml:space="preserve"> aptitudes.</w:t>
      </w:r>
    </w:p>
    <w:p w14:paraId="34B214E9"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Hence, the current paper is intended to examine the scientific capability of the students of the secondary school, its distribution in relation to gender (male and female) and school type (government or private).</w:t>
      </w:r>
    </w:p>
    <w:p w14:paraId="2ED908DC" w14:textId="77777777" w:rsidR="00C225C6" w:rsidRDefault="00C225C6">
      <w:pPr>
        <w:spacing w:line="360" w:lineRule="auto"/>
        <w:jc w:val="both"/>
        <w:rPr>
          <w:rFonts w:ascii="Times New Roman" w:eastAsia="Times New Roman" w:hAnsi="Times New Roman" w:cs="Times New Roman"/>
          <w:color w:val="111111"/>
          <w:sz w:val="24"/>
          <w:szCs w:val="24"/>
        </w:rPr>
      </w:pPr>
    </w:p>
    <w:p w14:paraId="5735AE12" w14:textId="77777777" w:rsidR="00C225C6" w:rsidRDefault="0081615B">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bCs/>
          <w:color w:val="111111"/>
          <w:sz w:val="24"/>
          <w:szCs w:val="24"/>
        </w:rPr>
        <w:t>Review of Related literature</w:t>
      </w:r>
    </w:p>
    <w:p w14:paraId="4163D3B0" w14:textId="515785FC"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importance of the relationship that exists between scientific aptitude and science achievement among the students in secondary schools is emphasized in many Indian research. Research conducted by Ahmed and Shailaja (2007), </w:t>
      </w:r>
      <w:proofErr w:type="spellStart"/>
      <w:r>
        <w:rPr>
          <w:rFonts w:ascii="Times New Roman" w:eastAsia="Times New Roman" w:hAnsi="Times New Roman" w:cs="Times New Roman"/>
          <w:color w:val="111111"/>
          <w:sz w:val="24"/>
          <w:szCs w:val="24"/>
        </w:rPr>
        <w:t>Dafedar</w:t>
      </w:r>
      <w:proofErr w:type="spellEnd"/>
      <w:r>
        <w:rPr>
          <w:rFonts w:ascii="Times New Roman" w:eastAsia="Times New Roman" w:hAnsi="Times New Roman" w:cs="Times New Roman"/>
          <w:color w:val="111111"/>
          <w:sz w:val="24"/>
          <w:szCs w:val="24"/>
        </w:rPr>
        <w:t xml:space="preserve"> and Yeli (2014), and Stanly (2016) all indicate that students who have a higher degree of scientific aptitude do better in science subjects. </w:t>
      </w:r>
      <w:r w:rsidR="00474C0B" w:rsidRPr="00474C0B">
        <w:rPr>
          <w:rFonts w:ascii="Times New Roman" w:eastAsia="Times New Roman" w:hAnsi="Times New Roman" w:cs="Times New Roman"/>
          <w:color w:val="111111"/>
          <w:sz w:val="24"/>
          <w:szCs w:val="24"/>
        </w:rPr>
        <w:t xml:space="preserve">Teaching through multimedia </w:t>
      </w:r>
      <w:r w:rsidR="00474C0B">
        <w:rPr>
          <w:rFonts w:ascii="Times New Roman" w:eastAsia="Times New Roman" w:hAnsi="Times New Roman" w:cs="Times New Roman"/>
          <w:color w:val="111111"/>
          <w:sz w:val="24"/>
          <w:szCs w:val="24"/>
        </w:rPr>
        <w:t>found to</w:t>
      </w:r>
      <w:r w:rsidR="00474C0B" w:rsidRPr="00474C0B">
        <w:rPr>
          <w:rFonts w:ascii="Times New Roman" w:eastAsia="Times New Roman" w:hAnsi="Times New Roman" w:cs="Times New Roman"/>
          <w:color w:val="111111"/>
          <w:sz w:val="24"/>
          <w:szCs w:val="24"/>
        </w:rPr>
        <w:t xml:space="preserve"> develop the scientific aptitude of students in comparison to the traditional </w:t>
      </w:r>
      <w:proofErr w:type="gramStart"/>
      <w:r w:rsidR="00474C0B" w:rsidRPr="00474C0B">
        <w:rPr>
          <w:rFonts w:ascii="Times New Roman" w:eastAsia="Times New Roman" w:hAnsi="Times New Roman" w:cs="Times New Roman"/>
          <w:color w:val="111111"/>
          <w:sz w:val="24"/>
          <w:szCs w:val="24"/>
        </w:rPr>
        <w:t>lecture based</w:t>
      </w:r>
      <w:proofErr w:type="gramEnd"/>
      <w:r w:rsidR="00474C0B" w:rsidRPr="00474C0B">
        <w:rPr>
          <w:rFonts w:ascii="Times New Roman" w:eastAsia="Times New Roman" w:hAnsi="Times New Roman" w:cs="Times New Roman"/>
          <w:color w:val="111111"/>
          <w:sz w:val="24"/>
          <w:szCs w:val="24"/>
        </w:rPr>
        <w:t xml:space="preserve"> teaching because interactive learning tools like simulations, videos, etc. enhance conceptual knowledge, engagement, and </w:t>
      </w:r>
      <w:proofErr w:type="gramStart"/>
      <w:r w:rsidR="00474C0B" w:rsidRPr="00474C0B">
        <w:rPr>
          <w:rFonts w:ascii="Times New Roman" w:eastAsia="Times New Roman" w:hAnsi="Times New Roman" w:cs="Times New Roman"/>
          <w:color w:val="111111"/>
          <w:sz w:val="24"/>
          <w:szCs w:val="24"/>
        </w:rPr>
        <w:t>problem solving</w:t>
      </w:r>
      <w:proofErr w:type="gramEnd"/>
      <w:r w:rsidR="00474C0B" w:rsidRPr="00474C0B">
        <w:rPr>
          <w:rFonts w:ascii="Times New Roman" w:eastAsia="Times New Roman" w:hAnsi="Times New Roman" w:cs="Times New Roman"/>
          <w:color w:val="111111"/>
          <w:sz w:val="24"/>
          <w:szCs w:val="24"/>
        </w:rPr>
        <w:t xml:space="preserve"> skills (Narayan and Sharma, 2025). It has been observed that multimedia-based teaching significantly improves the level of scientific aptitude in students in comparison to traditional lecture-based instruction since interactive multimedia tools like simulations and videos enhance conceptual knowledge, participation, and problem-solving skills (Narayan and Sharma, 2025).</w:t>
      </w:r>
      <w:r w:rsidR="003E6720">
        <w:rPr>
          <w:rFonts w:ascii="Times New Roman" w:eastAsia="Times New Roman" w:hAnsi="Times New Roman" w:cs="Times New Roman"/>
          <w:color w:val="111111"/>
          <w:sz w:val="24"/>
          <w:szCs w:val="24"/>
        </w:rPr>
        <w:t xml:space="preserve"> </w:t>
      </w:r>
      <w:r w:rsidR="003E6720" w:rsidRPr="003E6720">
        <w:rPr>
          <w:rFonts w:ascii="Times New Roman" w:eastAsia="Times New Roman" w:hAnsi="Times New Roman" w:cs="Times New Roman"/>
          <w:color w:val="111111"/>
          <w:sz w:val="24"/>
          <w:szCs w:val="24"/>
        </w:rPr>
        <w:t xml:space="preserve">Scientific aptitude is a multidimensional aspect that depends on cognitive abilities, instructional practices, and socio-demographic </w:t>
      </w:r>
      <w:proofErr w:type="gramStart"/>
      <w:r w:rsidR="003E6720" w:rsidRPr="003E6720">
        <w:rPr>
          <w:rFonts w:ascii="Times New Roman" w:eastAsia="Times New Roman" w:hAnsi="Times New Roman" w:cs="Times New Roman"/>
          <w:color w:val="111111"/>
          <w:sz w:val="24"/>
          <w:szCs w:val="24"/>
        </w:rPr>
        <w:t>elements,</w:t>
      </w:r>
      <w:proofErr w:type="gramEnd"/>
      <w:r w:rsidR="003E6720" w:rsidRPr="003E6720">
        <w:rPr>
          <w:rFonts w:ascii="Times New Roman" w:eastAsia="Times New Roman" w:hAnsi="Times New Roman" w:cs="Times New Roman"/>
          <w:color w:val="111111"/>
          <w:sz w:val="24"/>
          <w:szCs w:val="24"/>
        </w:rPr>
        <w:t xml:space="preserve"> however, it was found that demographic factors like gender and locality have little to no influence on the scientific aptitude of students (Verma and Gupta, 2024).</w:t>
      </w:r>
      <w:r w:rsidR="003E6720">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There have also been gender differences in which the results have been variable in different contexts; Ghosh showed the male students to be better </w:t>
      </w:r>
      <w:r>
        <w:rPr>
          <w:rFonts w:ascii="Times New Roman" w:eastAsia="Times New Roman" w:hAnsi="Times New Roman" w:cs="Times New Roman"/>
          <w:color w:val="111111"/>
          <w:sz w:val="24"/>
          <w:szCs w:val="24"/>
        </w:rPr>
        <w:lastRenderedPageBreak/>
        <w:t xml:space="preserve">in scientific aptitude compared to the female students; whereas other researchers like </w:t>
      </w: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identified that female students had better aptitude scores, particularly in urban and aided schools (2014). There are other researchers who have investigated the scientific aptitude in the context of other psychological variables. Ghosh (1998) entire correlations were partial with study habits, cognitive styles, and self-concept, whereas Manjula (2013) and Mukhopadhyay (2013) emphasized the relationships between scientific aptitude, mental health, and deep learning strategies. Curiosity and scientific curiosity </w:t>
      </w:r>
      <w:proofErr w:type="gramStart"/>
      <w:r>
        <w:rPr>
          <w:rFonts w:ascii="Times New Roman" w:eastAsia="Times New Roman" w:hAnsi="Times New Roman" w:cs="Times New Roman"/>
          <w:color w:val="111111"/>
          <w:sz w:val="24"/>
          <w:szCs w:val="24"/>
        </w:rPr>
        <w:t>has</w:t>
      </w:r>
      <w:proofErr w:type="gramEnd"/>
      <w:r>
        <w:rPr>
          <w:rFonts w:ascii="Times New Roman" w:eastAsia="Times New Roman" w:hAnsi="Times New Roman" w:cs="Times New Roman"/>
          <w:color w:val="111111"/>
          <w:sz w:val="24"/>
          <w:szCs w:val="24"/>
        </w:rPr>
        <w:t xml:space="preserve"> also become a factor of interest where Verma (1994) showed that there is a positive relationship between creativity, aptitude and career interest; </w:t>
      </w:r>
      <w:proofErr w:type="spellStart"/>
      <w:r>
        <w:rPr>
          <w:rFonts w:ascii="Times New Roman" w:eastAsia="Times New Roman" w:hAnsi="Times New Roman" w:cs="Times New Roman"/>
          <w:color w:val="111111"/>
          <w:sz w:val="24"/>
          <w:szCs w:val="24"/>
        </w:rPr>
        <w:t>Jayalekshmi</w:t>
      </w:r>
      <w:proofErr w:type="spellEnd"/>
      <w:r>
        <w:rPr>
          <w:rFonts w:ascii="Times New Roman" w:eastAsia="Times New Roman" w:hAnsi="Times New Roman" w:cs="Times New Roman"/>
          <w:color w:val="111111"/>
          <w:sz w:val="24"/>
          <w:szCs w:val="24"/>
        </w:rPr>
        <w:t xml:space="preserve"> (2011) showed that there was no such relationship. Aptitude levels have also been found to be affected by school type and medium of instruction, which is the case of </w:t>
      </w:r>
      <w:proofErr w:type="spellStart"/>
      <w:r>
        <w:rPr>
          <w:rFonts w:ascii="Times New Roman" w:eastAsia="Times New Roman" w:hAnsi="Times New Roman" w:cs="Times New Roman"/>
          <w:color w:val="111111"/>
          <w:sz w:val="24"/>
          <w:szCs w:val="24"/>
        </w:rPr>
        <w:t>Moshahid</w:t>
      </w:r>
      <w:proofErr w:type="spellEnd"/>
      <w:r>
        <w:rPr>
          <w:rFonts w:ascii="Times New Roman" w:eastAsia="Times New Roman" w:hAnsi="Times New Roman" w:cs="Times New Roman"/>
          <w:color w:val="111111"/>
          <w:sz w:val="24"/>
          <w:szCs w:val="24"/>
        </w:rPr>
        <w:t xml:space="preserve"> (2016) and </w:t>
      </w: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(2014), who found that students in English medium, aided, and urban schools had higher levels of scientific aptitude. Arora and Gautam (2013) and Banerjee (2016) have described in their subject-specific studies that scientific aptitude has strong correlations with performance in biology, chemistry, physics, and even in mathematics, which confirms the notion that scientific aptitude is a general cognitive phenomenon that affects different subjects. Also, the contribution of external pedagogical variables, including the competence of teachers, evaluation culture, and instructional efficiency, which were emphasized in Banerjee (2017), indicates that the process of scientific competence formation is not a feature of isolated personal qualities but is also firmly rooted in educational reality. Together, these studies are strong indications that the aptitude of scientific achievement is an important determinant of science achievement and it is that complex product of cognitive, affective and contextual factors.</w:t>
      </w:r>
    </w:p>
    <w:p w14:paraId="2DBCD70A"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Operational Definition of Scientific Aptitude</w:t>
      </w:r>
    </w:p>
    <w:p w14:paraId="409254C7" w14:textId="03D3F6FB"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the ability of a person to gain expertise in science.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It is regarded as an innate or acquired ability to reason, imagine scientific processes, and comprehend scientific principles and laws.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Scientific aptitude hence is operationally defined as the mental aptitude or capability of a person to comprehend, examine and put scientific knowledge and reasoning to </w:t>
      </w:r>
      <w:r w:rsidR="00033144">
        <w:rPr>
          <w:rFonts w:ascii="Times New Roman" w:eastAsia="Times New Roman" w:hAnsi="Times New Roman" w:cs="Times New Roman"/>
          <w:color w:val="111111"/>
          <w:sz w:val="24"/>
          <w:szCs w:val="24"/>
        </w:rPr>
        <w:t>utilize</w:t>
      </w:r>
      <w:r>
        <w:rPr>
          <w:rFonts w:ascii="Times New Roman" w:eastAsia="Times New Roman" w:hAnsi="Times New Roman" w:cs="Times New Roman"/>
          <w:color w:val="111111"/>
          <w:sz w:val="24"/>
          <w:szCs w:val="24"/>
        </w:rPr>
        <w:t xml:space="preserve"> which is useful in enhancing performance on tasks and learning contexts of science.</w:t>
      </w:r>
    </w:p>
    <w:p w14:paraId="48CB2E55" w14:textId="381000AB"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sidR="0003314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Research objective and hypothesis</w:t>
      </w:r>
    </w:p>
    <w:p w14:paraId="35BD5D21" w14:textId="77777777" w:rsidR="00C225C6" w:rsidRDefault="0081615B">
      <w:pPr>
        <w:numPr>
          <w:ilvl w:val="0"/>
          <w:numId w:val="2"/>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find out the scientific aptitude of boys and girls of government and private secondary schools.</w:t>
      </w:r>
    </w:p>
    <w:p w14:paraId="3CAA8432" w14:textId="77777777" w:rsidR="00C225C6" w:rsidRDefault="0081615B">
      <w:pPr>
        <w:spacing w:line="360" w:lineRule="auto"/>
        <w:ind w:left="720"/>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Research Hypothesis</w:t>
      </w:r>
    </w:p>
    <w:p w14:paraId="749E3765"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lastRenderedPageBreak/>
        <w:t>H₀₁</w:t>
      </w:r>
      <w:r>
        <w:rPr>
          <w:rFonts w:ascii="Times New Roman" w:eastAsia="Times New Roman" w:hAnsi="Times New Roman" w:cs="Times New Roman"/>
          <w:color w:val="111111"/>
          <w:sz w:val="24"/>
          <w:szCs w:val="24"/>
        </w:rPr>
        <w:t>: There is no significant difference in scientific aptitude between students of government and private secondary schools.</w:t>
      </w:r>
    </w:p>
    <w:p w14:paraId="74C01799"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4.</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bCs/>
          <w:color w:val="111111"/>
          <w:sz w:val="24"/>
          <w:szCs w:val="24"/>
        </w:rPr>
        <w:t>Methodology</w:t>
      </w:r>
    </w:p>
    <w:p w14:paraId="085636CE" w14:textId="221E6879"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According to nature of the problem, the Descriptive cum Survey method was adopted to achieve the solution of the problem.</w:t>
      </w:r>
    </w:p>
    <w:p w14:paraId="6E8137CD"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4.1 Population of the study and sampling technique</w:t>
      </w:r>
    </w:p>
    <w:p w14:paraId="6E46B1CD"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current study involved the entire population of Class X students who were studying in the given academic session in the secondary schools of the </w:t>
      </w:r>
      <w:proofErr w:type="spellStart"/>
      <w:r>
        <w:rPr>
          <w:rFonts w:ascii="Times New Roman" w:eastAsia="Times New Roman" w:hAnsi="Times New Roman" w:cs="Times New Roman"/>
          <w:color w:val="111111"/>
          <w:sz w:val="24"/>
          <w:szCs w:val="24"/>
        </w:rPr>
        <w:t>Mahendergarh</w:t>
      </w:r>
      <w:proofErr w:type="spellEnd"/>
      <w:r>
        <w:rPr>
          <w:rFonts w:ascii="Times New Roman" w:eastAsia="Times New Roman" w:hAnsi="Times New Roman" w:cs="Times New Roman"/>
          <w:color w:val="111111"/>
          <w:sz w:val="24"/>
          <w:szCs w:val="24"/>
        </w:rPr>
        <w:t xml:space="preserve"> district of Haryana. This specified group was the universe of the research. Out of this population, 200 students of the secondary school were chosen as sample through simple random sampling method which is a type of probability sampling method which gives each person an equal opportunity of being sampled. This was also known as chance sampling and was employed through lottery method, which is appropriate considering the nature of the study and its aim. The sample identified was sampled in seven government and private secondary schools in the district and this was done in such a way that sampled schools are of both sex and of different types. A representative sample of the target population was also used with 95 boys and 105 girls representing the final sample.</w:t>
      </w:r>
    </w:p>
    <w:p w14:paraId="291FE8E7" w14:textId="77777777" w:rsidR="00C225C6" w:rsidRPr="00CE0A00" w:rsidRDefault="0081615B">
      <w:pPr>
        <w:spacing w:line="360" w:lineRule="auto"/>
        <w:jc w:val="both"/>
        <w:rPr>
          <w:rFonts w:ascii="Times New Roman" w:eastAsia="Times New Roman" w:hAnsi="Times New Roman" w:cs="Times New Roman"/>
          <w:b/>
          <w:bCs/>
          <w:color w:val="111111"/>
          <w:sz w:val="24"/>
          <w:szCs w:val="24"/>
        </w:rPr>
      </w:pPr>
      <w:r w:rsidRPr="00CE0A00">
        <w:rPr>
          <w:rFonts w:ascii="Times New Roman" w:eastAsia="Times New Roman" w:hAnsi="Times New Roman" w:cs="Times New Roman"/>
          <w:b/>
          <w:bCs/>
          <w:color w:val="111111"/>
          <w:sz w:val="24"/>
          <w:szCs w:val="24"/>
        </w:rPr>
        <w:t>4.2. Tools Used</w:t>
      </w:r>
    </w:p>
    <w:p w14:paraId="4836C14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ensure the ease of collecting data in a systematic manner in the current research, a standardized tool was used- the Scientific Aptitude Test Battery (SATB 2013) that was designed by Dr. K. K. Agarwal and Dr. Saroj Aurora (2013). It is a well-tested instrument that is particularly used to determine different levels of scientific ability among students in the high school level. This battery includes four major sub-parts: (1) Reasoning Ability, and (2) Numerical Ability, which assess the logical and analytical ability of a student respectively; (3) Science Information, and (4) Science Vocabulary, which measures the knowledge of a student of basic scientific facts and principles and knowledge of scientific terms respectively. Use of this holistic and tested tool made the data collected to be reliable and relevant which is in line with the research aim.</w:t>
      </w:r>
    </w:p>
    <w:p w14:paraId="77A0C48F"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ANALYSIS AND INTERPRETATION</w:t>
      </w:r>
    </w:p>
    <w:p w14:paraId="6DA19C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sz w:val="24"/>
          <w:szCs w:val="24"/>
        </w:rPr>
        <w:t xml:space="preserve"> To examine the scientific aptitude of secondary </w:t>
      </w:r>
      <w:proofErr w:type="gramStart"/>
      <w:r>
        <w:rPr>
          <w:rFonts w:ascii="Times New Roman" w:eastAsia="Times New Roman" w:hAnsi="Times New Roman" w:cs="Times New Roman"/>
          <w:sz w:val="24"/>
          <w:szCs w:val="24"/>
        </w:rPr>
        <w:t>schools</w:t>
      </w:r>
      <w:proofErr w:type="gramEnd"/>
      <w:r>
        <w:rPr>
          <w:rFonts w:ascii="Times New Roman" w:eastAsia="Times New Roman" w:hAnsi="Times New Roman" w:cs="Times New Roman"/>
          <w:sz w:val="24"/>
          <w:szCs w:val="24"/>
        </w:rPr>
        <w:t xml:space="preserve"> students (boys and girls) studying in government and private schools.</w:t>
      </w:r>
    </w:p>
    <w:p w14:paraId="6BEACE8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Null Hypothesis (H₀₁): </w:t>
      </w:r>
      <w:r>
        <w:rPr>
          <w:rFonts w:ascii="Times New Roman" w:eastAsia="Times New Roman" w:hAnsi="Times New Roman" w:cs="Times New Roman"/>
          <w:sz w:val="24"/>
          <w:szCs w:val="24"/>
        </w:rPr>
        <w:t>There is no significant difference in the scientific aptitude of students studying in government and private secondary schools.</w:t>
      </w:r>
    </w:p>
    <w:p w14:paraId="2A019D6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this hypothesis, the following comparisons were undertaken:</w:t>
      </w:r>
    </w:p>
    <w:p w14:paraId="1B007793"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Scientific aptitude of boys in government and private secondary schools.</w:t>
      </w:r>
    </w:p>
    <w:p w14:paraId="7BF7FF3E"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girls in government and private secondary schools.</w:t>
      </w:r>
    </w:p>
    <w:p w14:paraId="7407DA3E"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within government schools.</w:t>
      </w:r>
    </w:p>
    <w:p w14:paraId="6C4C6BF0"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within private schools.</w:t>
      </w:r>
    </w:p>
    <w:p w14:paraId="4AD5DA49"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in the overall sample.</w:t>
      </w:r>
    </w:p>
    <w:p w14:paraId="0924055B"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in government versus private schools.</w:t>
      </w:r>
    </w:p>
    <w:p w14:paraId="45EE1793"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based on locality (urban vs. rural).</w:t>
      </w:r>
    </w:p>
    <w:p w14:paraId="5A0B3FFD"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based on family type (nuclear vs. joint).</w:t>
      </w:r>
    </w:p>
    <w:p w14:paraId="7CA2A1BA"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in relation to their father's occupation.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6234E17"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Related to Hypothesis H₀₁</w:t>
      </w:r>
    </w:p>
    <w:p w14:paraId="13778307"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 Scientific Aptitude of Boys from Government and Private Secondary Schools</w:t>
      </w:r>
    </w:p>
    <w:tbl>
      <w:tblPr>
        <w:tblStyle w:val="a"/>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65"/>
        <w:gridCol w:w="675"/>
        <w:gridCol w:w="945"/>
        <w:gridCol w:w="945"/>
        <w:gridCol w:w="1080"/>
        <w:gridCol w:w="3495"/>
      </w:tblGrid>
      <w:tr w:rsidR="00C225C6" w14:paraId="05F8A0D1" w14:textId="77777777">
        <w:trPr>
          <w:trHeight w:val="375"/>
        </w:trPr>
        <w:tc>
          <w:tcPr>
            <w:tcW w:w="166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AEA5FA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6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C63BD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9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96E224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9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126BD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64F861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349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3D88F2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79D380DF" w14:textId="77777777">
        <w:trPr>
          <w:trHeight w:val="375"/>
        </w:trPr>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3E16A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675" w:type="dxa"/>
            <w:tcBorders>
              <w:top w:val="nil"/>
              <w:left w:val="nil"/>
              <w:bottom w:val="single" w:sz="5" w:space="0" w:color="000000"/>
              <w:right w:val="single" w:sz="5" w:space="0" w:color="000000"/>
            </w:tcBorders>
            <w:tcMar>
              <w:top w:w="0" w:type="dxa"/>
              <w:left w:w="100" w:type="dxa"/>
              <w:bottom w:w="0" w:type="dxa"/>
              <w:right w:w="100" w:type="dxa"/>
            </w:tcMar>
          </w:tcPr>
          <w:p w14:paraId="1EF76B9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14E6794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68C7B6A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c>
          <w:tcPr>
            <w:tcW w:w="108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50B78D1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0.454</w:t>
            </w:r>
          </w:p>
        </w:tc>
        <w:tc>
          <w:tcPr>
            <w:tcW w:w="34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CACBCC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58F709C4" w14:textId="77777777">
        <w:trPr>
          <w:trHeight w:val="375"/>
        </w:trPr>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03F6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675" w:type="dxa"/>
            <w:tcBorders>
              <w:top w:val="nil"/>
              <w:left w:val="nil"/>
              <w:bottom w:val="single" w:sz="5" w:space="0" w:color="000000"/>
              <w:right w:val="single" w:sz="5" w:space="0" w:color="000000"/>
            </w:tcBorders>
            <w:tcMar>
              <w:top w:w="0" w:type="dxa"/>
              <w:left w:w="100" w:type="dxa"/>
              <w:bottom w:w="0" w:type="dxa"/>
              <w:right w:w="100" w:type="dxa"/>
            </w:tcMar>
          </w:tcPr>
          <w:p w14:paraId="2D015C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2837462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6B8C52C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7.879</w:t>
            </w:r>
          </w:p>
        </w:tc>
        <w:tc>
          <w:tcPr>
            <w:tcW w:w="1080" w:type="dxa"/>
            <w:vMerge/>
            <w:tcBorders>
              <w:top w:val="nil"/>
              <w:left w:val="nil"/>
              <w:bottom w:val="single" w:sz="5" w:space="0" w:color="000000"/>
              <w:right w:val="single" w:sz="5" w:space="0" w:color="000000"/>
            </w:tcBorders>
            <w:tcMar>
              <w:top w:w="100" w:type="dxa"/>
              <w:left w:w="100" w:type="dxa"/>
              <w:bottom w:w="100" w:type="dxa"/>
              <w:right w:w="100" w:type="dxa"/>
            </w:tcMar>
          </w:tcPr>
          <w:p w14:paraId="014FECF1" w14:textId="77777777" w:rsidR="00C225C6" w:rsidRDefault="00C225C6">
            <w:pPr>
              <w:spacing w:line="360" w:lineRule="auto"/>
              <w:jc w:val="both"/>
              <w:rPr>
                <w:rFonts w:ascii="Times New Roman" w:eastAsia="Times New Roman" w:hAnsi="Times New Roman" w:cs="Times New Roman"/>
                <w:sz w:val="24"/>
                <w:szCs w:val="24"/>
              </w:rPr>
            </w:pPr>
          </w:p>
        </w:tc>
        <w:tc>
          <w:tcPr>
            <w:tcW w:w="3495" w:type="dxa"/>
            <w:vMerge/>
            <w:tcBorders>
              <w:top w:val="nil"/>
              <w:left w:val="nil"/>
              <w:bottom w:val="single" w:sz="5" w:space="0" w:color="000000"/>
              <w:right w:val="single" w:sz="5" w:space="0" w:color="000000"/>
            </w:tcBorders>
            <w:tcMar>
              <w:top w:w="100" w:type="dxa"/>
              <w:left w:w="100" w:type="dxa"/>
              <w:bottom w:w="100" w:type="dxa"/>
              <w:right w:w="100" w:type="dxa"/>
            </w:tcMar>
          </w:tcPr>
          <w:p w14:paraId="724194D1" w14:textId="77777777" w:rsidR="00C225C6" w:rsidRDefault="00C225C6">
            <w:pPr>
              <w:spacing w:line="360" w:lineRule="auto"/>
              <w:jc w:val="both"/>
              <w:rPr>
                <w:rFonts w:ascii="Times New Roman" w:eastAsia="Times New Roman" w:hAnsi="Times New Roman" w:cs="Times New Roman"/>
                <w:sz w:val="24"/>
                <w:szCs w:val="24"/>
              </w:rPr>
            </w:pPr>
          </w:p>
        </w:tc>
      </w:tr>
    </w:tbl>
    <w:p w14:paraId="183E828A"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Figure-1: Scientific Aptitude of Boys from Government and Private Secondary Schools</w:t>
      </w:r>
    </w:p>
    <w:p w14:paraId="3122B5E9" w14:textId="77777777" w:rsidR="00C225C6" w:rsidRDefault="00C225C6">
      <w:pPr>
        <w:spacing w:line="360" w:lineRule="auto"/>
        <w:jc w:val="both"/>
        <w:rPr>
          <w:rFonts w:ascii="Times New Roman" w:eastAsia="Times New Roman" w:hAnsi="Times New Roman" w:cs="Times New Roman"/>
          <w:sz w:val="24"/>
          <w:szCs w:val="24"/>
        </w:rPr>
      </w:pPr>
    </w:p>
    <w:p w14:paraId="1BA973F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0BB913D8" wp14:editId="563B072E">
            <wp:extent cx="4400550" cy="28289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00550" cy="2828925"/>
                    </a:xfrm>
                    <a:prstGeom prst="rect">
                      <a:avLst/>
                    </a:prstGeom>
                    <a:ln/>
                  </pic:spPr>
                </pic:pic>
              </a:graphicData>
            </a:graphic>
          </wp:inline>
        </w:drawing>
      </w:r>
    </w:p>
    <w:p w14:paraId="4ED215F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1 represents the data concerning the scientific aptitude of the government and private school boys which shows 38.78 mean score of scientific aptitude of boys of government school (M=38.78, N=49) is greater than 37.48 mean score of scientific aptitude of boys of private school (M=37.48, N=46) as in Figure-1. Reading through the analysis t-score indicates that </w:t>
      </w:r>
      <w:r>
        <w:rPr>
          <w:rFonts w:ascii="Times New Roman" w:eastAsia="Times New Roman" w:hAnsi="Times New Roman" w:cs="Times New Roman"/>
          <w:color w:val="111111"/>
          <w:sz w:val="24"/>
          <w:szCs w:val="24"/>
        </w:rPr>
        <w:lastRenderedPageBreak/>
        <w:t>there is no significant difference in the scientific aptitude between government and private school boys since calculated value of t (t=0.454) is low as compared to the tabular value at the degree of freedom of 93.</w:t>
      </w:r>
    </w:p>
    <w:p w14:paraId="6CA21CD1" w14:textId="77777777" w:rsidR="00C225C6" w:rsidRDefault="00C225C6">
      <w:pPr>
        <w:spacing w:line="360" w:lineRule="auto"/>
        <w:jc w:val="both"/>
        <w:rPr>
          <w:rFonts w:ascii="Times New Roman" w:eastAsia="Times New Roman" w:hAnsi="Times New Roman" w:cs="Times New Roman"/>
          <w:color w:val="111111"/>
          <w:sz w:val="24"/>
          <w:szCs w:val="24"/>
        </w:rPr>
      </w:pPr>
    </w:p>
    <w:p w14:paraId="22386794"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Study of Scientific Aptitude of Girls of Government and Private Secondary School Students</w:t>
      </w:r>
    </w:p>
    <w:tbl>
      <w:tblPr>
        <w:tblStyle w:val="a0"/>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1020"/>
        <w:gridCol w:w="1155"/>
        <w:gridCol w:w="1215"/>
        <w:gridCol w:w="1215"/>
        <w:gridCol w:w="2385"/>
      </w:tblGrid>
      <w:tr w:rsidR="00C225C6" w14:paraId="5A8C2E72" w14:textId="77777777">
        <w:trPr>
          <w:trHeight w:val="375"/>
        </w:trPr>
        <w:tc>
          <w:tcPr>
            <w:tcW w:w="17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8EA50B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2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028307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1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0D700F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1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34DF4F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21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0BC07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3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885A80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A5582B4" w14:textId="77777777">
        <w:trPr>
          <w:trHeight w:val="37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DEA8B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1020" w:type="dxa"/>
            <w:tcBorders>
              <w:top w:val="nil"/>
              <w:left w:val="nil"/>
              <w:bottom w:val="single" w:sz="5" w:space="0" w:color="000000"/>
              <w:right w:val="single" w:sz="5" w:space="0" w:color="000000"/>
            </w:tcBorders>
            <w:tcMar>
              <w:top w:w="0" w:type="dxa"/>
              <w:left w:w="100" w:type="dxa"/>
              <w:bottom w:w="0" w:type="dxa"/>
              <w:right w:w="100" w:type="dxa"/>
            </w:tcMar>
          </w:tcPr>
          <w:p w14:paraId="4EFABA5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03CB50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29EAA7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8.784</w:t>
            </w:r>
          </w:p>
        </w:tc>
        <w:tc>
          <w:tcPr>
            <w:tcW w:w="121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A1D12B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0.809</w:t>
            </w:r>
          </w:p>
        </w:tc>
        <w:tc>
          <w:tcPr>
            <w:tcW w:w="23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864B3E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7D2A2012" w14:textId="77777777">
        <w:trPr>
          <w:trHeight w:val="37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83DD3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1020" w:type="dxa"/>
            <w:tcBorders>
              <w:top w:val="nil"/>
              <w:left w:val="nil"/>
              <w:bottom w:val="single" w:sz="5" w:space="0" w:color="000000"/>
              <w:right w:val="single" w:sz="5" w:space="0" w:color="000000"/>
            </w:tcBorders>
            <w:tcMar>
              <w:top w:w="0" w:type="dxa"/>
              <w:left w:w="100" w:type="dxa"/>
              <w:bottom w:w="0" w:type="dxa"/>
              <w:right w:w="100" w:type="dxa"/>
            </w:tcMar>
          </w:tcPr>
          <w:p w14:paraId="16C9D50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57FD5B4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40.88</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2DA3C3C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7.851</w:t>
            </w:r>
          </w:p>
        </w:tc>
        <w:tc>
          <w:tcPr>
            <w:tcW w:w="1215" w:type="dxa"/>
            <w:vMerge/>
            <w:tcBorders>
              <w:top w:val="nil"/>
              <w:left w:val="nil"/>
              <w:bottom w:val="single" w:sz="5" w:space="0" w:color="000000"/>
              <w:right w:val="single" w:sz="5" w:space="0" w:color="000000"/>
            </w:tcBorders>
            <w:tcMar>
              <w:top w:w="100" w:type="dxa"/>
              <w:left w:w="100" w:type="dxa"/>
              <w:bottom w:w="100" w:type="dxa"/>
              <w:right w:w="100" w:type="dxa"/>
            </w:tcMar>
          </w:tcPr>
          <w:p w14:paraId="7E9A9556"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385" w:type="dxa"/>
            <w:vMerge/>
            <w:tcBorders>
              <w:top w:val="nil"/>
              <w:left w:val="nil"/>
              <w:bottom w:val="single" w:sz="5" w:space="0" w:color="000000"/>
              <w:right w:val="single" w:sz="5" w:space="0" w:color="000000"/>
            </w:tcBorders>
            <w:tcMar>
              <w:top w:w="100" w:type="dxa"/>
              <w:left w:w="100" w:type="dxa"/>
              <w:bottom w:w="100" w:type="dxa"/>
              <w:right w:w="100" w:type="dxa"/>
            </w:tcMar>
          </w:tcPr>
          <w:p w14:paraId="0B60019A"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541D5C6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Figure-2: Scientific Aptitude of Girls of Government and Private Secondary School</w:t>
      </w:r>
    </w:p>
    <w:p w14:paraId="056EE40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
    <w:p w14:paraId="0A2E25F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318F5504" wp14:editId="62BD441B">
            <wp:extent cx="4114800" cy="2781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14800" cy="2781300"/>
                    </a:xfrm>
                    <a:prstGeom prst="rect">
                      <a:avLst/>
                    </a:prstGeom>
                    <a:ln/>
                  </pic:spPr>
                </pic:pic>
              </a:graphicData>
            </a:graphic>
          </wp:inline>
        </w:drawing>
      </w:r>
    </w:p>
    <w:p w14:paraId="2772B37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table 2 implies the data associated with scientific aptitude of girls of government and private school secondary school which implies the mean value of scientific aptitude of girls of government secondary school (M=40.49, N=53) is lower than mean value of scientific aptitude of girls of private school (M=40.88, N=52) as shown in figure-2. Upon reviewing the value of t, there is no significant difference in mean score of the scientific aptitude between the girls in government and private secondary school since the calculated value of t (t=0.809) is less than the value in the tabular value at the degree of freedom of 103.</w:t>
      </w:r>
    </w:p>
    <w:p w14:paraId="765BD46A" w14:textId="77777777" w:rsidR="00C225C6" w:rsidRDefault="00C225C6">
      <w:pPr>
        <w:spacing w:line="360" w:lineRule="auto"/>
        <w:jc w:val="both"/>
        <w:rPr>
          <w:rFonts w:ascii="Times New Roman" w:eastAsia="Times New Roman" w:hAnsi="Times New Roman" w:cs="Times New Roman"/>
          <w:color w:val="111111"/>
          <w:sz w:val="24"/>
          <w:szCs w:val="24"/>
        </w:rPr>
      </w:pPr>
    </w:p>
    <w:p w14:paraId="3BF0CDD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Table-3: Study of Scientific Aptitude of Boys and Girls of Government Secondary School</w:t>
      </w:r>
    </w:p>
    <w:tbl>
      <w:tblPr>
        <w:tblStyle w:val="a1"/>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080"/>
        <w:gridCol w:w="1275"/>
        <w:gridCol w:w="1275"/>
        <w:gridCol w:w="1185"/>
        <w:gridCol w:w="2445"/>
      </w:tblGrid>
      <w:tr w:rsidR="00C225C6" w14:paraId="42F2124C" w14:textId="77777777">
        <w:trPr>
          <w:trHeight w:val="375"/>
        </w:trPr>
        <w:tc>
          <w:tcPr>
            <w:tcW w:w="15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201550C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CC99BF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D7053B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948E50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C8825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E1EE98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7DAB85F7"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B4CC2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4209704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F261C4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417B5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c>
          <w:tcPr>
            <w:tcW w:w="11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C9F68E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0.328</w:t>
            </w:r>
          </w:p>
        </w:tc>
        <w:tc>
          <w:tcPr>
            <w:tcW w:w="244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1A88658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7B433A71"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3F4F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Girls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FC9F0A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1224BE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BC7965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8.748</w:t>
            </w:r>
          </w:p>
        </w:tc>
        <w:tc>
          <w:tcPr>
            <w:tcW w:w="1185" w:type="dxa"/>
            <w:vMerge/>
            <w:tcBorders>
              <w:top w:val="nil"/>
              <w:left w:val="nil"/>
              <w:bottom w:val="single" w:sz="5" w:space="0" w:color="000000"/>
              <w:right w:val="single" w:sz="5" w:space="0" w:color="000000"/>
            </w:tcBorders>
            <w:tcMar>
              <w:top w:w="100" w:type="dxa"/>
              <w:left w:w="100" w:type="dxa"/>
              <w:bottom w:w="100" w:type="dxa"/>
              <w:right w:w="100" w:type="dxa"/>
            </w:tcMar>
          </w:tcPr>
          <w:p w14:paraId="02DF803E"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45" w:type="dxa"/>
            <w:vMerge/>
            <w:tcBorders>
              <w:top w:val="nil"/>
              <w:left w:val="nil"/>
              <w:bottom w:val="single" w:sz="5" w:space="0" w:color="000000"/>
              <w:right w:val="single" w:sz="5" w:space="0" w:color="000000"/>
            </w:tcBorders>
            <w:tcMar>
              <w:top w:w="100" w:type="dxa"/>
              <w:left w:w="100" w:type="dxa"/>
              <w:bottom w:w="100" w:type="dxa"/>
              <w:right w:w="100" w:type="dxa"/>
            </w:tcMar>
          </w:tcPr>
          <w:p w14:paraId="53478EEF"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5D260D2A"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Figure-3: Scientific Aptitude of Boys and Girls of Government Secondary School</w:t>
      </w:r>
    </w:p>
    <w:p w14:paraId="17D3F7E0"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1EAAEDB" wp14:editId="7342C260">
            <wp:extent cx="3876675" cy="283845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876675" cy="2838450"/>
                    </a:xfrm>
                    <a:prstGeom prst="rect">
                      <a:avLst/>
                    </a:prstGeom>
                    <a:ln/>
                  </pic:spPr>
                </pic:pic>
              </a:graphicData>
            </a:graphic>
          </wp:inline>
        </w:drawing>
      </w:r>
    </w:p>
    <w:p w14:paraId="39D90A4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3 denotes the information referring to the scientific aptitude of boys and girls of government secondary school that mean value of scientific aptitude of government school boys (M=38.78, N=49) is lower than that of the scientific aptitude of government school girls (M=40.49, N=53) as illustrated in the Figure-3. The value of t analysis indicates that there is no significant difference in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boys and girls of the government secondary school since the value of t calculated (t=0.328) does not exceed the table value at the degree of freedom 100.</w:t>
      </w:r>
    </w:p>
    <w:p w14:paraId="566BADE4"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Table-4: Study of Scientific Aptitude of Boys and Girls of Private Secondary School Students</w:t>
      </w:r>
    </w:p>
    <w:tbl>
      <w:tblPr>
        <w:tblStyle w:val="a2"/>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1080"/>
        <w:gridCol w:w="1230"/>
        <w:gridCol w:w="1170"/>
        <w:gridCol w:w="1230"/>
        <w:gridCol w:w="2610"/>
      </w:tblGrid>
      <w:tr w:rsidR="00C225C6" w14:paraId="013F39CC" w14:textId="77777777">
        <w:trPr>
          <w:trHeight w:val="375"/>
        </w:trPr>
        <w:tc>
          <w:tcPr>
            <w:tcW w:w="145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BFADFD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26A170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B02D60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7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6DA1DB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8B1E3E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61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B80A4C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283F082C" w14:textId="77777777">
        <w:trPr>
          <w:trHeight w:val="375"/>
        </w:trPr>
        <w:tc>
          <w:tcPr>
            <w:tcW w:w="1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98FB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14E63D4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5FC8FB7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3C650DE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7.879</w:t>
            </w:r>
          </w:p>
        </w:tc>
        <w:tc>
          <w:tcPr>
            <w:tcW w:w="123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0BD33D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261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1F67DA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17E0A65E" w14:textId="77777777">
        <w:trPr>
          <w:trHeight w:val="375"/>
        </w:trPr>
        <w:tc>
          <w:tcPr>
            <w:tcW w:w="1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2942A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AEF8D4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030C0A5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40.88</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7FF50610"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7.851</w:t>
            </w:r>
          </w:p>
        </w:tc>
        <w:tc>
          <w:tcPr>
            <w:tcW w:w="1230" w:type="dxa"/>
            <w:vMerge/>
            <w:tcBorders>
              <w:top w:val="nil"/>
              <w:left w:val="nil"/>
              <w:bottom w:val="single" w:sz="5" w:space="0" w:color="000000"/>
              <w:right w:val="single" w:sz="5" w:space="0" w:color="000000"/>
            </w:tcBorders>
            <w:tcMar>
              <w:top w:w="100" w:type="dxa"/>
              <w:left w:w="100" w:type="dxa"/>
              <w:bottom w:w="100" w:type="dxa"/>
              <w:right w:w="100" w:type="dxa"/>
            </w:tcMar>
          </w:tcPr>
          <w:p w14:paraId="75F693F0"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F966656"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205B35AC"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Figure-4: Scientific Aptitude of Boys and Girls of Private Secondary School</w:t>
      </w:r>
    </w:p>
    <w:p w14:paraId="6626D2E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6327CD44" wp14:editId="08FA953B">
            <wp:extent cx="3771900" cy="2743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71900" cy="2743200"/>
                    </a:xfrm>
                    <a:prstGeom prst="rect">
                      <a:avLst/>
                    </a:prstGeom>
                    <a:ln/>
                  </pic:spPr>
                </pic:pic>
              </a:graphicData>
            </a:graphic>
          </wp:inline>
        </w:drawing>
      </w:r>
    </w:p>
    <w:p w14:paraId="7A7717A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number 4 reveals the data associated with the scientific aptitude of boys and girls of private secondary school indicates that mean value of scientific aptitude of private school boys (M=37.48, N=46) is less than the mean value of scientific aptitude of the private school </w:t>
      </w:r>
      <w:proofErr w:type="gramStart"/>
      <w:r>
        <w:rPr>
          <w:rFonts w:ascii="Times New Roman" w:eastAsia="Times New Roman" w:hAnsi="Times New Roman" w:cs="Times New Roman"/>
          <w:color w:val="111111"/>
          <w:sz w:val="24"/>
          <w:szCs w:val="24"/>
        </w:rPr>
        <w:t>girls</w:t>
      </w:r>
      <w:proofErr w:type="gramEnd"/>
      <w:r>
        <w:rPr>
          <w:rFonts w:ascii="Times New Roman" w:eastAsia="Times New Roman" w:hAnsi="Times New Roman" w:cs="Times New Roman"/>
          <w:color w:val="111111"/>
          <w:sz w:val="24"/>
          <w:szCs w:val="24"/>
        </w:rPr>
        <w:t xml:space="preserve"> students (M=40.88, N=52) as indicated by Figure- 4 after analysis of value of t.</w:t>
      </w:r>
    </w:p>
    <w:p w14:paraId="45D35309" w14:textId="77777777" w:rsidR="00C225C6" w:rsidRDefault="00C225C6">
      <w:pPr>
        <w:spacing w:line="360" w:lineRule="auto"/>
        <w:jc w:val="both"/>
        <w:rPr>
          <w:rFonts w:ascii="Times New Roman" w:eastAsia="Times New Roman" w:hAnsi="Times New Roman" w:cs="Times New Roman"/>
          <w:color w:val="111111"/>
          <w:sz w:val="24"/>
          <w:szCs w:val="24"/>
        </w:rPr>
      </w:pPr>
    </w:p>
    <w:p w14:paraId="5725535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Study of Scientific Aptitude of Boys and Girls of Secondary School Students</w:t>
      </w:r>
    </w:p>
    <w:tbl>
      <w:tblPr>
        <w:tblStyle w:val="a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125"/>
        <w:gridCol w:w="1230"/>
        <w:gridCol w:w="1275"/>
        <w:gridCol w:w="1185"/>
        <w:gridCol w:w="2475"/>
      </w:tblGrid>
      <w:tr w:rsidR="00C225C6" w14:paraId="2D4C6AA0" w14:textId="77777777">
        <w:trPr>
          <w:trHeight w:val="375"/>
        </w:trPr>
        <w:tc>
          <w:tcPr>
            <w:tcW w:w="15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4DFC017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12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7D1BEB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48DABE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A086C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0316B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2F0071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A38CD23"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A3463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7DCA118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4C1089C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38.15</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18216E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8.383</w:t>
            </w:r>
          </w:p>
        </w:tc>
        <w:tc>
          <w:tcPr>
            <w:tcW w:w="11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6B612B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24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71F9763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19385C8A"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22712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045CFE2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7E8DFA9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27D3ABC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8.278</w:t>
            </w:r>
          </w:p>
        </w:tc>
        <w:tc>
          <w:tcPr>
            <w:tcW w:w="1185" w:type="dxa"/>
            <w:vMerge/>
            <w:tcBorders>
              <w:top w:val="nil"/>
              <w:left w:val="nil"/>
              <w:bottom w:val="single" w:sz="5" w:space="0" w:color="000000"/>
              <w:right w:val="single" w:sz="5" w:space="0" w:color="000000"/>
            </w:tcBorders>
            <w:tcMar>
              <w:top w:w="100" w:type="dxa"/>
              <w:left w:w="100" w:type="dxa"/>
              <w:bottom w:w="100" w:type="dxa"/>
              <w:right w:w="100" w:type="dxa"/>
            </w:tcMar>
          </w:tcPr>
          <w:p w14:paraId="7E71D638"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75" w:type="dxa"/>
            <w:vMerge/>
            <w:tcBorders>
              <w:top w:val="nil"/>
              <w:left w:val="nil"/>
              <w:bottom w:val="single" w:sz="5" w:space="0" w:color="000000"/>
              <w:right w:val="single" w:sz="5" w:space="0" w:color="000000"/>
            </w:tcBorders>
            <w:tcMar>
              <w:top w:w="100" w:type="dxa"/>
              <w:left w:w="100" w:type="dxa"/>
              <w:bottom w:w="100" w:type="dxa"/>
              <w:right w:w="100" w:type="dxa"/>
            </w:tcMar>
          </w:tcPr>
          <w:p w14:paraId="703415E1"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2242E11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Figure-5: Scientific Aptitude of Boys and Girls of Secondary School students</w:t>
      </w:r>
    </w:p>
    <w:p w14:paraId="7AC209B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03B9EA6" wp14:editId="5A421235">
            <wp:extent cx="3667125" cy="2857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67125" cy="2857500"/>
                    </a:xfrm>
                    <a:prstGeom prst="rect">
                      <a:avLst/>
                    </a:prstGeom>
                    <a:ln/>
                  </pic:spPr>
                </pic:pic>
              </a:graphicData>
            </a:graphic>
          </wp:inline>
        </w:drawing>
      </w:r>
    </w:p>
    <w:p w14:paraId="00FBB3E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Figure-5 shows that the mean value of scientific aptitude of boys (M=38.15, N=95) is low in comparison to the mean value of scientific aptitude school girls (M=40.69, N=105); Table 5 represents the data of scientific aptitude of boys and girls of secondary school. Upon examination of the value of t, it was found that there is no significant difference in mean value of score of scientific aptitude of boys and girls as the calculated value of t (t =0.033) is less than that of tabular value, which is 0.033.</w:t>
      </w:r>
    </w:p>
    <w:p w14:paraId="53329471" w14:textId="77777777" w:rsidR="00C225C6" w:rsidRDefault="00C225C6">
      <w:pPr>
        <w:spacing w:line="360" w:lineRule="auto"/>
        <w:jc w:val="both"/>
        <w:rPr>
          <w:rFonts w:ascii="Times New Roman" w:eastAsia="Times New Roman" w:hAnsi="Times New Roman" w:cs="Times New Roman"/>
          <w:color w:val="111111"/>
          <w:sz w:val="24"/>
          <w:szCs w:val="24"/>
        </w:rPr>
      </w:pPr>
    </w:p>
    <w:p w14:paraId="56758ADE"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Table-6: Study of Scientific Aptitude of Government and Private Secondary School Students</w:t>
      </w:r>
    </w:p>
    <w:tbl>
      <w:tblPr>
        <w:tblStyle w:val="a4"/>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1050"/>
        <w:gridCol w:w="1155"/>
        <w:gridCol w:w="1200"/>
        <w:gridCol w:w="1320"/>
        <w:gridCol w:w="2235"/>
      </w:tblGrid>
      <w:tr w:rsidR="00C225C6" w14:paraId="5CBBDA63" w14:textId="77777777">
        <w:trPr>
          <w:trHeight w:val="375"/>
        </w:trPr>
        <w:tc>
          <w:tcPr>
            <w:tcW w:w="18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65D477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5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38B210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1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B7FEFE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0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62428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2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43FC6D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23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DBB7D1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0C5A09D" w14:textId="77777777">
        <w:trPr>
          <w:trHeight w:val="375"/>
        </w:trPr>
        <w:tc>
          <w:tcPr>
            <w:tcW w:w="18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B5F6C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14:paraId="38C9494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1D0DBF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39.67</w:t>
            </w:r>
          </w:p>
        </w:tc>
        <w:tc>
          <w:tcPr>
            <w:tcW w:w="1200" w:type="dxa"/>
            <w:tcBorders>
              <w:top w:val="nil"/>
              <w:left w:val="nil"/>
              <w:bottom w:val="single" w:sz="5" w:space="0" w:color="000000"/>
              <w:right w:val="single" w:sz="5" w:space="0" w:color="000000"/>
            </w:tcBorders>
            <w:tcMar>
              <w:top w:w="0" w:type="dxa"/>
              <w:left w:w="100" w:type="dxa"/>
              <w:bottom w:w="0" w:type="dxa"/>
              <w:right w:w="100" w:type="dxa"/>
            </w:tcMar>
          </w:tcPr>
          <w:p w14:paraId="33654D6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8.802</w:t>
            </w:r>
          </w:p>
        </w:tc>
        <w:tc>
          <w:tcPr>
            <w:tcW w:w="132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5057193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0.749</w:t>
            </w:r>
          </w:p>
        </w:tc>
        <w:tc>
          <w:tcPr>
            <w:tcW w:w="223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86E768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2808C1B5" w14:textId="77777777">
        <w:trPr>
          <w:trHeight w:val="375"/>
        </w:trPr>
        <w:tc>
          <w:tcPr>
            <w:tcW w:w="18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AF67C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14:paraId="3C2CEE5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22C196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39.29</w:t>
            </w:r>
          </w:p>
        </w:tc>
        <w:tc>
          <w:tcPr>
            <w:tcW w:w="1200" w:type="dxa"/>
            <w:tcBorders>
              <w:top w:val="nil"/>
              <w:left w:val="nil"/>
              <w:bottom w:val="single" w:sz="5" w:space="0" w:color="000000"/>
              <w:right w:val="single" w:sz="5" w:space="0" w:color="000000"/>
            </w:tcBorders>
            <w:tcMar>
              <w:top w:w="0" w:type="dxa"/>
              <w:left w:w="100" w:type="dxa"/>
              <w:bottom w:w="0" w:type="dxa"/>
              <w:right w:w="100" w:type="dxa"/>
            </w:tcMar>
          </w:tcPr>
          <w:p w14:paraId="77C4984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8.008</w:t>
            </w:r>
          </w:p>
        </w:tc>
        <w:tc>
          <w:tcPr>
            <w:tcW w:w="1320" w:type="dxa"/>
            <w:vMerge/>
            <w:tcBorders>
              <w:top w:val="nil"/>
              <w:left w:val="nil"/>
              <w:bottom w:val="single" w:sz="5" w:space="0" w:color="000000"/>
              <w:right w:val="single" w:sz="5" w:space="0" w:color="000000"/>
            </w:tcBorders>
            <w:tcMar>
              <w:top w:w="100" w:type="dxa"/>
              <w:left w:w="100" w:type="dxa"/>
              <w:bottom w:w="100" w:type="dxa"/>
              <w:right w:w="100" w:type="dxa"/>
            </w:tcMar>
          </w:tcPr>
          <w:p w14:paraId="4C121A3B"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235" w:type="dxa"/>
            <w:vMerge/>
            <w:tcBorders>
              <w:top w:val="nil"/>
              <w:left w:val="nil"/>
              <w:bottom w:val="single" w:sz="5" w:space="0" w:color="000000"/>
              <w:right w:val="single" w:sz="5" w:space="0" w:color="000000"/>
            </w:tcBorders>
            <w:tcMar>
              <w:top w:w="100" w:type="dxa"/>
              <w:left w:w="100" w:type="dxa"/>
              <w:bottom w:w="100" w:type="dxa"/>
              <w:right w:w="100" w:type="dxa"/>
            </w:tcMar>
          </w:tcPr>
          <w:p w14:paraId="6D8525D1"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72FBFD1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Figure-6: Scientific Aptitude of Government and Private Secondary School Students</w:t>
      </w:r>
    </w:p>
    <w:p w14:paraId="482A42DC" w14:textId="77777777" w:rsidR="00C225C6" w:rsidRDefault="00C225C6">
      <w:pPr>
        <w:spacing w:line="360" w:lineRule="auto"/>
        <w:jc w:val="both"/>
        <w:rPr>
          <w:rFonts w:ascii="Times New Roman" w:eastAsia="Times New Roman" w:hAnsi="Times New Roman" w:cs="Times New Roman"/>
          <w:color w:val="111111"/>
          <w:sz w:val="24"/>
          <w:szCs w:val="24"/>
        </w:rPr>
      </w:pPr>
    </w:p>
    <w:p w14:paraId="1853DF8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33C1552B" wp14:editId="1AED2B44">
            <wp:extent cx="3819525" cy="2819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819525" cy="2819400"/>
                    </a:xfrm>
                    <a:prstGeom prst="rect">
                      <a:avLst/>
                    </a:prstGeom>
                    <a:ln/>
                  </pic:spPr>
                </pic:pic>
              </a:graphicData>
            </a:graphic>
          </wp:inline>
        </w:drawing>
      </w:r>
    </w:p>
    <w:p w14:paraId="64B3A75E"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6 shows the data on the scientific aptitude of the government and the private secondary school students which show that means value of scientific aptitude of government secondary school students (M=39.67, N=102) is greater than the means value of scientific aptitude of the private school students (M=39.29, N=98) as illustrated on the Figure-6. On analysis of value of t, it is found that there is no significant difference in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girls in government and private secondary school students since calculated value of t (t=0.749) is less than tabular value at degree of freedom equals 198.</w:t>
      </w:r>
    </w:p>
    <w:p w14:paraId="5B28B31D" w14:textId="77777777" w:rsidR="00C225C6" w:rsidRDefault="00C225C6">
      <w:pPr>
        <w:spacing w:line="360" w:lineRule="auto"/>
        <w:jc w:val="both"/>
        <w:rPr>
          <w:rFonts w:ascii="Times New Roman" w:eastAsia="Times New Roman" w:hAnsi="Times New Roman" w:cs="Times New Roman"/>
          <w:color w:val="111111"/>
          <w:sz w:val="24"/>
          <w:szCs w:val="24"/>
        </w:rPr>
      </w:pPr>
    </w:p>
    <w:p w14:paraId="436C43F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Analysis of data related to Scientific Aptitude and Locality</w:t>
      </w:r>
    </w:p>
    <w:p w14:paraId="2B77375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Study of Scientific Aptitude in accordance with their Locality</w:t>
      </w:r>
    </w:p>
    <w:tbl>
      <w:tblPr>
        <w:tblStyle w:val="a5"/>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095"/>
        <w:gridCol w:w="1230"/>
        <w:gridCol w:w="1185"/>
        <w:gridCol w:w="1365"/>
        <w:gridCol w:w="2475"/>
      </w:tblGrid>
      <w:tr w:rsidR="00C225C6" w14:paraId="230E824C" w14:textId="77777777">
        <w:trPr>
          <w:trHeight w:val="375"/>
        </w:trPr>
        <w:tc>
          <w:tcPr>
            <w:tcW w:w="14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1791CBD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9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F45871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95B651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2426CB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950786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F27C07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659D2A65"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A96FE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4535F58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4218764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38.32</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3F7EA43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7.728</w:t>
            </w:r>
          </w:p>
        </w:tc>
        <w:tc>
          <w:tcPr>
            <w:tcW w:w="136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786F8A3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24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A15E91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0622A6D3"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70404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425DD6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24EB912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40.08</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C2BE8E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8.699</w:t>
            </w:r>
          </w:p>
        </w:tc>
        <w:tc>
          <w:tcPr>
            <w:tcW w:w="1365" w:type="dxa"/>
            <w:vMerge/>
            <w:tcBorders>
              <w:top w:val="nil"/>
              <w:left w:val="nil"/>
              <w:bottom w:val="single" w:sz="5" w:space="0" w:color="000000"/>
              <w:right w:val="single" w:sz="5" w:space="0" w:color="000000"/>
            </w:tcBorders>
            <w:tcMar>
              <w:top w:w="100" w:type="dxa"/>
              <w:left w:w="100" w:type="dxa"/>
              <w:bottom w:w="100" w:type="dxa"/>
              <w:right w:w="100" w:type="dxa"/>
            </w:tcMar>
          </w:tcPr>
          <w:p w14:paraId="3B936D37"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75" w:type="dxa"/>
            <w:vMerge/>
            <w:tcBorders>
              <w:top w:val="nil"/>
              <w:left w:val="nil"/>
              <w:bottom w:val="single" w:sz="5" w:space="0" w:color="000000"/>
              <w:right w:val="single" w:sz="5" w:space="0" w:color="000000"/>
            </w:tcBorders>
            <w:tcMar>
              <w:top w:w="100" w:type="dxa"/>
              <w:left w:w="100" w:type="dxa"/>
              <w:bottom w:w="100" w:type="dxa"/>
              <w:right w:w="100" w:type="dxa"/>
            </w:tcMar>
          </w:tcPr>
          <w:p w14:paraId="21D1BBE9"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7A66A392"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Figure-7: Scientific Aptitude in accordance with their Locality</w:t>
      </w:r>
    </w:p>
    <w:p w14:paraId="4E9E1DB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7A17E9C" wp14:editId="2982F546">
            <wp:extent cx="3676650" cy="28194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76650" cy="2819400"/>
                    </a:xfrm>
                    <a:prstGeom prst="rect">
                      <a:avLst/>
                    </a:prstGeom>
                    <a:ln/>
                  </pic:spPr>
                </pic:pic>
              </a:graphicData>
            </a:graphic>
          </wp:inline>
        </w:drawing>
      </w:r>
    </w:p>
    <w:p w14:paraId="22E6AAC2" w14:textId="77777777" w:rsidR="00C225C6" w:rsidRDefault="00C225C6">
      <w:pPr>
        <w:spacing w:line="360" w:lineRule="auto"/>
        <w:jc w:val="both"/>
        <w:rPr>
          <w:rFonts w:ascii="Times New Roman" w:eastAsia="Times New Roman" w:hAnsi="Times New Roman" w:cs="Times New Roman"/>
          <w:color w:val="111111"/>
          <w:sz w:val="24"/>
          <w:szCs w:val="24"/>
        </w:rPr>
      </w:pPr>
    </w:p>
    <w:p w14:paraId="06318D93"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data in Table 7 refer to the scientific aptitude of urban and rural secondary school students and is used to show that mean value of scientific aptitude of urban secondary school students (M=38.32, N= 68) is lower than mean value of scientific aptitude of rural school students (M=40.08, N=132) as is represented in Figure- 7. Upon analysis of value of t, it is not observed that there is any significant difference between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students in urban and rural schools since the calculated value of t (t=0.163) is less than the tabular value at degree of freedom 198.</w:t>
      </w:r>
    </w:p>
    <w:p w14:paraId="3611039D" w14:textId="77777777" w:rsidR="00C225C6" w:rsidRDefault="00C225C6">
      <w:pPr>
        <w:spacing w:line="360" w:lineRule="auto"/>
        <w:jc w:val="both"/>
        <w:rPr>
          <w:rFonts w:ascii="Times New Roman" w:eastAsia="Times New Roman" w:hAnsi="Times New Roman" w:cs="Times New Roman"/>
          <w:color w:val="111111"/>
          <w:sz w:val="24"/>
          <w:szCs w:val="24"/>
        </w:rPr>
      </w:pPr>
    </w:p>
    <w:p w14:paraId="45C4754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related to Scientific Aptitude with their Family Type</w:t>
      </w:r>
    </w:p>
    <w:p w14:paraId="1CD30293"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Scientific Aptitude in accordance with their Family Type</w:t>
      </w:r>
    </w:p>
    <w:tbl>
      <w:tblPr>
        <w:tblStyle w:val="a6"/>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080"/>
        <w:gridCol w:w="1275"/>
        <w:gridCol w:w="1230"/>
        <w:gridCol w:w="1365"/>
        <w:gridCol w:w="2385"/>
      </w:tblGrid>
      <w:tr w:rsidR="00C225C6" w14:paraId="0BEBBD61" w14:textId="77777777">
        <w:trPr>
          <w:trHeight w:val="375"/>
        </w:trPr>
        <w:tc>
          <w:tcPr>
            <w:tcW w:w="14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616919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ADB9B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5F7DAA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08C49A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0F277B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3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0E77E7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67BCBB49"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CE86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Nuclear</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8FCEA7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49BCE8C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41.18</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6F3AB73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8.243</w:t>
            </w:r>
          </w:p>
        </w:tc>
        <w:tc>
          <w:tcPr>
            <w:tcW w:w="136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A93972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23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B1B0C8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517B66E2"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69BF5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Joint</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49DEC5B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255195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15BACA9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8.120</w:t>
            </w:r>
          </w:p>
        </w:tc>
        <w:tc>
          <w:tcPr>
            <w:tcW w:w="1365" w:type="dxa"/>
            <w:vMerge/>
            <w:tcBorders>
              <w:top w:val="nil"/>
              <w:left w:val="nil"/>
              <w:bottom w:val="single" w:sz="5" w:space="0" w:color="000000"/>
              <w:right w:val="single" w:sz="5" w:space="0" w:color="000000"/>
            </w:tcBorders>
            <w:tcMar>
              <w:top w:w="100" w:type="dxa"/>
              <w:left w:w="100" w:type="dxa"/>
              <w:bottom w:w="100" w:type="dxa"/>
              <w:right w:w="100" w:type="dxa"/>
            </w:tcMar>
          </w:tcPr>
          <w:p w14:paraId="39FBF454"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385" w:type="dxa"/>
            <w:vMerge/>
            <w:tcBorders>
              <w:top w:val="nil"/>
              <w:left w:val="nil"/>
              <w:bottom w:val="single" w:sz="5" w:space="0" w:color="000000"/>
              <w:right w:val="single" w:sz="5" w:space="0" w:color="000000"/>
            </w:tcBorders>
            <w:tcMar>
              <w:top w:w="100" w:type="dxa"/>
              <w:left w:w="100" w:type="dxa"/>
              <w:bottom w:w="100" w:type="dxa"/>
              <w:right w:w="100" w:type="dxa"/>
            </w:tcMar>
          </w:tcPr>
          <w:p w14:paraId="11D91EB3"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0626CC3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75F55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Figure-8: Scientific Aptitude in accordance with their Family Type</w:t>
      </w:r>
    </w:p>
    <w:p w14:paraId="5D52A2E9" w14:textId="77777777" w:rsidR="00C225C6" w:rsidRDefault="00C225C6">
      <w:pPr>
        <w:spacing w:line="360" w:lineRule="auto"/>
        <w:jc w:val="both"/>
        <w:rPr>
          <w:rFonts w:ascii="Times New Roman" w:eastAsia="Times New Roman" w:hAnsi="Times New Roman" w:cs="Times New Roman"/>
          <w:color w:val="111111"/>
          <w:sz w:val="24"/>
          <w:szCs w:val="24"/>
        </w:rPr>
      </w:pPr>
    </w:p>
    <w:p w14:paraId="4640B25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200846AA" wp14:editId="788B9F20">
            <wp:extent cx="3676650" cy="26479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676650" cy="2647950"/>
                    </a:xfrm>
                    <a:prstGeom prst="rect">
                      <a:avLst/>
                    </a:prstGeom>
                    <a:ln/>
                  </pic:spPr>
                </pic:pic>
              </a:graphicData>
            </a:graphic>
          </wp:inline>
        </w:drawing>
      </w:r>
    </w:p>
    <w:p w14:paraId="3B068A73"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Table-8 represents the information associated with scientific aptitude of students in nuclear and joint family, which denotes that the mean value of scientific aptitude of students in nuclear family (M=41.18, N=114) is bigger than the mean value of scientific aptitude of students in joint family (M=37.22, N=86) as seen in Figure-8. The analysis of the value of t indicates that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secondary students of nuclear and joint family is not significantly different as calculated t value (t=0.001) is lower than the value shown in the table 8 at the level of degree of freedom 198.</w:t>
      </w:r>
    </w:p>
    <w:p w14:paraId="04FA2543" w14:textId="77777777" w:rsidR="00C225C6" w:rsidRDefault="00C225C6">
      <w:pPr>
        <w:spacing w:line="360" w:lineRule="auto"/>
        <w:jc w:val="both"/>
        <w:rPr>
          <w:rFonts w:ascii="Times New Roman" w:eastAsia="Times New Roman" w:hAnsi="Times New Roman" w:cs="Times New Roman"/>
          <w:color w:val="111111"/>
          <w:sz w:val="24"/>
          <w:szCs w:val="24"/>
        </w:rPr>
      </w:pPr>
    </w:p>
    <w:p w14:paraId="0B7439C2"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of Scientific Aptitude Test in accordance with their Fathers Occupation</w:t>
      </w:r>
    </w:p>
    <w:p w14:paraId="04D886B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 -9 Scientific Aptitude Test in accordance with their Fathers Occupation</w:t>
      </w:r>
    </w:p>
    <w:tbl>
      <w:tblPr>
        <w:tblStyle w:val="a7"/>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1680"/>
        <w:gridCol w:w="2265"/>
        <w:gridCol w:w="2535"/>
      </w:tblGrid>
      <w:tr w:rsidR="00C225C6" w14:paraId="44127981" w14:textId="77777777">
        <w:trPr>
          <w:trHeight w:val="375"/>
        </w:trPr>
        <w:tc>
          <w:tcPr>
            <w:tcW w:w="232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01B5000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6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7CE2B4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2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B5F72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253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7AD07D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r>
      <w:tr w:rsidR="00C225C6" w14:paraId="74A50908"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CC1EE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Job</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18CA8A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2D2A00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37.30</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3F56812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7.454</w:t>
            </w:r>
          </w:p>
        </w:tc>
      </w:tr>
      <w:tr w:rsidR="00C225C6" w14:paraId="6FA68F6F"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5878A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 Job</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F18BB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62CE2BE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38.80</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1A77593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6.520</w:t>
            </w:r>
          </w:p>
        </w:tc>
      </w:tr>
      <w:tr w:rsidR="00C225C6" w14:paraId="63A1AA31"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D98A3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B98213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0640296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41.23</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668050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10.452</w:t>
            </w:r>
          </w:p>
        </w:tc>
      </w:tr>
      <w:tr w:rsidR="00C225C6" w14:paraId="1A8BE3CF"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0B101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5F75FB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4C2F1B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38.92</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462F2AD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7.627</w:t>
            </w:r>
          </w:p>
        </w:tc>
      </w:tr>
    </w:tbl>
    <w:p w14:paraId="03AF4449"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Table -10 ANOVA of Scientific Aptitude Test in accordance with their Fathers Occupation</w:t>
      </w:r>
    </w:p>
    <w:tbl>
      <w:tblPr>
        <w:tblStyle w:val="a8"/>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0"/>
        <w:gridCol w:w="2040"/>
        <w:gridCol w:w="1140"/>
        <w:gridCol w:w="2055"/>
        <w:gridCol w:w="1410"/>
      </w:tblGrid>
      <w:tr w:rsidR="00C225C6" w14:paraId="251D1482" w14:textId="77777777">
        <w:trPr>
          <w:trHeight w:val="375"/>
        </w:trPr>
        <w:tc>
          <w:tcPr>
            <w:tcW w:w="216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5DB4DF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4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94A74A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w:t>
            </w:r>
          </w:p>
        </w:tc>
        <w:tc>
          <w:tcPr>
            <w:tcW w:w="114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86979B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20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170307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41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800E34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C225C6" w14:paraId="5FE75D7D"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A88BA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groups</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480269F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267.606</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1FA93D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3AB46CA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89.202</w:t>
            </w:r>
          </w:p>
        </w:tc>
        <w:tc>
          <w:tcPr>
            <w:tcW w:w="141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6B8858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1.268</w:t>
            </w:r>
          </w:p>
        </w:tc>
      </w:tr>
      <w:tr w:rsidR="00C225C6" w14:paraId="39898A2B"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FA6F4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groups</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278B119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13784.314</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1D2DB24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7D1E30E0"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70.328</w:t>
            </w:r>
          </w:p>
        </w:tc>
        <w:tc>
          <w:tcPr>
            <w:tcW w:w="1410" w:type="dxa"/>
            <w:vMerge/>
            <w:tcBorders>
              <w:top w:val="nil"/>
              <w:left w:val="nil"/>
              <w:bottom w:val="single" w:sz="5" w:space="0" w:color="000000"/>
              <w:right w:val="single" w:sz="5" w:space="0" w:color="000000"/>
            </w:tcBorders>
            <w:tcMar>
              <w:top w:w="100" w:type="dxa"/>
              <w:left w:w="100" w:type="dxa"/>
              <w:bottom w:w="100" w:type="dxa"/>
              <w:right w:w="100" w:type="dxa"/>
            </w:tcMar>
          </w:tcPr>
          <w:p w14:paraId="0A45F9B7" w14:textId="77777777" w:rsidR="00C225C6" w:rsidRDefault="00C225C6">
            <w:pPr>
              <w:spacing w:line="360" w:lineRule="auto"/>
              <w:jc w:val="both"/>
              <w:rPr>
                <w:rFonts w:ascii="Times New Roman" w:eastAsia="Times New Roman" w:hAnsi="Times New Roman" w:cs="Times New Roman"/>
                <w:color w:val="111111"/>
                <w:sz w:val="24"/>
                <w:szCs w:val="24"/>
              </w:rPr>
            </w:pPr>
          </w:p>
        </w:tc>
      </w:tr>
      <w:tr w:rsidR="00C225C6" w14:paraId="68794805"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865F4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7A02D1F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14051.920</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593E6F4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4B3F388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0" w:type="dxa"/>
            <w:vMerge/>
            <w:tcBorders>
              <w:top w:val="nil"/>
              <w:left w:val="nil"/>
              <w:bottom w:val="single" w:sz="5" w:space="0" w:color="000000"/>
              <w:right w:val="single" w:sz="5" w:space="0" w:color="000000"/>
            </w:tcBorders>
            <w:tcMar>
              <w:top w:w="100" w:type="dxa"/>
              <w:left w:w="100" w:type="dxa"/>
              <w:bottom w:w="100" w:type="dxa"/>
              <w:right w:w="100" w:type="dxa"/>
            </w:tcMar>
          </w:tcPr>
          <w:p w14:paraId="53686F0E"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0FCCE32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3301E5"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Above Table 9 and Table 10 indicates that ANOVA of scientific aptitude test in concurrence with their father occupation calculated F value 1.268 is lower than tabular value 3.88 at 5% level with degree of freedom being 3 and 196 respectively and indicated that the variance in score of scientific aptitude test in conformity with their father occupation is not different.</w:t>
      </w:r>
    </w:p>
    <w:p w14:paraId="39DC86E8" w14:textId="77777777" w:rsidR="00C225C6" w:rsidRDefault="00C225C6">
      <w:pPr>
        <w:spacing w:line="360" w:lineRule="auto"/>
        <w:jc w:val="both"/>
        <w:rPr>
          <w:rFonts w:ascii="Times New Roman" w:eastAsia="Times New Roman" w:hAnsi="Times New Roman" w:cs="Times New Roman"/>
          <w:color w:val="111111"/>
          <w:sz w:val="24"/>
          <w:szCs w:val="24"/>
        </w:rPr>
      </w:pPr>
    </w:p>
    <w:p w14:paraId="5C304E8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 xml:space="preserve">Discussions: </w:t>
      </w:r>
      <w:r>
        <w:rPr>
          <w:rFonts w:ascii="Times New Roman" w:eastAsia="Times New Roman" w:hAnsi="Times New Roman" w:cs="Times New Roman"/>
          <w:color w:val="111111"/>
          <w:sz w:val="24"/>
          <w:szCs w:val="24"/>
        </w:rPr>
        <w:t>The current study was aimed at trying to test scientific aptitude among school going students based on some major demographic variables, such as gender, type of school (government or private), locality (urban or rural), family type (nuclear or joint), and father occupation. However, to the contrary of the widely made assumptions, the results showed that there are no statistically significant differences in scientific aptitude between these variables. These findings have significant implications to the educational policy and also classroom practice.</w:t>
      </w:r>
    </w:p>
    <w:p w14:paraId="44410ECC" w14:textId="77777777" w:rsidR="00C225C6" w:rsidRDefault="00C225C6">
      <w:pPr>
        <w:spacing w:line="360" w:lineRule="auto"/>
        <w:jc w:val="both"/>
        <w:rPr>
          <w:rFonts w:ascii="Times New Roman" w:eastAsia="Times New Roman" w:hAnsi="Times New Roman" w:cs="Times New Roman"/>
          <w:sz w:val="24"/>
          <w:szCs w:val="24"/>
        </w:rPr>
      </w:pPr>
    </w:p>
    <w:p w14:paraId="0EE170B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lack of gender variations correlates with the wider intentions of the National Education Policy (NEP) 2020, which requires equal access and achievement of all learners irrespective of their gender. This helps to confirm that in equal learning conditions and chances, boys and girls demonstrate equal cognitive engagement in science. The observation also supports the concept that aptitude in science is not a gender-biased phenomenon, an observation that disputes long-thought societal stereotypes regarding gender-based performances in the STEM disciplines.</w:t>
      </w:r>
    </w:p>
    <w:p w14:paraId="79ADF6B1" w14:textId="77777777" w:rsidR="00C225C6" w:rsidRDefault="00C225C6">
      <w:pPr>
        <w:spacing w:line="360" w:lineRule="auto"/>
        <w:jc w:val="both"/>
        <w:rPr>
          <w:rFonts w:ascii="Times New Roman" w:eastAsia="Times New Roman" w:hAnsi="Times New Roman" w:cs="Times New Roman"/>
          <w:color w:val="111111"/>
          <w:sz w:val="24"/>
          <w:szCs w:val="24"/>
        </w:rPr>
      </w:pPr>
    </w:p>
    <w:p w14:paraId="21DDD8D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Likewise, the absence of an important distinction between the students of government and non-government schools provides an evidence that the students belonging to various institutional backgrounds have the similar potential as far as the scientific ability is concerned. This can be an indication of increased uniformity to the curriculum and the effectiveness of teachers regardless of the school type, it can also mean that aptitude has more to do with intrinsic factors and early developmental experiences than the characteristics of institutions at the secondary level. It further implies that given proper support and resources, government schools are able to instill scientific thinking as much as the private institutions.</w:t>
      </w:r>
    </w:p>
    <w:p w14:paraId="56D38EC9" w14:textId="77777777" w:rsidR="00C225C6" w:rsidRDefault="00C225C6">
      <w:pPr>
        <w:spacing w:line="360" w:lineRule="auto"/>
        <w:jc w:val="both"/>
        <w:rPr>
          <w:rFonts w:ascii="Times New Roman" w:eastAsia="Times New Roman" w:hAnsi="Times New Roman" w:cs="Times New Roman"/>
          <w:color w:val="111111"/>
          <w:sz w:val="24"/>
          <w:szCs w:val="24"/>
        </w:rPr>
      </w:pPr>
    </w:p>
    <w:p w14:paraId="0D198C1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terms of the locality, the moderately increased, yet statistically not significant scores of the rural students refer to the increased educational expectations and rural outreach. This finding </w:t>
      </w:r>
      <w:r>
        <w:rPr>
          <w:rFonts w:ascii="Times New Roman" w:eastAsia="Times New Roman" w:hAnsi="Times New Roman" w:cs="Times New Roman"/>
          <w:color w:val="111111"/>
          <w:sz w:val="24"/>
          <w:szCs w:val="24"/>
        </w:rPr>
        <w:lastRenderedPageBreak/>
        <w:t>provides positive indications of the fact that geographical disadvantages are being alleviated by policy interventions in the form of digital learning programs, development of infrastructure in schools and teacher training programs in the rural settings.</w:t>
      </w:r>
    </w:p>
    <w:p w14:paraId="2820046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family type comparison also established that students in nuclear families were marginally better off in scientific aptitude as compared to joint families but the difference was not significant. This could indicate the influence of family structure on study habits, independence and support systems in academic system even though not to an extent that seriously changes scientific aptitude.</w:t>
      </w:r>
    </w:p>
    <w:p w14:paraId="6F54D5A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Fathers occupation in most cases found socioeconomic status did not have any significant influence on scientific aptitude. This supports the notion that the evolution of cognitive abilities in science might be more widespread and not contingent on income or social standing of the family especially when fundamental educational requirements are fulfilled.</w:t>
      </w:r>
    </w:p>
    <w:p w14:paraId="24954E6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Together, these results confirm one of the most important educational principles in NEP 2020 that all children can become outstanding in the field of science, provided the appropriate conditions. Another important point that the study makes is that when developing interventions to enhance science learning, it is necessary to consider factors beyond demographic indicators. Instead, one should focus on the quality of instruction, student interaction, exposure to scientific experiences early and the development of higher-order thinking.</w:t>
      </w:r>
    </w:p>
    <w:p w14:paraId="0EED53BC"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Besides, the results indicate that there is a necessity to revisit the methods of scientific aptitude development and measurement. Although aptitude is founded on cognitive capabilities like reasoning and problem solving, learning environments, teacher support and availability of experiential learning influence it as well. As such, to improve science achievement, it might be necessary to measure, as well as be able to determine the contextual and pedagogical factors that affect science achievement.</w:t>
      </w:r>
    </w:p>
    <w:p w14:paraId="41B1FB02"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Finally, the research confirms the universal ability of the students of all backgrounds to be good at science. It asks of the inclusion of high-quality education that fosters scientific ability in all learners and also research that will examine the active intercourse among cognitive, emotional, and contextual aspects of developing scientific knowledge.</w:t>
      </w:r>
    </w:p>
    <w:p w14:paraId="63F75FE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It is also justified by the works of Manjula (2013), Lucas (2016), Ghosh (1998), </w:t>
      </w:r>
      <w:proofErr w:type="spellStart"/>
      <w:r>
        <w:rPr>
          <w:rFonts w:ascii="Times New Roman" w:eastAsia="Times New Roman" w:hAnsi="Times New Roman" w:cs="Times New Roman"/>
          <w:color w:val="111111"/>
          <w:sz w:val="24"/>
          <w:szCs w:val="24"/>
        </w:rPr>
        <w:t>Jayalekshmi</w:t>
      </w:r>
      <w:proofErr w:type="spellEnd"/>
      <w:r>
        <w:rPr>
          <w:rFonts w:ascii="Times New Roman" w:eastAsia="Times New Roman" w:hAnsi="Times New Roman" w:cs="Times New Roman"/>
          <w:color w:val="111111"/>
          <w:sz w:val="24"/>
          <w:szCs w:val="24"/>
        </w:rPr>
        <w:t xml:space="preserve"> (2011).</w:t>
      </w:r>
    </w:p>
    <w:p w14:paraId="3E608390" w14:textId="09EDC046" w:rsidR="00572F96" w:rsidRDefault="00572F96">
      <w:pPr>
        <w:spacing w:line="360" w:lineRule="auto"/>
        <w:jc w:val="both"/>
        <w:rPr>
          <w:rFonts w:ascii="Times New Roman" w:eastAsia="Times New Roman" w:hAnsi="Times New Roman" w:cs="Times New Roman"/>
          <w:color w:val="111111"/>
          <w:sz w:val="24"/>
          <w:szCs w:val="24"/>
        </w:rPr>
      </w:pPr>
    </w:p>
    <w:p w14:paraId="7907A4D8" w14:textId="34DC3D1F" w:rsidR="00572F9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 xml:space="preserve">5. </w:t>
      </w:r>
      <w:r w:rsidR="00572F96" w:rsidRPr="00572F96">
        <w:rPr>
          <w:rFonts w:ascii="Times New Roman" w:eastAsia="Times New Roman" w:hAnsi="Times New Roman" w:cs="Times New Roman"/>
          <w:b/>
          <w:bCs/>
          <w:color w:val="111111"/>
          <w:sz w:val="24"/>
          <w:szCs w:val="24"/>
        </w:rPr>
        <w:t>Ethical Considerations</w:t>
      </w:r>
    </w:p>
    <w:p w14:paraId="5E22EB0E" w14:textId="6F52B457" w:rsidR="00572F96" w:rsidRPr="00572F96" w:rsidRDefault="00572F96">
      <w:pPr>
        <w:spacing w:line="360" w:lineRule="auto"/>
        <w:jc w:val="both"/>
        <w:rPr>
          <w:rFonts w:ascii="Times New Roman" w:eastAsia="Times New Roman" w:hAnsi="Times New Roman" w:cs="Times New Roman"/>
          <w:color w:val="111111"/>
          <w:sz w:val="24"/>
          <w:szCs w:val="24"/>
        </w:rPr>
      </w:pPr>
      <w:r w:rsidRPr="00572F96">
        <w:rPr>
          <w:rFonts w:ascii="Times New Roman" w:eastAsia="Times New Roman" w:hAnsi="Times New Roman" w:cs="Times New Roman"/>
          <w:color w:val="111111"/>
          <w:sz w:val="24"/>
          <w:szCs w:val="24"/>
        </w:rPr>
        <w:t xml:space="preserve">Data was collected after receiving the consent of the respective school authorities. The purpose of the study was explained to the participants and the voluntary nature of their participation </w:t>
      </w:r>
      <w:r w:rsidRPr="00572F96">
        <w:rPr>
          <w:rFonts w:ascii="Times New Roman" w:eastAsia="Times New Roman" w:hAnsi="Times New Roman" w:cs="Times New Roman"/>
          <w:color w:val="111111"/>
          <w:sz w:val="24"/>
          <w:szCs w:val="24"/>
        </w:rPr>
        <w:lastRenderedPageBreak/>
        <w:t>provided. The respondents were kept confidential and anonymous and the data collected was of the use of academic purposes only.</w:t>
      </w:r>
    </w:p>
    <w:p w14:paraId="4342EBDF" w14:textId="13CBA0A1" w:rsidR="00572F96" w:rsidRDefault="00572F96">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 xml:space="preserve">6. </w:t>
      </w:r>
      <w:r w:rsidRPr="00572F96">
        <w:rPr>
          <w:rFonts w:ascii="Times New Roman" w:eastAsia="Times New Roman" w:hAnsi="Times New Roman" w:cs="Times New Roman"/>
          <w:b/>
          <w:bCs/>
          <w:color w:val="111111"/>
          <w:sz w:val="24"/>
          <w:szCs w:val="24"/>
        </w:rPr>
        <w:t>Limitations of the Study</w:t>
      </w:r>
    </w:p>
    <w:p w14:paraId="3F406620" w14:textId="27A330C9" w:rsidR="00572F96" w:rsidRPr="00572F96" w:rsidRDefault="00572F96">
      <w:pPr>
        <w:spacing w:line="360" w:lineRule="auto"/>
        <w:jc w:val="both"/>
        <w:rPr>
          <w:rFonts w:ascii="Times New Roman" w:eastAsia="Times New Roman" w:hAnsi="Times New Roman" w:cs="Times New Roman"/>
          <w:color w:val="111111"/>
          <w:sz w:val="24"/>
          <w:szCs w:val="24"/>
        </w:rPr>
      </w:pPr>
      <w:r w:rsidRPr="00572F96">
        <w:rPr>
          <w:rFonts w:ascii="Times New Roman" w:eastAsia="Times New Roman" w:hAnsi="Times New Roman" w:cs="Times New Roman"/>
          <w:color w:val="111111"/>
          <w:sz w:val="24"/>
          <w:szCs w:val="24"/>
        </w:rPr>
        <w:t>The research focuses on a sample size of 200 secondary school students in one district, and thus limits the generalizability of the results. The research concentrates on demographic variables that are selected and not on psychological or teaching factors that could affect scientific aptitude.</w:t>
      </w:r>
    </w:p>
    <w:p w14:paraId="0B56DDA3" w14:textId="310B9963" w:rsidR="00C225C6" w:rsidRDefault="00572F96">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 xml:space="preserve">7. </w:t>
      </w:r>
      <w:r w:rsidR="0081615B">
        <w:rPr>
          <w:rFonts w:ascii="Times New Roman" w:eastAsia="Times New Roman" w:hAnsi="Times New Roman" w:cs="Times New Roman"/>
          <w:b/>
          <w:bCs/>
          <w:color w:val="111111"/>
          <w:sz w:val="24"/>
          <w:szCs w:val="24"/>
        </w:rPr>
        <w:t xml:space="preserve">Conclusion and Recommendations </w:t>
      </w:r>
    </w:p>
    <w:p w14:paraId="1E816B6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research </w:t>
      </w:r>
      <w:proofErr w:type="gramStart"/>
      <w:r>
        <w:rPr>
          <w:rFonts w:ascii="Times New Roman" w:eastAsia="Times New Roman" w:hAnsi="Times New Roman" w:cs="Times New Roman"/>
          <w:color w:val="111111"/>
          <w:sz w:val="24"/>
          <w:szCs w:val="24"/>
        </w:rPr>
        <w:t>examine</w:t>
      </w:r>
      <w:proofErr w:type="gramEnd"/>
      <w:r>
        <w:rPr>
          <w:rFonts w:ascii="Times New Roman" w:eastAsia="Times New Roman" w:hAnsi="Times New Roman" w:cs="Times New Roman"/>
          <w:color w:val="111111"/>
          <w:sz w:val="24"/>
          <w:szCs w:val="24"/>
        </w:rPr>
        <w:t xml:space="preserve"> the scientific ability of students in different demographic data, such as, gender, school (government and private), locality (urban and rural), family (nuclear and joint) and occupational status of their father. The entire statistical test, t-tests and ANOVA, showed that there was always no significant difference between scientific aptitude between all of these variables.</w:t>
      </w:r>
    </w:p>
    <w:p w14:paraId="660299F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results support the fact that scientific ability of secondary school pupils is not largely determined by the type of institution, gender, geographical area, family life, or the economic status, as reflected by the occupations of their fathers. Such findings reflect a more balanced representation of scientific ability among the various groups and the universality of scientific potential among the students irrespective of demographical factors.</w:t>
      </w:r>
    </w:p>
    <w:p w14:paraId="0CDAB95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of Findings</w:t>
      </w:r>
    </w:p>
    <w:p w14:paraId="3E04C8B9"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and Type of School: There was no significant difference in scientific aptitude of boys and girls in both government and in private schools.</w:t>
      </w:r>
    </w:p>
    <w:p w14:paraId="589528B0" w14:textId="0420DF92"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Institutional Type: There was no significant difference between Government and </w:t>
      </w:r>
      <w:r w:rsidR="00087985">
        <w:rPr>
          <w:rFonts w:ascii="Times New Roman" w:eastAsia="Times New Roman" w:hAnsi="Times New Roman" w:cs="Times New Roman"/>
          <w:color w:val="111111"/>
          <w:sz w:val="24"/>
          <w:szCs w:val="24"/>
        </w:rPr>
        <w:t>Private</w:t>
      </w:r>
      <w:r>
        <w:rPr>
          <w:rFonts w:ascii="Times New Roman" w:eastAsia="Times New Roman" w:hAnsi="Times New Roman" w:cs="Times New Roman"/>
          <w:color w:val="111111"/>
          <w:sz w:val="24"/>
          <w:szCs w:val="24"/>
        </w:rPr>
        <w:t xml:space="preserve"> school students on the basis of their score in scientific aptitude.</w:t>
      </w:r>
    </w:p>
    <w:p w14:paraId="6D46CCB7"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Within School Type: There was no significant difference between boys and girls in both government schools and the private schools separately.</w:t>
      </w:r>
    </w:p>
    <w:p w14:paraId="50286E15"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Comparison: In all schools, girls demonstrated a little higher average in scientific aptitude than boys but this could not be statistically significant.</w:t>
      </w:r>
    </w:p>
    <w:p w14:paraId="3A140128"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Locality: There was a very slight difference in the mean of rural students as compared to urban students but this difference was not found to be significant.</w:t>
      </w:r>
    </w:p>
    <w:p w14:paraId="2C7D3A18"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Family Type: Nuclear family students scored higher on scientific aptitude as compared to joint family students though the difference was not significant.</w:t>
      </w:r>
    </w:p>
    <w:p w14:paraId="5B2A6709"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Father Occupation: ANOVA did not show any significant difference between students with fathers working as different occupations (government occupation, employment, agriculture, and otherwise).</w:t>
      </w:r>
    </w:p>
    <w:p w14:paraId="04BFA694" w14:textId="77777777" w:rsidR="00C225C6" w:rsidRDefault="00C225C6">
      <w:pPr>
        <w:spacing w:line="360" w:lineRule="auto"/>
        <w:jc w:val="both"/>
        <w:rPr>
          <w:rFonts w:ascii="Times New Roman" w:eastAsia="Times New Roman" w:hAnsi="Times New Roman" w:cs="Times New Roman"/>
          <w:color w:val="111111"/>
          <w:sz w:val="24"/>
          <w:szCs w:val="24"/>
        </w:rPr>
      </w:pPr>
    </w:p>
    <w:p w14:paraId="47663B3B"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Policy and Pedagogical Recommendations</w:t>
      </w:r>
    </w:p>
    <w:p w14:paraId="37FB1A81"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Equal Opportunities in Scientific Learning: As gender and socio-demographic factors have little influence on scientific aptitude, the policy frameworks ought to aim at an equal access to quality science education in all schools, whether they are of different types or different locations.</w:t>
      </w:r>
    </w:p>
    <w:p w14:paraId="3734990F"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Enhance Curriculum Equity: It is important to make sure that the curriculum used in both government and private schools equally encourages scientific thinking and problem-solving capabilities as aptitude scores do not seem to vary by type of school.</w:t>
      </w:r>
    </w:p>
    <w:p w14:paraId="77E0B840"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Inclusive Teaching Practices: Teachers are supposed to be trained to understand that all students have potentials of having scientific aptitude and must not be subjected to prejudice based on gender, place or family backgrounds.</w:t>
      </w:r>
    </w:p>
    <w:p w14:paraId="03096D5C"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Promote Inquiry-Based Learning: Incorporation of a higher share of project-based and inquiry-driven tasks in the science curriculum can also facilitate the development of scientific ability that is underdeveloped in terms of the traditional evaluation strategies.</w:t>
      </w:r>
    </w:p>
    <w:p w14:paraId="1BB50A83"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Emphasis on Early Intervention in Scientific Interests: Dynamism to activate scientific interests should begin at the early stages of education, even before high school, so that aptitude could be developed fairly in all groups of population.</w:t>
      </w:r>
    </w:p>
    <w:p w14:paraId="0B60FDE4" w14:textId="77777777" w:rsidR="00C225C6" w:rsidRDefault="00C225C6">
      <w:pPr>
        <w:spacing w:line="360" w:lineRule="auto"/>
        <w:jc w:val="both"/>
        <w:rPr>
          <w:rFonts w:ascii="Times New Roman" w:eastAsia="Times New Roman" w:hAnsi="Times New Roman" w:cs="Times New Roman"/>
          <w:color w:val="111111"/>
          <w:sz w:val="24"/>
          <w:szCs w:val="24"/>
        </w:rPr>
      </w:pPr>
    </w:p>
    <w:p w14:paraId="22F8C416"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Scope for Further Research</w:t>
      </w:r>
    </w:p>
    <w:p w14:paraId="3C873292"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Longitudinal Studies: Future studies can be done to trace the change in scientific aptitude with time to learn whether differences are produced as a result of continued environmental or educational factors.</w:t>
      </w:r>
    </w:p>
    <w:p w14:paraId="29ABD5D2"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Qualitative Implications: The mechanisms through which attitudes, motivation, and learning conditions enhance the development of scientific aptitude may be investigated with the help of studies based on interviews and case studies.</w:t>
      </w:r>
    </w:p>
    <w:p w14:paraId="40369768"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Intervention-Based Research: It is possible to assess the effectiveness of certain instructional methods (e.g., STEM camps, inquiry-based learning, flipped classes) to improve scientific aptitude by using the experimental designs.</w:t>
      </w:r>
    </w:p>
    <w:p w14:paraId="095B3A84"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Tool Development and Refinement: More studies should be conducted to establish more sensitive tools that could allow observing the minor variation in scientific aptitude that cannot be observed with the help of conventional testing.</w:t>
      </w:r>
    </w:p>
    <w:p w14:paraId="0BE0833E"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Cross-State/Regional Comparative Studies: To detect geographic variation, cross-state or cross-education-board comparative studies of students might be more informative.</w:t>
      </w:r>
    </w:p>
    <w:p w14:paraId="3F179839"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Conflict of interests: The corresponding author, on behalf of all authors, writes that there is no conflict of interest.</w:t>
      </w:r>
    </w:p>
    <w:p w14:paraId="07378D1D" w14:textId="77777777" w:rsidR="00C225C6" w:rsidRDefault="00C225C6">
      <w:pPr>
        <w:spacing w:line="360" w:lineRule="auto"/>
        <w:jc w:val="both"/>
        <w:rPr>
          <w:rFonts w:ascii="Times New Roman" w:eastAsia="Times New Roman" w:hAnsi="Times New Roman" w:cs="Times New Roman"/>
          <w:b/>
          <w:bCs/>
          <w:color w:val="111111"/>
          <w:sz w:val="24"/>
          <w:szCs w:val="24"/>
        </w:rPr>
      </w:pPr>
    </w:p>
    <w:p w14:paraId="792D532B" w14:textId="77777777" w:rsidR="00C225C6" w:rsidRDefault="00C225C6">
      <w:pPr>
        <w:spacing w:line="360" w:lineRule="auto"/>
        <w:jc w:val="both"/>
        <w:rPr>
          <w:rFonts w:ascii="Times New Roman" w:eastAsia="Times New Roman" w:hAnsi="Times New Roman" w:cs="Times New Roman"/>
          <w:color w:val="111111"/>
          <w:sz w:val="24"/>
          <w:szCs w:val="24"/>
        </w:rPr>
      </w:pPr>
    </w:p>
    <w:p w14:paraId="4710FDDB" w14:textId="77777777" w:rsidR="00572F96" w:rsidRDefault="00572F96">
      <w:pPr>
        <w:spacing w:line="360" w:lineRule="auto"/>
        <w:jc w:val="both"/>
        <w:rPr>
          <w:rFonts w:ascii="Times New Roman" w:eastAsia="Times New Roman" w:hAnsi="Times New Roman" w:cs="Times New Roman"/>
          <w:color w:val="111111"/>
          <w:sz w:val="24"/>
          <w:szCs w:val="24"/>
        </w:rPr>
      </w:pPr>
    </w:p>
    <w:p w14:paraId="5C741BE1" w14:textId="77777777" w:rsidR="00572F96" w:rsidRDefault="00572F96">
      <w:pPr>
        <w:spacing w:line="360" w:lineRule="auto"/>
        <w:jc w:val="both"/>
        <w:rPr>
          <w:rFonts w:ascii="Times New Roman" w:eastAsia="Times New Roman" w:hAnsi="Times New Roman" w:cs="Times New Roman"/>
          <w:color w:val="111111"/>
          <w:sz w:val="24"/>
          <w:szCs w:val="24"/>
        </w:rPr>
      </w:pPr>
    </w:p>
    <w:p w14:paraId="4CAED9FF" w14:textId="77777777" w:rsidR="00F53C66" w:rsidRPr="00F53C66" w:rsidRDefault="00F53C66" w:rsidP="00F53C66">
      <w:pPr>
        <w:spacing w:line="360" w:lineRule="auto"/>
        <w:jc w:val="both"/>
        <w:rPr>
          <w:rFonts w:ascii="Times New Roman" w:eastAsia="Times New Roman" w:hAnsi="Times New Roman" w:cs="Times New Roman"/>
          <w:color w:val="111111"/>
          <w:sz w:val="24"/>
          <w:szCs w:val="24"/>
        </w:rPr>
      </w:pPr>
      <w:r w:rsidRPr="00F53C66">
        <w:rPr>
          <w:rFonts w:ascii="Times New Roman" w:eastAsia="Times New Roman" w:hAnsi="Times New Roman" w:cs="Times New Roman"/>
          <w:color w:val="111111"/>
          <w:sz w:val="24"/>
          <w:szCs w:val="24"/>
        </w:rPr>
        <w:t>COMPETING INTERESTS DISCLAIMER:</w:t>
      </w:r>
    </w:p>
    <w:p w14:paraId="5ADC9D51" w14:textId="209C616E" w:rsidR="00C225C6" w:rsidRDefault="00F53C66" w:rsidP="00F53C66">
      <w:pPr>
        <w:spacing w:line="360" w:lineRule="auto"/>
        <w:jc w:val="both"/>
        <w:rPr>
          <w:rFonts w:ascii="Times New Roman" w:eastAsia="Times New Roman" w:hAnsi="Times New Roman" w:cs="Times New Roman"/>
          <w:color w:val="111111"/>
          <w:sz w:val="24"/>
          <w:szCs w:val="24"/>
        </w:rPr>
      </w:pPr>
      <w:r w:rsidRPr="00F53C66">
        <w:rPr>
          <w:rFonts w:ascii="Times New Roman" w:eastAsia="Times New Roman" w:hAnsi="Times New Roman" w:cs="Times New Roman"/>
          <w:color w:val="111111"/>
          <w:sz w:val="24"/>
          <w:szCs w:val="24"/>
        </w:rPr>
        <w:t>Authors have declared that they have no known competing financial interests OR non-financial interests OR personal relationships that could have appeared to influence the work reported in this paper.</w:t>
      </w:r>
    </w:p>
    <w:p w14:paraId="2A527DAC" w14:textId="39ABF89D" w:rsidR="008D153A" w:rsidRDefault="008D153A" w:rsidP="00F53C66">
      <w:pPr>
        <w:spacing w:line="360" w:lineRule="auto"/>
        <w:jc w:val="both"/>
        <w:rPr>
          <w:rFonts w:ascii="Times New Roman" w:eastAsia="Times New Roman" w:hAnsi="Times New Roman" w:cs="Times New Roman"/>
          <w:color w:val="111111"/>
          <w:sz w:val="24"/>
          <w:szCs w:val="24"/>
        </w:rPr>
      </w:pPr>
    </w:p>
    <w:p w14:paraId="156D83AB" w14:textId="49939BA0" w:rsidR="008D153A" w:rsidRPr="00474C0B" w:rsidRDefault="00474C0B" w:rsidP="00F53C66">
      <w:pPr>
        <w:spacing w:line="360" w:lineRule="auto"/>
        <w:jc w:val="both"/>
        <w:rPr>
          <w:rFonts w:ascii="Times New Roman" w:eastAsia="Times New Roman" w:hAnsi="Times New Roman" w:cs="Times New Roman"/>
          <w:color w:val="111111"/>
          <w:sz w:val="24"/>
          <w:szCs w:val="24"/>
        </w:rPr>
      </w:pPr>
      <w:r w:rsidRPr="00474C0B">
        <w:rPr>
          <w:rFonts w:ascii="Times New Roman" w:eastAsia="Times New Roman" w:hAnsi="Times New Roman" w:cs="Times New Roman"/>
          <w:color w:val="111111"/>
          <w:sz w:val="24"/>
          <w:szCs w:val="24"/>
        </w:rPr>
        <w:t>Disclaimer (Artificial Intelligence)</w:t>
      </w:r>
      <w:r w:rsidRPr="00474C0B">
        <w:rPr>
          <w:rFonts w:ascii="Times New Roman" w:eastAsia="Times New Roman" w:hAnsi="Times New Roman" w:cs="Times New Roman"/>
          <w:color w:val="111111"/>
          <w:sz w:val="24"/>
          <w:szCs w:val="24"/>
        </w:rPr>
        <w:t>:</w:t>
      </w:r>
    </w:p>
    <w:p w14:paraId="597581E5" w14:textId="49C5C954" w:rsidR="00474C0B" w:rsidRDefault="00474C0B" w:rsidP="00F53C66">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w:t>
      </w:r>
      <w:r w:rsidRPr="00474C0B">
        <w:rPr>
          <w:rFonts w:ascii="Times New Roman" w:eastAsia="Times New Roman" w:hAnsi="Times New Roman" w:cs="Times New Roman"/>
          <w:color w:val="111111"/>
          <w:sz w:val="24"/>
          <w:szCs w:val="24"/>
        </w:rPr>
        <w:t xml:space="preserve"> author states that no generative artificial intelligence (AI) tools, as well as a large language model (ChatGPT, Copilot, or other text-to-image generators), were utilized when writing, analyzing, or editing this manuscript. The author will assume complete responsibility of the originality, integrity and veracity of work presented.</w:t>
      </w:r>
    </w:p>
    <w:p w14:paraId="24937F9E" w14:textId="77777777" w:rsidR="00474C0B" w:rsidRDefault="00474C0B">
      <w:pPr>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br w:type="page"/>
      </w:r>
    </w:p>
    <w:p w14:paraId="06CD02DB" w14:textId="43C9822B" w:rsidR="00C225C6" w:rsidRDefault="0081615B">
      <w:pPr>
        <w:spacing w:before="240" w:after="240" w:line="48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lastRenderedPageBreak/>
        <w:t>References</w:t>
      </w:r>
    </w:p>
    <w:p w14:paraId="707087A4" w14:textId="72BA1A70" w:rsidR="008F6967" w:rsidRDefault="008F6967" w:rsidP="0045454F">
      <w:pPr>
        <w:spacing w:before="240" w:after="240" w:line="360" w:lineRule="auto"/>
        <w:ind w:left="142"/>
        <w:jc w:val="both"/>
        <w:rPr>
          <w:rFonts w:ascii="Times New Roman" w:hAnsi="Times New Roman" w:cs="Times New Roman"/>
          <w:sz w:val="24"/>
          <w:szCs w:val="24"/>
        </w:rPr>
      </w:pPr>
      <w:r w:rsidRPr="008F6967">
        <w:rPr>
          <w:rFonts w:ascii="Times New Roman" w:hAnsi="Times New Roman" w:cs="Times New Roman"/>
          <w:sz w:val="24"/>
          <w:szCs w:val="24"/>
        </w:rPr>
        <w:t xml:space="preserve">Narayan, S., &amp; Sharma, K. (2025). </w:t>
      </w:r>
      <w:r w:rsidRPr="008F6967">
        <w:rPr>
          <w:rFonts w:ascii="Times New Roman" w:hAnsi="Times New Roman" w:cs="Times New Roman"/>
          <w:i/>
          <w:iCs/>
          <w:sz w:val="24"/>
          <w:szCs w:val="24"/>
        </w:rPr>
        <w:t>Enhancing scientific aptitude in students through a comparative analysis of multimedia-based teaching and traditional methods in science education</w:t>
      </w:r>
      <w:r w:rsidRPr="008F6967">
        <w:rPr>
          <w:rFonts w:ascii="Times New Roman" w:hAnsi="Times New Roman" w:cs="Times New Roman"/>
          <w:sz w:val="24"/>
          <w:szCs w:val="24"/>
        </w:rPr>
        <w:t xml:space="preserve">. Indian Journal of Science and Technology, 18(19), 1465–1470. </w:t>
      </w:r>
      <w:hyperlink r:id="rId15" w:history="1">
        <w:r w:rsidR="00B56B04" w:rsidRPr="0045395F">
          <w:rPr>
            <w:rStyle w:val="Hyperlink"/>
            <w:rFonts w:ascii="Times New Roman" w:hAnsi="Times New Roman" w:cs="Times New Roman"/>
            <w:sz w:val="24"/>
            <w:szCs w:val="24"/>
          </w:rPr>
          <w:t>https://doi.org/10.17485/IJST/v18i19.583</w:t>
        </w:r>
      </w:hyperlink>
      <w:r w:rsidR="00B56B04">
        <w:rPr>
          <w:rFonts w:ascii="Times New Roman" w:hAnsi="Times New Roman" w:cs="Times New Roman"/>
          <w:sz w:val="24"/>
          <w:szCs w:val="24"/>
        </w:rPr>
        <w:t xml:space="preserve"> </w:t>
      </w:r>
    </w:p>
    <w:p w14:paraId="5C222327" w14:textId="67D1A33F" w:rsidR="00017895" w:rsidRDefault="00017895" w:rsidP="0045454F">
      <w:pPr>
        <w:spacing w:before="240" w:after="240" w:line="360" w:lineRule="auto"/>
        <w:ind w:left="142"/>
        <w:jc w:val="both"/>
        <w:rPr>
          <w:rFonts w:ascii="Times New Roman" w:hAnsi="Times New Roman" w:cs="Times New Roman"/>
          <w:sz w:val="24"/>
          <w:szCs w:val="24"/>
        </w:rPr>
      </w:pPr>
      <w:r w:rsidRPr="00017895">
        <w:rPr>
          <w:rFonts w:ascii="Times New Roman" w:hAnsi="Times New Roman" w:cs="Times New Roman"/>
          <w:sz w:val="24"/>
          <w:szCs w:val="24"/>
        </w:rPr>
        <w:t xml:space="preserve">Verma, R. K., &amp; Gupta, S. (2024). </w:t>
      </w:r>
      <w:r w:rsidRPr="00017895">
        <w:rPr>
          <w:rStyle w:val="Emphasis"/>
          <w:rFonts w:ascii="Times New Roman" w:hAnsi="Times New Roman" w:cs="Times New Roman"/>
          <w:sz w:val="24"/>
          <w:szCs w:val="24"/>
        </w:rPr>
        <w:t>Scientific aptitude in Indian secondary education: A comprehensive review and future directions</w:t>
      </w:r>
      <w:r w:rsidRPr="00017895">
        <w:rPr>
          <w:rFonts w:ascii="Times New Roman" w:hAnsi="Times New Roman" w:cs="Times New Roman"/>
          <w:sz w:val="24"/>
          <w:szCs w:val="24"/>
        </w:rPr>
        <w:t xml:space="preserve">. </w:t>
      </w:r>
      <w:proofErr w:type="spellStart"/>
      <w:r w:rsidRPr="00017895">
        <w:rPr>
          <w:rFonts w:ascii="Times New Roman" w:hAnsi="Times New Roman" w:cs="Times New Roman"/>
          <w:sz w:val="24"/>
          <w:szCs w:val="24"/>
        </w:rPr>
        <w:t>Gyanodaya</w:t>
      </w:r>
      <w:proofErr w:type="spellEnd"/>
      <w:r w:rsidRPr="00017895">
        <w:rPr>
          <w:rFonts w:ascii="Times New Roman" w:hAnsi="Times New Roman" w:cs="Times New Roman"/>
          <w:sz w:val="24"/>
          <w:szCs w:val="24"/>
        </w:rPr>
        <w:t xml:space="preserve">: The Journal of Progressive Education, 17(1), 19–31. </w:t>
      </w:r>
      <w:hyperlink r:id="rId16" w:history="1">
        <w:r w:rsidRPr="00017895">
          <w:rPr>
            <w:rStyle w:val="Hyperlink"/>
            <w:rFonts w:ascii="Times New Roman" w:hAnsi="Times New Roman" w:cs="Times New Roman"/>
            <w:sz w:val="24"/>
            <w:szCs w:val="24"/>
          </w:rPr>
          <w:t>https://doi.org/10.5958/2229-4422.2024.00003.8</w:t>
        </w:r>
      </w:hyperlink>
      <w:r w:rsidRPr="00017895">
        <w:rPr>
          <w:rFonts w:ascii="Times New Roman" w:hAnsi="Times New Roman" w:cs="Times New Roman"/>
          <w:sz w:val="24"/>
          <w:szCs w:val="24"/>
        </w:rPr>
        <w:t xml:space="preserve"> </w:t>
      </w:r>
    </w:p>
    <w:p w14:paraId="6D4A3308" w14:textId="2F33103B" w:rsidR="008F6967" w:rsidRPr="008F6967" w:rsidRDefault="008F6967" w:rsidP="008F6967">
      <w:pPr>
        <w:spacing w:before="240" w:after="240" w:line="360" w:lineRule="auto"/>
        <w:ind w:left="142"/>
        <w:jc w:val="both"/>
        <w:rPr>
          <w:rFonts w:ascii="Times New Roman" w:eastAsia="Times New Roman" w:hAnsi="Times New Roman" w:cs="Times New Roman"/>
          <w:color w:val="111111"/>
          <w:sz w:val="24"/>
          <w:szCs w:val="24"/>
        </w:rPr>
      </w:pPr>
      <w:r>
        <w:rPr>
          <w:rFonts w:ascii="Times New Roman" w:eastAsia="Times New Roman" w:hAnsi="Times New Roman" w:cs="Times New Roman"/>
          <w:i/>
          <w:iCs/>
          <w:color w:val="111111"/>
          <w:sz w:val="24"/>
          <w:szCs w:val="24"/>
        </w:rPr>
        <w:t>National Education Policy</w:t>
      </w:r>
      <w:r>
        <w:rPr>
          <w:rFonts w:ascii="Times New Roman" w:eastAsia="Times New Roman" w:hAnsi="Times New Roman" w:cs="Times New Roman"/>
          <w:color w:val="111111"/>
          <w:sz w:val="24"/>
          <w:szCs w:val="24"/>
        </w:rPr>
        <w:t>. (2020). Ministry of Human Resource Development, Government of India.</w:t>
      </w:r>
      <w:hyperlink r:id="rId17">
        <w:r>
          <w:rPr>
            <w:rFonts w:ascii="Times New Roman" w:eastAsia="Times New Roman" w:hAnsi="Times New Roman" w:cs="Times New Roman"/>
            <w:color w:val="111111"/>
            <w:sz w:val="24"/>
            <w:szCs w:val="24"/>
          </w:rPr>
          <w:t xml:space="preserve"> </w:t>
        </w:r>
      </w:hyperlink>
      <w:hyperlink r:id="rId18">
        <w:r>
          <w:rPr>
            <w:rFonts w:ascii="Times New Roman" w:eastAsia="Times New Roman" w:hAnsi="Times New Roman" w:cs="Times New Roman"/>
            <w:color w:val="1155CC"/>
            <w:sz w:val="24"/>
            <w:szCs w:val="24"/>
            <w:u w:val="single"/>
          </w:rPr>
          <w:t>https://www.education.gov.in/sites/upload_files/mhrd/files/NEP_Final_English_0.pdf</w:t>
        </w:r>
      </w:hyperlink>
      <w:r>
        <w:rPr>
          <w:rFonts w:ascii="Times New Roman" w:eastAsia="Times New Roman" w:hAnsi="Times New Roman" w:cs="Times New Roman"/>
          <w:color w:val="111111"/>
          <w:sz w:val="24"/>
          <w:szCs w:val="24"/>
        </w:rPr>
        <w:t xml:space="preserve"> </w:t>
      </w:r>
    </w:p>
    <w:p w14:paraId="6CC8C24D" w14:textId="35CEDDDC"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Banerjee, S. (2017) Evaluation Strategies: examining the influence of teacher competence and teaching effectiveness. </w:t>
      </w:r>
      <w:r>
        <w:rPr>
          <w:rFonts w:ascii="Times New Roman" w:eastAsia="Times New Roman" w:hAnsi="Times New Roman" w:cs="Times New Roman"/>
          <w:i/>
          <w:iCs/>
          <w:color w:val="111111"/>
          <w:sz w:val="24"/>
          <w:szCs w:val="24"/>
        </w:rPr>
        <w:t>Indian Educational Review, 55(1)</w:t>
      </w:r>
      <w:r>
        <w:rPr>
          <w:rFonts w:ascii="Times New Roman" w:eastAsia="Times New Roman" w:hAnsi="Times New Roman" w:cs="Times New Roman"/>
          <w:color w:val="111111"/>
          <w:sz w:val="24"/>
          <w:szCs w:val="24"/>
        </w:rPr>
        <w:t>, 97-112. Retrieved from</w:t>
      </w:r>
      <w:hyperlink r:id="rId19">
        <w:r w:rsidR="00C225C6">
          <w:rPr>
            <w:rFonts w:ascii="Times New Roman" w:eastAsia="Times New Roman" w:hAnsi="Times New Roman" w:cs="Times New Roman"/>
            <w:color w:val="111111"/>
            <w:sz w:val="24"/>
            <w:szCs w:val="24"/>
          </w:rPr>
          <w:t xml:space="preserve"> </w:t>
        </w:r>
      </w:hyperlink>
      <w:hyperlink r:id="rId20">
        <w:r w:rsidR="00C225C6">
          <w:rPr>
            <w:rFonts w:ascii="Times New Roman" w:eastAsia="Times New Roman" w:hAnsi="Times New Roman" w:cs="Times New Roman"/>
            <w:color w:val="1155CC"/>
            <w:sz w:val="24"/>
            <w:szCs w:val="24"/>
            <w:u w:val="single"/>
          </w:rPr>
          <w:t>http://www.ncert.nic.in/publication/journals/pdf_files/IER_Jan_17.pdf</w:t>
        </w:r>
      </w:hyperlink>
    </w:p>
    <w:p w14:paraId="6CD2EA1A" w14:textId="34FD73CF"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Banerjee, R. (2016). Project on achievement in life science: it’s relationship with aptitude in life science &amp; scientific attitude -an investigation. </w:t>
      </w:r>
      <w:r>
        <w:rPr>
          <w:rFonts w:ascii="Times New Roman" w:eastAsia="Times New Roman" w:hAnsi="Times New Roman" w:cs="Times New Roman"/>
          <w:i/>
          <w:iCs/>
          <w:color w:val="111111"/>
          <w:sz w:val="24"/>
          <w:szCs w:val="24"/>
        </w:rPr>
        <w:t>International Journal of Humanities and Social Science Invention, 5(11)</w:t>
      </w:r>
      <w:r>
        <w:rPr>
          <w:rFonts w:ascii="Times New Roman" w:eastAsia="Times New Roman" w:hAnsi="Times New Roman" w:cs="Times New Roman"/>
          <w:color w:val="111111"/>
          <w:sz w:val="24"/>
          <w:szCs w:val="24"/>
        </w:rPr>
        <w:t>, 13-18. Retrieved from</w:t>
      </w:r>
      <w:hyperlink r:id="rId21">
        <w:r w:rsidR="00C225C6">
          <w:rPr>
            <w:rFonts w:ascii="Times New Roman" w:eastAsia="Times New Roman" w:hAnsi="Times New Roman" w:cs="Times New Roman"/>
            <w:color w:val="111111"/>
            <w:sz w:val="24"/>
            <w:szCs w:val="24"/>
          </w:rPr>
          <w:t xml:space="preserve"> </w:t>
        </w:r>
      </w:hyperlink>
      <w:hyperlink r:id="rId22">
        <w:r w:rsidR="00C225C6">
          <w:rPr>
            <w:rFonts w:ascii="Times New Roman" w:eastAsia="Times New Roman" w:hAnsi="Times New Roman" w:cs="Times New Roman"/>
            <w:color w:val="1155CC"/>
            <w:sz w:val="24"/>
            <w:szCs w:val="24"/>
            <w:u w:val="single"/>
          </w:rPr>
          <w:t>http://www.ijhssi.org/papers/v5(11)/version-2/C05011021318.pdf</w:t>
        </w:r>
      </w:hyperlink>
    </w:p>
    <w:p w14:paraId="726BC806" w14:textId="7880C019"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Moshahid. (2016). Scientific aptitude among English and Urdu medium secondary level students. Educational Quest: </w:t>
      </w:r>
      <w:r>
        <w:rPr>
          <w:rFonts w:ascii="Times New Roman" w:eastAsia="Times New Roman" w:hAnsi="Times New Roman" w:cs="Times New Roman"/>
          <w:i/>
          <w:iCs/>
          <w:color w:val="111111"/>
          <w:sz w:val="24"/>
          <w:szCs w:val="24"/>
        </w:rPr>
        <w:t>An Int. J. of Education and Applied Social Sciences, 7(3)</w:t>
      </w:r>
      <w:r>
        <w:rPr>
          <w:rFonts w:ascii="Times New Roman" w:eastAsia="Times New Roman" w:hAnsi="Times New Roman" w:cs="Times New Roman"/>
          <w:color w:val="111111"/>
          <w:sz w:val="24"/>
          <w:szCs w:val="24"/>
        </w:rPr>
        <w:t>, 299-304. Retrieved from</w:t>
      </w:r>
      <w:hyperlink r:id="rId23">
        <w:r w:rsidR="00C225C6">
          <w:rPr>
            <w:rFonts w:ascii="Times New Roman" w:eastAsia="Times New Roman" w:hAnsi="Times New Roman" w:cs="Times New Roman"/>
            <w:color w:val="111111"/>
            <w:sz w:val="24"/>
            <w:szCs w:val="24"/>
          </w:rPr>
          <w:t xml:space="preserve"> </w:t>
        </w:r>
      </w:hyperlink>
      <w:hyperlink r:id="rId24">
        <w:r w:rsidR="00C225C6">
          <w:rPr>
            <w:rFonts w:ascii="Times New Roman" w:eastAsia="Times New Roman" w:hAnsi="Times New Roman" w:cs="Times New Roman"/>
            <w:color w:val="1155CC"/>
            <w:sz w:val="24"/>
            <w:szCs w:val="24"/>
            <w:u w:val="single"/>
          </w:rPr>
          <w:t>http://ndpublisher.in/admin/issues/EQV7N3k.pdf</w:t>
        </w:r>
      </w:hyperlink>
    </w:p>
    <w:p w14:paraId="2BE593A1" w14:textId="13D07988"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Stanly, S. L. (2016). Influence of scientific aptitude on achievement in science of ix standard boys and girls. </w:t>
      </w:r>
      <w:r>
        <w:rPr>
          <w:rFonts w:ascii="Times New Roman" w:eastAsia="Times New Roman" w:hAnsi="Times New Roman" w:cs="Times New Roman"/>
          <w:i/>
          <w:iCs/>
          <w:color w:val="111111"/>
          <w:sz w:val="24"/>
          <w:szCs w:val="24"/>
        </w:rPr>
        <w:t>Indian journal of research, 5(9)</w:t>
      </w:r>
      <w:r>
        <w:rPr>
          <w:rFonts w:ascii="Times New Roman" w:eastAsia="Times New Roman" w:hAnsi="Times New Roman" w:cs="Times New Roman"/>
          <w:color w:val="111111"/>
          <w:sz w:val="24"/>
          <w:szCs w:val="24"/>
        </w:rPr>
        <w:t>, 359-360. Retrieved from</w:t>
      </w:r>
      <w:hyperlink r:id="rId25">
        <w:r w:rsidR="00C225C6">
          <w:rPr>
            <w:rFonts w:ascii="Times New Roman" w:eastAsia="Times New Roman" w:hAnsi="Times New Roman" w:cs="Times New Roman"/>
            <w:color w:val="111111"/>
            <w:sz w:val="24"/>
            <w:szCs w:val="24"/>
          </w:rPr>
          <w:t xml:space="preserve"> </w:t>
        </w:r>
      </w:hyperlink>
      <w:hyperlink r:id="rId26">
        <w:r w:rsidR="00C225C6">
          <w:rPr>
            <w:rFonts w:ascii="Times New Roman" w:eastAsia="Times New Roman" w:hAnsi="Times New Roman" w:cs="Times New Roman"/>
            <w:color w:val="1155CC"/>
            <w:sz w:val="24"/>
            <w:szCs w:val="24"/>
            <w:u w:val="single"/>
          </w:rPr>
          <w:t>https://www.worldwidejournals.com/paripex/recent_issues_pdf/2016/September/September_2016_1492080118__106.pdf</w:t>
        </w:r>
      </w:hyperlink>
    </w:p>
    <w:p w14:paraId="215D4E4C" w14:textId="38B864C2"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Dafedar, B. A., and Yeli, R. S. (2014). A study of learning achievement in science of secondary school students in relation to their </w:t>
      </w:r>
      <w:proofErr w:type="spellStart"/>
      <w:r>
        <w:rPr>
          <w:rFonts w:ascii="Times New Roman" w:eastAsia="Times New Roman" w:hAnsi="Times New Roman" w:cs="Times New Roman"/>
          <w:color w:val="111111"/>
          <w:sz w:val="24"/>
          <w:szCs w:val="24"/>
        </w:rPr>
        <w:t>metacongnitive</w:t>
      </w:r>
      <w:proofErr w:type="spellEnd"/>
      <w:r>
        <w:rPr>
          <w:rFonts w:ascii="Times New Roman" w:eastAsia="Times New Roman" w:hAnsi="Times New Roman" w:cs="Times New Roman"/>
          <w:color w:val="111111"/>
          <w:sz w:val="24"/>
          <w:szCs w:val="24"/>
        </w:rPr>
        <w:t xml:space="preserve"> skills and scientific aptitude. Retrieved from</w:t>
      </w:r>
      <w:hyperlink r:id="rId27">
        <w:r w:rsidR="00C225C6">
          <w:rPr>
            <w:rFonts w:ascii="Times New Roman" w:eastAsia="Times New Roman" w:hAnsi="Times New Roman" w:cs="Times New Roman"/>
            <w:color w:val="111111"/>
            <w:sz w:val="24"/>
            <w:szCs w:val="24"/>
          </w:rPr>
          <w:t xml:space="preserve"> </w:t>
        </w:r>
      </w:hyperlink>
      <w:hyperlink r:id="rId28">
        <w:r w:rsidR="00C225C6">
          <w:rPr>
            <w:rFonts w:ascii="Times New Roman" w:eastAsia="Times New Roman" w:hAnsi="Times New Roman" w:cs="Times New Roman"/>
            <w:color w:val="1155CC"/>
            <w:sz w:val="24"/>
            <w:szCs w:val="24"/>
            <w:u w:val="single"/>
          </w:rPr>
          <w:t>https://shodhganga.inflibnet.ac.in/handle/10603/64107?mode=simple</w:t>
        </w:r>
      </w:hyperlink>
    </w:p>
    <w:p w14:paraId="1391860A" w14:textId="514D1FF3"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111111"/>
          <w:sz w:val="24"/>
          <w:szCs w:val="24"/>
        </w:rPr>
        <w:lastRenderedPageBreak/>
        <w:t>Manichander</w:t>
      </w:r>
      <w:proofErr w:type="spellEnd"/>
      <w:r>
        <w:rPr>
          <w:rFonts w:ascii="Times New Roman" w:eastAsia="Times New Roman" w:hAnsi="Times New Roman" w:cs="Times New Roman"/>
          <w:color w:val="111111"/>
          <w:sz w:val="24"/>
          <w:szCs w:val="24"/>
        </w:rPr>
        <w:t xml:space="preserve">, T.,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M. (2014). Academic achievement and scientific aptitude in science among the students of standard-x. </w:t>
      </w:r>
      <w:r>
        <w:rPr>
          <w:rFonts w:ascii="Times New Roman" w:eastAsia="Times New Roman" w:hAnsi="Times New Roman" w:cs="Times New Roman"/>
          <w:i/>
          <w:iCs/>
          <w:color w:val="111111"/>
          <w:sz w:val="24"/>
          <w:szCs w:val="24"/>
        </w:rPr>
        <w:t>American research thoughts, 1(1),</w:t>
      </w:r>
      <w:r>
        <w:rPr>
          <w:rFonts w:ascii="Times New Roman" w:eastAsia="Times New Roman" w:hAnsi="Times New Roman" w:cs="Times New Roman"/>
          <w:color w:val="111111"/>
          <w:sz w:val="24"/>
          <w:szCs w:val="24"/>
        </w:rPr>
        <w:t xml:space="preserve"> 304-310. Retrieved from</w:t>
      </w:r>
      <w:hyperlink r:id="rId29">
        <w:r w:rsidR="00C225C6">
          <w:rPr>
            <w:rFonts w:ascii="Times New Roman" w:eastAsia="Times New Roman" w:hAnsi="Times New Roman" w:cs="Times New Roman"/>
            <w:color w:val="111111"/>
            <w:sz w:val="24"/>
            <w:szCs w:val="24"/>
          </w:rPr>
          <w:t xml:space="preserve"> </w:t>
        </w:r>
      </w:hyperlink>
      <w:hyperlink r:id="rId30">
        <w:r w:rsidR="00C225C6">
          <w:rPr>
            <w:rFonts w:ascii="Times New Roman" w:eastAsia="Times New Roman" w:hAnsi="Times New Roman" w:cs="Times New Roman"/>
            <w:color w:val="1155CC"/>
            <w:sz w:val="24"/>
            <w:szCs w:val="24"/>
            <w:u w:val="single"/>
          </w:rPr>
          <w:t>https://files.eric.ed.gov/fulltext/ED557153.pdf</w:t>
        </w:r>
      </w:hyperlink>
    </w:p>
    <w:p w14:paraId="50CFEB99" w14:textId="3D810092" w:rsidR="00C225C6" w:rsidRDefault="0081615B" w:rsidP="0045454F">
      <w:pPr>
        <w:spacing w:before="240" w:after="240" w:line="360" w:lineRule="auto"/>
        <w:ind w:left="142"/>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Agarwal, K. K., &amp; Aurora, S. (2013). Manual for scientific aptitude test battery. Agra: National Psychological corporation.</w:t>
      </w:r>
    </w:p>
    <w:p w14:paraId="538E2EBD" w14:textId="5A69857A"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Arora, R. and Gautam, N. (2013</w:t>
      </w:r>
      <w:proofErr w:type="gramStart"/>
      <w:r>
        <w:rPr>
          <w:rFonts w:ascii="Times New Roman" w:eastAsia="Times New Roman" w:hAnsi="Times New Roman" w:cs="Times New Roman"/>
          <w:color w:val="111111"/>
          <w:sz w:val="24"/>
          <w:szCs w:val="24"/>
        </w:rPr>
        <w:t>).Study</w:t>
      </w:r>
      <w:proofErr w:type="gramEnd"/>
      <w:r>
        <w:rPr>
          <w:rFonts w:ascii="Times New Roman" w:eastAsia="Times New Roman" w:hAnsi="Times New Roman" w:cs="Times New Roman"/>
          <w:color w:val="111111"/>
          <w:sz w:val="24"/>
          <w:szCs w:val="24"/>
        </w:rPr>
        <w:t xml:space="preserve"> of achievement in biology in relation to scientific aptitude, study habits and </w:t>
      </w:r>
      <w:proofErr w:type="gramStart"/>
      <w:r>
        <w:rPr>
          <w:rFonts w:ascii="Times New Roman" w:eastAsia="Times New Roman" w:hAnsi="Times New Roman" w:cs="Times New Roman"/>
          <w:color w:val="111111"/>
          <w:sz w:val="24"/>
          <w:szCs w:val="24"/>
        </w:rPr>
        <w:t>socio economic</w:t>
      </w:r>
      <w:proofErr w:type="gramEnd"/>
      <w:r>
        <w:rPr>
          <w:rFonts w:ascii="Times New Roman" w:eastAsia="Times New Roman" w:hAnsi="Times New Roman" w:cs="Times New Roman"/>
          <w:color w:val="111111"/>
          <w:sz w:val="24"/>
          <w:szCs w:val="24"/>
        </w:rPr>
        <w:t xml:space="preserve"> status among secondary school students. Retrieved from</w:t>
      </w:r>
      <w:hyperlink r:id="rId31">
        <w:r w:rsidR="00C225C6">
          <w:rPr>
            <w:rFonts w:ascii="Times New Roman" w:eastAsia="Times New Roman" w:hAnsi="Times New Roman" w:cs="Times New Roman"/>
            <w:color w:val="111111"/>
            <w:sz w:val="24"/>
            <w:szCs w:val="24"/>
          </w:rPr>
          <w:t xml:space="preserve"> </w:t>
        </w:r>
      </w:hyperlink>
      <w:hyperlink r:id="rId32">
        <w:r w:rsidR="00C225C6">
          <w:rPr>
            <w:rFonts w:ascii="Times New Roman" w:eastAsia="Times New Roman" w:hAnsi="Times New Roman" w:cs="Times New Roman"/>
            <w:color w:val="1155CC"/>
            <w:sz w:val="24"/>
            <w:szCs w:val="24"/>
            <w:u w:val="single"/>
          </w:rPr>
          <w:t>http://shodhganga.inflibnet.ac.in/handle/10603/17683</w:t>
        </w:r>
      </w:hyperlink>
    </w:p>
    <w:p w14:paraId="10A3E08E" w14:textId="7DC9A64A"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Manjula, G., and Nataraj, P. N. (2013). A study on mental health and scientific aptitude of high school students in relation to their achievement in science. Retrieved from</w:t>
      </w:r>
      <w:hyperlink r:id="rId33">
        <w:r w:rsidR="00C225C6">
          <w:rPr>
            <w:rFonts w:ascii="Times New Roman" w:eastAsia="Times New Roman" w:hAnsi="Times New Roman" w:cs="Times New Roman"/>
            <w:color w:val="111111"/>
            <w:sz w:val="24"/>
            <w:szCs w:val="24"/>
          </w:rPr>
          <w:t xml:space="preserve"> </w:t>
        </w:r>
      </w:hyperlink>
      <w:hyperlink r:id="rId34">
        <w:r w:rsidR="00C225C6">
          <w:rPr>
            <w:rFonts w:ascii="Times New Roman" w:eastAsia="Times New Roman" w:hAnsi="Times New Roman" w:cs="Times New Roman"/>
            <w:color w:val="1155CC"/>
            <w:sz w:val="24"/>
            <w:szCs w:val="24"/>
            <w:u w:val="single"/>
          </w:rPr>
          <w:t>https://shodhganga.inflibnet.ac.in/handle/10603/67519</w:t>
        </w:r>
      </w:hyperlink>
    </w:p>
    <w:p w14:paraId="79EA5D88" w14:textId="2067E701"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Mukhopadhyay, R. (2013). Whether aptitude in physics, scientific attitude, and deep approach to study explain achievement in physics significantly – an investigation. International journal of humanities and social science invention, 2(1), 57-63. Retrieved from</w:t>
      </w:r>
      <w:hyperlink r:id="rId35">
        <w:r w:rsidR="00C225C6">
          <w:rPr>
            <w:rFonts w:ascii="Times New Roman" w:eastAsia="Times New Roman" w:hAnsi="Times New Roman" w:cs="Times New Roman"/>
            <w:color w:val="111111"/>
            <w:sz w:val="24"/>
            <w:szCs w:val="24"/>
          </w:rPr>
          <w:t xml:space="preserve"> </w:t>
        </w:r>
      </w:hyperlink>
      <w:hyperlink r:id="rId36">
        <w:r w:rsidR="00C225C6">
          <w:rPr>
            <w:rFonts w:ascii="Times New Roman" w:eastAsia="Times New Roman" w:hAnsi="Times New Roman" w:cs="Times New Roman"/>
            <w:color w:val="1155CC"/>
            <w:sz w:val="24"/>
            <w:szCs w:val="24"/>
            <w:u w:val="single"/>
          </w:rPr>
          <w:t>http://www.ijhssi.org/papers/v2(1)/version-3/i215163.pdf</w:t>
        </w:r>
      </w:hyperlink>
    </w:p>
    <w:p w14:paraId="2F132238" w14:textId="670375E0"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Jayalekshmi, N. B., and Raja, B. W. D. (2011). Does Creativity Impact Scientific Aptitude </w:t>
      </w:r>
      <w:r w:rsidR="0010535D">
        <w:rPr>
          <w:rFonts w:ascii="Times New Roman" w:eastAsia="Times New Roman" w:hAnsi="Times New Roman" w:cs="Times New Roman"/>
          <w:color w:val="111111"/>
          <w:sz w:val="24"/>
          <w:szCs w:val="24"/>
        </w:rPr>
        <w:t>o</w:t>
      </w:r>
      <w:r>
        <w:rPr>
          <w:rFonts w:ascii="Times New Roman" w:eastAsia="Times New Roman" w:hAnsi="Times New Roman" w:cs="Times New Roman"/>
          <w:color w:val="111111"/>
          <w:sz w:val="24"/>
          <w:szCs w:val="24"/>
        </w:rPr>
        <w:t xml:space="preserve">f School Children? </w:t>
      </w:r>
      <w:r>
        <w:rPr>
          <w:rFonts w:ascii="Times New Roman" w:eastAsia="Times New Roman" w:hAnsi="Times New Roman" w:cs="Times New Roman"/>
          <w:i/>
          <w:iCs/>
          <w:color w:val="111111"/>
          <w:sz w:val="24"/>
          <w:szCs w:val="24"/>
        </w:rPr>
        <w:t>I-manager’s journal on educational psychology, 4(4)</w:t>
      </w:r>
      <w:r>
        <w:rPr>
          <w:rFonts w:ascii="Times New Roman" w:eastAsia="Times New Roman" w:hAnsi="Times New Roman" w:cs="Times New Roman"/>
          <w:color w:val="111111"/>
          <w:sz w:val="24"/>
          <w:szCs w:val="24"/>
        </w:rPr>
        <w:t>, 33-38. Retrieved from</w:t>
      </w:r>
      <w:hyperlink r:id="rId37">
        <w:r w:rsidR="00C225C6">
          <w:rPr>
            <w:rFonts w:ascii="Times New Roman" w:eastAsia="Times New Roman" w:hAnsi="Times New Roman" w:cs="Times New Roman"/>
            <w:color w:val="111111"/>
            <w:sz w:val="24"/>
            <w:szCs w:val="24"/>
          </w:rPr>
          <w:t xml:space="preserve"> </w:t>
        </w:r>
      </w:hyperlink>
      <w:hyperlink r:id="rId38">
        <w:r w:rsidR="00C225C6">
          <w:rPr>
            <w:rFonts w:ascii="Times New Roman" w:eastAsia="Times New Roman" w:hAnsi="Times New Roman" w:cs="Times New Roman"/>
            <w:color w:val="1155CC"/>
            <w:sz w:val="24"/>
            <w:szCs w:val="24"/>
            <w:u w:val="single"/>
          </w:rPr>
          <w:t>http://www.imanagerpublications.com/article/1417</w:t>
        </w:r>
      </w:hyperlink>
    </w:p>
    <w:p w14:paraId="0C1482E8" w14:textId="4E63D2F1"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Ahmed, S. M., and Shailaja, H.M. (2007). Effect of scientific aptitude and scientific attitude on academic achievement of secondary school students in science. Retrieved from</w:t>
      </w:r>
      <w:hyperlink r:id="rId39">
        <w:r w:rsidR="00C225C6">
          <w:rPr>
            <w:rFonts w:ascii="Times New Roman" w:eastAsia="Times New Roman" w:hAnsi="Times New Roman" w:cs="Times New Roman"/>
            <w:color w:val="111111"/>
            <w:sz w:val="24"/>
            <w:szCs w:val="24"/>
          </w:rPr>
          <w:t xml:space="preserve"> </w:t>
        </w:r>
      </w:hyperlink>
      <w:hyperlink r:id="rId40">
        <w:r w:rsidR="00C225C6">
          <w:rPr>
            <w:rFonts w:ascii="Times New Roman" w:eastAsia="Times New Roman" w:hAnsi="Times New Roman" w:cs="Times New Roman"/>
            <w:color w:val="1155CC"/>
            <w:sz w:val="24"/>
            <w:szCs w:val="24"/>
            <w:u w:val="single"/>
          </w:rPr>
          <w:t>https://shodhganga.inflibnet.ac.in/handle/10603/95379</w:t>
        </w:r>
      </w:hyperlink>
    </w:p>
    <w:p w14:paraId="09EEB97A" w14:textId="5CE2DE06"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t>National Curriculum Framework 2005</w:t>
      </w:r>
      <w:r>
        <w:rPr>
          <w:rFonts w:ascii="Times New Roman" w:eastAsia="Times New Roman" w:hAnsi="Times New Roman" w:cs="Times New Roman"/>
          <w:color w:val="111111"/>
          <w:sz w:val="24"/>
          <w:szCs w:val="24"/>
        </w:rPr>
        <w:t>. (2005). National Council of Educational Research and Training.</w:t>
      </w:r>
      <w:hyperlink r:id="rId41">
        <w:r w:rsidR="00C225C6">
          <w:rPr>
            <w:rFonts w:ascii="Times New Roman" w:eastAsia="Times New Roman" w:hAnsi="Times New Roman" w:cs="Times New Roman"/>
            <w:color w:val="111111"/>
            <w:sz w:val="24"/>
            <w:szCs w:val="24"/>
          </w:rPr>
          <w:t xml:space="preserve"> </w:t>
        </w:r>
      </w:hyperlink>
      <w:hyperlink r:id="rId42">
        <w:r w:rsidR="00C225C6">
          <w:rPr>
            <w:rFonts w:ascii="Times New Roman" w:eastAsia="Times New Roman" w:hAnsi="Times New Roman" w:cs="Times New Roman"/>
            <w:color w:val="1155CC"/>
            <w:sz w:val="24"/>
            <w:szCs w:val="24"/>
            <w:u w:val="single"/>
          </w:rPr>
          <w:t>https://ncert.nic.in/pdf/nc-framework/nf2005-english.pdf</w:t>
        </w:r>
      </w:hyperlink>
    </w:p>
    <w:p w14:paraId="264E43D4" w14:textId="6BB98059"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Ghosh, S. (1998). A critical study of scientific attitude and aptitude of the students and determination of some determinants of scientific aptitude. Retrieved from</w:t>
      </w:r>
      <w:hyperlink r:id="rId43">
        <w:r w:rsidR="00C225C6">
          <w:rPr>
            <w:rFonts w:ascii="Times New Roman" w:eastAsia="Times New Roman" w:hAnsi="Times New Roman" w:cs="Times New Roman"/>
            <w:color w:val="111111"/>
            <w:sz w:val="24"/>
            <w:szCs w:val="24"/>
          </w:rPr>
          <w:t xml:space="preserve"> </w:t>
        </w:r>
      </w:hyperlink>
      <w:hyperlink r:id="rId44">
        <w:r w:rsidR="00C225C6">
          <w:rPr>
            <w:rFonts w:ascii="Times New Roman" w:eastAsia="Times New Roman" w:hAnsi="Times New Roman" w:cs="Times New Roman"/>
            <w:color w:val="1155CC"/>
            <w:sz w:val="24"/>
            <w:szCs w:val="24"/>
            <w:u w:val="single"/>
          </w:rPr>
          <w:t>http://shodhganga.inflibnet.ac.in/handle/10603/240882</w:t>
        </w:r>
      </w:hyperlink>
    </w:p>
    <w:p w14:paraId="238CF2EF" w14:textId="7F82A2C1" w:rsidR="00C225C6" w:rsidRDefault="0081615B" w:rsidP="0010535D">
      <w:pPr>
        <w:spacing w:before="240" w:after="240"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Verma, S. R. (1994). A Cross-lagged Panel Analysis of Scientific Creativity, Scientific Aptitude and Career Interest. Doctoral Dissertation, Faizabad: University of Awadh, India.</w:t>
      </w:r>
    </w:p>
    <w:p w14:paraId="71508945" w14:textId="51AAD321"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lastRenderedPageBreak/>
        <w:t>Education and National Development</w:t>
      </w:r>
      <w:r>
        <w:rPr>
          <w:rFonts w:ascii="Times New Roman" w:eastAsia="Times New Roman" w:hAnsi="Times New Roman" w:cs="Times New Roman"/>
          <w:color w:val="111111"/>
          <w:sz w:val="24"/>
          <w:szCs w:val="24"/>
        </w:rPr>
        <w:t>. (1966). Government of India.</w:t>
      </w:r>
      <w:hyperlink r:id="rId45">
        <w:r w:rsidR="00C225C6">
          <w:rPr>
            <w:rFonts w:ascii="Times New Roman" w:eastAsia="Times New Roman" w:hAnsi="Times New Roman" w:cs="Times New Roman"/>
            <w:color w:val="111111"/>
            <w:sz w:val="24"/>
            <w:szCs w:val="24"/>
          </w:rPr>
          <w:t xml:space="preserve"> </w:t>
        </w:r>
      </w:hyperlink>
      <w:hyperlink r:id="rId46">
        <w:r w:rsidR="00C225C6">
          <w:rPr>
            <w:rFonts w:ascii="Times New Roman" w:eastAsia="Times New Roman" w:hAnsi="Times New Roman" w:cs="Times New Roman"/>
            <w:color w:val="1155CC"/>
            <w:sz w:val="24"/>
            <w:szCs w:val="24"/>
            <w:u w:val="single"/>
          </w:rPr>
          <w:t>https://ia801307.us.archive.org/16/items/ReportOfTheEducationCommission1964-66D.S.KothariReport/48.Jp-ReportOfTheEducationCommission1964-66d.s.kothari.pdf</w:t>
        </w:r>
      </w:hyperlink>
    </w:p>
    <w:p w14:paraId="39AF2317" w14:textId="21726D23"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t>Secondary Education Commission</w:t>
      </w:r>
      <w:r>
        <w:rPr>
          <w:rFonts w:ascii="Times New Roman" w:eastAsia="Times New Roman" w:hAnsi="Times New Roman" w:cs="Times New Roman"/>
          <w:color w:val="111111"/>
          <w:sz w:val="24"/>
          <w:szCs w:val="24"/>
        </w:rPr>
        <w:t>. (1953). Government of India.</w:t>
      </w:r>
      <w:hyperlink r:id="rId47">
        <w:r w:rsidR="00C225C6">
          <w:rPr>
            <w:rFonts w:ascii="Times New Roman" w:eastAsia="Times New Roman" w:hAnsi="Times New Roman" w:cs="Times New Roman"/>
            <w:color w:val="111111"/>
            <w:sz w:val="24"/>
            <w:szCs w:val="24"/>
          </w:rPr>
          <w:t xml:space="preserve"> </w:t>
        </w:r>
      </w:hyperlink>
      <w:hyperlink r:id="rId48">
        <w:r w:rsidR="00C225C6">
          <w:rPr>
            <w:rFonts w:ascii="Times New Roman" w:eastAsia="Times New Roman" w:hAnsi="Times New Roman" w:cs="Times New Roman"/>
            <w:color w:val="1155CC"/>
            <w:sz w:val="24"/>
            <w:szCs w:val="24"/>
            <w:u w:val="single"/>
          </w:rPr>
          <w:t>https://www.educationforallinindia.com/1953%20Secondary_Education_Commission_Report.pdf</w:t>
        </w:r>
      </w:hyperlink>
    </w:p>
    <w:p w14:paraId="0EE1E91F" w14:textId="77777777" w:rsidR="00C225C6" w:rsidRDefault="00C225C6">
      <w:pPr>
        <w:spacing w:line="360" w:lineRule="auto"/>
        <w:jc w:val="both"/>
        <w:rPr>
          <w:rFonts w:ascii="Times New Roman" w:eastAsia="Times New Roman" w:hAnsi="Times New Roman" w:cs="Times New Roman"/>
          <w:color w:val="111111"/>
          <w:sz w:val="24"/>
          <w:szCs w:val="24"/>
        </w:rPr>
      </w:pPr>
    </w:p>
    <w:sectPr w:rsidR="00C225C6">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37855" w14:textId="77777777" w:rsidR="003A395B" w:rsidRDefault="003A395B" w:rsidP="00CE0A00">
      <w:pPr>
        <w:spacing w:line="240" w:lineRule="auto"/>
      </w:pPr>
      <w:r>
        <w:separator/>
      </w:r>
    </w:p>
  </w:endnote>
  <w:endnote w:type="continuationSeparator" w:id="0">
    <w:p w14:paraId="179F05C5" w14:textId="77777777" w:rsidR="003A395B" w:rsidRDefault="003A395B" w:rsidP="00CE0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9E78EC8D-3BE3-42D7-A881-2EFC12C8CE16}"/>
    <w:embedBold r:id="rId2" w:fontKey="{B222B125-1EE0-4DF3-9350-C29A9E1AB537}"/>
  </w:font>
  <w:font w:name="Cambria">
    <w:panose1 w:val="02040503050406030204"/>
    <w:charset w:val="00"/>
    <w:family w:val="roman"/>
    <w:pitch w:val="variable"/>
    <w:sig w:usb0="E00006FF" w:usb1="420024FF" w:usb2="02000000" w:usb3="00000000" w:csb0="0000019F" w:csb1="00000000"/>
    <w:embedRegular r:id="rId3" w:fontKey="{1CC1E7C1-23EB-4FA2-A00D-B35E7467DF85}"/>
  </w:font>
  <w:font w:name="Calibri">
    <w:panose1 w:val="020F0502020204030204"/>
    <w:charset w:val="00"/>
    <w:family w:val="swiss"/>
    <w:pitch w:val="variable"/>
    <w:sig w:usb0="E4002EFF" w:usb1="C200247B" w:usb2="00000009" w:usb3="00000000" w:csb0="000001FF" w:csb1="00000000"/>
    <w:embedRegular r:id="rId4" w:fontKey="{EE58055B-072A-44FE-A441-9F0A9A6E3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C10F2" w14:textId="77777777" w:rsidR="00E6185C" w:rsidRDefault="00E61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798758"/>
      <w:docPartObj>
        <w:docPartGallery w:val="Page Numbers (Bottom of Page)"/>
        <w:docPartUnique/>
      </w:docPartObj>
    </w:sdtPr>
    <w:sdtEndPr>
      <w:rPr>
        <w:color w:val="7F7F7F" w:themeColor="background1" w:themeShade="7F"/>
        <w:spacing w:val="60"/>
      </w:rPr>
    </w:sdtEndPr>
    <w:sdtContent>
      <w:p w14:paraId="45F0D1B4" w14:textId="1E30F7B0" w:rsidR="00CE0A00" w:rsidRDefault="00CE0A0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8CDDC6" w14:textId="77777777" w:rsidR="00CE0A00" w:rsidRDefault="00CE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AA67" w14:textId="77777777" w:rsidR="00E6185C" w:rsidRDefault="00E61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ADC8D" w14:textId="77777777" w:rsidR="003A395B" w:rsidRDefault="003A395B" w:rsidP="00CE0A00">
      <w:pPr>
        <w:spacing w:line="240" w:lineRule="auto"/>
      </w:pPr>
      <w:r>
        <w:separator/>
      </w:r>
    </w:p>
  </w:footnote>
  <w:footnote w:type="continuationSeparator" w:id="0">
    <w:p w14:paraId="1220B9B6" w14:textId="77777777" w:rsidR="003A395B" w:rsidRDefault="003A395B" w:rsidP="00CE0A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0B4F" w14:textId="208B33EC" w:rsidR="00E6185C" w:rsidRDefault="00000000">
    <w:pPr>
      <w:pStyle w:val="Header"/>
    </w:pPr>
    <w:r>
      <w:rPr>
        <w:noProof/>
      </w:rPr>
      <w:pict w14:anchorId="4CE5A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29"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6E04" w14:textId="6FBC50DD" w:rsidR="00E6185C" w:rsidRDefault="00000000">
    <w:pPr>
      <w:pStyle w:val="Header"/>
    </w:pPr>
    <w:r>
      <w:rPr>
        <w:noProof/>
      </w:rPr>
      <w:pict w14:anchorId="6C2C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30"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4F3C" w14:textId="157E69A9" w:rsidR="00E6185C" w:rsidRDefault="00000000">
    <w:pPr>
      <w:pStyle w:val="Header"/>
    </w:pPr>
    <w:r>
      <w:rPr>
        <w:noProof/>
      </w:rPr>
      <w:pict w14:anchorId="3DE85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28"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138A9"/>
    <w:multiLevelType w:val="multilevel"/>
    <w:tmpl w:val="C7942ABC"/>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A67FBA"/>
    <w:multiLevelType w:val="multilevel"/>
    <w:tmpl w:val="B608C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486A28"/>
    <w:multiLevelType w:val="multilevel"/>
    <w:tmpl w:val="AED00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8621AE"/>
    <w:multiLevelType w:val="multilevel"/>
    <w:tmpl w:val="ACF0E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E3B7DB9"/>
    <w:multiLevelType w:val="multilevel"/>
    <w:tmpl w:val="02EEA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3E4341"/>
    <w:multiLevelType w:val="multilevel"/>
    <w:tmpl w:val="CB784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09813315">
    <w:abstractNumId w:val="1"/>
  </w:num>
  <w:num w:numId="2" w16cid:durableId="744500131">
    <w:abstractNumId w:val="3"/>
  </w:num>
  <w:num w:numId="3" w16cid:durableId="337973883">
    <w:abstractNumId w:val="4"/>
  </w:num>
  <w:num w:numId="4" w16cid:durableId="2059041236">
    <w:abstractNumId w:val="2"/>
  </w:num>
  <w:num w:numId="5" w16cid:durableId="245454541">
    <w:abstractNumId w:val="0"/>
  </w:num>
  <w:num w:numId="6" w16cid:durableId="1084641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5C6"/>
    <w:rsid w:val="00017895"/>
    <w:rsid w:val="000220BA"/>
    <w:rsid w:val="00033144"/>
    <w:rsid w:val="00062BB4"/>
    <w:rsid w:val="000673DC"/>
    <w:rsid w:val="00087985"/>
    <w:rsid w:val="000F1B61"/>
    <w:rsid w:val="00103FEB"/>
    <w:rsid w:val="0010535D"/>
    <w:rsid w:val="003A395B"/>
    <w:rsid w:val="003E6720"/>
    <w:rsid w:val="0043113E"/>
    <w:rsid w:val="0045454F"/>
    <w:rsid w:val="00472711"/>
    <w:rsid w:val="00474C0B"/>
    <w:rsid w:val="00572F96"/>
    <w:rsid w:val="005B49D9"/>
    <w:rsid w:val="00653450"/>
    <w:rsid w:val="00666724"/>
    <w:rsid w:val="00731021"/>
    <w:rsid w:val="00787DF5"/>
    <w:rsid w:val="0081615B"/>
    <w:rsid w:val="008A187F"/>
    <w:rsid w:val="008D153A"/>
    <w:rsid w:val="008F6967"/>
    <w:rsid w:val="009733E7"/>
    <w:rsid w:val="00AF795C"/>
    <w:rsid w:val="00B56B04"/>
    <w:rsid w:val="00C225C6"/>
    <w:rsid w:val="00CE0A00"/>
    <w:rsid w:val="00D93B23"/>
    <w:rsid w:val="00DB6DA8"/>
    <w:rsid w:val="00E6185C"/>
    <w:rsid w:val="00E64934"/>
    <w:rsid w:val="00E742BC"/>
    <w:rsid w:val="00F53C6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BC1CE"/>
  <w15:docId w15:val="{E3AC3365-6E3C-4E19-BACC-D31A5BBA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ListParagraph">
    <w:name w:val="List Paragraph"/>
    <w:basedOn w:val="Normal"/>
    <w:uiPriority w:val="34"/>
    <w:qFormat/>
    <w:rsid w:val="0010535D"/>
    <w:pPr>
      <w:ind w:left="720"/>
      <w:contextualSpacing/>
    </w:pPr>
    <w:rPr>
      <w:rFonts w:cs="Mangal"/>
      <w:szCs w:val="20"/>
    </w:rPr>
  </w:style>
  <w:style w:type="character" w:styleId="Hyperlink">
    <w:name w:val="Hyperlink"/>
    <w:basedOn w:val="DefaultParagraphFont"/>
    <w:uiPriority w:val="99"/>
    <w:unhideWhenUsed/>
    <w:rsid w:val="009733E7"/>
    <w:rPr>
      <w:color w:val="0000FF" w:themeColor="hyperlink"/>
      <w:u w:val="single"/>
    </w:rPr>
  </w:style>
  <w:style w:type="character" w:styleId="UnresolvedMention">
    <w:name w:val="Unresolved Mention"/>
    <w:basedOn w:val="DefaultParagraphFont"/>
    <w:uiPriority w:val="99"/>
    <w:semiHidden/>
    <w:unhideWhenUsed/>
    <w:rsid w:val="009733E7"/>
    <w:rPr>
      <w:color w:val="605E5C"/>
      <w:shd w:val="clear" w:color="auto" w:fill="E1DFDD"/>
    </w:rPr>
  </w:style>
  <w:style w:type="paragraph" w:styleId="Header">
    <w:name w:val="header"/>
    <w:basedOn w:val="Normal"/>
    <w:link w:val="HeaderChar"/>
    <w:uiPriority w:val="99"/>
    <w:unhideWhenUsed/>
    <w:rsid w:val="00CE0A00"/>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CE0A00"/>
    <w:rPr>
      <w:rFonts w:cs="Mangal"/>
      <w:szCs w:val="20"/>
    </w:rPr>
  </w:style>
  <w:style w:type="paragraph" w:styleId="Footer">
    <w:name w:val="footer"/>
    <w:basedOn w:val="Normal"/>
    <w:link w:val="FooterChar"/>
    <w:uiPriority w:val="99"/>
    <w:unhideWhenUsed/>
    <w:rsid w:val="00CE0A00"/>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CE0A00"/>
    <w:rPr>
      <w:rFonts w:cs="Mangal"/>
      <w:szCs w:val="20"/>
    </w:rPr>
  </w:style>
  <w:style w:type="paragraph" w:styleId="NoSpacing">
    <w:name w:val="No Spacing"/>
    <w:uiPriority w:val="1"/>
    <w:qFormat/>
    <w:rsid w:val="008D153A"/>
    <w:pPr>
      <w:spacing w:line="240" w:lineRule="auto"/>
    </w:pPr>
    <w:rPr>
      <w:rFonts w:asciiTheme="minorHAnsi" w:eastAsiaTheme="minorHAnsi" w:hAnsiTheme="minorHAnsi" w:cstheme="minorBidi"/>
      <w:kern w:val="2"/>
      <w:lang w:val="en-US" w:eastAsia="en-US" w:bidi="ar-SA"/>
      <w14:ligatures w14:val="standardContextual"/>
    </w:rPr>
  </w:style>
  <w:style w:type="character" w:styleId="Emphasis">
    <w:name w:val="Emphasis"/>
    <w:basedOn w:val="DefaultParagraphFont"/>
    <w:uiPriority w:val="20"/>
    <w:qFormat/>
    <w:rsid w:val="00017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education.gov.in/sites/upload_files/mhrd/files/NEP_Final_English_0.pdf" TargetMode="External"/><Relationship Id="rId26" Type="http://schemas.openxmlformats.org/officeDocument/2006/relationships/hyperlink" Target="https://www.worldwidejournals.com/paripex/recent_issues_pdf/2016/September/September_2016_1492080118__106.pdf" TargetMode="External"/><Relationship Id="rId39" Type="http://schemas.openxmlformats.org/officeDocument/2006/relationships/hyperlink" Target="https://shodhganga.inflibnet.ac.in/handle/10603/95379" TargetMode="External"/><Relationship Id="rId21" Type="http://schemas.openxmlformats.org/officeDocument/2006/relationships/hyperlink" Target="http://www.ijhssi.org/papers/v5(11)/version-2/C05011021318.pdf" TargetMode="External"/><Relationship Id="rId34" Type="http://schemas.openxmlformats.org/officeDocument/2006/relationships/hyperlink" Target="https://shodhganga.inflibnet.ac.in/handle/10603/67519" TargetMode="External"/><Relationship Id="rId42" Type="http://schemas.openxmlformats.org/officeDocument/2006/relationships/hyperlink" Target="https://ncert.nic.in/pdf/nc-framework/nf2005-english.pdf" TargetMode="External"/><Relationship Id="rId47" Type="http://schemas.openxmlformats.org/officeDocument/2006/relationships/hyperlink" Target="https://www.educationforallinindia.com/1953%20Secondary_Education_Commission_Report.pdf"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5958/2229-4422.2024.00003.8" TargetMode="External"/><Relationship Id="rId29" Type="http://schemas.openxmlformats.org/officeDocument/2006/relationships/hyperlink" Target="https://files.eric.ed.gov/fulltext/ED557153.pdf" TargetMode="External"/><Relationship Id="rId11" Type="http://schemas.openxmlformats.org/officeDocument/2006/relationships/image" Target="media/image5.png"/><Relationship Id="rId24" Type="http://schemas.openxmlformats.org/officeDocument/2006/relationships/hyperlink" Target="http://ndpublisher.in/admin/issues/EQV7N3k.pdf" TargetMode="External"/><Relationship Id="rId32" Type="http://schemas.openxmlformats.org/officeDocument/2006/relationships/hyperlink" Target="http://shodhganga.inflibnet.ac.in/handle/10603/17683" TargetMode="External"/><Relationship Id="rId37" Type="http://schemas.openxmlformats.org/officeDocument/2006/relationships/hyperlink" Target="http://www.imanagerpublications.com/article/1417" TargetMode="External"/><Relationship Id="rId40" Type="http://schemas.openxmlformats.org/officeDocument/2006/relationships/hyperlink" Target="https://shodhganga.inflibnet.ac.in/handle/10603/95379" TargetMode="External"/><Relationship Id="rId45" Type="http://schemas.openxmlformats.org/officeDocument/2006/relationships/hyperlink" Target="https://ia801307.us.archive.org/16/items/ReportOfTheEducationCommission1964-66D.S.KothariReport/48.Jp-ReportOfTheEducationCommission1964-66d.s.kothari.pdf"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ncert.nic.in/publication/journals/pdf_files/IER_Jan_17.pdf" TargetMode="External"/><Relationship Id="rId31" Type="http://schemas.openxmlformats.org/officeDocument/2006/relationships/hyperlink" Target="http://shodhganga.inflibnet.ac.in/handle/10603/17683" TargetMode="External"/><Relationship Id="rId44" Type="http://schemas.openxmlformats.org/officeDocument/2006/relationships/hyperlink" Target="http://shodhganga.inflibnet.ac.in/handle/10603/240882"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ijhssi.org/papers/v5(11)/version-2/C05011021318.pdf" TargetMode="External"/><Relationship Id="rId27" Type="http://schemas.openxmlformats.org/officeDocument/2006/relationships/hyperlink" Target="https://shodhganga.inflibnet.ac.in/handle/10603/64107?mode=simple" TargetMode="External"/><Relationship Id="rId30" Type="http://schemas.openxmlformats.org/officeDocument/2006/relationships/hyperlink" Target="https://files.eric.ed.gov/fulltext/ED557153.pdf" TargetMode="External"/><Relationship Id="rId35" Type="http://schemas.openxmlformats.org/officeDocument/2006/relationships/hyperlink" Target="http://www.ijhssi.org/papers/v2(1)/version-3/i215163.pdf" TargetMode="External"/><Relationship Id="rId43" Type="http://schemas.openxmlformats.org/officeDocument/2006/relationships/hyperlink" Target="http://shodhganga.inflibnet.ac.in/handle/10603/240882" TargetMode="External"/><Relationship Id="rId48" Type="http://schemas.openxmlformats.org/officeDocument/2006/relationships/hyperlink" Target="https://www.educationforallinindia.com/1953%20Secondary_Education_Commission_Report.pdf"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education.gov.in/sites/upload_files/mhrd/files/NEP_Final_English_0.pdf" TargetMode="External"/><Relationship Id="rId25" Type="http://schemas.openxmlformats.org/officeDocument/2006/relationships/hyperlink" Target="https://www.worldwidejournals.com/paripex/recent_issues_pdf/2016/September/September_2016_1492080118__106.pdf" TargetMode="External"/><Relationship Id="rId33" Type="http://schemas.openxmlformats.org/officeDocument/2006/relationships/hyperlink" Target="https://shodhganga.inflibnet.ac.in/handle/10603/67519" TargetMode="External"/><Relationship Id="rId38" Type="http://schemas.openxmlformats.org/officeDocument/2006/relationships/hyperlink" Target="http://www.imanagerpublications.com/article/1417" TargetMode="External"/><Relationship Id="rId46" Type="http://schemas.openxmlformats.org/officeDocument/2006/relationships/hyperlink" Target="https://ia801307.us.archive.org/16/items/ReportOfTheEducationCommission1964-66D.S.KothariReport/48.Jp-ReportOfTheEducationCommission1964-66d.s.kothari.pdf" TargetMode="External"/><Relationship Id="rId20" Type="http://schemas.openxmlformats.org/officeDocument/2006/relationships/hyperlink" Target="http://www.ncert.nic.in/publication/journals/pdf_files/IER_Jan_17.pdf" TargetMode="External"/><Relationship Id="rId41" Type="http://schemas.openxmlformats.org/officeDocument/2006/relationships/hyperlink" Target="https://ncert.nic.in/pdf/nc-framework/nf2005-english.pdf"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7485/IJST/v18i19.583" TargetMode="External"/><Relationship Id="rId23" Type="http://schemas.openxmlformats.org/officeDocument/2006/relationships/hyperlink" Target="http://ndpublisher.in/admin/issues/EQV7N3k.pdf" TargetMode="External"/><Relationship Id="rId28" Type="http://schemas.openxmlformats.org/officeDocument/2006/relationships/hyperlink" Target="https://shodhganga.inflibnet.ac.in/handle/10603/64107?mode=simple" TargetMode="External"/><Relationship Id="rId36" Type="http://schemas.openxmlformats.org/officeDocument/2006/relationships/hyperlink" Target="http://www.ijhssi.org/papers/v2(1)/version-3/i215163.pdf"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20</Pages>
  <Words>5894</Words>
  <Characters>33598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Rahul Kumar Sahu</cp:lastModifiedBy>
  <cp:revision>15</cp:revision>
  <dcterms:created xsi:type="dcterms:W3CDTF">2026-03-19T08:25:00Z</dcterms:created>
  <dcterms:modified xsi:type="dcterms:W3CDTF">2026-03-23T09:56:00Z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d02bc841-6353-46b7-ab78-532ebfcb8804</vt:lpwstr>
  </property>
</Properties>
</file>