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02F5A" w14:textId="77777777" w:rsidR="00754C9A" w:rsidRDefault="00754C9A" w:rsidP="00441B6F">
      <w:pPr>
        <w:pStyle w:val="Title"/>
        <w:spacing w:after="0"/>
        <w:jc w:val="both"/>
        <w:rPr>
          <w:rFonts w:ascii="Arial" w:hAnsi="Arial" w:cs="Arial"/>
        </w:rPr>
      </w:pPr>
    </w:p>
    <w:p w14:paraId="18358051" w14:textId="55D01905" w:rsidR="00163BC4" w:rsidRDefault="00086A01" w:rsidP="00086A01">
      <w:pPr>
        <w:pStyle w:val="Author"/>
        <w:spacing w:line="240" w:lineRule="auto"/>
        <w:rPr>
          <w:rFonts w:ascii="Arial" w:hAnsi="Arial" w:cs="Arial"/>
          <w:bCs/>
          <w:iCs/>
          <w:kern w:val="28"/>
          <w:sz w:val="36"/>
        </w:rPr>
      </w:pPr>
      <w:r w:rsidRPr="00086A01">
        <w:rPr>
          <w:rFonts w:ascii="Arial" w:hAnsi="Arial" w:cs="Arial"/>
          <w:bCs/>
          <w:iCs/>
          <w:kern w:val="28"/>
          <w:sz w:val="36"/>
        </w:rPr>
        <w:t xml:space="preserve">Enhancing Clinical Competency Through Simulation-Based Nursing Education: A </w:t>
      </w:r>
      <w:r w:rsidR="00B87254" w:rsidRPr="00B87254">
        <w:rPr>
          <w:rFonts w:ascii="Arial" w:hAnsi="Arial" w:cs="Arial"/>
          <w:bCs/>
          <w:iCs/>
          <w:kern w:val="28"/>
          <w:sz w:val="36"/>
        </w:rPr>
        <w:t>Narrative</w:t>
      </w:r>
      <w:r w:rsidR="00B87254">
        <w:rPr>
          <w:rFonts w:ascii="Arial" w:hAnsi="Arial" w:cs="Arial"/>
          <w:bCs/>
          <w:iCs/>
          <w:kern w:val="28"/>
          <w:sz w:val="36"/>
        </w:rPr>
        <w:t xml:space="preserve"> </w:t>
      </w:r>
      <w:r w:rsidRPr="00086A01">
        <w:rPr>
          <w:rFonts w:ascii="Arial" w:hAnsi="Arial" w:cs="Arial"/>
          <w:bCs/>
          <w:iCs/>
          <w:kern w:val="28"/>
          <w:sz w:val="36"/>
        </w:rPr>
        <w:t>Literature Review</w:t>
      </w:r>
    </w:p>
    <w:p w14:paraId="2B5CB22E" w14:textId="77777777" w:rsidR="002B2962" w:rsidRPr="00163BC4" w:rsidRDefault="002B2962" w:rsidP="00086A01">
      <w:pPr>
        <w:pStyle w:val="Author"/>
        <w:spacing w:line="240" w:lineRule="auto"/>
        <w:rPr>
          <w:rFonts w:ascii="Arial" w:hAnsi="Arial" w:cs="Arial"/>
          <w:bCs/>
          <w:iCs/>
          <w:kern w:val="28"/>
          <w:sz w:val="36"/>
        </w:rPr>
      </w:pPr>
    </w:p>
    <w:p w14:paraId="6AC86EFC" w14:textId="61F23741" w:rsidR="00B01FCD" w:rsidRPr="00FB3A86" w:rsidRDefault="00FB3A86" w:rsidP="00441B6F">
      <w:pPr>
        <w:pStyle w:val="Copyright"/>
        <w:spacing w:after="0" w:line="240" w:lineRule="auto"/>
        <w:jc w:val="both"/>
        <w:rPr>
          <w:rFonts w:ascii="Arial" w:hAnsi="Arial" w:cs="Arial"/>
        </w:rPr>
        <w:sectPr w:rsidR="00B01FCD" w:rsidRPr="00FB3A86" w:rsidSect="001A28B1">
          <w:headerReference w:type="first" r:id="rId8"/>
          <w:footerReference w:type="first" r:id="rId9"/>
          <w:pgSz w:w="12240" w:h="15840" w:code="1"/>
          <w:pgMar w:top="1440" w:right="2016" w:bottom="2016" w:left="2016" w:header="720" w:footer="1296" w:gutter="0"/>
          <w:cols w:space="720"/>
          <w:docGrid w:linePitch="272"/>
        </w:sectPr>
      </w:pPr>
      <w:bookmarkStart w:id="0" w:name="_GoBack"/>
      <w:bookmarkEnd w:id="0"/>
      <w:r>
        <w:rPr>
          <w:rFonts w:ascii="Arial" w:hAnsi="Arial" w:cs="Arial"/>
        </w:rPr>
        <w:t>.</w:t>
      </w:r>
    </w:p>
    <w:p w14:paraId="2656A12D" w14:textId="6487815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71F6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9E1770C" w14:textId="77777777" w:rsidTr="001E44FE">
        <w:tc>
          <w:tcPr>
            <w:tcW w:w="9576" w:type="dxa"/>
            <w:shd w:val="clear" w:color="auto" w:fill="F2F2F2"/>
          </w:tcPr>
          <w:p w14:paraId="0E13CF31" w14:textId="77777777" w:rsidR="00601316" w:rsidRPr="00601316" w:rsidRDefault="00601316" w:rsidP="00601316">
            <w:pPr>
              <w:pStyle w:val="Body"/>
              <w:spacing w:after="0"/>
              <w:rPr>
                <w:rFonts w:ascii="Arial" w:eastAsia="Calibri" w:hAnsi="Arial" w:cs="Arial"/>
                <w:szCs w:val="22"/>
                <w:lang w:val="en-PH"/>
              </w:rPr>
            </w:pPr>
            <w:r w:rsidRPr="00601316">
              <w:rPr>
                <w:rFonts w:ascii="Arial" w:eastAsia="Calibri" w:hAnsi="Arial" w:cs="Arial"/>
                <w:szCs w:val="22"/>
                <w:lang w:val="en-PH"/>
              </w:rPr>
              <w:t>Simulation-based nursing education has gained increasing recognition as an effective strategy to enhance clinical competency amid concerns regarding limited clinical exposure and patient safety in traditional training models. This narrative literature review synthesizes empirical and meta-analytic evidence on the effectiveness of simulation-based education in improving psychomotor skills, clinical judgment, critical thinking, and interprofessional collaboration among nursing students. A total of 20 peer-reviewed studies, including randomized controlled trials, quasi-experimental studies, systematic reviews, and meta-analyses published between 2010 and 2023, were analyzed.</w:t>
            </w:r>
          </w:p>
          <w:p w14:paraId="4C2C0EDB" w14:textId="77777777" w:rsidR="00601316" w:rsidRPr="00601316" w:rsidRDefault="00601316" w:rsidP="00601316">
            <w:pPr>
              <w:pStyle w:val="Body"/>
              <w:spacing w:after="0"/>
              <w:rPr>
                <w:rFonts w:ascii="Arial" w:eastAsia="Calibri" w:hAnsi="Arial" w:cs="Arial"/>
                <w:szCs w:val="22"/>
                <w:lang w:val="en-PH"/>
              </w:rPr>
            </w:pPr>
          </w:p>
          <w:p w14:paraId="29004758" w14:textId="77777777" w:rsidR="00601316" w:rsidRPr="00601316" w:rsidRDefault="00601316" w:rsidP="00601316">
            <w:pPr>
              <w:pStyle w:val="Body"/>
              <w:spacing w:after="0"/>
              <w:rPr>
                <w:rFonts w:ascii="Arial" w:eastAsia="Calibri" w:hAnsi="Arial" w:cs="Arial"/>
                <w:szCs w:val="22"/>
                <w:lang w:val="en-PH"/>
              </w:rPr>
            </w:pPr>
            <w:r w:rsidRPr="00601316">
              <w:rPr>
                <w:rFonts w:ascii="Arial" w:eastAsia="Calibri" w:hAnsi="Arial" w:cs="Arial"/>
                <w:szCs w:val="22"/>
                <w:lang w:val="en-PH"/>
              </w:rPr>
              <w:t>Findings consistently indicate that simulation-based education significantly improves clinical performance outcomes compared with conventional lecture-based instruction. Structured simulation design, including guided debriefing and alignment with competency-based frameworks, contributes to enhanced learning outcomes. Evidence from large-scale studies supports the substitution of a portion of clinical hours with simulation without compromising licensure performance or readiness for practice. Improvements were observed across multiple domains, including psychomotor skills, clinical reasoning, self-confidence, and teamwork competencies essential for patient safety.</w:t>
            </w:r>
          </w:p>
          <w:p w14:paraId="0B88FAA2" w14:textId="77777777" w:rsidR="00601316" w:rsidRPr="00601316" w:rsidRDefault="00601316" w:rsidP="00601316">
            <w:pPr>
              <w:pStyle w:val="Body"/>
              <w:spacing w:after="0"/>
              <w:rPr>
                <w:rFonts w:ascii="Arial" w:eastAsia="Calibri" w:hAnsi="Arial" w:cs="Arial"/>
                <w:szCs w:val="22"/>
                <w:lang w:val="en-PH"/>
              </w:rPr>
            </w:pPr>
          </w:p>
          <w:p w14:paraId="0ABDCBD2" w14:textId="77777777" w:rsidR="00601316" w:rsidRPr="00601316" w:rsidRDefault="00601316" w:rsidP="00601316">
            <w:pPr>
              <w:pStyle w:val="Body"/>
              <w:spacing w:after="0"/>
              <w:rPr>
                <w:rFonts w:ascii="Arial" w:eastAsia="Calibri" w:hAnsi="Arial" w:cs="Arial"/>
                <w:szCs w:val="22"/>
                <w:lang w:val="en-PH"/>
              </w:rPr>
            </w:pPr>
            <w:r w:rsidRPr="00601316">
              <w:rPr>
                <w:rFonts w:ascii="Arial" w:eastAsia="Calibri" w:hAnsi="Arial" w:cs="Arial"/>
                <w:szCs w:val="22"/>
                <w:lang w:val="en-PH"/>
              </w:rPr>
              <w:t>However, several implementation challenges persist, particularly in relation to financial constraints, variability in faculty preparedness, and lack of standardized evaluation tools. Emerging approaches such as virtual and technology-enhanced simulation provide opportunities to expand access while maintaining educational effectiveness. Overall, simulation-based nursing education represents a theory-driven and evidence-supported approach for developing multidimensional clinical competency. Sustained impact requires systematic curricular integration, institutional support, and continuous faculty development to ensure the preparation of safe, competent, and practice-ready nursing professionals.</w:t>
            </w:r>
          </w:p>
          <w:p w14:paraId="5D6D018D" w14:textId="2D5E19E2" w:rsidR="00505F06" w:rsidRPr="00EA09FC" w:rsidRDefault="00505F06" w:rsidP="00441B6F">
            <w:pPr>
              <w:pStyle w:val="Body"/>
              <w:spacing w:after="0"/>
              <w:rPr>
                <w:rFonts w:ascii="Arial" w:eastAsia="Calibri" w:hAnsi="Arial" w:cs="Arial"/>
                <w:szCs w:val="22"/>
                <w:lang w:val="en-PH"/>
              </w:rPr>
            </w:pPr>
          </w:p>
        </w:tc>
      </w:tr>
    </w:tbl>
    <w:p w14:paraId="19A0CA0C" w14:textId="77777777" w:rsidR="00636EB2" w:rsidRDefault="00636EB2" w:rsidP="00441B6F">
      <w:pPr>
        <w:pStyle w:val="Body"/>
        <w:spacing w:after="0"/>
        <w:rPr>
          <w:rFonts w:ascii="Arial" w:hAnsi="Arial" w:cs="Arial"/>
          <w:i/>
        </w:rPr>
      </w:pPr>
    </w:p>
    <w:p w14:paraId="247734B4" w14:textId="66D0857A" w:rsidR="00790ADA" w:rsidRDefault="00A24E7E" w:rsidP="00441B6F">
      <w:pPr>
        <w:pStyle w:val="Body"/>
        <w:spacing w:after="0"/>
        <w:rPr>
          <w:rFonts w:ascii="Arial" w:hAnsi="Arial" w:cs="Arial"/>
          <w:i/>
        </w:rPr>
      </w:pPr>
      <w:r>
        <w:rPr>
          <w:rFonts w:ascii="Arial" w:hAnsi="Arial" w:cs="Arial"/>
          <w:i/>
        </w:rPr>
        <w:t>Keywords</w:t>
      </w:r>
      <w:r w:rsidR="00EA09FC">
        <w:t xml:space="preserve">: </w:t>
      </w:r>
      <w:r w:rsidR="00EA09FC" w:rsidRPr="00EA09FC">
        <w:rPr>
          <w:rFonts w:ascii="Arial" w:hAnsi="Arial" w:cs="Arial"/>
          <w:i/>
        </w:rPr>
        <w:t>simulation-based nursing education; clinical competency; high-fidelity simulation; clinical judgment; nursing education; patient safety; interprofessional collaboration; virtual simulation.</w:t>
      </w:r>
    </w:p>
    <w:p w14:paraId="76F5867F" w14:textId="77777777" w:rsidR="0024282C" w:rsidRDefault="0024282C" w:rsidP="00441B6F">
      <w:pPr>
        <w:pStyle w:val="Body"/>
        <w:spacing w:after="0"/>
        <w:rPr>
          <w:rFonts w:ascii="Arial" w:hAnsi="Arial" w:cs="Arial"/>
          <w:i/>
          <w:sz w:val="18"/>
        </w:rPr>
      </w:pPr>
    </w:p>
    <w:p w14:paraId="4435AA5A" w14:textId="77777777" w:rsidR="00505F06" w:rsidRPr="00A24E7E" w:rsidRDefault="00505F06" w:rsidP="00441B6F">
      <w:pPr>
        <w:pStyle w:val="Body"/>
        <w:spacing w:after="0"/>
        <w:rPr>
          <w:rFonts w:ascii="Arial" w:hAnsi="Arial" w:cs="Arial"/>
          <w:i/>
        </w:rPr>
      </w:pPr>
    </w:p>
    <w:p w14:paraId="59D50E0B" w14:textId="0014C6F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88A38C" w14:textId="77777777" w:rsidR="00790ADA" w:rsidRPr="00FB3A86" w:rsidRDefault="00790ADA" w:rsidP="00441B6F">
      <w:pPr>
        <w:pStyle w:val="AbstHead"/>
        <w:spacing w:after="0"/>
        <w:jc w:val="both"/>
        <w:rPr>
          <w:rFonts w:ascii="Arial" w:hAnsi="Arial" w:cs="Arial"/>
        </w:rPr>
      </w:pPr>
    </w:p>
    <w:p w14:paraId="740C3D7C" w14:textId="77777777" w:rsidR="00086A01" w:rsidRDefault="00086A01" w:rsidP="00086A01">
      <w:pPr>
        <w:pStyle w:val="Body"/>
        <w:spacing w:after="0"/>
        <w:rPr>
          <w:rFonts w:ascii="Arial" w:hAnsi="Arial" w:cs="Arial"/>
          <w:lang w:val="en-PH"/>
        </w:rPr>
      </w:pPr>
      <w:r w:rsidRPr="00086A01">
        <w:rPr>
          <w:rFonts w:ascii="Arial" w:hAnsi="Arial" w:cs="Arial"/>
          <w:lang w:val="en-PH"/>
        </w:rPr>
        <w:t xml:space="preserve">Nursing education plays a foundational role in preparing a competent healthcare workforce capable of responding to increasingly complex patient needs. The global healthcare environment has evolved significantly due to technological advancements, demographic shifts, and the growing burden of chronic and acute conditions. As a result, nurses are expected to demonstrate high levels of clinical competence, critical thinking, rapid decision-making, and effective communication in high-risk environments. Clinical competency, </w:t>
      </w:r>
      <w:r w:rsidRPr="00086A01">
        <w:rPr>
          <w:rFonts w:ascii="Arial" w:hAnsi="Arial" w:cs="Arial"/>
          <w:lang w:val="en-PH"/>
        </w:rPr>
        <w:lastRenderedPageBreak/>
        <w:t>defined as the integration of knowledge, psychomotor skills, clinical judgment, and professional attitudes in patient care, is central to safe and effective nursing practice. However, persistent concerns remain regarding the adequacy of traditional clinical education models in preparing students for real-world healthcare demands.</w:t>
      </w:r>
    </w:p>
    <w:p w14:paraId="231042AA" w14:textId="77777777" w:rsidR="00086A01" w:rsidRPr="00086A01" w:rsidRDefault="00086A01" w:rsidP="00086A01">
      <w:pPr>
        <w:pStyle w:val="Body"/>
        <w:spacing w:after="0"/>
        <w:rPr>
          <w:rFonts w:ascii="Arial" w:hAnsi="Arial" w:cs="Arial"/>
          <w:lang w:val="en-PH"/>
        </w:rPr>
      </w:pPr>
    </w:p>
    <w:p w14:paraId="149FAEBE" w14:textId="77777777" w:rsidR="00086A01" w:rsidRDefault="00086A01" w:rsidP="00086A01">
      <w:pPr>
        <w:pStyle w:val="Body"/>
        <w:spacing w:after="0"/>
        <w:rPr>
          <w:rFonts w:ascii="Arial" w:hAnsi="Arial" w:cs="Arial"/>
          <w:lang w:val="en-PH"/>
        </w:rPr>
      </w:pPr>
      <w:r w:rsidRPr="00086A01">
        <w:rPr>
          <w:rFonts w:ascii="Arial" w:hAnsi="Arial" w:cs="Arial"/>
          <w:lang w:val="en-PH"/>
        </w:rPr>
        <w:t>Historically, nursing education has relied heavily on clinical placements within hospital settings to facilitate experiential learning. While clinical exposure remains essential, several structural and systemic challenges have limited its effectiveness. Increasing student enrollment, reduced availability of clinical sites, patient safety regulations, and heightened supervision requirements have constrained opportunities for direct hands-on practice. Furthermore, the unpredictability of clinical cases restricts students’ exposure to high-risk, low-frequency events such as cardiac arrest, medication errors, and emergency interventions. These limitations have raised concerns about the preparedness of new graduates and their transition into professional practice.</w:t>
      </w:r>
    </w:p>
    <w:p w14:paraId="6BB7FC98" w14:textId="77777777" w:rsidR="00086A01" w:rsidRPr="00086A01" w:rsidRDefault="00086A01" w:rsidP="00086A01">
      <w:pPr>
        <w:pStyle w:val="Body"/>
        <w:spacing w:after="0"/>
        <w:rPr>
          <w:rFonts w:ascii="Arial" w:hAnsi="Arial" w:cs="Arial"/>
          <w:lang w:val="en-PH"/>
        </w:rPr>
      </w:pPr>
    </w:p>
    <w:p w14:paraId="4CFF69B1" w14:textId="77777777" w:rsidR="00086A01" w:rsidRDefault="00086A01" w:rsidP="00086A01">
      <w:pPr>
        <w:pStyle w:val="Body"/>
        <w:spacing w:after="0"/>
        <w:rPr>
          <w:rFonts w:ascii="Arial" w:hAnsi="Arial" w:cs="Arial"/>
          <w:lang w:val="en-PH"/>
        </w:rPr>
      </w:pPr>
      <w:r w:rsidRPr="00086A01">
        <w:rPr>
          <w:rFonts w:ascii="Arial" w:hAnsi="Arial" w:cs="Arial"/>
          <w:lang w:val="en-PH"/>
        </w:rPr>
        <w:t>In response to these challenges, simulation-based nursing education has emerged as a transformative pedagogical strategy. Simulation involves the use of high-fidelity mannequins, standardized patients, virtual environments, and scenario-based exercises designed to replicate real clinical situations in a controlled and safe learning environment. The National Council of State Boards of Nursing (NCSBN) landmark simulation study demonstrated that up to 50% of traditional clinical hours could be effectively replaced by high-quality simulation without compromising educational outcomes (Hayden et al., 2014). This finding significantly influenced curriculum reforms worldwide and positioned simulation as a credible alternative and supplement to clinical placements.</w:t>
      </w:r>
    </w:p>
    <w:p w14:paraId="2E673E9D" w14:textId="77777777" w:rsidR="00086A01" w:rsidRPr="00086A01" w:rsidRDefault="00086A01" w:rsidP="00086A01">
      <w:pPr>
        <w:pStyle w:val="Body"/>
        <w:spacing w:after="0"/>
        <w:rPr>
          <w:rFonts w:ascii="Arial" w:hAnsi="Arial" w:cs="Arial"/>
          <w:lang w:val="en-PH"/>
        </w:rPr>
      </w:pPr>
    </w:p>
    <w:p w14:paraId="7D868DC1" w14:textId="77777777" w:rsidR="00086A01" w:rsidRDefault="00086A01" w:rsidP="00086A01">
      <w:pPr>
        <w:pStyle w:val="Body"/>
        <w:spacing w:after="0"/>
        <w:rPr>
          <w:rFonts w:ascii="Arial" w:hAnsi="Arial" w:cs="Arial"/>
          <w:lang w:val="en-PH"/>
        </w:rPr>
      </w:pPr>
      <w:r w:rsidRPr="00086A01">
        <w:rPr>
          <w:rFonts w:ascii="Arial" w:hAnsi="Arial" w:cs="Arial"/>
          <w:lang w:val="en-PH"/>
        </w:rPr>
        <w:t>Beyond serving as a substitute for clinical hours, simulation-based learning aligns with established educational theories, particularly experiential learning theory and competency-based education frameworks. Experiential learning emphasizes active engagement, reflection, conceptualization, and application—processes that are central to simulation design and debriefing practices. The International Nursing Association for Clinical Simulation and Learning (INACSL) has further strengthened the field through the development of evidence-based standards of best practice that guide simulation implementation, facilitation, and evaluation (INACSL Standards Committee, 2021). These standards underscore the importance of structured debriefing, clearly defined learning objectives, and validated assessment tools in optimizing learning outcomes.</w:t>
      </w:r>
    </w:p>
    <w:p w14:paraId="4430B6F0" w14:textId="77777777" w:rsidR="00086A01" w:rsidRPr="00086A01" w:rsidRDefault="00086A01" w:rsidP="00086A01">
      <w:pPr>
        <w:pStyle w:val="Body"/>
        <w:spacing w:after="0"/>
        <w:rPr>
          <w:rFonts w:ascii="Arial" w:hAnsi="Arial" w:cs="Arial"/>
          <w:lang w:val="en-PH"/>
        </w:rPr>
      </w:pPr>
    </w:p>
    <w:p w14:paraId="2DF918E1" w14:textId="77777777" w:rsidR="00086A01" w:rsidRDefault="00086A01" w:rsidP="00086A01">
      <w:pPr>
        <w:pStyle w:val="Body"/>
        <w:spacing w:after="0"/>
        <w:rPr>
          <w:rFonts w:ascii="Arial" w:hAnsi="Arial" w:cs="Arial"/>
          <w:lang w:val="en-PH"/>
        </w:rPr>
      </w:pPr>
      <w:r w:rsidRPr="00086A01">
        <w:rPr>
          <w:rFonts w:ascii="Arial" w:hAnsi="Arial" w:cs="Arial"/>
          <w:lang w:val="en-PH"/>
        </w:rPr>
        <w:t>Empirical evidence increasingly supports the effectiveness of simulation-based nursing education in enhancing clinical competency. Multiple meta-analyses report statistically significant improvements in psychomotor performance, clinical reasoning, and learner confidence following simulation exposure (</w:t>
      </w:r>
      <w:proofErr w:type="gramStart"/>
      <w:r w:rsidRPr="00086A01">
        <w:rPr>
          <w:rFonts w:ascii="Arial" w:hAnsi="Arial" w:cs="Arial"/>
          <w:lang w:val="en-PH"/>
        </w:rPr>
        <w:t>Cant</w:t>
      </w:r>
      <w:proofErr w:type="gramEnd"/>
      <w:r w:rsidRPr="00086A01">
        <w:rPr>
          <w:rFonts w:ascii="Arial" w:hAnsi="Arial" w:cs="Arial"/>
          <w:lang w:val="en-PH"/>
        </w:rPr>
        <w:t xml:space="preserve"> &amp; Cooper, 2017; Shin et al., 2015). High-fidelity simulation has been shown to enhance students’ ability to recognize patient deterioration, administer medications accurately, and execute emergency interventions. Moreover, structured debriefing methods are associated with improved knowledge retention and deeper clinical judgment development (Lee et al., 2016). These findings suggest that simulation not only improves technical skills but also strengthens cognitive and affective dimensions of competence.</w:t>
      </w:r>
    </w:p>
    <w:p w14:paraId="0815F291" w14:textId="77777777" w:rsidR="00086A01" w:rsidRPr="00086A01" w:rsidRDefault="00086A01" w:rsidP="00086A01">
      <w:pPr>
        <w:pStyle w:val="Body"/>
        <w:spacing w:after="0"/>
        <w:rPr>
          <w:rFonts w:ascii="Arial" w:hAnsi="Arial" w:cs="Arial"/>
          <w:lang w:val="en-PH"/>
        </w:rPr>
      </w:pPr>
    </w:p>
    <w:p w14:paraId="483C3BA4" w14:textId="77777777" w:rsidR="00086A01" w:rsidRDefault="00086A01" w:rsidP="00086A01">
      <w:pPr>
        <w:pStyle w:val="Body"/>
        <w:spacing w:after="0"/>
        <w:rPr>
          <w:rFonts w:ascii="Arial" w:hAnsi="Arial" w:cs="Arial"/>
          <w:lang w:val="en-PH"/>
        </w:rPr>
      </w:pPr>
      <w:r w:rsidRPr="00086A01">
        <w:rPr>
          <w:rFonts w:ascii="Arial" w:hAnsi="Arial" w:cs="Arial"/>
          <w:lang w:val="en-PH"/>
        </w:rPr>
        <w:t xml:space="preserve">The integration of emerging technologies such as virtual reality and digital simulation platforms has further expanded the scope of simulation-based education. Recent meta-analyses indicate that virtual simulation can enhance knowledge acquisition and clinical reasoning, particularly in situations where access to physical simulation laboratories is limited (Chen et al., 2020; Liu et al., 2023). These innovations are especially relevant in the context of global disruptions, including pandemics, that restrict traditional face-to-face </w:t>
      </w:r>
      <w:r w:rsidRPr="00086A01">
        <w:rPr>
          <w:rFonts w:ascii="Arial" w:hAnsi="Arial" w:cs="Arial"/>
          <w:lang w:val="en-PH"/>
        </w:rPr>
        <w:lastRenderedPageBreak/>
        <w:t>training. However, despite promising outcomes, concerns persist regarding cost, faculty preparation, technological infrastructure, and the standardization of competency assessment across institutions.</w:t>
      </w:r>
    </w:p>
    <w:p w14:paraId="30D89ECB" w14:textId="77777777" w:rsidR="00086A01" w:rsidRPr="00086A01" w:rsidRDefault="00086A01" w:rsidP="00086A01">
      <w:pPr>
        <w:pStyle w:val="Body"/>
        <w:spacing w:after="0"/>
        <w:rPr>
          <w:rFonts w:ascii="Arial" w:hAnsi="Arial" w:cs="Arial"/>
          <w:lang w:val="en-PH"/>
        </w:rPr>
      </w:pPr>
    </w:p>
    <w:p w14:paraId="49C8DC7E" w14:textId="77777777" w:rsidR="00086A01" w:rsidRDefault="00086A01" w:rsidP="00086A01">
      <w:pPr>
        <w:pStyle w:val="Body"/>
        <w:spacing w:after="0"/>
        <w:rPr>
          <w:rFonts w:ascii="Arial" w:hAnsi="Arial" w:cs="Arial"/>
          <w:lang w:val="en-PH"/>
        </w:rPr>
      </w:pPr>
      <w:r w:rsidRPr="00086A01">
        <w:rPr>
          <w:rFonts w:ascii="Arial" w:hAnsi="Arial" w:cs="Arial"/>
          <w:lang w:val="en-PH"/>
        </w:rPr>
        <w:t>Although substantial research has examined various dimensions of simulation-based nursing education, findings remain dispersed across studies focusing on specific outcomes such as confidence, skill acquisition, or technology integration. There is a need for a comprehensive synthesis that consolidates theoretical foundations, empirical evidence on competency development, patient safety implications, and implementation challenges. Such synthesis is essential for informing curriculum development, faculty training, and policy decisions in nursing education.</w:t>
      </w:r>
    </w:p>
    <w:p w14:paraId="0E1E5351" w14:textId="77777777" w:rsidR="00086A01" w:rsidRPr="00086A01" w:rsidRDefault="00086A01" w:rsidP="00086A01">
      <w:pPr>
        <w:pStyle w:val="Body"/>
        <w:spacing w:after="0"/>
        <w:rPr>
          <w:rFonts w:ascii="Arial" w:hAnsi="Arial" w:cs="Arial"/>
          <w:lang w:val="en-PH"/>
        </w:rPr>
      </w:pPr>
    </w:p>
    <w:p w14:paraId="39BFA66A" w14:textId="77777777" w:rsidR="00086A01" w:rsidRDefault="00086A01" w:rsidP="00086A01">
      <w:pPr>
        <w:pStyle w:val="Body"/>
        <w:spacing w:after="0"/>
        <w:rPr>
          <w:rFonts w:ascii="Arial" w:hAnsi="Arial" w:cs="Arial"/>
          <w:lang w:val="en-PH"/>
        </w:rPr>
      </w:pPr>
      <w:r w:rsidRPr="00086A01">
        <w:rPr>
          <w:rFonts w:ascii="Arial" w:hAnsi="Arial" w:cs="Arial"/>
          <w:lang w:val="en-PH"/>
        </w:rPr>
        <w:t>Therefore, this literature review aims to synthesize existing evidence on the impact of simulation-based nursing education on clinical competency development. Specifically, the review examines (1) theoretical underpinnings of simulation-based learning, (2) effects on psychomotor skills and clinical performance, (3) influence on clinical judgment and decision-making, (4) contributions to patient safety and teamwork, and (5) implementation challenges and future directions. By integrating these domains, this review seeks to provide a comprehensive understanding of how simulation-based strategies can enhance the preparation of competent and practice-ready nurses in contemporary healthcare systems.</w:t>
      </w:r>
    </w:p>
    <w:p w14:paraId="3428EF26" w14:textId="77777777" w:rsidR="00086A01" w:rsidRPr="00086A01" w:rsidRDefault="00086A01" w:rsidP="00086A01">
      <w:pPr>
        <w:pStyle w:val="Body"/>
        <w:spacing w:after="0"/>
        <w:rPr>
          <w:rFonts w:ascii="Arial" w:hAnsi="Arial" w:cs="Arial"/>
          <w:lang w:val="en-PH"/>
        </w:rPr>
      </w:pPr>
    </w:p>
    <w:p w14:paraId="4E6106D1" w14:textId="4A32839A" w:rsidR="00086A01" w:rsidRDefault="00086A01" w:rsidP="00086A01">
      <w:pPr>
        <w:pStyle w:val="Body"/>
        <w:numPr>
          <w:ilvl w:val="1"/>
          <w:numId w:val="31"/>
        </w:numPr>
        <w:spacing w:after="0"/>
        <w:rPr>
          <w:rFonts w:ascii="Arial" w:hAnsi="Arial" w:cs="Arial"/>
          <w:b/>
          <w:bCs/>
          <w:lang w:val="en-PH"/>
        </w:rPr>
      </w:pPr>
      <w:r w:rsidRPr="00086A01">
        <w:rPr>
          <w:rFonts w:ascii="Arial" w:hAnsi="Arial" w:cs="Arial"/>
          <w:b/>
          <w:bCs/>
          <w:lang w:val="en-PH"/>
        </w:rPr>
        <w:t>Conceptual Framework of Simulation-Based Nursing Education</w:t>
      </w:r>
    </w:p>
    <w:p w14:paraId="2C01554F" w14:textId="77777777" w:rsidR="00086A01" w:rsidRPr="00086A01" w:rsidRDefault="00086A01" w:rsidP="00086A01">
      <w:pPr>
        <w:pStyle w:val="Body"/>
        <w:spacing w:after="0"/>
        <w:ind w:left="360"/>
        <w:rPr>
          <w:rFonts w:ascii="Arial" w:hAnsi="Arial" w:cs="Arial"/>
          <w:b/>
          <w:bCs/>
          <w:lang w:val="en-PH"/>
        </w:rPr>
      </w:pPr>
    </w:p>
    <w:p w14:paraId="7B4F6214" w14:textId="77777777" w:rsidR="00086A01" w:rsidRDefault="00086A01" w:rsidP="00086A01">
      <w:pPr>
        <w:pStyle w:val="Body"/>
        <w:spacing w:after="0"/>
        <w:rPr>
          <w:rFonts w:ascii="Arial" w:hAnsi="Arial" w:cs="Arial"/>
          <w:lang w:val="en-PH"/>
        </w:rPr>
      </w:pPr>
      <w:r w:rsidRPr="00086A01">
        <w:rPr>
          <w:rFonts w:ascii="Arial" w:hAnsi="Arial" w:cs="Arial"/>
          <w:lang w:val="en-PH"/>
        </w:rPr>
        <w:t>Simulation-based nursing education represents a transformative pedagogical approach designed to bridge the gap between theoretical knowledge and clinical practice. It provides structured, immersive learning environments where nursing students can engage in realistic patient-care scenarios without compromising patient safety. Unlike traditional apprenticeship models that rely solely on unpredictable clinical exposure, simulation creates controlled opportunities for deliberate practice, error correction, and reflective learning. The conceptual foundation of simulation-based education is grounded in experiential learning theory, competency-based education frameworks, and constructivist learning principles, all of which emphasize active participation, reflection, and progressive skill acquisition.</w:t>
      </w:r>
    </w:p>
    <w:p w14:paraId="4B0164B2" w14:textId="77777777" w:rsidR="00086A01" w:rsidRPr="00086A01" w:rsidRDefault="00086A01" w:rsidP="00086A01">
      <w:pPr>
        <w:pStyle w:val="Body"/>
        <w:spacing w:after="0"/>
        <w:rPr>
          <w:rFonts w:ascii="Arial" w:hAnsi="Arial" w:cs="Arial"/>
          <w:lang w:val="en-PH"/>
        </w:rPr>
      </w:pPr>
    </w:p>
    <w:p w14:paraId="2F729785" w14:textId="77777777" w:rsidR="00086A01" w:rsidRDefault="00086A01" w:rsidP="00086A01">
      <w:pPr>
        <w:pStyle w:val="Body"/>
        <w:spacing w:after="0"/>
        <w:rPr>
          <w:rFonts w:ascii="Arial" w:hAnsi="Arial" w:cs="Arial"/>
          <w:lang w:val="en-PH"/>
        </w:rPr>
      </w:pPr>
      <w:r w:rsidRPr="00086A01">
        <w:rPr>
          <w:rFonts w:ascii="Arial" w:hAnsi="Arial" w:cs="Arial"/>
          <w:lang w:val="en-PH"/>
        </w:rPr>
        <w:t>Experiential learning theory posits that meaningful learning occurs through concrete experience, reflective observation, abstract conceptualization, and active experimentation. Simulation mirrors this cycle by immersing learners in clinical scenarios, followed by structured debriefing sessions that promote reflection and conceptual integration. Debriefing, in particular, is recognized as a critical component of simulation effectiveness, as it facilitates cognitive processing and reinforces clinical reasoning. Within nursing education, this reflective process strengthens learners’ ability to synthesize theoretical concepts with practical application, thereby enhancing clinical judgment and decision-making capacity.</w:t>
      </w:r>
    </w:p>
    <w:p w14:paraId="5FD4FB4E" w14:textId="77777777" w:rsidR="00086A01" w:rsidRPr="00086A01" w:rsidRDefault="00086A01" w:rsidP="00086A01">
      <w:pPr>
        <w:pStyle w:val="Body"/>
        <w:spacing w:after="0"/>
        <w:rPr>
          <w:rFonts w:ascii="Arial" w:hAnsi="Arial" w:cs="Arial"/>
          <w:lang w:val="en-PH"/>
        </w:rPr>
      </w:pPr>
    </w:p>
    <w:p w14:paraId="5A2BA5B4" w14:textId="77777777" w:rsidR="00086A01" w:rsidRDefault="00086A01" w:rsidP="00086A01">
      <w:pPr>
        <w:pStyle w:val="Body"/>
        <w:spacing w:after="0"/>
        <w:rPr>
          <w:rFonts w:ascii="Arial" w:hAnsi="Arial" w:cs="Arial"/>
          <w:lang w:val="en-PH"/>
        </w:rPr>
      </w:pPr>
      <w:r w:rsidRPr="00086A01">
        <w:rPr>
          <w:rFonts w:ascii="Arial" w:hAnsi="Arial" w:cs="Arial"/>
          <w:lang w:val="en-PH"/>
        </w:rPr>
        <w:t>Competency-based education further informs the framework of simulation-based learning. Clinical competency in nursing encompasses a multidimensional integration of knowledge, psychomotor skills, communication abilities, ethical judgment, and professional behavior. Simulation provides measurable, performance-based assessment opportunities aligned with defined competency outcomes. Through objective structured clinical examinations (OSCEs), performance rubrics, and standardized evaluation tools, simulation enables educators to assess skill mastery systematically. This alignment between instructional design and competency measurement supports outcome-based education models increasingly adopted in global nursing curricula.</w:t>
      </w:r>
    </w:p>
    <w:p w14:paraId="5C1815F2" w14:textId="77777777" w:rsidR="00086A01" w:rsidRPr="00086A01" w:rsidRDefault="00086A01" w:rsidP="00086A01">
      <w:pPr>
        <w:pStyle w:val="Body"/>
        <w:spacing w:after="0"/>
        <w:rPr>
          <w:rFonts w:ascii="Arial" w:hAnsi="Arial" w:cs="Arial"/>
          <w:lang w:val="en-PH"/>
        </w:rPr>
      </w:pPr>
    </w:p>
    <w:p w14:paraId="5780C2CE" w14:textId="671B211B" w:rsidR="00086A01" w:rsidRDefault="00086A01" w:rsidP="00086A01">
      <w:pPr>
        <w:pStyle w:val="Body"/>
        <w:spacing w:after="0"/>
        <w:rPr>
          <w:rFonts w:ascii="Arial" w:hAnsi="Arial" w:cs="Arial"/>
          <w:lang w:val="en-PH"/>
        </w:rPr>
      </w:pPr>
      <w:r w:rsidRPr="00086A01">
        <w:rPr>
          <w:rFonts w:ascii="Arial" w:hAnsi="Arial" w:cs="Arial"/>
          <w:lang w:val="en-PH"/>
        </w:rPr>
        <w:lastRenderedPageBreak/>
        <w:t>The International Nursing Association for Clinical Simulation and Learning (INACSL) Standards of Best Practice provide structural guidance for the effective implementation of simulation programs. These standards emphasize clearly defined learning objectives, appropriate scenario design, facilitator preparation, psychological safety, and outcome evaluation. The standards-based approach ensures consistency and quality across simulation experiences, promoting reliability in competency assessment. Moreover, simulation fidelity</w:t>
      </w:r>
      <w:r>
        <w:rPr>
          <w:rFonts w:ascii="Arial" w:hAnsi="Arial" w:cs="Arial"/>
          <w:lang w:val="en-PH"/>
        </w:rPr>
        <w:t xml:space="preserve"> </w:t>
      </w:r>
      <w:r w:rsidRPr="00086A01">
        <w:rPr>
          <w:rFonts w:ascii="Arial" w:hAnsi="Arial" w:cs="Arial"/>
          <w:lang w:val="en-PH"/>
        </w:rPr>
        <w:t>ranging from low-fidelity task trainers to high-fidelity mannequins and virtual reality environments</w:t>
      </w:r>
      <w:r>
        <w:rPr>
          <w:rFonts w:ascii="Arial" w:hAnsi="Arial" w:cs="Arial"/>
          <w:lang w:val="en-PH"/>
        </w:rPr>
        <w:t xml:space="preserve"> </w:t>
      </w:r>
      <w:r w:rsidRPr="00086A01">
        <w:rPr>
          <w:rFonts w:ascii="Arial" w:hAnsi="Arial" w:cs="Arial"/>
          <w:lang w:val="en-PH"/>
        </w:rPr>
        <w:t>allows educators to tailor experiences to specific learning objectives and developmental stages.</w:t>
      </w:r>
    </w:p>
    <w:p w14:paraId="07120B4A" w14:textId="77777777" w:rsidR="00086A01" w:rsidRPr="00086A01" w:rsidRDefault="00086A01" w:rsidP="00086A01">
      <w:pPr>
        <w:pStyle w:val="Body"/>
        <w:spacing w:after="0"/>
        <w:rPr>
          <w:rFonts w:ascii="Arial" w:hAnsi="Arial" w:cs="Arial"/>
          <w:lang w:val="en-PH"/>
        </w:rPr>
      </w:pPr>
    </w:p>
    <w:p w14:paraId="01BE3F91" w14:textId="77777777" w:rsidR="00086A01" w:rsidRDefault="00086A01" w:rsidP="00086A01">
      <w:pPr>
        <w:pStyle w:val="Body"/>
        <w:spacing w:after="0"/>
        <w:rPr>
          <w:rFonts w:ascii="Arial" w:hAnsi="Arial" w:cs="Arial"/>
          <w:lang w:val="en-PH"/>
        </w:rPr>
      </w:pPr>
      <w:r w:rsidRPr="00086A01">
        <w:rPr>
          <w:rFonts w:ascii="Arial" w:hAnsi="Arial" w:cs="Arial"/>
          <w:lang w:val="en-PH"/>
        </w:rPr>
        <w:t>The integration of emerging technologies such as virtual simulation and immersive digital platforms further expands the conceptual framework. Virtual reality and screen-based simulation enhance accessibility, particularly in settings with limited physical laboratory infrastructure. These innovations align with flexible and technology-enhanced learning paradigms in higher education, supporting continuity of training during disruptions such as public health emergencies. Technology-driven simulation also facilitates repeated exposure to rare or high-risk clinical events, strengthening preparedness and response competence.</w:t>
      </w:r>
    </w:p>
    <w:p w14:paraId="0EF634B4" w14:textId="77777777" w:rsidR="00086A01" w:rsidRPr="00086A01" w:rsidRDefault="00086A01" w:rsidP="00086A01">
      <w:pPr>
        <w:pStyle w:val="Body"/>
        <w:spacing w:after="0"/>
        <w:rPr>
          <w:rFonts w:ascii="Arial" w:hAnsi="Arial" w:cs="Arial"/>
          <w:lang w:val="en-PH"/>
        </w:rPr>
      </w:pPr>
    </w:p>
    <w:p w14:paraId="7A995246" w14:textId="77777777" w:rsidR="00086A01" w:rsidRDefault="00086A01" w:rsidP="00086A01">
      <w:pPr>
        <w:pStyle w:val="Body"/>
        <w:spacing w:after="0"/>
        <w:rPr>
          <w:rFonts w:ascii="Arial" w:hAnsi="Arial" w:cs="Arial"/>
          <w:lang w:val="en-PH"/>
        </w:rPr>
      </w:pPr>
      <w:r w:rsidRPr="00086A01">
        <w:rPr>
          <w:rFonts w:ascii="Arial" w:hAnsi="Arial" w:cs="Arial"/>
          <w:lang w:val="en-PH"/>
        </w:rPr>
        <w:t>Despite its transformative potential, simulation-based education operates within contextual constraints that influence its effectiveness. Resource availability, faculty training, infrastructure support, and institutional policy significantly shape implementation quality. Inadequate facilitator preparation or poorly structured debriefing sessions may limit learning outcomes. Furthermore, the cost of high-fidelity equipment and maintenance presents barriers in resource-limited educational institutions. These contextual variables highlight the need for strategic planning, institutional commitment, and continuous faculty development to maximize the benefits of simulation-based training.</w:t>
      </w:r>
    </w:p>
    <w:p w14:paraId="1B55A089" w14:textId="77777777" w:rsidR="00EA09FC" w:rsidRPr="00086A01" w:rsidRDefault="00EA09FC" w:rsidP="00086A01">
      <w:pPr>
        <w:pStyle w:val="Body"/>
        <w:spacing w:after="0"/>
        <w:rPr>
          <w:rFonts w:ascii="Arial" w:hAnsi="Arial" w:cs="Arial"/>
          <w:lang w:val="en-PH"/>
        </w:rPr>
      </w:pPr>
    </w:p>
    <w:p w14:paraId="66F634E6" w14:textId="16508388" w:rsidR="00086A01" w:rsidRDefault="00086A01" w:rsidP="00086A01">
      <w:pPr>
        <w:pStyle w:val="Body"/>
        <w:spacing w:after="0"/>
        <w:rPr>
          <w:rFonts w:ascii="Arial" w:hAnsi="Arial" w:cs="Arial"/>
          <w:lang w:val="en-PH"/>
        </w:rPr>
      </w:pPr>
      <w:r w:rsidRPr="00086A01">
        <w:rPr>
          <w:rFonts w:ascii="Arial" w:hAnsi="Arial" w:cs="Arial"/>
          <w:lang w:val="en-PH"/>
        </w:rPr>
        <w:t xml:space="preserve">Within this conceptual framework, simulation-based nursing education functions as an interactive system that connects educational theory, structured experiential learning, competency measurement, and institutional support mechanisms. The framework positions simulation not merely as a teaching tool but as an integrated educational strategy aimed at enhancing clinical competency, promoting patient safety, and preparing nurses for complex healthcare environments. </w:t>
      </w:r>
    </w:p>
    <w:p w14:paraId="14B690A5" w14:textId="77777777" w:rsidR="00086A01" w:rsidRDefault="00086A01" w:rsidP="00086A01">
      <w:pPr>
        <w:pStyle w:val="Body"/>
        <w:spacing w:after="0"/>
        <w:rPr>
          <w:rFonts w:ascii="Arial" w:hAnsi="Arial" w:cs="Arial"/>
          <w:lang w:val="en-PH"/>
        </w:rPr>
      </w:pPr>
    </w:p>
    <w:p w14:paraId="050EE623" w14:textId="063F1370" w:rsidR="00086A01" w:rsidRDefault="00086A01" w:rsidP="00086A01">
      <w:pPr>
        <w:pStyle w:val="Body"/>
        <w:numPr>
          <w:ilvl w:val="1"/>
          <w:numId w:val="31"/>
        </w:numPr>
        <w:spacing w:after="0"/>
        <w:rPr>
          <w:rFonts w:ascii="Arial" w:hAnsi="Arial" w:cs="Arial"/>
          <w:b/>
          <w:bCs/>
          <w:lang w:val="en-PH"/>
        </w:rPr>
      </w:pPr>
      <w:r w:rsidRPr="00086A01">
        <w:rPr>
          <w:rFonts w:ascii="Arial" w:hAnsi="Arial" w:cs="Arial"/>
          <w:b/>
          <w:bCs/>
          <w:lang w:val="en-PH"/>
        </w:rPr>
        <w:t>Objectives of the Study</w:t>
      </w:r>
    </w:p>
    <w:p w14:paraId="0EE51ABA" w14:textId="77777777" w:rsidR="00086A01" w:rsidRPr="00086A01" w:rsidRDefault="00086A01" w:rsidP="00086A01">
      <w:pPr>
        <w:pStyle w:val="Body"/>
        <w:spacing w:after="0"/>
        <w:ind w:left="360"/>
        <w:rPr>
          <w:rFonts w:ascii="Arial" w:hAnsi="Arial" w:cs="Arial"/>
          <w:b/>
          <w:bCs/>
          <w:lang w:val="en-PH"/>
        </w:rPr>
      </w:pPr>
    </w:p>
    <w:p w14:paraId="279F7EFE" w14:textId="77777777" w:rsidR="00086A01" w:rsidRDefault="00086A01" w:rsidP="00086A01">
      <w:pPr>
        <w:pStyle w:val="Body"/>
        <w:numPr>
          <w:ilvl w:val="0"/>
          <w:numId w:val="32"/>
        </w:numPr>
        <w:spacing w:after="0"/>
        <w:rPr>
          <w:rFonts w:ascii="Arial" w:hAnsi="Arial" w:cs="Arial"/>
          <w:lang w:val="en-PH"/>
        </w:rPr>
      </w:pPr>
      <w:r w:rsidRPr="00086A01">
        <w:rPr>
          <w:rFonts w:ascii="Arial" w:hAnsi="Arial" w:cs="Arial"/>
          <w:lang w:val="en-PH"/>
        </w:rPr>
        <w:t>To synthesize existing literature on simulation-based nursing education and its role in enhancing clinical competency.</w:t>
      </w:r>
    </w:p>
    <w:p w14:paraId="78CCCA4D" w14:textId="77777777" w:rsidR="00086A01" w:rsidRPr="00086A01" w:rsidRDefault="00086A01" w:rsidP="00086A01">
      <w:pPr>
        <w:pStyle w:val="Body"/>
        <w:spacing w:after="0"/>
        <w:ind w:left="720"/>
        <w:rPr>
          <w:rFonts w:ascii="Arial" w:hAnsi="Arial" w:cs="Arial"/>
          <w:lang w:val="en-PH"/>
        </w:rPr>
      </w:pPr>
    </w:p>
    <w:p w14:paraId="2CD7AB8B" w14:textId="77777777" w:rsidR="00086A01" w:rsidRDefault="00086A01" w:rsidP="00086A01">
      <w:pPr>
        <w:pStyle w:val="Body"/>
        <w:numPr>
          <w:ilvl w:val="0"/>
          <w:numId w:val="32"/>
        </w:numPr>
        <w:spacing w:after="0"/>
        <w:rPr>
          <w:rFonts w:ascii="Arial" w:hAnsi="Arial" w:cs="Arial"/>
          <w:lang w:val="en-PH"/>
        </w:rPr>
      </w:pPr>
      <w:r w:rsidRPr="00086A01">
        <w:rPr>
          <w:rFonts w:ascii="Arial" w:hAnsi="Arial" w:cs="Arial"/>
          <w:lang w:val="en-PH"/>
        </w:rPr>
        <w:t>To examine the theoretical foundations that support the integration of simulation in nursing education.</w:t>
      </w:r>
    </w:p>
    <w:p w14:paraId="0E69D45A" w14:textId="77777777" w:rsidR="00086A01" w:rsidRPr="00086A01" w:rsidRDefault="00086A01" w:rsidP="00086A01">
      <w:pPr>
        <w:pStyle w:val="Body"/>
        <w:spacing w:after="0"/>
        <w:rPr>
          <w:rFonts w:ascii="Arial" w:hAnsi="Arial" w:cs="Arial"/>
          <w:lang w:val="en-PH"/>
        </w:rPr>
      </w:pPr>
    </w:p>
    <w:p w14:paraId="68DCC218" w14:textId="77777777" w:rsidR="00086A01" w:rsidRDefault="00086A01" w:rsidP="00086A01">
      <w:pPr>
        <w:pStyle w:val="Body"/>
        <w:numPr>
          <w:ilvl w:val="0"/>
          <w:numId w:val="32"/>
        </w:numPr>
        <w:spacing w:after="0"/>
        <w:rPr>
          <w:rFonts w:ascii="Arial" w:hAnsi="Arial" w:cs="Arial"/>
          <w:lang w:val="en-PH"/>
        </w:rPr>
      </w:pPr>
      <w:r w:rsidRPr="00086A01">
        <w:rPr>
          <w:rFonts w:ascii="Arial" w:hAnsi="Arial" w:cs="Arial"/>
          <w:lang w:val="en-PH"/>
        </w:rPr>
        <w:t>To evaluate empirical evidence on the impact of simulation-based learning on psychomotor skills, clinical judgment, and decision-making.</w:t>
      </w:r>
    </w:p>
    <w:p w14:paraId="70A8F76D" w14:textId="77777777" w:rsidR="00086A01" w:rsidRPr="00086A01" w:rsidRDefault="00086A01" w:rsidP="00086A01">
      <w:pPr>
        <w:pStyle w:val="Body"/>
        <w:spacing w:after="0"/>
        <w:rPr>
          <w:rFonts w:ascii="Arial" w:hAnsi="Arial" w:cs="Arial"/>
          <w:lang w:val="en-PH"/>
        </w:rPr>
      </w:pPr>
    </w:p>
    <w:p w14:paraId="780F014F" w14:textId="77777777" w:rsidR="00086A01" w:rsidRDefault="00086A01" w:rsidP="00086A01">
      <w:pPr>
        <w:pStyle w:val="Body"/>
        <w:numPr>
          <w:ilvl w:val="0"/>
          <w:numId w:val="32"/>
        </w:numPr>
        <w:spacing w:after="0"/>
        <w:rPr>
          <w:rFonts w:ascii="Arial" w:hAnsi="Arial" w:cs="Arial"/>
          <w:lang w:val="en-PH"/>
        </w:rPr>
      </w:pPr>
      <w:r w:rsidRPr="00086A01">
        <w:rPr>
          <w:rFonts w:ascii="Arial" w:hAnsi="Arial" w:cs="Arial"/>
          <w:lang w:val="en-PH"/>
        </w:rPr>
        <w:t>To analyze the influence of simulation-based training on learner confidence, self-efficacy, and patient safety outcomes.</w:t>
      </w:r>
    </w:p>
    <w:p w14:paraId="0E9003CF" w14:textId="77777777" w:rsidR="00086A01" w:rsidRPr="00086A01" w:rsidRDefault="00086A01" w:rsidP="00086A01">
      <w:pPr>
        <w:pStyle w:val="Body"/>
        <w:spacing w:after="0"/>
        <w:rPr>
          <w:rFonts w:ascii="Arial" w:hAnsi="Arial" w:cs="Arial"/>
          <w:lang w:val="en-PH"/>
        </w:rPr>
      </w:pPr>
    </w:p>
    <w:p w14:paraId="72B237CC" w14:textId="77777777" w:rsidR="00086A01" w:rsidRDefault="00086A01" w:rsidP="00086A01">
      <w:pPr>
        <w:pStyle w:val="Body"/>
        <w:numPr>
          <w:ilvl w:val="0"/>
          <w:numId w:val="32"/>
        </w:numPr>
        <w:spacing w:after="0"/>
        <w:rPr>
          <w:rFonts w:ascii="Arial" w:hAnsi="Arial" w:cs="Arial"/>
          <w:lang w:val="en-PH"/>
        </w:rPr>
      </w:pPr>
      <w:r w:rsidRPr="00086A01">
        <w:rPr>
          <w:rFonts w:ascii="Arial" w:hAnsi="Arial" w:cs="Arial"/>
          <w:lang w:val="en-PH"/>
        </w:rPr>
        <w:t>To identify challenges, barriers, and implementation issues associated with simulation-based nursing education.</w:t>
      </w:r>
    </w:p>
    <w:p w14:paraId="5FA2FB42" w14:textId="77777777" w:rsidR="00086A01" w:rsidRPr="00086A01" w:rsidRDefault="00086A01" w:rsidP="00086A01">
      <w:pPr>
        <w:pStyle w:val="Body"/>
        <w:spacing w:after="0"/>
        <w:rPr>
          <w:rFonts w:ascii="Arial" w:hAnsi="Arial" w:cs="Arial"/>
          <w:lang w:val="en-PH"/>
        </w:rPr>
      </w:pPr>
    </w:p>
    <w:p w14:paraId="3A136FF1" w14:textId="77777777" w:rsidR="00086A01" w:rsidRPr="00086A01" w:rsidRDefault="00086A01" w:rsidP="00086A01">
      <w:pPr>
        <w:pStyle w:val="Body"/>
        <w:numPr>
          <w:ilvl w:val="0"/>
          <w:numId w:val="32"/>
        </w:numPr>
        <w:spacing w:after="0"/>
        <w:rPr>
          <w:rFonts w:ascii="Arial" w:hAnsi="Arial" w:cs="Arial"/>
          <w:lang w:val="en-PH"/>
        </w:rPr>
      </w:pPr>
      <w:r w:rsidRPr="00086A01">
        <w:rPr>
          <w:rFonts w:ascii="Arial" w:hAnsi="Arial" w:cs="Arial"/>
          <w:lang w:val="en-PH"/>
        </w:rPr>
        <w:t>To explore emerging trends and future directions in simulation-enhanced nursing training, including virtual and technology-assisted platforms.</w:t>
      </w:r>
    </w:p>
    <w:p w14:paraId="63D9B0EF" w14:textId="77777777" w:rsidR="00790ADA" w:rsidRPr="00086A01" w:rsidRDefault="00790ADA" w:rsidP="00441B6F">
      <w:pPr>
        <w:pStyle w:val="Body"/>
        <w:spacing w:after="0"/>
        <w:rPr>
          <w:rFonts w:ascii="Arial" w:hAnsi="Arial" w:cs="Arial"/>
          <w:lang w:val="en-PH"/>
        </w:rPr>
      </w:pPr>
    </w:p>
    <w:p w14:paraId="3165A800" w14:textId="2164D6C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3EAE669" w14:textId="77777777" w:rsidR="00790ADA" w:rsidRPr="00FB3A86" w:rsidRDefault="00790ADA" w:rsidP="00441B6F">
      <w:pPr>
        <w:pStyle w:val="AbstHead"/>
        <w:spacing w:after="0"/>
        <w:jc w:val="both"/>
        <w:rPr>
          <w:rFonts w:ascii="Arial" w:hAnsi="Arial" w:cs="Arial"/>
        </w:rPr>
      </w:pPr>
    </w:p>
    <w:p w14:paraId="1D6E2E86" w14:textId="77777777" w:rsidR="00347AAF" w:rsidRDefault="00347AAF" w:rsidP="00347AAF">
      <w:pPr>
        <w:pStyle w:val="Body"/>
        <w:spacing w:after="0"/>
        <w:rPr>
          <w:rFonts w:ascii="Arial" w:hAnsi="Arial" w:cs="Arial"/>
          <w:lang w:val="en-PH"/>
        </w:rPr>
      </w:pPr>
      <w:r w:rsidRPr="00347AAF">
        <w:rPr>
          <w:rFonts w:ascii="Arial" w:hAnsi="Arial" w:cs="Arial"/>
          <w:lang w:val="en-PH"/>
        </w:rPr>
        <w:t>This study employed a narrative literature review design to synthesize existing empirical and theoretical research on simulation-based nursing education and its impact on clinical competency. The review aimed to examine how simulation-based learning influences psychomotor skill development, clinical judgment, decision-making, learner confidence, and patient safety outcomes in nursing education. A structured and systematic search strategy was utilized to identify relevant peer-reviewed studies published between 2014 and 2025.</w:t>
      </w:r>
    </w:p>
    <w:p w14:paraId="074206B2" w14:textId="77777777" w:rsidR="00347AAF" w:rsidRPr="00347AAF" w:rsidRDefault="00347AAF" w:rsidP="00347AAF">
      <w:pPr>
        <w:pStyle w:val="Body"/>
        <w:spacing w:after="0"/>
        <w:rPr>
          <w:rFonts w:ascii="Arial" w:hAnsi="Arial" w:cs="Arial"/>
          <w:lang w:val="en-PH"/>
        </w:rPr>
      </w:pPr>
    </w:p>
    <w:p w14:paraId="18BEFABB" w14:textId="7F9B7E18" w:rsidR="00347AAF" w:rsidRDefault="00347AAF" w:rsidP="00347AAF">
      <w:pPr>
        <w:pStyle w:val="Body"/>
        <w:spacing w:after="0"/>
        <w:rPr>
          <w:rFonts w:ascii="Arial" w:hAnsi="Arial" w:cs="Arial"/>
          <w:lang w:val="en-PH"/>
        </w:rPr>
      </w:pPr>
      <w:r w:rsidRPr="00347AAF">
        <w:rPr>
          <w:rFonts w:ascii="Arial" w:hAnsi="Arial" w:cs="Arial"/>
          <w:lang w:val="en-PH"/>
        </w:rPr>
        <w:t>The review process involved database searching, screening, eligibility assessment, and thematic synthesis. Emphasis was placed on high-quality empirical studies, randomized controlled trials, quasi-experimental designs, systematic reviews, and meta-analyses to ensure academic rigor and evidence reliability.</w:t>
      </w:r>
    </w:p>
    <w:p w14:paraId="630C1646" w14:textId="77777777" w:rsidR="00347AAF" w:rsidRPr="00347AAF" w:rsidRDefault="00347AAF" w:rsidP="00347AAF">
      <w:pPr>
        <w:pStyle w:val="Body"/>
        <w:spacing w:after="0"/>
        <w:rPr>
          <w:rFonts w:ascii="Arial" w:hAnsi="Arial" w:cs="Arial"/>
          <w:lang w:val="en-PH"/>
        </w:rPr>
      </w:pPr>
    </w:p>
    <w:p w14:paraId="71A5A81B" w14:textId="77777777" w:rsidR="00347AAF" w:rsidRDefault="00347AAF" w:rsidP="00347AAF">
      <w:pPr>
        <w:pStyle w:val="Body"/>
        <w:spacing w:after="0"/>
        <w:rPr>
          <w:rFonts w:ascii="Arial" w:hAnsi="Arial" w:cs="Arial"/>
          <w:b/>
          <w:bCs/>
          <w:lang w:val="en-PH"/>
        </w:rPr>
      </w:pPr>
      <w:r w:rsidRPr="00347AAF">
        <w:rPr>
          <w:rFonts w:ascii="Arial" w:hAnsi="Arial" w:cs="Arial"/>
          <w:b/>
          <w:bCs/>
          <w:lang w:val="en-PH"/>
        </w:rPr>
        <w:t>2.1 Literature Search Strategy</w:t>
      </w:r>
    </w:p>
    <w:p w14:paraId="64C96F91" w14:textId="77777777" w:rsidR="00347AAF" w:rsidRPr="00347AAF" w:rsidRDefault="00347AAF" w:rsidP="00347AAF">
      <w:pPr>
        <w:pStyle w:val="Body"/>
        <w:spacing w:after="0"/>
        <w:rPr>
          <w:rFonts w:ascii="Arial" w:hAnsi="Arial" w:cs="Arial"/>
          <w:b/>
          <w:bCs/>
          <w:lang w:val="en-PH"/>
        </w:rPr>
      </w:pPr>
    </w:p>
    <w:p w14:paraId="7B2EFB48" w14:textId="77777777" w:rsidR="00347AAF" w:rsidRPr="00347AAF" w:rsidRDefault="00347AAF" w:rsidP="00347AAF">
      <w:pPr>
        <w:pStyle w:val="Body"/>
        <w:spacing w:after="0"/>
        <w:rPr>
          <w:rFonts w:ascii="Arial" w:hAnsi="Arial" w:cs="Arial"/>
          <w:lang w:val="en-PH"/>
        </w:rPr>
      </w:pPr>
      <w:r w:rsidRPr="00347AAF">
        <w:rPr>
          <w:rFonts w:ascii="Arial" w:hAnsi="Arial" w:cs="Arial"/>
          <w:lang w:val="en-PH"/>
        </w:rPr>
        <w:t>A comprehensive literature search was conducted using major academic databases, including PubMed, Scopus, CINAHL, ERIC, ScienceDirect, and Google Scholar. The following keyword combinations were used:</w:t>
      </w:r>
    </w:p>
    <w:p w14:paraId="546AF383" w14:textId="77777777" w:rsidR="00347AAF" w:rsidRPr="00347AAF" w:rsidRDefault="00347AAF" w:rsidP="00347AAF">
      <w:pPr>
        <w:pStyle w:val="Body"/>
        <w:numPr>
          <w:ilvl w:val="0"/>
          <w:numId w:val="33"/>
        </w:numPr>
        <w:spacing w:after="0"/>
        <w:rPr>
          <w:rFonts w:ascii="Arial" w:hAnsi="Arial" w:cs="Arial"/>
          <w:lang w:val="en-PH"/>
        </w:rPr>
      </w:pPr>
      <w:r w:rsidRPr="00347AAF">
        <w:rPr>
          <w:rFonts w:ascii="Arial" w:hAnsi="Arial" w:cs="Arial"/>
          <w:lang w:val="en-PH"/>
        </w:rPr>
        <w:t>"simulation-based nursing education"</w:t>
      </w:r>
    </w:p>
    <w:p w14:paraId="260CDA42" w14:textId="77777777" w:rsidR="00347AAF" w:rsidRPr="00347AAF" w:rsidRDefault="00347AAF" w:rsidP="00347AAF">
      <w:pPr>
        <w:pStyle w:val="Body"/>
        <w:numPr>
          <w:ilvl w:val="0"/>
          <w:numId w:val="33"/>
        </w:numPr>
        <w:spacing w:after="0"/>
        <w:rPr>
          <w:rFonts w:ascii="Arial" w:hAnsi="Arial" w:cs="Arial"/>
          <w:lang w:val="en-PH"/>
        </w:rPr>
      </w:pPr>
      <w:r w:rsidRPr="00347AAF">
        <w:rPr>
          <w:rFonts w:ascii="Arial" w:hAnsi="Arial" w:cs="Arial"/>
          <w:lang w:val="en-PH"/>
        </w:rPr>
        <w:t>"high-fidelity simulation" AND "clinical competency"</w:t>
      </w:r>
    </w:p>
    <w:p w14:paraId="561DDE82" w14:textId="77777777" w:rsidR="00347AAF" w:rsidRPr="00347AAF" w:rsidRDefault="00347AAF" w:rsidP="00347AAF">
      <w:pPr>
        <w:pStyle w:val="Body"/>
        <w:numPr>
          <w:ilvl w:val="0"/>
          <w:numId w:val="33"/>
        </w:numPr>
        <w:spacing w:after="0"/>
        <w:rPr>
          <w:rFonts w:ascii="Arial" w:hAnsi="Arial" w:cs="Arial"/>
          <w:lang w:val="en-PH"/>
        </w:rPr>
      </w:pPr>
      <w:r w:rsidRPr="00347AAF">
        <w:rPr>
          <w:rFonts w:ascii="Arial" w:hAnsi="Arial" w:cs="Arial"/>
          <w:lang w:val="en-PH"/>
        </w:rPr>
        <w:t>"nursing simulation" AND "clinical judgment"</w:t>
      </w:r>
    </w:p>
    <w:p w14:paraId="52EDF479" w14:textId="77777777" w:rsidR="00347AAF" w:rsidRPr="00347AAF" w:rsidRDefault="00347AAF" w:rsidP="00347AAF">
      <w:pPr>
        <w:pStyle w:val="Body"/>
        <w:numPr>
          <w:ilvl w:val="0"/>
          <w:numId w:val="33"/>
        </w:numPr>
        <w:spacing w:after="0"/>
        <w:rPr>
          <w:rFonts w:ascii="Arial" w:hAnsi="Arial" w:cs="Arial"/>
          <w:lang w:val="en-PH"/>
        </w:rPr>
      </w:pPr>
      <w:r w:rsidRPr="00347AAF">
        <w:rPr>
          <w:rFonts w:ascii="Arial" w:hAnsi="Arial" w:cs="Arial"/>
          <w:lang w:val="en-PH"/>
        </w:rPr>
        <w:t>"simulation training" AND "patient safety"</w:t>
      </w:r>
    </w:p>
    <w:p w14:paraId="0DC8983B" w14:textId="77777777" w:rsidR="00347AAF" w:rsidRPr="00347AAF" w:rsidRDefault="00347AAF" w:rsidP="00347AAF">
      <w:pPr>
        <w:pStyle w:val="Body"/>
        <w:numPr>
          <w:ilvl w:val="0"/>
          <w:numId w:val="33"/>
        </w:numPr>
        <w:spacing w:after="0"/>
        <w:rPr>
          <w:rFonts w:ascii="Arial" w:hAnsi="Arial" w:cs="Arial"/>
          <w:lang w:val="en-PH"/>
        </w:rPr>
      </w:pPr>
      <w:r w:rsidRPr="00347AAF">
        <w:rPr>
          <w:rFonts w:ascii="Arial" w:hAnsi="Arial" w:cs="Arial"/>
          <w:lang w:val="en-PH"/>
        </w:rPr>
        <w:t>"virtual simulation" AND "nursing education"</w:t>
      </w:r>
    </w:p>
    <w:p w14:paraId="6384D3D7" w14:textId="77777777" w:rsidR="00347AAF" w:rsidRPr="00347AAF" w:rsidRDefault="00347AAF" w:rsidP="00347AAF">
      <w:pPr>
        <w:pStyle w:val="Body"/>
        <w:numPr>
          <w:ilvl w:val="0"/>
          <w:numId w:val="33"/>
        </w:numPr>
        <w:spacing w:after="0"/>
        <w:rPr>
          <w:rFonts w:ascii="Arial" w:hAnsi="Arial" w:cs="Arial"/>
          <w:lang w:val="en-PH"/>
        </w:rPr>
      </w:pPr>
      <w:r w:rsidRPr="00347AAF">
        <w:rPr>
          <w:rFonts w:ascii="Arial" w:hAnsi="Arial" w:cs="Arial"/>
          <w:lang w:val="en-PH"/>
        </w:rPr>
        <w:t>"OSCE" AND "simulation nursing"</w:t>
      </w:r>
    </w:p>
    <w:p w14:paraId="79BFD916" w14:textId="77777777" w:rsidR="00347AAF" w:rsidRPr="00347AAF" w:rsidRDefault="00347AAF" w:rsidP="00347AAF">
      <w:pPr>
        <w:pStyle w:val="Body"/>
        <w:spacing w:after="0"/>
        <w:rPr>
          <w:rFonts w:ascii="Arial" w:hAnsi="Arial" w:cs="Arial"/>
          <w:lang w:val="en-PH"/>
        </w:rPr>
      </w:pPr>
      <w:r w:rsidRPr="00347AAF">
        <w:rPr>
          <w:rFonts w:ascii="Arial" w:hAnsi="Arial" w:cs="Arial"/>
          <w:lang w:val="en-PH"/>
        </w:rPr>
        <w:t>Boolean operators (AND, OR) were applied to refine search results. Reference lists of selected articles were also manually reviewed to identify additional relevant studies.</w:t>
      </w:r>
    </w:p>
    <w:p w14:paraId="4FF8161B" w14:textId="77777777" w:rsidR="00347AAF" w:rsidRPr="00347AAF" w:rsidRDefault="00347AAF" w:rsidP="00347AAF">
      <w:pPr>
        <w:pStyle w:val="Body"/>
        <w:spacing w:after="0"/>
        <w:rPr>
          <w:rFonts w:ascii="Arial" w:hAnsi="Arial" w:cs="Arial"/>
          <w:lang w:val="en-PH"/>
        </w:rPr>
      </w:pPr>
      <w:r w:rsidRPr="00347AAF">
        <w:rPr>
          <w:rFonts w:ascii="Arial" w:hAnsi="Arial" w:cs="Arial"/>
          <w:lang w:val="en-PH"/>
        </w:rPr>
        <w:t>The initial search yielded a broad pool of articles. After removing duplicates and screening titles and abstracts, studies directly aligned with the objectives of the review were retained for full-text evaluation.</w:t>
      </w:r>
    </w:p>
    <w:p w14:paraId="7B74E00C" w14:textId="21A5E008" w:rsidR="00347AAF" w:rsidRPr="00347AAF" w:rsidRDefault="00347AAF" w:rsidP="00347AAF">
      <w:pPr>
        <w:pStyle w:val="Body"/>
        <w:rPr>
          <w:rFonts w:ascii="Arial" w:hAnsi="Arial" w:cs="Arial"/>
          <w:lang w:val="en-PH"/>
        </w:rPr>
      </w:pPr>
    </w:p>
    <w:p w14:paraId="4DC42F2F" w14:textId="77777777" w:rsidR="00347AAF" w:rsidRDefault="00347AAF" w:rsidP="00347AAF">
      <w:pPr>
        <w:pStyle w:val="Body"/>
        <w:spacing w:after="0"/>
        <w:rPr>
          <w:rFonts w:ascii="Arial" w:hAnsi="Arial" w:cs="Arial"/>
          <w:b/>
          <w:bCs/>
          <w:lang w:val="en-PH"/>
        </w:rPr>
      </w:pPr>
      <w:r w:rsidRPr="00347AAF">
        <w:rPr>
          <w:rFonts w:ascii="Arial" w:hAnsi="Arial" w:cs="Arial"/>
          <w:b/>
          <w:bCs/>
          <w:lang w:val="en-PH"/>
        </w:rPr>
        <w:t>2.2 Inclusion and Exclusion Criteria</w:t>
      </w:r>
    </w:p>
    <w:p w14:paraId="45026AC3" w14:textId="77777777" w:rsidR="00347AAF" w:rsidRPr="00347AAF" w:rsidRDefault="00347AAF" w:rsidP="00347AAF">
      <w:pPr>
        <w:pStyle w:val="Body"/>
        <w:spacing w:after="0"/>
        <w:rPr>
          <w:rFonts w:ascii="Arial" w:hAnsi="Arial" w:cs="Arial"/>
          <w:b/>
          <w:bCs/>
          <w:lang w:val="en-PH"/>
        </w:rPr>
      </w:pPr>
    </w:p>
    <w:p w14:paraId="7A52FD9B" w14:textId="77777777" w:rsidR="00347AAF" w:rsidRPr="00347AAF" w:rsidRDefault="00347AAF" w:rsidP="00347AAF">
      <w:pPr>
        <w:pStyle w:val="Body"/>
        <w:spacing w:after="0"/>
        <w:rPr>
          <w:rFonts w:ascii="Arial" w:hAnsi="Arial" w:cs="Arial"/>
          <w:lang w:val="en-PH"/>
        </w:rPr>
      </w:pPr>
      <w:r w:rsidRPr="00347AAF">
        <w:rPr>
          <w:rFonts w:ascii="Arial" w:hAnsi="Arial" w:cs="Arial"/>
          <w:lang w:val="en-PH"/>
        </w:rPr>
        <w:t>Studies were included if they:</w:t>
      </w:r>
    </w:p>
    <w:p w14:paraId="5CD813D9" w14:textId="77777777" w:rsidR="00347AAF" w:rsidRPr="00347AAF" w:rsidRDefault="00347AAF" w:rsidP="00347AAF">
      <w:pPr>
        <w:pStyle w:val="Body"/>
        <w:numPr>
          <w:ilvl w:val="0"/>
          <w:numId w:val="34"/>
        </w:numPr>
        <w:spacing w:after="0"/>
        <w:rPr>
          <w:rFonts w:ascii="Arial" w:hAnsi="Arial" w:cs="Arial"/>
          <w:lang w:val="en-PH"/>
        </w:rPr>
      </w:pPr>
      <w:r w:rsidRPr="00347AAF">
        <w:rPr>
          <w:rFonts w:ascii="Arial" w:hAnsi="Arial" w:cs="Arial"/>
          <w:lang w:val="en-PH"/>
        </w:rPr>
        <w:t>Were published between 2014 and 2025.</w:t>
      </w:r>
    </w:p>
    <w:p w14:paraId="687E6570" w14:textId="77777777" w:rsidR="00347AAF" w:rsidRPr="00347AAF" w:rsidRDefault="00347AAF" w:rsidP="00347AAF">
      <w:pPr>
        <w:pStyle w:val="Body"/>
        <w:numPr>
          <w:ilvl w:val="0"/>
          <w:numId w:val="34"/>
        </w:numPr>
        <w:spacing w:after="0"/>
        <w:rPr>
          <w:rFonts w:ascii="Arial" w:hAnsi="Arial" w:cs="Arial"/>
          <w:lang w:val="en-PH"/>
        </w:rPr>
      </w:pPr>
      <w:r w:rsidRPr="00347AAF">
        <w:rPr>
          <w:rFonts w:ascii="Arial" w:hAnsi="Arial" w:cs="Arial"/>
          <w:lang w:val="en-PH"/>
        </w:rPr>
        <w:t>Were peer-reviewed journal articles.</w:t>
      </w:r>
    </w:p>
    <w:p w14:paraId="54067252" w14:textId="77777777" w:rsidR="00347AAF" w:rsidRPr="00347AAF" w:rsidRDefault="00347AAF" w:rsidP="00347AAF">
      <w:pPr>
        <w:pStyle w:val="Body"/>
        <w:numPr>
          <w:ilvl w:val="0"/>
          <w:numId w:val="34"/>
        </w:numPr>
        <w:spacing w:after="0"/>
        <w:rPr>
          <w:rFonts w:ascii="Arial" w:hAnsi="Arial" w:cs="Arial"/>
          <w:lang w:val="en-PH"/>
        </w:rPr>
      </w:pPr>
      <w:r w:rsidRPr="00347AAF">
        <w:rPr>
          <w:rFonts w:ascii="Arial" w:hAnsi="Arial" w:cs="Arial"/>
          <w:lang w:val="en-PH"/>
        </w:rPr>
        <w:t>Focused on simulation-based nursing education.</w:t>
      </w:r>
    </w:p>
    <w:p w14:paraId="165C9E91" w14:textId="77777777" w:rsidR="00347AAF" w:rsidRPr="00347AAF" w:rsidRDefault="00347AAF" w:rsidP="00347AAF">
      <w:pPr>
        <w:pStyle w:val="Body"/>
        <w:numPr>
          <w:ilvl w:val="0"/>
          <w:numId w:val="34"/>
        </w:numPr>
        <w:spacing w:after="0"/>
        <w:rPr>
          <w:rFonts w:ascii="Arial" w:hAnsi="Arial" w:cs="Arial"/>
          <w:lang w:val="en-PH"/>
        </w:rPr>
      </w:pPr>
      <w:r w:rsidRPr="00347AAF">
        <w:rPr>
          <w:rFonts w:ascii="Arial" w:hAnsi="Arial" w:cs="Arial"/>
          <w:lang w:val="en-PH"/>
        </w:rPr>
        <w:t>Examined outcomes related to clinical competency, skill performance, clinical judgment, decision-making, confidence, or patient safety.</w:t>
      </w:r>
    </w:p>
    <w:p w14:paraId="7A3BCDEE" w14:textId="77777777" w:rsidR="00347AAF" w:rsidRPr="00347AAF" w:rsidRDefault="00347AAF" w:rsidP="00347AAF">
      <w:pPr>
        <w:pStyle w:val="Body"/>
        <w:numPr>
          <w:ilvl w:val="0"/>
          <w:numId w:val="34"/>
        </w:numPr>
        <w:spacing w:after="0"/>
        <w:rPr>
          <w:rFonts w:ascii="Arial" w:hAnsi="Arial" w:cs="Arial"/>
          <w:lang w:val="en-PH"/>
        </w:rPr>
      </w:pPr>
      <w:r w:rsidRPr="00347AAF">
        <w:rPr>
          <w:rFonts w:ascii="Arial" w:hAnsi="Arial" w:cs="Arial"/>
          <w:lang w:val="en-PH"/>
        </w:rPr>
        <w:t>Employed empirical research designs, systematic reviews, or meta-analyses.</w:t>
      </w:r>
    </w:p>
    <w:p w14:paraId="63581892" w14:textId="77777777" w:rsidR="00347AAF" w:rsidRPr="00347AAF" w:rsidRDefault="00347AAF" w:rsidP="00347AAF">
      <w:pPr>
        <w:pStyle w:val="Body"/>
        <w:spacing w:after="0"/>
        <w:rPr>
          <w:rFonts w:ascii="Arial" w:hAnsi="Arial" w:cs="Arial"/>
          <w:lang w:val="en-PH"/>
        </w:rPr>
      </w:pPr>
      <w:r w:rsidRPr="00347AAF">
        <w:rPr>
          <w:rFonts w:ascii="Arial" w:hAnsi="Arial" w:cs="Arial"/>
          <w:lang w:val="en-PH"/>
        </w:rPr>
        <w:t>Studies were excluded if they:</w:t>
      </w:r>
    </w:p>
    <w:p w14:paraId="45B395A5" w14:textId="77777777" w:rsidR="00347AAF" w:rsidRPr="00347AAF" w:rsidRDefault="00347AAF" w:rsidP="00347AAF">
      <w:pPr>
        <w:pStyle w:val="Body"/>
        <w:numPr>
          <w:ilvl w:val="0"/>
          <w:numId w:val="35"/>
        </w:numPr>
        <w:spacing w:after="0"/>
        <w:rPr>
          <w:rFonts w:ascii="Arial" w:hAnsi="Arial" w:cs="Arial"/>
          <w:lang w:val="en-PH"/>
        </w:rPr>
      </w:pPr>
      <w:r w:rsidRPr="00347AAF">
        <w:rPr>
          <w:rFonts w:ascii="Arial" w:hAnsi="Arial" w:cs="Arial"/>
          <w:lang w:val="en-PH"/>
        </w:rPr>
        <w:t>Focused on non-nursing disciplines.</w:t>
      </w:r>
    </w:p>
    <w:p w14:paraId="1580B768" w14:textId="77777777" w:rsidR="00347AAF" w:rsidRPr="00347AAF" w:rsidRDefault="00347AAF" w:rsidP="00347AAF">
      <w:pPr>
        <w:pStyle w:val="Body"/>
        <w:numPr>
          <w:ilvl w:val="0"/>
          <w:numId w:val="35"/>
        </w:numPr>
        <w:spacing w:after="0"/>
        <w:rPr>
          <w:rFonts w:ascii="Arial" w:hAnsi="Arial" w:cs="Arial"/>
          <w:lang w:val="en-PH"/>
        </w:rPr>
      </w:pPr>
      <w:r w:rsidRPr="00347AAF">
        <w:rPr>
          <w:rFonts w:ascii="Arial" w:hAnsi="Arial" w:cs="Arial"/>
          <w:lang w:val="en-PH"/>
        </w:rPr>
        <w:t>Were opinion papers, editorials, conference abstracts, or unpublished theses.</w:t>
      </w:r>
    </w:p>
    <w:p w14:paraId="0608C9CE" w14:textId="77777777" w:rsidR="00347AAF" w:rsidRPr="00347AAF" w:rsidRDefault="00347AAF" w:rsidP="00347AAF">
      <w:pPr>
        <w:pStyle w:val="Body"/>
        <w:numPr>
          <w:ilvl w:val="0"/>
          <w:numId w:val="35"/>
        </w:numPr>
        <w:spacing w:after="0"/>
        <w:rPr>
          <w:rFonts w:ascii="Arial" w:hAnsi="Arial" w:cs="Arial"/>
          <w:lang w:val="en-PH"/>
        </w:rPr>
      </w:pPr>
      <w:r w:rsidRPr="00347AAF">
        <w:rPr>
          <w:rFonts w:ascii="Arial" w:hAnsi="Arial" w:cs="Arial"/>
          <w:lang w:val="en-PH"/>
        </w:rPr>
        <w:t>Did not assess competency-related outcomes.</w:t>
      </w:r>
    </w:p>
    <w:p w14:paraId="1A32A015" w14:textId="77777777" w:rsidR="00347AAF" w:rsidRPr="00347AAF" w:rsidRDefault="00347AAF" w:rsidP="00347AAF">
      <w:pPr>
        <w:pStyle w:val="Body"/>
        <w:numPr>
          <w:ilvl w:val="0"/>
          <w:numId w:val="35"/>
        </w:numPr>
        <w:spacing w:after="0"/>
        <w:rPr>
          <w:rFonts w:ascii="Arial" w:hAnsi="Arial" w:cs="Arial"/>
          <w:lang w:val="en-PH"/>
        </w:rPr>
      </w:pPr>
      <w:r w:rsidRPr="00347AAF">
        <w:rPr>
          <w:rFonts w:ascii="Arial" w:hAnsi="Arial" w:cs="Arial"/>
          <w:lang w:val="en-PH"/>
        </w:rPr>
        <w:t>Discussed simulation without measurable educational impact.</w:t>
      </w:r>
    </w:p>
    <w:p w14:paraId="1C21CFE5" w14:textId="3822CAED" w:rsidR="00347AAF" w:rsidRDefault="00347AAF" w:rsidP="00EA09FC">
      <w:pPr>
        <w:pStyle w:val="Body"/>
        <w:spacing w:after="0"/>
        <w:rPr>
          <w:rFonts w:ascii="Arial" w:hAnsi="Arial" w:cs="Arial"/>
          <w:lang w:val="en-PH"/>
        </w:rPr>
      </w:pPr>
      <w:r w:rsidRPr="00347AAF">
        <w:rPr>
          <w:rFonts w:ascii="Arial" w:hAnsi="Arial" w:cs="Arial"/>
          <w:lang w:val="en-PH"/>
        </w:rPr>
        <w:t xml:space="preserve">Following screening and eligibility assessment, a total of selected studies </w:t>
      </w:r>
      <w:proofErr w:type="gramStart"/>
      <w:r w:rsidRPr="00347AAF">
        <w:rPr>
          <w:rFonts w:ascii="Arial" w:hAnsi="Arial" w:cs="Arial"/>
          <w:lang w:val="en-PH"/>
        </w:rPr>
        <w:t>were</w:t>
      </w:r>
      <w:proofErr w:type="gramEnd"/>
      <w:r w:rsidRPr="00347AAF">
        <w:rPr>
          <w:rFonts w:ascii="Arial" w:hAnsi="Arial" w:cs="Arial"/>
          <w:lang w:val="en-PH"/>
        </w:rPr>
        <w:t xml:space="preserve"> included for thematic synthesis.</w:t>
      </w:r>
    </w:p>
    <w:p w14:paraId="20F7E587" w14:textId="77777777" w:rsidR="00EA09FC" w:rsidRPr="00347AAF" w:rsidRDefault="00EA09FC" w:rsidP="00EA09FC">
      <w:pPr>
        <w:pStyle w:val="Body"/>
        <w:spacing w:after="0"/>
        <w:rPr>
          <w:rFonts w:ascii="Arial" w:hAnsi="Arial" w:cs="Arial"/>
          <w:lang w:val="en-PH"/>
        </w:rPr>
      </w:pPr>
    </w:p>
    <w:p w14:paraId="583157E3" w14:textId="77777777" w:rsidR="00347AAF" w:rsidRDefault="00347AAF" w:rsidP="00347AAF">
      <w:pPr>
        <w:pStyle w:val="Body"/>
        <w:spacing w:after="0"/>
        <w:rPr>
          <w:rFonts w:ascii="Arial" w:hAnsi="Arial" w:cs="Arial"/>
          <w:b/>
          <w:bCs/>
          <w:lang w:val="en-PH"/>
        </w:rPr>
      </w:pPr>
      <w:r w:rsidRPr="00347AAF">
        <w:rPr>
          <w:rFonts w:ascii="Arial" w:hAnsi="Arial" w:cs="Arial"/>
          <w:b/>
          <w:bCs/>
          <w:lang w:val="en-PH"/>
        </w:rPr>
        <w:t>2.3 Data Extraction and Thematic Analysis</w:t>
      </w:r>
    </w:p>
    <w:p w14:paraId="426889BB" w14:textId="77777777" w:rsidR="00347AAF" w:rsidRPr="00347AAF" w:rsidRDefault="00347AAF" w:rsidP="00347AAF">
      <w:pPr>
        <w:pStyle w:val="Body"/>
        <w:spacing w:after="0"/>
        <w:rPr>
          <w:rFonts w:ascii="Arial" w:hAnsi="Arial" w:cs="Arial"/>
          <w:b/>
          <w:bCs/>
          <w:lang w:val="en-PH"/>
        </w:rPr>
      </w:pPr>
    </w:p>
    <w:p w14:paraId="7805752E" w14:textId="77777777" w:rsidR="00347AAF" w:rsidRDefault="00347AAF" w:rsidP="00347AAF">
      <w:pPr>
        <w:pStyle w:val="Body"/>
        <w:spacing w:after="0"/>
        <w:rPr>
          <w:rFonts w:ascii="Arial" w:hAnsi="Arial" w:cs="Arial"/>
          <w:lang w:val="en-PH"/>
        </w:rPr>
      </w:pPr>
      <w:r w:rsidRPr="00347AAF">
        <w:rPr>
          <w:rFonts w:ascii="Arial" w:hAnsi="Arial" w:cs="Arial"/>
          <w:lang w:val="en-PH"/>
        </w:rPr>
        <w:lastRenderedPageBreak/>
        <w:t>Relevant data were extracted from each selected study, including author(s), year of publication, research design, sample characteristics, type of simulation employed, outcome measures, and key findings. Extracted data were organized into a literature matrix to facilitate comparison and synthesis.</w:t>
      </w:r>
    </w:p>
    <w:p w14:paraId="1CA3E67B" w14:textId="77777777" w:rsidR="00347AAF" w:rsidRPr="00347AAF" w:rsidRDefault="00347AAF" w:rsidP="00347AAF">
      <w:pPr>
        <w:pStyle w:val="Body"/>
        <w:spacing w:after="0"/>
        <w:rPr>
          <w:rFonts w:ascii="Arial" w:hAnsi="Arial" w:cs="Arial"/>
          <w:lang w:val="en-PH"/>
        </w:rPr>
      </w:pPr>
    </w:p>
    <w:p w14:paraId="046D5E20" w14:textId="77777777" w:rsidR="00347AAF" w:rsidRDefault="00347AAF" w:rsidP="00347AAF">
      <w:pPr>
        <w:pStyle w:val="Body"/>
        <w:spacing w:after="0"/>
        <w:rPr>
          <w:rFonts w:ascii="Arial" w:hAnsi="Arial" w:cs="Arial"/>
          <w:lang w:val="en-PH"/>
        </w:rPr>
      </w:pPr>
      <w:r w:rsidRPr="00347AAF">
        <w:rPr>
          <w:rFonts w:ascii="Arial" w:hAnsi="Arial" w:cs="Arial"/>
          <w:lang w:val="en-PH"/>
        </w:rPr>
        <w:t>A thematic analysis approach was employed to identify recurring patterns across studies. Findings were grouped into major themes, including: (1) theoretical foundations of simulation-based learning, (2) impact on clinical skill development, (3) enhancement of clinical judgment and decision-making, (4) contributions to patient safety and teamwork, and (5) implementation challenges and emerging trends. These themes structured the Results and Discussion section of the review.</w:t>
      </w:r>
    </w:p>
    <w:p w14:paraId="0252E2E9" w14:textId="77777777" w:rsidR="00196690" w:rsidRDefault="00196690" w:rsidP="00347AAF">
      <w:pPr>
        <w:pStyle w:val="Body"/>
        <w:spacing w:after="0"/>
        <w:rPr>
          <w:rFonts w:ascii="Arial" w:hAnsi="Arial" w:cs="Arial"/>
          <w:lang w:val="en-PH"/>
        </w:rPr>
      </w:pPr>
    </w:p>
    <w:p w14:paraId="76970B58" w14:textId="77777777" w:rsidR="00196690" w:rsidRDefault="00196690" w:rsidP="00196690">
      <w:pPr>
        <w:pStyle w:val="Body"/>
        <w:spacing w:after="0"/>
        <w:rPr>
          <w:rFonts w:ascii="Arial" w:hAnsi="Arial" w:cs="Arial"/>
          <w:b/>
          <w:bCs/>
          <w:lang w:val="en-PH"/>
        </w:rPr>
      </w:pPr>
      <w:r w:rsidRPr="00196690">
        <w:rPr>
          <w:rFonts w:ascii="Arial" w:hAnsi="Arial" w:cs="Arial"/>
          <w:b/>
          <w:bCs/>
          <w:lang w:val="en-PH"/>
        </w:rPr>
        <w:t>Table 1. Summary of Selected Studies on Simulation-Based Nursing Education (Validated, n = 20)</w:t>
      </w:r>
    </w:p>
    <w:p w14:paraId="072310CE" w14:textId="77777777" w:rsidR="00196690" w:rsidRPr="00196690" w:rsidRDefault="00196690" w:rsidP="00196690">
      <w:pPr>
        <w:pStyle w:val="Body"/>
        <w:spacing w:after="0"/>
        <w:rPr>
          <w:rFonts w:ascii="Arial" w:hAnsi="Arial" w:cs="Arial"/>
          <w:b/>
          <w:bCs/>
          <w:lang w:val="en-PH"/>
        </w:rPr>
      </w:pPr>
    </w:p>
    <w:tbl>
      <w:tblPr>
        <w:tblStyle w:val="TableGrid"/>
        <w:tblW w:w="8587" w:type="dxa"/>
        <w:tblLook w:val="04A0" w:firstRow="1" w:lastRow="0" w:firstColumn="1" w:lastColumn="0" w:noHBand="0" w:noVBand="1"/>
      </w:tblPr>
      <w:tblGrid>
        <w:gridCol w:w="1239"/>
        <w:gridCol w:w="661"/>
        <w:gridCol w:w="1362"/>
        <w:gridCol w:w="1551"/>
        <w:gridCol w:w="1272"/>
        <w:gridCol w:w="1606"/>
        <w:gridCol w:w="1628"/>
      </w:tblGrid>
      <w:tr w:rsidR="00196690" w:rsidRPr="00196690" w14:paraId="2009242D" w14:textId="77777777" w:rsidTr="00196690">
        <w:tc>
          <w:tcPr>
            <w:tcW w:w="1121" w:type="dxa"/>
            <w:hideMark/>
          </w:tcPr>
          <w:p w14:paraId="1B9B2C8D" w14:textId="77777777" w:rsidR="00196690" w:rsidRPr="00196690" w:rsidRDefault="00196690" w:rsidP="00196690">
            <w:pPr>
              <w:pStyle w:val="Body"/>
              <w:rPr>
                <w:rFonts w:ascii="Arial" w:hAnsi="Arial" w:cs="Arial"/>
                <w:b/>
                <w:bCs/>
                <w:sz w:val="20"/>
                <w:szCs w:val="20"/>
                <w:lang w:val="en-PH"/>
              </w:rPr>
            </w:pPr>
            <w:r w:rsidRPr="00196690">
              <w:rPr>
                <w:rFonts w:ascii="Arial" w:hAnsi="Arial" w:cs="Arial"/>
                <w:b/>
                <w:bCs/>
                <w:sz w:val="20"/>
                <w:szCs w:val="20"/>
                <w:lang w:val="en-PH"/>
              </w:rPr>
              <w:t>Author(s)</w:t>
            </w:r>
          </w:p>
        </w:tc>
        <w:tc>
          <w:tcPr>
            <w:tcW w:w="773" w:type="dxa"/>
            <w:hideMark/>
          </w:tcPr>
          <w:p w14:paraId="2B08E12F" w14:textId="77777777" w:rsidR="00196690" w:rsidRPr="00196690" w:rsidRDefault="00196690" w:rsidP="00196690">
            <w:pPr>
              <w:pStyle w:val="Body"/>
              <w:rPr>
                <w:rFonts w:ascii="Arial" w:hAnsi="Arial" w:cs="Arial"/>
                <w:b/>
                <w:bCs/>
                <w:sz w:val="20"/>
                <w:szCs w:val="20"/>
                <w:lang w:val="en-PH"/>
              </w:rPr>
            </w:pPr>
            <w:r w:rsidRPr="00196690">
              <w:rPr>
                <w:rFonts w:ascii="Arial" w:hAnsi="Arial" w:cs="Arial"/>
                <w:b/>
                <w:bCs/>
                <w:sz w:val="20"/>
                <w:szCs w:val="20"/>
                <w:lang w:val="en-PH"/>
              </w:rPr>
              <w:t>Year</w:t>
            </w:r>
          </w:p>
        </w:tc>
        <w:tc>
          <w:tcPr>
            <w:tcW w:w="1231" w:type="dxa"/>
            <w:hideMark/>
          </w:tcPr>
          <w:p w14:paraId="0EB39840" w14:textId="77777777" w:rsidR="00196690" w:rsidRPr="00196690" w:rsidRDefault="00196690" w:rsidP="00196690">
            <w:pPr>
              <w:pStyle w:val="Body"/>
              <w:rPr>
                <w:rFonts w:ascii="Arial" w:hAnsi="Arial" w:cs="Arial"/>
                <w:b/>
                <w:bCs/>
                <w:sz w:val="20"/>
                <w:szCs w:val="20"/>
                <w:lang w:val="en-PH"/>
              </w:rPr>
            </w:pPr>
            <w:r w:rsidRPr="00196690">
              <w:rPr>
                <w:rFonts w:ascii="Arial" w:hAnsi="Arial" w:cs="Arial"/>
                <w:b/>
                <w:bCs/>
                <w:sz w:val="20"/>
                <w:szCs w:val="20"/>
                <w:lang w:val="en-PH"/>
              </w:rPr>
              <w:t>Research design</w:t>
            </w:r>
          </w:p>
        </w:tc>
        <w:tc>
          <w:tcPr>
            <w:tcW w:w="1398" w:type="dxa"/>
            <w:hideMark/>
          </w:tcPr>
          <w:p w14:paraId="1AE4905E" w14:textId="77777777" w:rsidR="00196690" w:rsidRPr="00196690" w:rsidRDefault="00196690" w:rsidP="00196690">
            <w:pPr>
              <w:pStyle w:val="Body"/>
              <w:rPr>
                <w:rFonts w:ascii="Arial" w:hAnsi="Arial" w:cs="Arial"/>
                <w:b/>
                <w:bCs/>
                <w:sz w:val="20"/>
                <w:szCs w:val="20"/>
                <w:lang w:val="en-PH"/>
              </w:rPr>
            </w:pPr>
            <w:r w:rsidRPr="00196690">
              <w:rPr>
                <w:rFonts w:ascii="Arial" w:hAnsi="Arial" w:cs="Arial"/>
                <w:b/>
                <w:bCs/>
                <w:sz w:val="20"/>
                <w:szCs w:val="20"/>
                <w:lang w:val="en-PH"/>
              </w:rPr>
              <w:t>Sample</w:t>
            </w:r>
          </w:p>
        </w:tc>
        <w:tc>
          <w:tcPr>
            <w:tcW w:w="1151" w:type="dxa"/>
            <w:hideMark/>
          </w:tcPr>
          <w:p w14:paraId="4D8313B4" w14:textId="77777777" w:rsidR="00196690" w:rsidRPr="00196690" w:rsidRDefault="00196690" w:rsidP="00196690">
            <w:pPr>
              <w:pStyle w:val="Body"/>
              <w:rPr>
                <w:rFonts w:ascii="Arial" w:hAnsi="Arial" w:cs="Arial"/>
                <w:b/>
                <w:bCs/>
                <w:sz w:val="20"/>
                <w:szCs w:val="20"/>
                <w:lang w:val="en-PH"/>
              </w:rPr>
            </w:pPr>
            <w:r w:rsidRPr="00196690">
              <w:rPr>
                <w:rFonts w:ascii="Arial" w:hAnsi="Arial" w:cs="Arial"/>
                <w:b/>
                <w:bCs/>
                <w:sz w:val="20"/>
                <w:szCs w:val="20"/>
                <w:lang w:val="en-PH"/>
              </w:rPr>
              <w:t>Type of simulation</w:t>
            </w:r>
          </w:p>
        </w:tc>
        <w:tc>
          <w:tcPr>
            <w:tcW w:w="1447" w:type="dxa"/>
            <w:hideMark/>
          </w:tcPr>
          <w:p w14:paraId="3897CB04" w14:textId="77777777" w:rsidR="00196690" w:rsidRPr="00196690" w:rsidRDefault="00196690" w:rsidP="00196690">
            <w:pPr>
              <w:pStyle w:val="Body"/>
              <w:rPr>
                <w:rFonts w:ascii="Arial" w:hAnsi="Arial" w:cs="Arial"/>
                <w:b/>
                <w:bCs/>
                <w:sz w:val="20"/>
                <w:szCs w:val="20"/>
                <w:lang w:val="en-PH"/>
              </w:rPr>
            </w:pPr>
            <w:r w:rsidRPr="00196690">
              <w:rPr>
                <w:rFonts w:ascii="Arial" w:hAnsi="Arial" w:cs="Arial"/>
                <w:b/>
                <w:bCs/>
                <w:sz w:val="20"/>
                <w:szCs w:val="20"/>
                <w:lang w:val="en-PH"/>
              </w:rPr>
              <w:t>Outcome measures</w:t>
            </w:r>
          </w:p>
        </w:tc>
        <w:tc>
          <w:tcPr>
            <w:tcW w:w="1466" w:type="dxa"/>
            <w:hideMark/>
          </w:tcPr>
          <w:p w14:paraId="32541E23" w14:textId="77777777" w:rsidR="00196690" w:rsidRPr="00196690" w:rsidRDefault="00196690" w:rsidP="00196690">
            <w:pPr>
              <w:pStyle w:val="Body"/>
              <w:rPr>
                <w:rFonts w:ascii="Arial" w:hAnsi="Arial" w:cs="Arial"/>
                <w:b/>
                <w:bCs/>
                <w:sz w:val="20"/>
                <w:szCs w:val="20"/>
                <w:lang w:val="en-PH"/>
              </w:rPr>
            </w:pPr>
            <w:r w:rsidRPr="00196690">
              <w:rPr>
                <w:rFonts w:ascii="Arial" w:hAnsi="Arial" w:cs="Arial"/>
                <w:b/>
                <w:bCs/>
                <w:sz w:val="20"/>
                <w:szCs w:val="20"/>
                <w:lang w:val="en-PH"/>
              </w:rPr>
              <w:t>Key findings</w:t>
            </w:r>
          </w:p>
        </w:tc>
      </w:tr>
      <w:tr w:rsidR="00196690" w:rsidRPr="00196690" w14:paraId="079146D9" w14:textId="77777777" w:rsidTr="00196690">
        <w:tc>
          <w:tcPr>
            <w:tcW w:w="1121" w:type="dxa"/>
            <w:hideMark/>
          </w:tcPr>
          <w:p w14:paraId="19BD8886"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Hayden, Smiley, Alexander, Kardong-Edgren, &amp; Jeffries</w:t>
            </w:r>
          </w:p>
        </w:tc>
        <w:tc>
          <w:tcPr>
            <w:tcW w:w="773" w:type="dxa"/>
            <w:hideMark/>
          </w:tcPr>
          <w:p w14:paraId="172B3CAC"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2014</w:t>
            </w:r>
          </w:p>
        </w:tc>
        <w:tc>
          <w:tcPr>
            <w:tcW w:w="1231" w:type="dxa"/>
            <w:hideMark/>
          </w:tcPr>
          <w:p w14:paraId="70C34A9A"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Longitudinal randomized controlled study</w:t>
            </w:r>
          </w:p>
        </w:tc>
        <w:tc>
          <w:tcPr>
            <w:tcW w:w="1398" w:type="dxa"/>
            <w:hideMark/>
          </w:tcPr>
          <w:p w14:paraId="0F11F806"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Prelicensure nursing students</w:t>
            </w:r>
          </w:p>
        </w:tc>
        <w:tc>
          <w:tcPr>
            <w:tcW w:w="1151" w:type="dxa"/>
            <w:hideMark/>
          </w:tcPr>
          <w:p w14:paraId="3F64BE3E"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High-fidelity simulation replacing part of clinical hours</w:t>
            </w:r>
          </w:p>
        </w:tc>
        <w:tc>
          <w:tcPr>
            <w:tcW w:w="1447" w:type="dxa"/>
            <w:hideMark/>
          </w:tcPr>
          <w:p w14:paraId="16E335FB"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Clinical readiness, licensure performance</w:t>
            </w:r>
          </w:p>
        </w:tc>
        <w:tc>
          <w:tcPr>
            <w:tcW w:w="1466" w:type="dxa"/>
            <w:hideMark/>
          </w:tcPr>
          <w:p w14:paraId="259A8F6A"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Up to 50% of clinical hours were replaced without compromising outcomes</w:t>
            </w:r>
          </w:p>
        </w:tc>
      </w:tr>
      <w:tr w:rsidR="00196690" w:rsidRPr="00196690" w14:paraId="75269469" w14:textId="77777777" w:rsidTr="00196690">
        <w:tc>
          <w:tcPr>
            <w:tcW w:w="1121" w:type="dxa"/>
            <w:hideMark/>
          </w:tcPr>
          <w:p w14:paraId="6B57B5D1"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Shin, Park, &amp; Kim</w:t>
            </w:r>
          </w:p>
        </w:tc>
        <w:tc>
          <w:tcPr>
            <w:tcW w:w="773" w:type="dxa"/>
            <w:hideMark/>
          </w:tcPr>
          <w:p w14:paraId="1EE6FB9A"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2015</w:t>
            </w:r>
          </w:p>
        </w:tc>
        <w:tc>
          <w:tcPr>
            <w:tcW w:w="1231" w:type="dxa"/>
            <w:hideMark/>
          </w:tcPr>
          <w:p w14:paraId="1E4F1359"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Meta-analysis</w:t>
            </w:r>
          </w:p>
        </w:tc>
        <w:tc>
          <w:tcPr>
            <w:tcW w:w="1398" w:type="dxa"/>
            <w:hideMark/>
          </w:tcPr>
          <w:p w14:paraId="5AA5ECFC"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Nursing students</w:t>
            </w:r>
          </w:p>
        </w:tc>
        <w:tc>
          <w:tcPr>
            <w:tcW w:w="1151" w:type="dxa"/>
            <w:hideMark/>
          </w:tcPr>
          <w:p w14:paraId="2A816D78"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Patient simulation</w:t>
            </w:r>
          </w:p>
        </w:tc>
        <w:tc>
          <w:tcPr>
            <w:tcW w:w="1447" w:type="dxa"/>
            <w:hideMark/>
          </w:tcPr>
          <w:p w14:paraId="425159FA"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Clinical performance</w:t>
            </w:r>
          </w:p>
        </w:tc>
        <w:tc>
          <w:tcPr>
            <w:tcW w:w="1466" w:type="dxa"/>
            <w:hideMark/>
          </w:tcPr>
          <w:p w14:paraId="45F5AD4D"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Simulation showed medium to large positive effects compared with traditional learning</w:t>
            </w:r>
          </w:p>
        </w:tc>
      </w:tr>
      <w:tr w:rsidR="00196690" w:rsidRPr="00196690" w14:paraId="662338DB" w14:textId="77777777" w:rsidTr="00196690">
        <w:tc>
          <w:tcPr>
            <w:tcW w:w="1121" w:type="dxa"/>
            <w:hideMark/>
          </w:tcPr>
          <w:p w14:paraId="641874A8" w14:textId="77777777" w:rsidR="00196690" w:rsidRPr="00196690" w:rsidRDefault="00196690" w:rsidP="00196690">
            <w:pPr>
              <w:pStyle w:val="Body"/>
              <w:rPr>
                <w:rFonts w:ascii="Arial" w:hAnsi="Arial" w:cs="Arial"/>
                <w:sz w:val="20"/>
                <w:szCs w:val="20"/>
                <w:lang w:val="en-PH"/>
              </w:rPr>
            </w:pPr>
            <w:proofErr w:type="gramStart"/>
            <w:r w:rsidRPr="00196690">
              <w:rPr>
                <w:rFonts w:ascii="Arial" w:hAnsi="Arial" w:cs="Arial"/>
                <w:sz w:val="20"/>
                <w:szCs w:val="20"/>
                <w:lang w:val="en-PH"/>
              </w:rPr>
              <w:t>Cant</w:t>
            </w:r>
            <w:proofErr w:type="gramEnd"/>
            <w:r w:rsidRPr="00196690">
              <w:rPr>
                <w:rFonts w:ascii="Arial" w:hAnsi="Arial" w:cs="Arial"/>
                <w:sz w:val="20"/>
                <w:szCs w:val="20"/>
                <w:lang w:val="en-PH"/>
              </w:rPr>
              <w:t xml:space="preserve"> &amp; Cooper</w:t>
            </w:r>
          </w:p>
        </w:tc>
        <w:tc>
          <w:tcPr>
            <w:tcW w:w="773" w:type="dxa"/>
            <w:hideMark/>
          </w:tcPr>
          <w:p w14:paraId="19403C42"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2017</w:t>
            </w:r>
          </w:p>
        </w:tc>
        <w:tc>
          <w:tcPr>
            <w:tcW w:w="1231" w:type="dxa"/>
            <w:hideMark/>
          </w:tcPr>
          <w:p w14:paraId="505460AE"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State-of-the-art review and meta-analysis</w:t>
            </w:r>
          </w:p>
        </w:tc>
        <w:tc>
          <w:tcPr>
            <w:tcW w:w="1398" w:type="dxa"/>
            <w:hideMark/>
          </w:tcPr>
          <w:p w14:paraId="500DCF99"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Prelicensure nursing students</w:t>
            </w:r>
          </w:p>
        </w:tc>
        <w:tc>
          <w:tcPr>
            <w:tcW w:w="1151" w:type="dxa"/>
            <w:hideMark/>
          </w:tcPr>
          <w:p w14:paraId="3CE1F8FF"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Simulation-based learning</w:t>
            </w:r>
          </w:p>
        </w:tc>
        <w:tc>
          <w:tcPr>
            <w:tcW w:w="1447" w:type="dxa"/>
            <w:hideMark/>
          </w:tcPr>
          <w:p w14:paraId="441A355D"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Knowledge, skills, confidence</w:t>
            </w:r>
          </w:p>
        </w:tc>
        <w:tc>
          <w:tcPr>
            <w:tcW w:w="1466" w:type="dxa"/>
            <w:hideMark/>
          </w:tcPr>
          <w:p w14:paraId="3C7E0BC0"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Simulation improved knowledge and supported competence development</w:t>
            </w:r>
          </w:p>
        </w:tc>
      </w:tr>
      <w:tr w:rsidR="00196690" w:rsidRPr="00196690" w14:paraId="4237408B" w14:textId="77777777" w:rsidTr="00196690">
        <w:tc>
          <w:tcPr>
            <w:tcW w:w="1121" w:type="dxa"/>
            <w:hideMark/>
          </w:tcPr>
          <w:p w14:paraId="704923C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Høegh-Larsen, Gonzalez, Reierson, Husebø, Hofoss, &amp; Ravik</w:t>
            </w:r>
          </w:p>
        </w:tc>
        <w:tc>
          <w:tcPr>
            <w:tcW w:w="773" w:type="dxa"/>
            <w:hideMark/>
          </w:tcPr>
          <w:p w14:paraId="40EDF9DC"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2023</w:t>
            </w:r>
          </w:p>
        </w:tc>
        <w:tc>
          <w:tcPr>
            <w:tcW w:w="1231" w:type="dxa"/>
            <w:hideMark/>
          </w:tcPr>
          <w:p w14:paraId="049736E1"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Comparative study</w:t>
            </w:r>
          </w:p>
        </w:tc>
        <w:tc>
          <w:tcPr>
            <w:tcW w:w="1398" w:type="dxa"/>
            <w:hideMark/>
          </w:tcPr>
          <w:p w14:paraId="382113EE"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Nursing students</w:t>
            </w:r>
          </w:p>
        </w:tc>
        <w:tc>
          <w:tcPr>
            <w:tcW w:w="1151" w:type="dxa"/>
            <w:hideMark/>
          </w:tcPr>
          <w:p w14:paraId="68066228"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Simulation and clinical placement</w:t>
            </w:r>
          </w:p>
        </w:tc>
        <w:tc>
          <w:tcPr>
            <w:tcW w:w="1447" w:type="dxa"/>
            <w:hideMark/>
          </w:tcPr>
          <w:p w14:paraId="57F08A6C"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Clinical judgment skills</w:t>
            </w:r>
          </w:p>
        </w:tc>
        <w:tc>
          <w:tcPr>
            <w:tcW w:w="1466" w:type="dxa"/>
            <w:hideMark/>
          </w:tcPr>
          <w:p w14:paraId="41FB2EAC"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Students rated themselves higher than evaluators, especially in simulation</w:t>
            </w:r>
          </w:p>
        </w:tc>
      </w:tr>
      <w:tr w:rsidR="00196690" w:rsidRPr="00196690" w14:paraId="681D7507" w14:textId="77777777" w:rsidTr="00196690">
        <w:tc>
          <w:tcPr>
            <w:tcW w:w="1121" w:type="dxa"/>
            <w:hideMark/>
          </w:tcPr>
          <w:p w14:paraId="5CB3F4B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 xml:space="preserve">Chen, Leng, Ge, Wang, Li, Chen, &amp; </w:t>
            </w:r>
            <w:r w:rsidRPr="00196690">
              <w:rPr>
                <w:rFonts w:ascii="Arial" w:hAnsi="Arial" w:cs="Arial"/>
                <w:sz w:val="20"/>
                <w:szCs w:val="20"/>
                <w:lang w:val="en-PH"/>
              </w:rPr>
              <w:lastRenderedPageBreak/>
              <w:t>Sun</w:t>
            </w:r>
          </w:p>
        </w:tc>
        <w:tc>
          <w:tcPr>
            <w:tcW w:w="773" w:type="dxa"/>
            <w:hideMark/>
          </w:tcPr>
          <w:p w14:paraId="7EBF7FEB"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lastRenderedPageBreak/>
              <w:t>2020</w:t>
            </w:r>
          </w:p>
        </w:tc>
        <w:tc>
          <w:tcPr>
            <w:tcW w:w="1231" w:type="dxa"/>
            <w:hideMark/>
          </w:tcPr>
          <w:p w14:paraId="139B551B"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Meta-analysis</w:t>
            </w:r>
          </w:p>
        </w:tc>
        <w:tc>
          <w:tcPr>
            <w:tcW w:w="1398" w:type="dxa"/>
            <w:hideMark/>
          </w:tcPr>
          <w:p w14:paraId="491CB4AA"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Nursing students</w:t>
            </w:r>
          </w:p>
        </w:tc>
        <w:tc>
          <w:tcPr>
            <w:tcW w:w="1151" w:type="dxa"/>
            <w:hideMark/>
          </w:tcPr>
          <w:p w14:paraId="6D4BBF03"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Virtual reality simulation</w:t>
            </w:r>
          </w:p>
        </w:tc>
        <w:tc>
          <w:tcPr>
            <w:tcW w:w="1447" w:type="dxa"/>
            <w:hideMark/>
          </w:tcPr>
          <w:p w14:paraId="0DEBCD7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 xml:space="preserve">Knowledge, skills, satisfaction, </w:t>
            </w:r>
            <w:r w:rsidRPr="00196690">
              <w:rPr>
                <w:rFonts w:ascii="Arial" w:hAnsi="Arial" w:cs="Arial"/>
                <w:sz w:val="20"/>
                <w:szCs w:val="20"/>
                <w:lang w:val="en-PH"/>
              </w:rPr>
              <w:lastRenderedPageBreak/>
              <w:t>confidence</w:t>
            </w:r>
          </w:p>
        </w:tc>
        <w:tc>
          <w:tcPr>
            <w:tcW w:w="1466" w:type="dxa"/>
            <w:hideMark/>
          </w:tcPr>
          <w:p w14:paraId="2A359C41"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lastRenderedPageBreak/>
              <w:t xml:space="preserve">VR improved several nursing learning </w:t>
            </w:r>
            <w:r w:rsidRPr="00196690">
              <w:rPr>
                <w:rFonts w:ascii="Arial" w:hAnsi="Arial" w:cs="Arial"/>
                <w:sz w:val="20"/>
                <w:szCs w:val="20"/>
                <w:lang w:val="en-PH"/>
              </w:rPr>
              <w:lastRenderedPageBreak/>
              <w:t>outcomes</w:t>
            </w:r>
          </w:p>
        </w:tc>
      </w:tr>
      <w:tr w:rsidR="00196690" w:rsidRPr="00196690" w14:paraId="5D4599EE" w14:textId="77777777" w:rsidTr="00196690">
        <w:tc>
          <w:tcPr>
            <w:tcW w:w="1121" w:type="dxa"/>
            <w:hideMark/>
          </w:tcPr>
          <w:p w14:paraId="4D1F7997" w14:textId="77777777" w:rsidR="00196690" w:rsidRPr="00196690" w:rsidRDefault="00196690" w:rsidP="00196690">
            <w:pPr>
              <w:pStyle w:val="Body"/>
              <w:rPr>
                <w:rFonts w:ascii="Arial" w:hAnsi="Arial" w:cs="Arial"/>
                <w:sz w:val="20"/>
                <w:szCs w:val="20"/>
                <w:lang w:val="it-IT"/>
              </w:rPr>
            </w:pPr>
            <w:r w:rsidRPr="00196690">
              <w:rPr>
                <w:rFonts w:ascii="Arial" w:hAnsi="Arial" w:cs="Arial"/>
                <w:sz w:val="20"/>
                <w:szCs w:val="20"/>
                <w:lang w:val="it-IT"/>
              </w:rPr>
              <w:lastRenderedPageBreak/>
              <w:t>Liu, Li, Yang, Guo, &amp; Chen</w:t>
            </w:r>
          </w:p>
        </w:tc>
        <w:tc>
          <w:tcPr>
            <w:tcW w:w="773" w:type="dxa"/>
            <w:hideMark/>
          </w:tcPr>
          <w:p w14:paraId="4B886CD9"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2023</w:t>
            </w:r>
          </w:p>
        </w:tc>
        <w:tc>
          <w:tcPr>
            <w:tcW w:w="1231" w:type="dxa"/>
            <w:hideMark/>
          </w:tcPr>
          <w:p w14:paraId="4BC49640"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Meta-analysis</w:t>
            </w:r>
          </w:p>
        </w:tc>
        <w:tc>
          <w:tcPr>
            <w:tcW w:w="1398" w:type="dxa"/>
            <w:hideMark/>
          </w:tcPr>
          <w:p w14:paraId="4FC4F1C9"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Nursing students</w:t>
            </w:r>
          </w:p>
        </w:tc>
        <w:tc>
          <w:tcPr>
            <w:tcW w:w="1151" w:type="dxa"/>
            <w:hideMark/>
          </w:tcPr>
          <w:p w14:paraId="517C925F"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Virtual simulation</w:t>
            </w:r>
          </w:p>
        </w:tc>
        <w:tc>
          <w:tcPr>
            <w:tcW w:w="1447" w:type="dxa"/>
            <w:hideMark/>
          </w:tcPr>
          <w:p w14:paraId="330824FF"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Clinical reasoning, learning outcomes</w:t>
            </w:r>
          </w:p>
        </w:tc>
        <w:tc>
          <w:tcPr>
            <w:tcW w:w="1466" w:type="dxa"/>
            <w:hideMark/>
          </w:tcPr>
          <w:p w14:paraId="5A802659"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Virtual simulation improved reasoning and retention outcomes</w:t>
            </w:r>
          </w:p>
        </w:tc>
      </w:tr>
      <w:tr w:rsidR="00196690" w:rsidRPr="00196690" w14:paraId="7B431126" w14:textId="77777777" w:rsidTr="00196690">
        <w:tc>
          <w:tcPr>
            <w:tcW w:w="1121" w:type="dxa"/>
            <w:hideMark/>
          </w:tcPr>
          <w:p w14:paraId="522F170D"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Yoo &amp; Park</w:t>
            </w:r>
          </w:p>
        </w:tc>
        <w:tc>
          <w:tcPr>
            <w:tcW w:w="773" w:type="dxa"/>
            <w:hideMark/>
          </w:tcPr>
          <w:p w14:paraId="73943FFC"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2013</w:t>
            </w:r>
          </w:p>
        </w:tc>
        <w:tc>
          <w:tcPr>
            <w:tcW w:w="1231" w:type="dxa"/>
            <w:hideMark/>
          </w:tcPr>
          <w:p w14:paraId="1967A6D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Quasi-experimental study</w:t>
            </w:r>
          </w:p>
        </w:tc>
        <w:tc>
          <w:tcPr>
            <w:tcW w:w="1398" w:type="dxa"/>
            <w:hideMark/>
          </w:tcPr>
          <w:p w14:paraId="3877C54B"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Graduate nurses</w:t>
            </w:r>
          </w:p>
        </w:tc>
        <w:tc>
          <w:tcPr>
            <w:tcW w:w="1151" w:type="dxa"/>
            <w:hideMark/>
          </w:tcPr>
          <w:p w14:paraId="65D8A383"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Case-based learning</w:t>
            </w:r>
          </w:p>
        </w:tc>
        <w:tc>
          <w:tcPr>
            <w:tcW w:w="1447" w:type="dxa"/>
            <w:hideMark/>
          </w:tcPr>
          <w:p w14:paraId="4305CD8E"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Problem-solving ability</w:t>
            </w:r>
          </w:p>
        </w:tc>
        <w:tc>
          <w:tcPr>
            <w:tcW w:w="1466" w:type="dxa"/>
            <w:hideMark/>
          </w:tcPr>
          <w:p w14:paraId="50AB88D1"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Case-based learning improved problem-solving ability</w:t>
            </w:r>
          </w:p>
        </w:tc>
      </w:tr>
      <w:tr w:rsidR="00196690" w:rsidRPr="00196690" w14:paraId="42FDBB68" w14:textId="77777777" w:rsidTr="00196690">
        <w:tc>
          <w:tcPr>
            <w:tcW w:w="1121" w:type="dxa"/>
            <w:hideMark/>
          </w:tcPr>
          <w:p w14:paraId="56F5C814" w14:textId="77777777" w:rsidR="00196690" w:rsidRPr="00196690" w:rsidRDefault="00196690" w:rsidP="00196690">
            <w:pPr>
              <w:pStyle w:val="Body"/>
              <w:rPr>
                <w:rFonts w:ascii="Arial" w:hAnsi="Arial" w:cs="Arial"/>
                <w:sz w:val="20"/>
                <w:szCs w:val="20"/>
                <w:lang w:val="en-PH"/>
              </w:rPr>
            </w:pPr>
            <w:proofErr w:type="gramStart"/>
            <w:r w:rsidRPr="00196690">
              <w:rPr>
                <w:rFonts w:ascii="Arial" w:hAnsi="Arial" w:cs="Arial"/>
                <w:sz w:val="20"/>
                <w:szCs w:val="20"/>
                <w:lang w:val="en-PH"/>
              </w:rPr>
              <w:t>Cant</w:t>
            </w:r>
            <w:proofErr w:type="gramEnd"/>
            <w:r w:rsidRPr="00196690">
              <w:rPr>
                <w:rFonts w:ascii="Arial" w:hAnsi="Arial" w:cs="Arial"/>
                <w:sz w:val="20"/>
                <w:szCs w:val="20"/>
                <w:lang w:val="en-PH"/>
              </w:rPr>
              <w:t xml:space="preserve"> &amp; Cooper</w:t>
            </w:r>
          </w:p>
        </w:tc>
        <w:tc>
          <w:tcPr>
            <w:tcW w:w="773" w:type="dxa"/>
            <w:hideMark/>
          </w:tcPr>
          <w:p w14:paraId="2E09890C"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2010</w:t>
            </w:r>
          </w:p>
        </w:tc>
        <w:tc>
          <w:tcPr>
            <w:tcW w:w="1231" w:type="dxa"/>
            <w:hideMark/>
          </w:tcPr>
          <w:p w14:paraId="3EDB6CC6"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Systematic review</w:t>
            </w:r>
          </w:p>
        </w:tc>
        <w:tc>
          <w:tcPr>
            <w:tcW w:w="1398" w:type="dxa"/>
            <w:hideMark/>
          </w:tcPr>
          <w:p w14:paraId="02E8B27D"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Nursing students</w:t>
            </w:r>
          </w:p>
        </w:tc>
        <w:tc>
          <w:tcPr>
            <w:tcW w:w="1151" w:type="dxa"/>
            <w:hideMark/>
          </w:tcPr>
          <w:p w14:paraId="34140E9F"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Medium- to high-fidelity manikin simulation</w:t>
            </w:r>
          </w:p>
        </w:tc>
        <w:tc>
          <w:tcPr>
            <w:tcW w:w="1447" w:type="dxa"/>
            <w:hideMark/>
          </w:tcPr>
          <w:p w14:paraId="0081BFDC"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Knowledge, critical thinking, satisfaction</w:t>
            </w:r>
          </w:p>
        </w:tc>
        <w:tc>
          <w:tcPr>
            <w:tcW w:w="1466" w:type="dxa"/>
            <w:hideMark/>
          </w:tcPr>
          <w:p w14:paraId="0CAA1A17"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Simulation was a valid teaching strategy and often outperformed comparison methods</w:t>
            </w:r>
          </w:p>
        </w:tc>
      </w:tr>
      <w:tr w:rsidR="00196690" w:rsidRPr="00196690" w14:paraId="75011B42" w14:textId="77777777" w:rsidTr="00196690">
        <w:tc>
          <w:tcPr>
            <w:tcW w:w="1121" w:type="dxa"/>
            <w:hideMark/>
          </w:tcPr>
          <w:p w14:paraId="1B0B4F7D" w14:textId="77777777" w:rsidR="00196690" w:rsidRPr="00196690" w:rsidRDefault="00196690" w:rsidP="00196690">
            <w:pPr>
              <w:pStyle w:val="Body"/>
              <w:rPr>
                <w:rFonts w:ascii="Arial" w:hAnsi="Arial" w:cs="Arial"/>
                <w:sz w:val="20"/>
                <w:szCs w:val="20"/>
                <w:lang w:val="en-PH"/>
              </w:rPr>
            </w:pPr>
            <w:proofErr w:type="gramStart"/>
            <w:r w:rsidRPr="00196690">
              <w:rPr>
                <w:rFonts w:ascii="Arial" w:hAnsi="Arial" w:cs="Arial"/>
                <w:sz w:val="20"/>
                <w:szCs w:val="20"/>
                <w:lang w:val="en-PH"/>
              </w:rPr>
              <w:t>Cant</w:t>
            </w:r>
            <w:proofErr w:type="gramEnd"/>
            <w:r w:rsidRPr="00196690">
              <w:rPr>
                <w:rFonts w:ascii="Arial" w:hAnsi="Arial" w:cs="Arial"/>
                <w:sz w:val="20"/>
                <w:szCs w:val="20"/>
                <w:lang w:val="en-PH"/>
              </w:rPr>
              <w:t xml:space="preserve"> &amp; Cooper</w:t>
            </w:r>
          </w:p>
        </w:tc>
        <w:tc>
          <w:tcPr>
            <w:tcW w:w="773" w:type="dxa"/>
            <w:hideMark/>
          </w:tcPr>
          <w:p w14:paraId="1BF5258F"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2017</w:t>
            </w:r>
          </w:p>
        </w:tc>
        <w:tc>
          <w:tcPr>
            <w:tcW w:w="1231" w:type="dxa"/>
            <w:hideMark/>
          </w:tcPr>
          <w:p w14:paraId="26AEACCD"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Umbrella systematic review</w:t>
            </w:r>
          </w:p>
        </w:tc>
        <w:tc>
          <w:tcPr>
            <w:tcW w:w="1398" w:type="dxa"/>
            <w:hideMark/>
          </w:tcPr>
          <w:p w14:paraId="162803C0"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Undergraduate nursing students</w:t>
            </w:r>
          </w:p>
        </w:tc>
        <w:tc>
          <w:tcPr>
            <w:tcW w:w="1151" w:type="dxa"/>
            <w:hideMark/>
          </w:tcPr>
          <w:p w14:paraId="182496F9"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Simulation-based education</w:t>
            </w:r>
          </w:p>
        </w:tc>
        <w:tc>
          <w:tcPr>
            <w:tcW w:w="1447" w:type="dxa"/>
            <w:hideMark/>
          </w:tcPr>
          <w:p w14:paraId="4EC0871A"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Knowledge, psychomotor development, self-efficacy</w:t>
            </w:r>
          </w:p>
        </w:tc>
        <w:tc>
          <w:tcPr>
            <w:tcW w:w="1466" w:type="dxa"/>
            <w:hideMark/>
          </w:tcPr>
          <w:p w14:paraId="4B0BD692"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Simulation contributed to learning in multiple domains when integrated in curricula</w:t>
            </w:r>
          </w:p>
        </w:tc>
      </w:tr>
      <w:tr w:rsidR="00196690" w:rsidRPr="00196690" w14:paraId="36410302" w14:textId="77777777" w:rsidTr="00196690">
        <w:tc>
          <w:tcPr>
            <w:tcW w:w="1121" w:type="dxa"/>
            <w:hideMark/>
          </w:tcPr>
          <w:p w14:paraId="467F9848"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Yuan, Williams, Fang, &amp; Ye</w:t>
            </w:r>
          </w:p>
        </w:tc>
        <w:tc>
          <w:tcPr>
            <w:tcW w:w="773" w:type="dxa"/>
            <w:hideMark/>
          </w:tcPr>
          <w:p w14:paraId="2801CBD0"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2012</w:t>
            </w:r>
          </w:p>
        </w:tc>
        <w:tc>
          <w:tcPr>
            <w:tcW w:w="1231" w:type="dxa"/>
            <w:hideMark/>
          </w:tcPr>
          <w:p w14:paraId="67F4B33E"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Systematic review</w:t>
            </w:r>
          </w:p>
        </w:tc>
        <w:tc>
          <w:tcPr>
            <w:tcW w:w="1398" w:type="dxa"/>
            <w:hideMark/>
          </w:tcPr>
          <w:p w14:paraId="318D32B5"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Nursing and medical learners, including nursing students</w:t>
            </w:r>
          </w:p>
        </w:tc>
        <w:tc>
          <w:tcPr>
            <w:tcW w:w="1151" w:type="dxa"/>
            <w:hideMark/>
          </w:tcPr>
          <w:p w14:paraId="10DF13C9"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High-fidelity simulation</w:t>
            </w:r>
          </w:p>
        </w:tc>
        <w:tc>
          <w:tcPr>
            <w:tcW w:w="1447" w:type="dxa"/>
            <w:hideMark/>
          </w:tcPr>
          <w:p w14:paraId="5906CB2D"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Knowledge, skills, OSCE-related outcomes</w:t>
            </w:r>
          </w:p>
        </w:tc>
        <w:tc>
          <w:tcPr>
            <w:tcW w:w="1466" w:type="dxa"/>
            <w:hideMark/>
          </w:tcPr>
          <w:p w14:paraId="74AD7049"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High-fidelity simulation improved knowledge and skills, though OSCE evidence was mixed</w:t>
            </w:r>
          </w:p>
        </w:tc>
      </w:tr>
      <w:tr w:rsidR="00196690" w:rsidRPr="00196690" w14:paraId="48CFB334" w14:textId="77777777" w:rsidTr="00196690">
        <w:tc>
          <w:tcPr>
            <w:tcW w:w="1121" w:type="dxa"/>
            <w:hideMark/>
          </w:tcPr>
          <w:p w14:paraId="771D4355"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Kim, Park, &amp; Shin</w:t>
            </w:r>
          </w:p>
        </w:tc>
        <w:tc>
          <w:tcPr>
            <w:tcW w:w="773" w:type="dxa"/>
            <w:hideMark/>
          </w:tcPr>
          <w:p w14:paraId="38AD0B6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2016</w:t>
            </w:r>
          </w:p>
        </w:tc>
        <w:tc>
          <w:tcPr>
            <w:tcW w:w="1231" w:type="dxa"/>
            <w:hideMark/>
          </w:tcPr>
          <w:p w14:paraId="619ACA60"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Meta-analysis</w:t>
            </w:r>
          </w:p>
        </w:tc>
        <w:tc>
          <w:tcPr>
            <w:tcW w:w="1398" w:type="dxa"/>
            <w:hideMark/>
          </w:tcPr>
          <w:p w14:paraId="0A52B6EB"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Nursing students</w:t>
            </w:r>
          </w:p>
        </w:tc>
        <w:tc>
          <w:tcPr>
            <w:tcW w:w="1151" w:type="dxa"/>
            <w:hideMark/>
          </w:tcPr>
          <w:p w14:paraId="22401A62"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Simulation-based nursing education across fidelity levels</w:t>
            </w:r>
          </w:p>
        </w:tc>
        <w:tc>
          <w:tcPr>
            <w:tcW w:w="1447" w:type="dxa"/>
            <w:hideMark/>
          </w:tcPr>
          <w:p w14:paraId="1040E03F"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Learning domains by fidelity</w:t>
            </w:r>
          </w:p>
        </w:tc>
        <w:tc>
          <w:tcPr>
            <w:tcW w:w="1466" w:type="dxa"/>
            <w:hideMark/>
          </w:tcPr>
          <w:p w14:paraId="23E77EAC"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Simulation was effective overall, with stronger effects for medium- and high-fidelity approaches</w:t>
            </w:r>
          </w:p>
        </w:tc>
      </w:tr>
      <w:tr w:rsidR="00196690" w:rsidRPr="00196690" w14:paraId="4BBA1ADA" w14:textId="77777777" w:rsidTr="00196690">
        <w:tc>
          <w:tcPr>
            <w:tcW w:w="1121" w:type="dxa"/>
            <w:hideMark/>
          </w:tcPr>
          <w:p w14:paraId="631AAA02"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 xml:space="preserve">Foronda, Fernandez-Burgos, Nadeau, Kelley, &amp; </w:t>
            </w:r>
            <w:r w:rsidRPr="00196690">
              <w:rPr>
                <w:rFonts w:ascii="Arial" w:hAnsi="Arial" w:cs="Arial"/>
                <w:sz w:val="20"/>
                <w:szCs w:val="20"/>
                <w:lang w:val="en-PH"/>
              </w:rPr>
              <w:lastRenderedPageBreak/>
              <w:t>Henry</w:t>
            </w:r>
          </w:p>
        </w:tc>
        <w:tc>
          <w:tcPr>
            <w:tcW w:w="773" w:type="dxa"/>
            <w:hideMark/>
          </w:tcPr>
          <w:p w14:paraId="10F8F096"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lastRenderedPageBreak/>
              <w:t>2020</w:t>
            </w:r>
          </w:p>
        </w:tc>
        <w:tc>
          <w:tcPr>
            <w:tcW w:w="1231" w:type="dxa"/>
            <w:hideMark/>
          </w:tcPr>
          <w:p w14:paraId="39326683"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Systematic review</w:t>
            </w:r>
          </w:p>
        </w:tc>
        <w:tc>
          <w:tcPr>
            <w:tcW w:w="1398" w:type="dxa"/>
            <w:hideMark/>
          </w:tcPr>
          <w:p w14:paraId="5D937605"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Nursing students</w:t>
            </w:r>
          </w:p>
        </w:tc>
        <w:tc>
          <w:tcPr>
            <w:tcW w:w="1151" w:type="dxa"/>
            <w:hideMark/>
          </w:tcPr>
          <w:p w14:paraId="7D239420"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Virtual simulation</w:t>
            </w:r>
          </w:p>
        </w:tc>
        <w:tc>
          <w:tcPr>
            <w:tcW w:w="1447" w:type="dxa"/>
            <w:hideMark/>
          </w:tcPr>
          <w:p w14:paraId="58F6888F"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Learning outcomes</w:t>
            </w:r>
          </w:p>
        </w:tc>
        <w:tc>
          <w:tcPr>
            <w:tcW w:w="1466" w:type="dxa"/>
            <w:hideMark/>
          </w:tcPr>
          <w:p w14:paraId="04E1B663"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 xml:space="preserve">Most included studies supported virtual simulation as </w:t>
            </w:r>
            <w:r w:rsidRPr="00196690">
              <w:rPr>
                <w:rFonts w:ascii="Arial" w:hAnsi="Arial" w:cs="Arial"/>
                <w:sz w:val="20"/>
                <w:szCs w:val="20"/>
                <w:lang w:val="en-PH"/>
              </w:rPr>
              <w:lastRenderedPageBreak/>
              <w:t>effective pedagogy</w:t>
            </w:r>
          </w:p>
        </w:tc>
      </w:tr>
      <w:tr w:rsidR="00196690" w:rsidRPr="00196690" w14:paraId="7AD97D2A" w14:textId="77777777" w:rsidTr="00196690">
        <w:tc>
          <w:tcPr>
            <w:tcW w:w="1121" w:type="dxa"/>
            <w:hideMark/>
          </w:tcPr>
          <w:p w14:paraId="3DA50C6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lastRenderedPageBreak/>
              <w:t>Li et al.</w:t>
            </w:r>
          </w:p>
        </w:tc>
        <w:tc>
          <w:tcPr>
            <w:tcW w:w="773" w:type="dxa"/>
            <w:hideMark/>
          </w:tcPr>
          <w:p w14:paraId="7FD9211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2022</w:t>
            </w:r>
          </w:p>
        </w:tc>
        <w:tc>
          <w:tcPr>
            <w:tcW w:w="1231" w:type="dxa"/>
            <w:hideMark/>
          </w:tcPr>
          <w:p w14:paraId="47D70AC7"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Meta-analysis</w:t>
            </w:r>
          </w:p>
        </w:tc>
        <w:tc>
          <w:tcPr>
            <w:tcW w:w="1398" w:type="dxa"/>
            <w:hideMark/>
          </w:tcPr>
          <w:p w14:paraId="1FC560B7"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Undergraduate nursing students</w:t>
            </w:r>
          </w:p>
        </w:tc>
        <w:tc>
          <w:tcPr>
            <w:tcW w:w="1151" w:type="dxa"/>
            <w:hideMark/>
          </w:tcPr>
          <w:p w14:paraId="721C1FF3"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High-fidelity simulation</w:t>
            </w:r>
          </w:p>
        </w:tc>
        <w:tc>
          <w:tcPr>
            <w:tcW w:w="1447" w:type="dxa"/>
            <w:hideMark/>
          </w:tcPr>
          <w:p w14:paraId="3C02947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Knowledge, skills, collaboration, learning interest</w:t>
            </w:r>
          </w:p>
        </w:tc>
        <w:tc>
          <w:tcPr>
            <w:tcW w:w="1466" w:type="dxa"/>
            <w:hideMark/>
          </w:tcPr>
          <w:p w14:paraId="4A0604A0"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High-fidelity simulation improved knowledge and skills, with mixed effects on critical thinking and self-confidence</w:t>
            </w:r>
          </w:p>
        </w:tc>
      </w:tr>
      <w:tr w:rsidR="00196690" w:rsidRPr="00196690" w14:paraId="56A74F25" w14:textId="77777777" w:rsidTr="00196690">
        <w:tc>
          <w:tcPr>
            <w:tcW w:w="1121" w:type="dxa"/>
            <w:hideMark/>
          </w:tcPr>
          <w:p w14:paraId="04A3C01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Alshehri, Jones, &amp; Harrison</w:t>
            </w:r>
          </w:p>
        </w:tc>
        <w:tc>
          <w:tcPr>
            <w:tcW w:w="773" w:type="dxa"/>
            <w:hideMark/>
          </w:tcPr>
          <w:p w14:paraId="190C70A5"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2023</w:t>
            </w:r>
          </w:p>
        </w:tc>
        <w:tc>
          <w:tcPr>
            <w:tcW w:w="1231" w:type="dxa"/>
            <w:hideMark/>
          </w:tcPr>
          <w:p w14:paraId="0D4A3852"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Systematic review</w:t>
            </w:r>
          </w:p>
        </w:tc>
        <w:tc>
          <w:tcPr>
            <w:tcW w:w="1398" w:type="dxa"/>
            <w:hideMark/>
          </w:tcPr>
          <w:p w14:paraId="735F551D"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Undergraduate nursing students</w:t>
            </w:r>
          </w:p>
        </w:tc>
        <w:tc>
          <w:tcPr>
            <w:tcW w:w="1151" w:type="dxa"/>
            <w:hideMark/>
          </w:tcPr>
          <w:p w14:paraId="2B5123A3"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High-fidelity simulation</w:t>
            </w:r>
          </w:p>
        </w:tc>
        <w:tc>
          <w:tcPr>
            <w:tcW w:w="1447" w:type="dxa"/>
            <w:hideMark/>
          </w:tcPr>
          <w:p w14:paraId="62D0DF7B"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Clinical reasoning-related skills</w:t>
            </w:r>
          </w:p>
        </w:tc>
        <w:tc>
          <w:tcPr>
            <w:tcW w:w="1466" w:type="dxa"/>
            <w:hideMark/>
          </w:tcPr>
          <w:p w14:paraId="021A6587"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High-fidelity simulation was effective for clinical reasoning-related skill acquisition</w:t>
            </w:r>
          </w:p>
        </w:tc>
      </w:tr>
      <w:tr w:rsidR="00196690" w:rsidRPr="00196690" w14:paraId="72B370AD" w14:textId="77777777" w:rsidTr="00196690">
        <w:tc>
          <w:tcPr>
            <w:tcW w:w="1121" w:type="dxa"/>
            <w:hideMark/>
          </w:tcPr>
          <w:p w14:paraId="6B94329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Hung, Kao, Liu, Liang, Chu, &amp; Lee</w:t>
            </w:r>
          </w:p>
        </w:tc>
        <w:tc>
          <w:tcPr>
            <w:tcW w:w="773" w:type="dxa"/>
            <w:hideMark/>
          </w:tcPr>
          <w:p w14:paraId="2F654670"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2021</w:t>
            </w:r>
          </w:p>
        </w:tc>
        <w:tc>
          <w:tcPr>
            <w:tcW w:w="1231" w:type="dxa"/>
            <w:hideMark/>
          </w:tcPr>
          <w:p w14:paraId="5B4BF51A"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Repeated-measures experimental study</w:t>
            </w:r>
          </w:p>
        </w:tc>
        <w:tc>
          <w:tcPr>
            <w:tcW w:w="1398" w:type="dxa"/>
            <w:hideMark/>
          </w:tcPr>
          <w:p w14:paraId="0C06CC0D"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Senior undergraduate nursing students</w:t>
            </w:r>
          </w:p>
        </w:tc>
        <w:tc>
          <w:tcPr>
            <w:tcW w:w="1151" w:type="dxa"/>
            <w:hideMark/>
          </w:tcPr>
          <w:p w14:paraId="7BCECDE2"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Repeated simulation-based learning</w:t>
            </w:r>
          </w:p>
        </w:tc>
        <w:tc>
          <w:tcPr>
            <w:tcW w:w="1447" w:type="dxa"/>
            <w:hideMark/>
          </w:tcPr>
          <w:p w14:paraId="47BD5C06"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Perceived competence, self-efficacy, learning satisfaction</w:t>
            </w:r>
          </w:p>
        </w:tc>
        <w:tc>
          <w:tcPr>
            <w:tcW w:w="1466" w:type="dxa"/>
            <w:hideMark/>
          </w:tcPr>
          <w:p w14:paraId="46803503"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Repeated exposure significantly improved competence, self-efficacy, and satisfaction</w:t>
            </w:r>
          </w:p>
        </w:tc>
      </w:tr>
      <w:tr w:rsidR="00196690" w:rsidRPr="00196690" w14:paraId="51DB5D25" w14:textId="77777777" w:rsidTr="00196690">
        <w:tc>
          <w:tcPr>
            <w:tcW w:w="1121" w:type="dxa"/>
            <w:hideMark/>
          </w:tcPr>
          <w:p w14:paraId="68F69807" w14:textId="77777777" w:rsidR="00196690" w:rsidRPr="00196690" w:rsidRDefault="00196690" w:rsidP="00196690">
            <w:pPr>
              <w:pStyle w:val="Body"/>
              <w:rPr>
                <w:rFonts w:ascii="Arial" w:hAnsi="Arial" w:cs="Arial"/>
                <w:sz w:val="20"/>
                <w:szCs w:val="20"/>
                <w:lang w:val="it-IT"/>
              </w:rPr>
            </w:pPr>
            <w:r w:rsidRPr="00196690">
              <w:rPr>
                <w:rFonts w:ascii="Arial" w:hAnsi="Arial" w:cs="Arial"/>
                <w:sz w:val="20"/>
                <w:szCs w:val="20"/>
                <w:lang w:val="it-IT"/>
              </w:rPr>
              <w:t>Padilha, Machado, Ribeiro, Ramos, &amp; Costa</w:t>
            </w:r>
          </w:p>
        </w:tc>
        <w:tc>
          <w:tcPr>
            <w:tcW w:w="773" w:type="dxa"/>
            <w:hideMark/>
          </w:tcPr>
          <w:p w14:paraId="5733360F"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2019</w:t>
            </w:r>
          </w:p>
        </w:tc>
        <w:tc>
          <w:tcPr>
            <w:tcW w:w="1231" w:type="dxa"/>
            <w:hideMark/>
          </w:tcPr>
          <w:p w14:paraId="62ADBE68"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Randomized controlled trial</w:t>
            </w:r>
          </w:p>
        </w:tc>
        <w:tc>
          <w:tcPr>
            <w:tcW w:w="1398" w:type="dxa"/>
            <w:hideMark/>
          </w:tcPr>
          <w:p w14:paraId="3E6E7745"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Nursing students</w:t>
            </w:r>
          </w:p>
        </w:tc>
        <w:tc>
          <w:tcPr>
            <w:tcW w:w="1151" w:type="dxa"/>
            <w:hideMark/>
          </w:tcPr>
          <w:p w14:paraId="2EE26397"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Clinical virtual simulation</w:t>
            </w:r>
          </w:p>
        </w:tc>
        <w:tc>
          <w:tcPr>
            <w:tcW w:w="1447" w:type="dxa"/>
            <w:hideMark/>
          </w:tcPr>
          <w:p w14:paraId="3E13634F"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Knowledge retention, clinical reasoning, self-efficacy, satisfaction</w:t>
            </w:r>
          </w:p>
        </w:tc>
        <w:tc>
          <w:tcPr>
            <w:tcW w:w="1466" w:type="dxa"/>
            <w:hideMark/>
          </w:tcPr>
          <w:p w14:paraId="08D5A42C"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Virtual simulation improved several learning outcomes</w:t>
            </w:r>
          </w:p>
        </w:tc>
      </w:tr>
      <w:tr w:rsidR="00196690" w:rsidRPr="00196690" w14:paraId="0D90EB0C" w14:textId="77777777" w:rsidTr="00196690">
        <w:tc>
          <w:tcPr>
            <w:tcW w:w="1121" w:type="dxa"/>
            <w:hideMark/>
          </w:tcPr>
          <w:p w14:paraId="6791382B"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Foronda, Liu, &amp; Bauman</w:t>
            </w:r>
          </w:p>
        </w:tc>
        <w:tc>
          <w:tcPr>
            <w:tcW w:w="773" w:type="dxa"/>
            <w:hideMark/>
          </w:tcPr>
          <w:p w14:paraId="4924C0C2"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2014</w:t>
            </w:r>
          </w:p>
        </w:tc>
        <w:tc>
          <w:tcPr>
            <w:tcW w:w="1231" w:type="dxa"/>
            <w:hideMark/>
          </w:tcPr>
          <w:p w14:paraId="2203A4FA"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Pilot study</w:t>
            </w:r>
          </w:p>
        </w:tc>
        <w:tc>
          <w:tcPr>
            <w:tcW w:w="1398" w:type="dxa"/>
            <w:hideMark/>
          </w:tcPr>
          <w:p w14:paraId="00DCBDC7"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Baccalaureate nursing students</w:t>
            </w:r>
          </w:p>
        </w:tc>
        <w:tc>
          <w:tcPr>
            <w:tcW w:w="1151" w:type="dxa"/>
            <w:hideMark/>
          </w:tcPr>
          <w:p w14:paraId="2F691C30"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Virtual clinical simulation</w:t>
            </w:r>
          </w:p>
        </w:tc>
        <w:tc>
          <w:tcPr>
            <w:tcW w:w="1447" w:type="dxa"/>
            <w:hideMark/>
          </w:tcPr>
          <w:p w14:paraId="6E6B2D4F"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Communication skills</w:t>
            </w:r>
          </w:p>
        </w:tc>
        <w:tc>
          <w:tcPr>
            <w:tcW w:w="1466" w:type="dxa"/>
            <w:hideMark/>
          </w:tcPr>
          <w:p w14:paraId="20B62D2B"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Virtual clinical simulation improved communication-related learning</w:t>
            </w:r>
          </w:p>
        </w:tc>
      </w:tr>
      <w:tr w:rsidR="00196690" w:rsidRPr="00196690" w14:paraId="4EC015F2" w14:textId="77777777" w:rsidTr="00196690">
        <w:tc>
          <w:tcPr>
            <w:tcW w:w="1121" w:type="dxa"/>
            <w:hideMark/>
          </w:tcPr>
          <w:p w14:paraId="0B95D28D"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Bussard</w:t>
            </w:r>
          </w:p>
        </w:tc>
        <w:tc>
          <w:tcPr>
            <w:tcW w:w="773" w:type="dxa"/>
            <w:hideMark/>
          </w:tcPr>
          <w:p w14:paraId="0DBB1EA0"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2015</w:t>
            </w:r>
          </w:p>
        </w:tc>
        <w:tc>
          <w:tcPr>
            <w:tcW w:w="1231" w:type="dxa"/>
            <w:hideMark/>
          </w:tcPr>
          <w:p w14:paraId="5E92AAD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Qualitative interpretive description</w:t>
            </w:r>
          </w:p>
        </w:tc>
        <w:tc>
          <w:tcPr>
            <w:tcW w:w="1398" w:type="dxa"/>
            <w:hideMark/>
          </w:tcPr>
          <w:p w14:paraId="3BB06487"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Prelicensure nursing students</w:t>
            </w:r>
          </w:p>
        </w:tc>
        <w:tc>
          <w:tcPr>
            <w:tcW w:w="1151" w:type="dxa"/>
            <w:hideMark/>
          </w:tcPr>
          <w:p w14:paraId="790D5CE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Progressive high-fidelity simulation</w:t>
            </w:r>
          </w:p>
        </w:tc>
        <w:tc>
          <w:tcPr>
            <w:tcW w:w="1447" w:type="dxa"/>
            <w:hideMark/>
          </w:tcPr>
          <w:p w14:paraId="10B18C78"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Clinical judgment development</w:t>
            </w:r>
          </w:p>
        </w:tc>
        <w:tc>
          <w:tcPr>
            <w:tcW w:w="1466" w:type="dxa"/>
            <w:hideMark/>
          </w:tcPr>
          <w:p w14:paraId="066691F7"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Reflective journaling after simulation supported clinical judgment development</w:t>
            </w:r>
          </w:p>
        </w:tc>
      </w:tr>
      <w:tr w:rsidR="00196690" w:rsidRPr="00196690" w14:paraId="5E125C24" w14:textId="77777777" w:rsidTr="00196690">
        <w:tc>
          <w:tcPr>
            <w:tcW w:w="1121" w:type="dxa"/>
            <w:hideMark/>
          </w:tcPr>
          <w:p w14:paraId="3A16D59B"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Shinnick &amp; Woo</w:t>
            </w:r>
          </w:p>
        </w:tc>
        <w:tc>
          <w:tcPr>
            <w:tcW w:w="773" w:type="dxa"/>
            <w:hideMark/>
          </w:tcPr>
          <w:p w14:paraId="190D7C58"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2013</w:t>
            </w:r>
          </w:p>
        </w:tc>
        <w:tc>
          <w:tcPr>
            <w:tcW w:w="1231" w:type="dxa"/>
            <w:hideMark/>
          </w:tcPr>
          <w:p w14:paraId="3567F810"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 xml:space="preserve">One-group quasi-experimental </w:t>
            </w:r>
            <w:r w:rsidRPr="00196690">
              <w:rPr>
                <w:rFonts w:ascii="Arial" w:hAnsi="Arial" w:cs="Arial"/>
                <w:sz w:val="20"/>
                <w:szCs w:val="20"/>
                <w:lang w:val="en-PH"/>
              </w:rPr>
              <w:lastRenderedPageBreak/>
              <w:t>pretest-posttest study</w:t>
            </w:r>
          </w:p>
        </w:tc>
        <w:tc>
          <w:tcPr>
            <w:tcW w:w="1398" w:type="dxa"/>
            <w:hideMark/>
          </w:tcPr>
          <w:p w14:paraId="70A44B36"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lastRenderedPageBreak/>
              <w:t xml:space="preserve">Prelicensure nursing </w:t>
            </w:r>
            <w:r w:rsidRPr="00196690">
              <w:rPr>
                <w:rFonts w:ascii="Arial" w:hAnsi="Arial" w:cs="Arial"/>
                <w:sz w:val="20"/>
                <w:szCs w:val="20"/>
                <w:lang w:val="en-PH"/>
              </w:rPr>
              <w:lastRenderedPageBreak/>
              <w:t>students</w:t>
            </w:r>
          </w:p>
        </w:tc>
        <w:tc>
          <w:tcPr>
            <w:tcW w:w="1151" w:type="dxa"/>
            <w:hideMark/>
          </w:tcPr>
          <w:p w14:paraId="69E648CE"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lastRenderedPageBreak/>
              <w:t xml:space="preserve">High-fidelity human patient </w:t>
            </w:r>
            <w:r w:rsidRPr="00196690">
              <w:rPr>
                <w:rFonts w:ascii="Arial" w:hAnsi="Arial" w:cs="Arial"/>
                <w:sz w:val="20"/>
                <w:szCs w:val="20"/>
                <w:lang w:val="en-PH"/>
              </w:rPr>
              <w:lastRenderedPageBreak/>
              <w:t>simulation</w:t>
            </w:r>
          </w:p>
        </w:tc>
        <w:tc>
          <w:tcPr>
            <w:tcW w:w="1447" w:type="dxa"/>
            <w:hideMark/>
          </w:tcPr>
          <w:p w14:paraId="42840025"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lastRenderedPageBreak/>
              <w:t xml:space="preserve">Knowledge, critical thinking, </w:t>
            </w:r>
            <w:r w:rsidRPr="00196690">
              <w:rPr>
                <w:rFonts w:ascii="Arial" w:hAnsi="Arial" w:cs="Arial"/>
                <w:sz w:val="20"/>
                <w:szCs w:val="20"/>
                <w:lang w:val="en-PH"/>
              </w:rPr>
              <w:lastRenderedPageBreak/>
              <w:t>self-efficacy</w:t>
            </w:r>
          </w:p>
        </w:tc>
        <w:tc>
          <w:tcPr>
            <w:tcW w:w="1466" w:type="dxa"/>
            <w:hideMark/>
          </w:tcPr>
          <w:p w14:paraId="5D066834"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lastRenderedPageBreak/>
              <w:t xml:space="preserve">Knowledge improved, but critical thinking </w:t>
            </w:r>
            <w:r w:rsidRPr="00196690">
              <w:rPr>
                <w:rFonts w:ascii="Arial" w:hAnsi="Arial" w:cs="Arial"/>
                <w:sz w:val="20"/>
                <w:szCs w:val="20"/>
                <w:lang w:val="en-PH"/>
              </w:rPr>
              <w:lastRenderedPageBreak/>
              <w:t>did not significantly change</w:t>
            </w:r>
          </w:p>
        </w:tc>
      </w:tr>
      <w:tr w:rsidR="00196690" w:rsidRPr="00196690" w14:paraId="2C692496" w14:textId="77777777" w:rsidTr="00196690">
        <w:tc>
          <w:tcPr>
            <w:tcW w:w="1121" w:type="dxa"/>
            <w:hideMark/>
          </w:tcPr>
          <w:p w14:paraId="0165ADEB"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lastRenderedPageBreak/>
              <w:t>Ashley &amp; Stamp</w:t>
            </w:r>
          </w:p>
        </w:tc>
        <w:tc>
          <w:tcPr>
            <w:tcW w:w="773" w:type="dxa"/>
            <w:hideMark/>
          </w:tcPr>
          <w:p w14:paraId="34CDC5DF"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2014</w:t>
            </w:r>
          </w:p>
        </w:tc>
        <w:tc>
          <w:tcPr>
            <w:tcW w:w="1231" w:type="dxa"/>
            <w:hideMark/>
          </w:tcPr>
          <w:p w14:paraId="552CCA03"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Qualitative study</w:t>
            </w:r>
          </w:p>
        </w:tc>
        <w:tc>
          <w:tcPr>
            <w:tcW w:w="1398" w:type="dxa"/>
            <w:hideMark/>
          </w:tcPr>
          <w:p w14:paraId="324EBDCE"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Nursing students</w:t>
            </w:r>
          </w:p>
        </w:tc>
        <w:tc>
          <w:tcPr>
            <w:tcW w:w="1151" w:type="dxa"/>
            <w:hideMark/>
          </w:tcPr>
          <w:p w14:paraId="11D4486D"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High-fidelity simulation</w:t>
            </w:r>
          </w:p>
        </w:tc>
        <w:tc>
          <w:tcPr>
            <w:tcW w:w="1447" w:type="dxa"/>
            <w:hideMark/>
          </w:tcPr>
          <w:p w14:paraId="17EB471B"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Clinical judgment and reasoning</w:t>
            </w:r>
          </w:p>
        </w:tc>
        <w:tc>
          <w:tcPr>
            <w:tcW w:w="1466" w:type="dxa"/>
            <w:hideMark/>
          </w:tcPr>
          <w:p w14:paraId="3813918E" w14:textId="77777777" w:rsidR="00196690" w:rsidRPr="00196690" w:rsidRDefault="00196690" w:rsidP="00196690">
            <w:pPr>
              <w:pStyle w:val="Body"/>
              <w:rPr>
                <w:rFonts w:ascii="Arial" w:hAnsi="Arial" w:cs="Arial"/>
                <w:sz w:val="20"/>
                <w:szCs w:val="20"/>
                <w:lang w:val="en-PH"/>
              </w:rPr>
            </w:pPr>
            <w:r w:rsidRPr="00196690">
              <w:rPr>
                <w:rFonts w:ascii="Arial" w:hAnsi="Arial" w:cs="Arial"/>
                <w:sz w:val="20"/>
                <w:szCs w:val="20"/>
                <w:lang w:val="en-PH"/>
              </w:rPr>
              <w:t>Clear differences in reasoning were found between novice and more experienced students</w:t>
            </w:r>
          </w:p>
        </w:tc>
      </w:tr>
    </w:tbl>
    <w:p w14:paraId="168F29B9" w14:textId="77777777" w:rsidR="00347AAF" w:rsidRDefault="00347AAF" w:rsidP="00347AAF">
      <w:pPr>
        <w:pStyle w:val="Body"/>
        <w:spacing w:after="0"/>
        <w:rPr>
          <w:rFonts w:ascii="Arial" w:hAnsi="Arial" w:cs="Arial"/>
          <w:lang w:val="en-PH"/>
        </w:rPr>
      </w:pPr>
    </w:p>
    <w:p w14:paraId="6B1B53B1" w14:textId="77777777" w:rsidR="00196690" w:rsidRDefault="00196690" w:rsidP="00347AAF">
      <w:pPr>
        <w:pStyle w:val="Body"/>
        <w:spacing w:after="0"/>
        <w:rPr>
          <w:rFonts w:ascii="Arial" w:hAnsi="Arial" w:cs="Arial"/>
          <w:lang w:val="en-PH"/>
        </w:rPr>
      </w:pPr>
    </w:p>
    <w:p w14:paraId="34386BA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385FD97" w14:textId="77777777" w:rsidR="00790ADA" w:rsidRPr="00FB3A86" w:rsidRDefault="00790ADA" w:rsidP="00441B6F">
      <w:pPr>
        <w:pStyle w:val="Head1"/>
        <w:spacing w:after="0"/>
        <w:jc w:val="both"/>
        <w:rPr>
          <w:rFonts w:ascii="Arial" w:hAnsi="Arial" w:cs="Arial"/>
        </w:rPr>
      </w:pPr>
    </w:p>
    <w:p w14:paraId="0E949659" w14:textId="77777777" w:rsidR="00347AAF" w:rsidRDefault="00347AAF" w:rsidP="00347AAF">
      <w:pPr>
        <w:pStyle w:val="Body"/>
        <w:spacing w:after="0"/>
        <w:rPr>
          <w:rFonts w:ascii="Arial" w:hAnsi="Arial" w:cs="Arial"/>
          <w:lang w:val="en-PH"/>
        </w:rPr>
      </w:pPr>
      <w:r w:rsidRPr="00347AAF">
        <w:rPr>
          <w:rFonts w:ascii="Arial" w:hAnsi="Arial" w:cs="Arial"/>
          <w:lang w:val="en-PH"/>
        </w:rPr>
        <w:t>The synthesis of selected empirical studies, meta-analyses, and conceptual frameworks revealed consistent evidence that simulation-based nursing education contributes significantly to the development of clinical competency. However, the magnitude and sustainability of its impact depend largely on instructional design quality, fidelity level, faculty preparedness, and institutional support. The findings were organized into five interrelated themes: (1) theoretical and structural foundations of simulation, (2) psychomotor skill acquisition and measurable clinical performance, (3) enhancement of clinical judgment and higher-order thinking, (4) patient safety and interprofessional collaboration, and (5) implementation challenges and sustainability considerations.</w:t>
      </w:r>
    </w:p>
    <w:p w14:paraId="7512AAFE" w14:textId="77777777" w:rsidR="00710AAE" w:rsidRDefault="00710AAE" w:rsidP="00347AAF">
      <w:pPr>
        <w:pStyle w:val="Body"/>
        <w:spacing w:after="0"/>
        <w:rPr>
          <w:rFonts w:ascii="Arial" w:hAnsi="Arial" w:cs="Arial"/>
          <w:lang w:val="en-PH"/>
        </w:rPr>
      </w:pPr>
    </w:p>
    <w:p w14:paraId="16A62D24" w14:textId="77777777" w:rsidR="00710AAE" w:rsidRPr="00347AAF" w:rsidRDefault="00710AAE" w:rsidP="00347AAF">
      <w:pPr>
        <w:pStyle w:val="Body"/>
        <w:spacing w:after="0"/>
        <w:rPr>
          <w:rFonts w:ascii="Arial" w:hAnsi="Arial" w:cs="Arial"/>
          <w:lang w:val="en-PH"/>
        </w:rPr>
      </w:pPr>
    </w:p>
    <w:p w14:paraId="674F6EFB" w14:textId="77777777" w:rsidR="00710AAE" w:rsidRPr="00710AAE" w:rsidRDefault="00710AAE" w:rsidP="00710AAE">
      <w:pPr>
        <w:pStyle w:val="Body"/>
        <w:rPr>
          <w:rFonts w:ascii="Arial" w:hAnsi="Arial" w:cs="Arial"/>
          <w:b/>
          <w:bCs/>
          <w:lang w:val="en-PH"/>
        </w:rPr>
      </w:pPr>
      <w:r w:rsidRPr="00710AAE">
        <w:rPr>
          <w:rFonts w:ascii="Arial" w:hAnsi="Arial" w:cs="Arial"/>
          <w:b/>
          <w:bCs/>
          <w:lang w:val="en-PH"/>
        </w:rPr>
        <w:t>3.1 Theoretical Foundations and Structured Simulation Design</w:t>
      </w:r>
    </w:p>
    <w:p w14:paraId="1581FA3E" w14:textId="77777777" w:rsidR="00836571" w:rsidRPr="00836571" w:rsidRDefault="00836571" w:rsidP="00836571">
      <w:pPr>
        <w:pStyle w:val="Body"/>
        <w:rPr>
          <w:rFonts w:ascii="Arial" w:hAnsi="Arial" w:cs="Arial"/>
          <w:lang w:val="en-PH"/>
        </w:rPr>
      </w:pPr>
      <w:r w:rsidRPr="00836571">
        <w:rPr>
          <w:rFonts w:ascii="Arial" w:hAnsi="Arial" w:cs="Arial"/>
          <w:lang w:val="en-PH"/>
        </w:rPr>
        <w:t xml:space="preserve">The reviewed literature establishes simulation-based nursing education as a pedagogically grounded approach anchored in experiential learning and competency-based education. Simulation creates structured opportunities for learners to engage in realistic clinical scenarios, allowing them to apply theoretical knowledge in controlled environments. Through iterative exposure and guided reflection, learners develop the ability to connect conceptual understanding with clinical application. Evidence from systematic and meta-analytic studies consistently indicates that simulation-based learning enhances knowledge acquisition and supports deeper cognitive processing compared to traditional instructional methods (Cook et al., 2011; </w:t>
      </w:r>
      <w:proofErr w:type="gramStart"/>
      <w:r w:rsidRPr="00836571">
        <w:rPr>
          <w:rFonts w:ascii="Arial" w:hAnsi="Arial" w:cs="Arial"/>
          <w:lang w:val="en-PH"/>
        </w:rPr>
        <w:t>Cant</w:t>
      </w:r>
      <w:proofErr w:type="gramEnd"/>
      <w:r w:rsidRPr="00836571">
        <w:rPr>
          <w:rFonts w:ascii="Arial" w:hAnsi="Arial" w:cs="Arial"/>
          <w:lang w:val="en-PH"/>
        </w:rPr>
        <w:t xml:space="preserve"> &amp; Cooper, 2010).</w:t>
      </w:r>
    </w:p>
    <w:p w14:paraId="3669EBA7" w14:textId="77777777" w:rsidR="00836571" w:rsidRPr="00836571" w:rsidRDefault="00836571" w:rsidP="00836571">
      <w:pPr>
        <w:pStyle w:val="Body"/>
        <w:rPr>
          <w:rFonts w:ascii="Arial" w:hAnsi="Arial" w:cs="Arial"/>
          <w:lang w:val="en-PH"/>
        </w:rPr>
      </w:pPr>
      <w:r w:rsidRPr="00836571">
        <w:rPr>
          <w:rFonts w:ascii="Arial" w:hAnsi="Arial" w:cs="Arial"/>
          <w:lang w:val="en-PH"/>
        </w:rPr>
        <w:t>The effectiveness of simulation is closely associated with the quality of instructional design rather than the mere presence of technology. Conceptual models emphasize that clearly defined objectives, scenario alignment with learning outcomes, and structured debriefing are critical components of successful simulation programs. Debriefing, in particular, functions as a central mechanism for learning consolidation, enabling students to reflect on their actions, identify errors, and reconstruct clinical reasoning pathways (Decker et al., 2013). Studies examining simulation frameworks further highlight that learning outcomes are significantly influenced by how simulation experiences are designed and facilitated rather than by fidelity level alone (Jeffries, 2012).</w:t>
      </w:r>
    </w:p>
    <w:p w14:paraId="188228F5" w14:textId="77777777" w:rsidR="00836571" w:rsidRPr="00836571" w:rsidRDefault="00836571" w:rsidP="00836571">
      <w:pPr>
        <w:pStyle w:val="Body"/>
        <w:rPr>
          <w:rFonts w:ascii="Arial" w:hAnsi="Arial" w:cs="Arial"/>
          <w:lang w:val="en-PH"/>
        </w:rPr>
      </w:pPr>
      <w:r w:rsidRPr="00836571">
        <w:rPr>
          <w:rFonts w:ascii="Arial" w:hAnsi="Arial" w:cs="Arial"/>
          <w:lang w:val="en-PH"/>
        </w:rPr>
        <w:t xml:space="preserve">Fidelity remains an important but not exclusive determinant of effectiveness. Research comparing different simulation modalities suggests that both medium- and high-fidelity simulations contribute to improved learning outcomes when integrated within a structured </w:t>
      </w:r>
      <w:r w:rsidRPr="00836571">
        <w:rPr>
          <w:rFonts w:ascii="Arial" w:hAnsi="Arial" w:cs="Arial"/>
          <w:lang w:val="en-PH"/>
        </w:rPr>
        <w:lastRenderedPageBreak/>
        <w:t>educational framework (Yuan et al., 2012; Kim et al., 2016). High-fidelity environments may enhance learner engagement and realism, but their impact is maximized only when accompanied by effective facilitation and reflective processes. This finding indicates that pedagogical structure and instructional strategy play a more decisive role than technological sophistication.</w:t>
      </w:r>
    </w:p>
    <w:p w14:paraId="5469F6D3" w14:textId="77777777" w:rsidR="00836571" w:rsidRPr="00836571" w:rsidRDefault="00836571" w:rsidP="00836571">
      <w:pPr>
        <w:pStyle w:val="Body"/>
        <w:rPr>
          <w:rFonts w:ascii="Arial" w:hAnsi="Arial" w:cs="Arial"/>
          <w:lang w:val="en-PH"/>
        </w:rPr>
      </w:pPr>
      <w:r w:rsidRPr="00836571">
        <w:rPr>
          <w:rFonts w:ascii="Arial" w:hAnsi="Arial" w:cs="Arial"/>
          <w:lang w:val="en-PH"/>
        </w:rPr>
        <w:t>Strong empirical support for structured simulation integration is provided by large-scale experimental evidence. The NCSBN national simulation study demonstrated that replacing a substantial portion of traditional clinical hours with simulation did not negatively affect licensure performance or clinical readiness (Hayden et al., 2014). This finding validates simulation as a credible and effective alternative to clinical placement, particularly in contexts where access to clinical sites is limited. Similarly, repeated simulation exposure has been shown to significantly improve learners’ perceived competence, self-efficacy, and satisfaction, reinforcing the value of longitudinal integration within curricula (Hung et al., 2021).</w:t>
      </w:r>
    </w:p>
    <w:p w14:paraId="002EE2DC" w14:textId="77777777" w:rsidR="00836571" w:rsidRPr="00836571" w:rsidRDefault="00836571" w:rsidP="00836571">
      <w:pPr>
        <w:pStyle w:val="Body"/>
        <w:rPr>
          <w:rFonts w:ascii="Arial" w:hAnsi="Arial" w:cs="Arial"/>
          <w:lang w:val="en-PH"/>
        </w:rPr>
      </w:pPr>
      <w:r w:rsidRPr="00836571">
        <w:rPr>
          <w:rFonts w:ascii="Arial" w:hAnsi="Arial" w:cs="Arial"/>
          <w:lang w:val="en-PH"/>
        </w:rPr>
        <w:t>Despite these strengths, variability in implementation remains evident across institutions. Differences in faculty training, resource availability, and curricular integration influence the consistency of simulation outcomes. Studies indicate that programs incorporating simulation as a continuous and progressive learning strategy produce more sustained competency development compared to isolated or sporadic use (Foronda et al., 2020). This highlights the importance of institutional commitment to structured implementation, faculty development, and alignment with competency-based frameworks.</w:t>
      </w:r>
    </w:p>
    <w:p w14:paraId="21C1BC1C" w14:textId="7881DFC7" w:rsidR="00836571" w:rsidRPr="00836571" w:rsidRDefault="00836571" w:rsidP="00836571">
      <w:pPr>
        <w:pStyle w:val="Body"/>
        <w:rPr>
          <w:rFonts w:ascii="Arial" w:hAnsi="Arial" w:cs="Arial"/>
          <w:lang w:val="en-PH"/>
        </w:rPr>
      </w:pPr>
      <w:r>
        <w:rPr>
          <w:rFonts w:ascii="Arial" w:hAnsi="Arial" w:cs="Arial"/>
          <w:lang w:val="en-PH"/>
        </w:rPr>
        <w:t>The</w:t>
      </w:r>
      <w:r w:rsidRPr="00836571">
        <w:rPr>
          <w:rFonts w:ascii="Arial" w:hAnsi="Arial" w:cs="Arial"/>
          <w:lang w:val="en-PH"/>
        </w:rPr>
        <w:t xml:space="preserve"> literature suggests that simulation-based nursing education is most effective when grounded in theory, supported by structured design, and integrated systematically within curricula. The interaction between instructional design, facilitator competence, and reflective practice forms the foundation of meaningful learning, positioning simulation as a critical component of modern nursing education.</w:t>
      </w:r>
    </w:p>
    <w:p w14:paraId="11186FA5" w14:textId="77777777" w:rsidR="00710AAE" w:rsidRPr="00710AAE" w:rsidRDefault="00710AAE" w:rsidP="00710AAE">
      <w:pPr>
        <w:pStyle w:val="Body"/>
        <w:rPr>
          <w:rFonts w:ascii="Arial" w:hAnsi="Arial" w:cs="Arial"/>
          <w:b/>
          <w:bCs/>
          <w:lang w:val="en-PH"/>
        </w:rPr>
      </w:pPr>
      <w:r w:rsidRPr="00710AAE">
        <w:rPr>
          <w:rFonts w:ascii="Arial" w:hAnsi="Arial" w:cs="Arial"/>
          <w:b/>
          <w:bCs/>
          <w:lang w:val="en-PH"/>
        </w:rPr>
        <w:t>3.2 Psychomotor Skill Acquisition and Clinical Performance</w:t>
      </w:r>
    </w:p>
    <w:p w14:paraId="1DA57608" w14:textId="77777777" w:rsidR="00836571" w:rsidRPr="00836571" w:rsidRDefault="00836571" w:rsidP="00836571">
      <w:pPr>
        <w:pStyle w:val="Body"/>
        <w:rPr>
          <w:rFonts w:ascii="Arial" w:hAnsi="Arial" w:cs="Arial"/>
          <w:lang w:val="en-PH"/>
        </w:rPr>
      </w:pPr>
      <w:r w:rsidRPr="00836571">
        <w:rPr>
          <w:rFonts w:ascii="Arial" w:hAnsi="Arial" w:cs="Arial"/>
          <w:lang w:val="en-PH"/>
        </w:rPr>
        <w:t xml:space="preserve">The development of psychomotor skills remains one of the most consistently supported outcomes of simulation-based nursing education. Across the reviewed literature, simulation provides structured and repeatable opportunities for learners to practice clinical procedures in a controlled environment, allowing for skill refinement without the risks associated with real patient care. Meta-analytic evidence demonstrates that simulation-based training produces significantly higher clinical performance outcomes compared to traditional teaching approaches, particularly in procedural accuracy and task execution (Shin et al., 2015; </w:t>
      </w:r>
      <w:proofErr w:type="gramStart"/>
      <w:r w:rsidRPr="00836571">
        <w:rPr>
          <w:rFonts w:ascii="Arial" w:hAnsi="Arial" w:cs="Arial"/>
          <w:lang w:val="en-PH"/>
        </w:rPr>
        <w:t>Cant</w:t>
      </w:r>
      <w:proofErr w:type="gramEnd"/>
      <w:r w:rsidRPr="00836571">
        <w:rPr>
          <w:rFonts w:ascii="Arial" w:hAnsi="Arial" w:cs="Arial"/>
          <w:lang w:val="en-PH"/>
        </w:rPr>
        <w:t xml:space="preserve"> &amp; Cooper, 2017).</w:t>
      </w:r>
    </w:p>
    <w:p w14:paraId="6FADC009" w14:textId="77777777" w:rsidR="00836571" w:rsidRPr="00836571" w:rsidRDefault="00836571" w:rsidP="00836571">
      <w:pPr>
        <w:pStyle w:val="Body"/>
        <w:rPr>
          <w:rFonts w:ascii="Arial" w:hAnsi="Arial" w:cs="Arial"/>
          <w:lang w:val="en-PH"/>
        </w:rPr>
      </w:pPr>
      <w:r w:rsidRPr="00836571">
        <w:rPr>
          <w:rFonts w:ascii="Arial" w:hAnsi="Arial" w:cs="Arial"/>
          <w:lang w:val="en-PH"/>
        </w:rPr>
        <w:t>The strength of simulation in psychomotor development lies in its capacity for deliberate practice. Unlike conventional clinical placements, where exposure to specific procedures may be inconsistent, simulation ensures that all learners encounter standardized scenarios aligned with competency objectives. This standardization contributes to more uniform skill acquisition across student cohorts. Studies indicate that simulation-based learning improves technical competencies such as patient assessment, medication administration, and emergency intervention skills, which are essential for safe clinical practice (Yuan et al., 2012).</w:t>
      </w:r>
    </w:p>
    <w:p w14:paraId="77ACFCC5" w14:textId="77777777" w:rsidR="00836571" w:rsidRPr="00836571" w:rsidRDefault="00836571" w:rsidP="00836571">
      <w:pPr>
        <w:pStyle w:val="Body"/>
        <w:rPr>
          <w:rFonts w:ascii="Arial" w:hAnsi="Arial" w:cs="Arial"/>
          <w:lang w:val="en-PH"/>
        </w:rPr>
      </w:pPr>
      <w:r w:rsidRPr="00836571">
        <w:rPr>
          <w:rFonts w:ascii="Arial" w:hAnsi="Arial" w:cs="Arial"/>
          <w:lang w:val="en-PH"/>
        </w:rPr>
        <w:t xml:space="preserve">Experimental and quasi-experimental studies further reinforce these findings. Evidence shows that learners exposed to structured simulation demonstrate improved problem-solving ability and procedural performance following intervention (Yoo &amp; Park, 2013). Repeated </w:t>
      </w:r>
      <w:r w:rsidRPr="00836571">
        <w:rPr>
          <w:rFonts w:ascii="Arial" w:hAnsi="Arial" w:cs="Arial"/>
          <w:lang w:val="en-PH"/>
        </w:rPr>
        <w:lastRenderedPageBreak/>
        <w:t>simulation exposure has also been associated with increased competence and confidence in performing clinical tasks, suggesting that iterative practice enhances both skill mastery and readiness for real-world application (Hung et al., 2021). These outcomes highlight the importance of repetition and feedback in strengthening psychomotor performance.</w:t>
      </w:r>
    </w:p>
    <w:p w14:paraId="426A1A29" w14:textId="77777777" w:rsidR="00836571" w:rsidRPr="00836571" w:rsidRDefault="00836571" w:rsidP="00836571">
      <w:pPr>
        <w:pStyle w:val="Body"/>
        <w:rPr>
          <w:rFonts w:ascii="Arial" w:hAnsi="Arial" w:cs="Arial"/>
          <w:lang w:val="en-PH"/>
        </w:rPr>
      </w:pPr>
      <w:r w:rsidRPr="00836571">
        <w:rPr>
          <w:rFonts w:ascii="Arial" w:hAnsi="Arial" w:cs="Arial"/>
          <w:lang w:val="en-PH"/>
        </w:rPr>
        <w:t>Objective evaluation methods provide additional support for the effectiveness of simulation. Studies utilizing performance-based assessments indicate that learners trained through simulation demonstrate improved adherence to clinical protocols and greater procedural accuracy compared to those trained through traditional methods (Cook et al., 2011). The integration of structured feedback and guided reflection during simulation sessions allows learners to correct errors in real time, thereby reinforcing correct techniques and minimizing the risk of skill deterioration.</w:t>
      </w:r>
    </w:p>
    <w:p w14:paraId="7B7A75D3" w14:textId="77777777" w:rsidR="00836571" w:rsidRPr="00836571" w:rsidRDefault="00836571" w:rsidP="00836571">
      <w:pPr>
        <w:pStyle w:val="Body"/>
        <w:rPr>
          <w:rFonts w:ascii="Arial" w:hAnsi="Arial" w:cs="Arial"/>
          <w:lang w:val="en-PH"/>
        </w:rPr>
      </w:pPr>
      <w:r w:rsidRPr="00836571">
        <w:rPr>
          <w:rFonts w:ascii="Arial" w:hAnsi="Arial" w:cs="Arial"/>
          <w:lang w:val="en-PH"/>
        </w:rPr>
        <w:t>The role of simulation fidelity in psychomotor skill acquisition remains an area of ongoing discussion. While high-fidelity simulation is often associated with increased realism and learner engagement, evidence suggests that lower-fidelity simulation can also produce significant improvements when implemented within a well-structured instructional design (Kim et al., 2016). This finding underscores that the effectiveness of simulation is influenced more by pedagogical approach than by technological complexity alone.</w:t>
      </w:r>
    </w:p>
    <w:p w14:paraId="2407252D" w14:textId="77777777" w:rsidR="00836571" w:rsidRPr="00836571" w:rsidRDefault="00836571" w:rsidP="00836571">
      <w:pPr>
        <w:pStyle w:val="Body"/>
        <w:rPr>
          <w:rFonts w:ascii="Arial" w:hAnsi="Arial" w:cs="Arial"/>
          <w:lang w:val="en-PH"/>
        </w:rPr>
      </w:pPr>
      <w:r w:rsidRPr="00836571">
        <w:rPr>
          <w:rFonts w:ascii="Arial" w:hAnsi="Arial" w:cs="Arial"/>
          <w:lang w:val="en-PH"/>
        </w:rPr>
        <w:t>Despite strong evidence supporting short-term skill gains, the sustainability of psychomotor competency depends on continued exposure and reinforcement. Studies indicate that isolated simulation sessions may lead to temporary improvements, whereas longitudinal integration within curricula promotes more durable skill retention (Foronda et al., 2020). The incorporation of simulation across multiple levels of training ensures progressive skill development and prevents regression in competency.</w:t>
      </w:r>
    </w:p>
    <w:p w14:paraId="42A67AF9" w14:textId="77777777" w:rsidR="00710AAE" w:rsidRPr="00710AAE" w:rsidRDefault="00710AAE" w:rsidP="00710AAE">
      <w:pPr>
        <w:pStyle w:val="Body"/>
        <w:rPr>
          <w:rFonts w:ascii="Arial" w:hAnsi="Arial" w:cs="Arial"/>
          <w:b/>
          <w:bCs/>
          <w:lang w:val="en-PH"/>
        </w:rPr>
      </w:pPr>
      <w:r w:rsidRPr="00710AAE">
        <w:rPr>
          <w:rFonts w:ascii="Arial" w:hAnsi="Arial" w:cs="Arial"/>
          <w:b/>
          <w:bCs/>
          <w:lang w:val="en-PH"/>
        </w:rPr>
        <w:t>3.3 Development of Clinical Judgment and Critical Thinking</w:t>
      </w:r>
    </w:p>
    <w:p w14:paraId="2EEC4773" w14:textId="77777777" w:rsidR="00836571" w:rsidRPr="00836571" w:rsidRDefault="00836571" w:rsidP="00836571">
      <w:pPr>
        <w:pStyle w:val="Body"/>
        <w:rPr>
          <w:rFonts w:ascii="Arial" w:hAnsi="Arial" w:cs="Arial"/>
          <w:lang w:val="en-PH"/>
        </w:rPr>
      </w:pPr>
      <w:r w:rsidRPr="00836571">
        <w:rPr>
          <w:rFonts w:ascii="Arial" w:hAnsi="Arial" w:cs="Arial"/>
          <w:lang w:val="en-PH"/>
        </w:rPr>
        <w:t>Beyond psychomotor proficiency, clinical competency in nursing is fundamentally anchored in cognitive processes such as clinical judgment, decision-making, and critical thinking. The reviewed literature consistently highlights simulation-based education as a powerful strategy for developing these higher-order cognitive skills. Simulation environments expose learners to dynamic and evolving patient conditions that require interpretation of clinical data, prioritization of interventions, and rapid decision-making, thereby replicating the complexity of real clinical settings.</w:t>
      </w:r>
    </w:p>
    <w:p w14:paraId="397DDF91" w14:textId="77777777" w:rsidR="00836571" w:rsidRPr="00836571" w:rsidRDefault="00836571" w:rsidP="00836571">
      <w:pPr>
        <w:pStyle w:val="Body"/>
        <w:rPr>
          <w:rFonts w:ascii="Arial" w:hAnsi="Arial" w:cs="Arial"/>
          <w:lang w:val="en-PH"/>
        </w:rPr>
      </w:pPr>
      <w:r w:rsidRPr="00836571">
        <w:rPr>
          <w:rFonts w:ascii="Arial" w:hAnsi="Arial" w:cs="Arial"/>
          <w:lang w:val="en-PH"/>
        </w:rPr>
        <w:t>Comparative studies demonstrate that learners exposed to simulation exhibit stronger clinical judgment skills than those relying primarily on traditional clinical exposure. Evidence indicates that simulation enhances both self-assessed and externally evaluated clinical judgment, suggesting that learners not only perceive improvement but also demonstrate measurable gains in decision-making performance (Høegh-Larsen et al., 2023). This dual improvement reflects the ability of simulation to engage both metacognitive awareness and observable clinical reasoning behaviors.</w:t>
      </w:r>
    </w:p>
    <w:p w14:paraId="2CF6A0E2" w14:textId="77777777" w:rsidR="00836571" w:rsidRPr="00836571" w:rsidRDefault="00836571" w:rsidP="00836571">
      <w:pPr>
        <w:pStyle w:val="Body"/>
        <w:rPr>
          <w:rFonts w:ascii="Arial" w:hAnsi="Arial" w:cs="Arial"/>
          <w:lang w:val="en-PH"/>
        </w:rPr>
      </w:pPr>
      <w:r w:rsidRPr="00836571">
        <w:rPr>
          <w:rFonts w:ascii="Arial" w:hAnsi="Arial" w:cs="Arial"/>
          <w:lang w:val="en-PH"/>
        </w:rPr>
        <w:t>Meta-analytic findings further support the effectiveness of simulation in improving critical thinking. Simulation-based interventions are associated with enhanced analytical reasoning and problem-solving capabilities, particularly when scenarios require the integration of multiple clinical cues and patient variables (Shin et al., 2015; Cook et al., 2011). These findings indicate that simulation promotes active cognitive engagement rather than passive knowledge acquisition, allowing learners to construct meaning through experience and reflection.</w:t>
      </w:r>
    </w:p>
    <w:p w14:paraId="0C86C476" w14:textId="77777777" w:rsidR="00836571" w:rsidRPr="00836571" w:rsidRDefault="00836571" w:rsidP="00836571">
      <w:pPr>
        <w:pStyle w:val="Body"/>
        <w:rPr>
          <w:rFonts w:ascii="Arial" w:hAnsi="Arial" w:cs="Arial"/>
          <w:lang w:val="en-PH"/>
        </w:rPr>
      </w:pPr>
      <w:r w:rsidRPr="00836571">
        <w:rPr>
          <w:rFonts w:ascii="Arial" w:hAnsi="Arial" w:cs="Arial"/>
          <w:lang w:val="en-PH"/>
        </w:rPr>
        <w:lastRenderedPageBreak/>
        <w:t>A critical mechanism underlying these outcomes is structured debriefing. Reflective discussion following simulation enables learners to analyze their reasoning processes, identify gaps in knowledge, and reconstruct decision-making pathways. Debriefing facilitates the transition from experience to understanding, strengthening the internalization of clinical reasoning frameworks (Decker et al., 2013). Without this reflective component, simulation experiences may fail to produce sustained cognitive gains, highlighting the importance of guided reflection in maximizing educational impact.</w:t>
      </w:r>
    </w:p>
    <w:p w14:paraId="292BABD9" w14:textId="77777777" w:rsidR="00836571" w:rsidRPr="00836571" w:rsidRDefault="00836571" w:rsidP="00836571">
      <w:pPr>
        <w:pStyle w:val="Body"/>
        <w:rPr>
          <w:rFonts w:ascii="Arial" w:hAnsi="Arial" w:cs="Arial"/>
          <w:lang w:val="en-PH"/>
        </w:rPr>
      </w:pPr>
      <w:r w:rsidRPr="00836571">
        <w:rPr>
          <w:rFonts w:ascii="Arial" w:hAnsi="Arial" w:cs="Arial"/>
          <w:lang w:val="en-PH"/>
        </w:rPr>
        <w:t>The complexity and fidelity of simulation scenarios also influence cognitive development. High-fidelity simulation environments that replicate physiological responses and clinical unpredictability enhance immersion and encourage deeper cognitive processing. Studies suggest that exposure to complex and high-risk scenarios, such as patient deterioration or emergency situations, improves learners’ ability to anticipate complications and respond effectively (Yuan et al., 2012). However, similar to psychomotor outcomes, the effectiveness of high-fidelity simulation is contingent upon instructional design and facilitation quality rather than fidelity alone.</w:t>
      </w:r>
    </w:p>
    <w:p w14:paraId="0B6C7A87" w14:textId="77777777" w:rsidR="00836571" w:rsidRPr="00836571" w:rsidRDefault="00836571" w:rsidP="00836571">
      <w:pPr>
        <w:pStyle w:val="Body"/>
        <w:rPr>
          <w:rFonts w:ascii="Arial" w:hAnsi="Arial" w:cs="Arial"/>
          <w:lang w:val="en-PH"/>
        </w:rPr>
      </w:pPr>
      <w:r w:rsidRPr="00836571">
        <w:rPr>
          <w:rFonts w:ascii="Arial" w:hAnsi="Arial" w:cs="Arial"/>
          <w:lang w:val="en-PH"/>
        </w:rPr>
        <w:t>Repeated and progressive simulation exposure plays a significant role in sustaining improvements in clinical judgment. Evidence indicates that longitudinal integration of simulation within curricula leads to more consistent development of critical thinking skills compared to single-session interventions (Hung et al., 2021). Continuous exposure allows learners to refine reasoning strategies, build pattern recognition, and develop confidence in clinical decision-making.</w:t>
      </w:r>
    </w:p>
    <w:p w14:paraId="5BA54696" w14:textId="77777777" w:rsidR="00836571" w:rsidRPr="00836571" w:rsidRDefault="00836571" w:rsidP="00836571">
      <w:pPr>
        <w:pStyle w:val="Body"/>
        <w:rPr>
          <w:rFonts w:ascii="Arial" w:hAnsi="Arial" w:cs="Arial"/>
          <w:lang w:val="en-PH"/>
        </w:rPr>
      </w:pPr>
      <w:r w:rsidRPr="00836571">
        <w:rPr>
          <w:rFonts w:ascii="Arial" w:hAnsi="Arial" w:cs="Arial"/>
          <w:lang w:val="en-PH"/>
        </w:rPr>
        <w:t>Despite these strengths, variability in cognitive outcomes persists across studies. Differences in scenario design, assessment tools, and learner readiness contribute to inconsistencies in reported results. Additionally, while improvements in simulated environments are well-documented, the extent to which these gains transfer directly to real clinical settings remains an area requiring further investigation.</w:t>
      </w:r>
    </w:p>
    <w:p w14:paraId="6E91D583" w14:textId="77777777" w:rsidR="00836571" w:rsidRPr="00836571" w:rsidRDefault="00836571" w:rsidP="00836571">
      <w:pPr>
        <w:pStyle w:val="Body"/>
        <w:rPr>
          <w:rFonts w:ascii="Arial" w:hAnsi="Arial" w:cs="Arial"/>
          <w:lang w:val="en-PH"/>
        </w:rPr>
      </w:pPr>
      <w:r w:rsidRPr="00836571">
        <w:rPr>
          <w:rFonts w:ascii="Arial" w:hAnsi="Arial" w:cs="Arial"/>
          <w:lang w:val="en-PH"/>
        </w:rPr>
        <w:t>Overall, the literature demonstrates that simulation-based nursing education significantly enhances clinical judgment and critical thinking by promoting active engagement, reflective learning, and exposure to complex clinical scenarios. These cognitive gains are essential for safe and effective nursing practice, particularly in high-acuity and rapidly changing healthcare environments.</w:t>
      </w:r>
    </w:p>
    <w:p w14:paraId="0E26236C" w14:textId="77777777" w:rsidR="00710AAE" w:rsidRPr="00710AAE" w:rsidRDefault="00710AAE" w:rsidP="00710AAE">
      <w:pPr>
        <w:pStyle w:val="Body"/>
        <w:rPr>
          <w:rFonts w:ascii="Arial" w:hAnsi="Arial" w:cs="Arial"/>
          <w:b/>
          <w:bCs/>
          <w:lang w:val="en-PH"/>
        </w:rPr>
      </w:pPr>
      <w:r w:rsidRPr="00710AAE">
        <w:rPr>
          <w:rFonts w:ascii="Arial" w:hAnsi="Arial" w:cs="Arial"/>
          <w:b/>
          <w:bCs/>
          <w:lang w:val="en-PH"/>
        </w:rPr>
        <w:t>3.4 Patient Safety and Interprofessional Collaboration</w:t>
      </w:r>
    </w:p>
    <w:p w14:paraId="16A96A50" w14:textId="77777777" w:rsidR="00836571" w:rsidRPr="00836571" w:rsidRDefault="00836571" w:rsidP="00836571">
      <w:pPr>
        <w:pStyle w:val="Body"/>
        <w:rPr>
          <w:rFonts w:ascii="Arial" w:hAnsi="Arial" w:cs="Arial"/>
          <w:lang w:val="en-PH"/>
        </w:rPr>
      </w:pPr>
      <w:r w:rsidRPr="00836571">
        <w:rPr>
          <w:rFonts w:ascii="Arial" w:hAnsi="Arial" w:cs="Arial"/>
          <w:lang w:val="en-PH"/>
        </w:rPr>
        <w:t>Patient safety emerges as a central outcome in the integration of simulation-based nursing education, particularly in addressing the risks associated with novice clinical practice. The reviewed literature consistently identifies simulation as a safe and controlled environment where learners can engage in high-risk clinical scenarios without endangering patients. This feature allows for the practice of complex procedures, error recognition, and corrective action, all of which are critical in reducing clinical mistakes in real healthcare settings.</w:t>
      </w:r>
    </w:p>
    <w:p w14:paraId="7C603B4D" w14:textId="77777777" w:rsidR="00836571" w:rsidRPr="00836571" w:rsidRDefault="00836571" w:rsidP="00836571">
      <w:pPr>
        <w:pStyle w:val="Body"/>
        <w:rPr>
          <w:rFonts w:ascii="Arial" w:hAnsi="Arial" w:cs="Arial"/>
          <w:lang w:val="en-PH"/>
        </w:rPr>
      </w:pPr>
      <w:r w:rsidRPr="00836571">
        <w:rPr>
          <w:rFonts w:ascii="Arial" w:hAnsi="Arial" w:cs="Arial"/>
          <w:lang w:val="en-PH"/>
        </w:rPr>
        <w:t>Strong empirical support for the role of simulation in promoting patient safety is provided by large-scale experimental evidence. Findings from a longitudinal randomized controlled study indicate that the substitution of a significant portion of clinical hours with simulation does not compromise clinical competence or readiness for professional practice (Hayden et al., 2014). This suggests that simulation not only supplements but can partially replace traditional clinical exposure while maintaining educational outcomes. The ability to standardize training experiences ensures that all learners are exposed to critical scenarios that may otherwise be rare in clinical placements.</w:t>
      </w:r>
    </w:p>
    <w:p w14:paraId="12CFFAAD" w14:textId="77777777" w:rsidR="00836571" w:rsidRPr="00836571" w:rsidRDefault="00836571" w:rsidP="00836571">
      <w:pPr>
        <w:pStyle w:val="Body"/>
        <w:rPr>
          <w:rFonts w:ascii="Arial" w:hAnsi="Arial" w:cs="Arial"/>
          <w:lang w:val="en-PH"/>
        </w:rPr>
      </w:pPr>
      <w:r w:rsidRPr="00836571">
        <w:rPr>
          <w:rFonts w:ascii="Arial" w:hAnsi="Arial" w:cs="Arial"/>
          <w:lang w:val="en-PH"/>
        </w:rPr>
        <w:lastRenderedPageBreak/>
        <w:t>Simulation also enhances learners’ preparedness for managing emergency situations and high-acuity patient conditions. Exposure to simulated crises allows learners to develop familiarity with protocols, improve response time, and strengthen confidence in decision-making. Evidence indicates that repeated engagement in simulation scenarios contributes to improved procedural accuracy and reduced hesitation during real patient encounters (Shin et al., 2015). This preparedness is essential in minimizing preventable errors and ensuring timely clinical interventions.</w:t>
      </w:r>
    </w:p>
    <w:p w14:paraId="4FD08282" w14:textId="77777777" w:rsidR="00836571" w:rsidRPr="00836571" w:rsidRDefault="00836571" w:rsidP="00836571">
      <w:pPr>
        <w:pStyle w:val="Body"/>
        <w:rPr>
          <w:rFonts w:ascii="Arial" w:hAnsi="Arial" w:cs="Arial"/>
          <w:lang w:val="en-PH"/>
        </w:rPr>
      </w:pPr>
      <w:r w:rsidRPr="00836571">
        <w:rPr>
          <w:rFonts w:ascii="Arial" w:hAnsi="Arial" w:cs="Arial"/>
          <w:lang w:val="en-PH"/>
        </w:rPr>
        <w:t>Interprofessional collaboration represents another key dimension of simulation-based education. Healthcare delivery increasingly relies on coordinated teamwork among professionals from different disciplines, making communication and collaboration essential competencies. Simulation-based training provides structured opportunities for learners to engage in team-based scenarios, fostering shared decision-making and role clarity. Studies show that simulation enhances communication skills and promotes collaborative problem-solving, both of which are critical in reducing miscommunication-related errors in clinical settings (Cook et al., 2011).</w:t>
      </w:r>
    </w:p>
    <w:p w14:paraId="0D2B8FE5" w14:textId="77777777" w:rsidR="00836571" w:rsidRPr="00836571" w:rsidRDefault="00836571" w:rsidP="00836571">
      <w:pPr>
        <w:pStyle w:val="Body"/>
        <w:rPr>
          <w:rFonts w:ascii="Arial" w:hAnsi="Arial" w:cs="Arial"/>
          <w:lang w:val="en-PH"/>
        </w:rPr>
      </w:pPr>
      <w:r w:rsidRPr="00836571">
        <w:rPr>
          <w:rFonts w:ascii="Arial" w:hAnsi="Arial" w:cs="Arial"/>
          <w:lang w:val="en-PH"/>
        </w:rPr>
        <w:t>Virtual and technology-enhanced simulation further expand opportunities for collaborative learning. Digital simulation platforms allow learners from different locations to participate in shared clinical scenarios, supporting interprofessional education even in resource-limited settings. Evidence suggests that virtual simulation improves engagement and facilitates collaborative learning experiences, contributing to both individual competency and team-based performance (Chen et al., 2020; Liu et al., 2023). These innovations address accessibility challenges while maintaining the core benefits of simulation-based training.</w:t>
      </w:r>
    </w:p>
    <w:p w14:paraId="5B3BEF6C" w14:textId="77777777" w:rsidR="00836571" w:rsidRPr="00836571" w:rsidRDefault="00836571" w:rsidP="00836571">
      <w:pPr>
        <w:pStyle w:val="Body"/>
        <w:rPr>
          <w:rFonts w:ascii="Arial" w:hAnsi="Arial" w:cs="Arial"/>
          <w:lang w:val="en-PH"/>
        </w:rPr>
      </w:pPr>
      <w:r w:rsidRPr="00836571">
        <w:rPr>
          <w:rFonts w:ascii="Arial" w:hAnsi="Arial" w:cs="Arial"/>
          <w:lang w:val="en-PH"/>
        </w:rPr>
        <w:t>Despite these advantages, direct measurement of patient safety outcomes remains limited in the literature. While simulation improves preparedness, confidence, and procedural competence, fewer studies provide longitudinal data linking simulation training to actual reductions in clinical error rates. This gap highlights the need for future research examining the long-term impact of simulation on patient outcomes in real healthcare environments.</w:t>
      </w:r>
    </w:p>
    <w:p w14:paraId="255CFB05" w14:textId="178BB5F8" w:rsidR="00836571" w:rsidRPr="00836571" w:rsidRDefault="00836571" w:rsidP="00836571">
      <w:pPr>
        <w:pStyle w:val="Body"/>
        <w:rPr>
          <w:rFonts w:ascii="Arial" w:hAnsi="Arial" w:cs="Arial"/>
          <w:lang w:val="en-PH"/>
        </w:rPr>
      </w:pPr>
      <w:r>
        <w:rPr>
          <w:rFonts w:ascii="Arial" w:hAnsi="Arial" w:cs="Arial"/>
          <w:lang w:val="en-PH"/>
        </w:rPr>
        <w:t>S</w:t>
      </w:r>
      <w:r w:rsidRPr="00836571">
        <w:rPr>
          <w:rFonts w:ascii="Arial" w:hAnsi="Arial" w:cs="Arial"/>
          <w:lang w:val="en-PH"/>
        </w:rPr>
        <w:t>imulation-based nursing education plays a critical role in promoting patient safety and enhancing interprofessional collaboration. Through structured exposure to high-risk scenarios and team-based learning experiences, simulation prepares learners to function effectively in complex healthcare systems. However, further research is necessary to establish stronger empirical links between simulation training and measurable improvements in patient safety outcomes.</w:t>
      </w:r>
    </w:p>
    <w:p w14:paraId="56837952" w14:textId="77777777" w:rsidR="00710AAE" w:rsidRPr="00710AAE" w:rsidRDefault="00710AAE" w:rsidP="00710AAE">
      <w:pPr>
        <w:pStyle w:val="Body"/>
        <w:rPr>
          <w:rFonts w:ascii="Arial" w:hAnsi="Arial" w:cs="Arial"/>
          <w:b/>
          <w:bCs/>
          <w:lang w:val="en-PH"/>
        </w:rPr>
      </w:pPr>
      <w:r w:rsidRPr="00710AAE">
        <w:rPr>
          <w:rFonts w:ascii="Arial" w:hAnsi="Arial" w:cs="Arial"/>
          <w:b/>
          <w:bCs/>
          <w:lang w:val="en-PH"/>
        </w:rPr>
        <w:t>3.5 Implementation Challenges and Sustainability</w:t>
      </w:r>
    </w:p>
    <w:p w14:paraId="13BF56F3" w14:textId="77777777" w:rsidR="00836571" w:rsidRPr="00836571" w:rsidRDefault="00836571" w:rsidP="00836571">
      <w:pPr>
        <w:pStyle w:val="Body"/>
        <w:rPr>
          <w:rFonts w:ascii="Arial" w:hAnsi="Arial" w:cs="Arial"/>
          <w:lang w:val="en-PH"/>
        </w:rPr>
      </w:pPr>
      <w:r w:rsidRPr="00836571">
        <w:rPr>
          <w:rFonts w:ascii="Arial" w:hAnsi="Arial" w:cs="Arial"/>
          <w:lang w:val="en-PH"/>
        </w:rPr>
        <w:t>Despite the well-established benefits of simulation-based nursing education, the literature consistently highlights several challenges that affect its implementation and long-term sustainability. These challenges are largely institutional and systemic, involving financial resources, faculty preparedness, technological infrastructure, and the standardization of assessment practices. Addressing these constraints is essential to ensure that simulation-based learning can be effectively integrated and sustained across diverse educational settings.</w:t>
      </w:r>
    </w:p>
    <w:p w14:paraId="2E775B3B" w14:textId="77777777" w:rsidR="00836571" w:rsidRPr="00836571" w:rsidRDefault="00836571" w:rsidP="00836571">
      <w:pPr>
        <w:pStyle w:val="Body"/>
        <w:rPr>
          <w:rFonts w:ascii="Arial" w:hAnsi="Arial" w:cs="Arial"/>
          <w:lang w:val="en-PH"/>
        </w:rPr>
      </w:pPr>
      <w:r w:rsidRPr="00836571">
        <w:rPr>
          <w:rFonts w:ascii="Arial" w:hAnsi="Arial" w:cs="Arial"/>
          <w:lang w:val="en-PH"/>
        </w:rPr>
        <w:t xml:space="preserve">One of the most significant barriers identified across studies is the high cost associated with simulation programs. The establishment of simulation laboratories requires substantial investment in high-fidelity mannequins, equipment maintenance, software systems, and dedicated physical space. Resource limitations are particularly evident in low- and middle-income educational institutions, where access to advanced simulation technologies may be </w:t>
      </w:r>
      <w:r w:rsidRPr="00836571">
        <w:rPr>
          <w:rFonts w:ascii="Arial" w:hAnsi="Arial" w:cs="Arial"/>
          <w:lang w:val="en-PH"/>
        </w:rPr>
        <w:lastRenderedPageBreak/>
        <w:t>restricted. Variability in institutional funding contributes to disparities in simulation quality, which in turn affects the consistency of learning outcomes (</w:t>
      </w:r>
      <w:proofErr w:type="gramStart"/>
      <w:r w:rsidRPr="00836571">
        <w:rPr>
          <w:rFonts w:ascii="Arial" w:hAnsi="Arial" w:cs="Arial"/>
          <w:lang w:val="en-PH"/>
        </w:rPr>
        <w:t>Cant</w:t>
      </w:r>
      <w:proofErr w:type="gramEnd"/>
      <w:r w:rsidRPr="00836571">
        <w:rPr>
          <w:rFonts w:ascii="Arial" w:hAnsi="Arial" w:cs="Arial"/>
          <w:lang w:val="en-PH"/>
        </w:rPr>
        <w:t xml:space="preserve"> &amp; Cooper, 2017).</w:t>
      </w:r>
    </w:p>
    <w:p w14:paraId="33F3ADB1" w14:textId="77777777" w:rsidR="00836571" w:rsidRPr="00836571" w:rsidRDefault="00836571" w:rsidP="00836571">
      <w:pPr>
        <w:pStyle w:val="Body"/>
        <w:rPr>
          <w:rFonts w:ascii="Arial" w:hAnsi="Arial" w:cs="Arial"/>
          <w:lang w:val="en-PH"/>
        </w:rPr>
      </w:pPr>
      <w:r w:rsidRPr="00836571">
        <w:rPr>
          <w:rFonts w:ascii="Arial" w:hAnsi="Arial" w:cs="Arial"/>
          <w:lang w:val="en-PH"/>
        </w:rPr>
        <w:t>Faculty preparedness represents another critical factor influencing the effectiveness of simulation-based education. Simulation requires facilitators who are not only clinically competent but also skilled in scenario design, learner engagement, and structured debriefing techniques. Evidence indicates that insufficient faculty training can limit the educational impact of simulation, even when advanced technology is available (Decker et al., 2013). The role of the facilitator is central in guiding reflection, promoting critical thinking, and ensuring that learning objectives are achieved. Without adequate training and support, simulation may become a procedural activity rather than a meaningful learning experience.</w:t>
      </w:r>
    </w:p>
    <w:p w14:paraId="265B2F2D" w14:textId="77777777" w:rsidR="00836571" w:rsidRPr="00836571" w:rsidRDefault="00836571" w:rsidP="00836571">
      <w:pPr>
        <w:pStyle w:val="Body"/>
        <w:rPr>
          <w:rFonts w:ascii="Arial" w:hAnsi="Arial" w:cs="Arial"/>
          <w:lang w:val="en-PH"/>
        </w:rPr>
      </w:pPr>
      <w:r w:rsidRPr="00836571">
        <w:rPr>
          <w:rFonts w:ascii="Arial" w:hAnsi="Arial" w:cs="Arial"/>
          <w:lang w:val="en-PH"/>
        </w:rPr>
        <w:t>The lack of standardized assessment frameworks also presents a challenge. Studies reveal variability in the tools and methods used to evaluate clinical competency, making it difficult to compare outcomes across programs and research studies. While performance-based assessments such as simulation evaluations and competency checklists are commonly used, inconsistencies in measurement limit the generalizability of findings (Cook et al., 2011). The development and adoption of standardized competency assessment models would enhance reliability and strengthen evidence across institutions.</w:t>
      </w:r>
    </w:p>
    <w:p w14:paraId="132D9CF4" w14:textId="77777777" w:rsidR="00836571" w:rsidRPr="00836571" w:rsidRDefault="00836571" w:rsidP="00836571">
      <w:pPr>
        <w:pStyle w:val="Body"/>
        <w:rPr>
          <w:rFonts w:ascii="Arial" w:hAnsi="Arial" w:cs="Arial"/>
          <w:lang w:val="en-PH"/>
        </w:rPr>
      </w:pPr>
      <w:r w:rsidRPr="00836571">
        <w:rPr>
          <w:rFonts w:ascii="Arial" w:hAnsi="Arial" w:cs="Arial"/>
          <w:lang w:val="en-PH"/>
        </w:rPr>
        <w:t>Technological advancements offer potential solutions to some of these challenges, particularly in improving accessibility and scalability. Virtual and digital simulation platforms reduce dependence on physical infrastructure and allow flexible learning opportunities. Evidence suggests that virtual simulation enhances knowledge acquisition, engagement, and clinical reasoning, making it a viable alternative in settings with limited resources (Chen et al., 2020; Liu et al., 2023). However, the effectiveness of these technologies depends on reliable internet access, digital literacy, and institutional support, which may not be uniformly available.</w:t>
      </w:r>
    </w:p>
    <w:p w14:paraId="57EAFAAE" w14:textId="77777777" w:rsidR="00836571" w:rsidRPr="00836571" w:rsidRDefault="00836571" w:rsidP="00836571">
      <w:pPr>
        <w:pStyle w:val="Body"/>
        <w:rPr>
          <w:rFonts w:ascii="Arial" w:hAnsi="Arial" w:cs="Arial"/>
          <w:lang w:val="en-PH"/>
        </w:rPr>
      </w:pPr>
      <w:r w:rsidRPr="00836571">
        <w:rPr>
          <w:rFonts w:ascii="Arial" w:hAnsi="Arial" w:cs="Arial"/>
          <w:lang w:val="en-PH"/>
        </w:rPr>
        <w:t>Another concern involves the sustainability of learning outcomes. While simulation consistently demonstrates short-term improvements in knowledge, skills, and confidence, maintaining these gains over time requires repeated exposure and integration within curricula. Studies indicate that isolated simulation sessions may produce temporary benefits, whereas longitudinal implementation supports sustained competency development (Hung et al., 2021). This underscores the need for curriculum-wide integration rather than sporadic use of simulation activities.</w:t>
      </w:r>
    </w:p>
    <w:p w14:paraId="6C9FCE55" w14:textId="77777777" w:rsidR="00836571" w:rsidRPr="00836571" w:rsidRDefault="00836571" w:rsidP="00836571">
      <w:pPr>
        <w:pStyle w:val="Body"/>
        <w:rPr>
          <w:rFonts w:ascii="Arial" w:hAnsi="Arial" w:cs="Arial"/>
          <w:lang w:val="en-PH"/>
        </w:rPr>
      </w:pPr>
      <w:r w:rsidRPr="00836571">
        <w:rPr>
          <w:rFonts w:ascii="Arial" w:hAnsi="Arial" w:cs="Arial"/>
          <w:lang w:val="en-PH"/>
        </w:rPr>
        <w:t>Finally, disparities in access to simulation resources may contribute to inequities in nursing education. Institutions with advanced facilities and trained faculty are better positioned to implement high-quality simulation programs, while others may rely on limited or low-fidelity alternatives. Ensuring equitable access to simulation-based learning remains a critical consideration for educational policy and program development.</w:t>
      </w:r>
    </w:p>
    <w:p w14:paraId="383314DB" w14:textId="5143090F" w:rsidR="00376BBE" w:rsidRPr="00710AAE" w:rsidRDefault="00710AAE" w:rsidP="00846D9D">
      <w:pPr>
        <w:pStyle w:val="Body"/>
        <w:rPr>
          <w:rFonts w:ascii="Arial" w:hAnsi="Arial" w:cs="Arial"/>
          <w:lang w:val="en-PH"/>
        </w:rPr>
      </w:pPr>
      <w:r w:rsidRPr="00710AAE">
        <w:rPr>
          <w:rFonts w:ascii="Arial" w:hAnsi="Arial" w:cs="Arial"/>
          <w:lang w:val="en-PH"/>
        </w:rPr>
        <w:t>.</w:t>
      </w:r>
    </w:p>
    <w:p w14:paraId="609C0040" w14:textId="77777777" w:rsidR="00347AAF" w:rsidRPr="00836571" w:rsidRDefault="00347AAF" w:rsidP="00441B6F">
      <w:pPr>
        <w:pStyle w:val="ConcHead"/>
        <w:spacing w:after="0"/>
        <w:jc w:val="both"/>
        <w:rPr>
          <w:rFonts w:ascii="Arial" w:hAnsi="Arial" w:cs="Arial"/>
          <w:lang w:val="en-PH"/>
        </w:rPr>
      </w:pPr>
    </w:p>
    <w:p w14:paraId="0DE73131" w14:textId="37DE2772"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956DA39" w14:textId="77777777" w:rsidR="00790ADA" w:rsidRPr="00FB3A86" w:rsidRDefault="00790ADA" w:rsidP="00441B6F">
      <w:pPr>
        <w:pStyle w:val="ConcHead"/>
        <w:spacing w:after="0"/>
        <w:jc w:val="both"/>
        <w:rPr>
          <w:rFonts w:ascii="Arial" w:hAnsi="Arial" w:cs="Arial"/>
        </w:rPr>
      </w:pPr>
    </w:p>
    <w:p w14:paraId="6A24B020" w14:textId="77777777" w:rsidR="00710AAE" w:rsidRDefault="00710AAE" w:rsidP="00710AAE">
      <w:pPr>
        <w:pStyle w:val="Body"/>
        <w:spacing w:after="0"/>
        <w:rPr>
          <w:rFonts w:ascii="Arial" w:hAnsi="Arial" w:cs="Arial"/>
          <w:lang w:val="en-PH"/>
        </w:rPr>
      </w:pPr>
      <w:r w:rsidRPr="00710AAE">
        <w:rPr>
          <w:rFonts w:ascii="Arial" w:hAnsi="Arial" w:cs="Arial"/>
          <w:lang w:val="en-PH"/>
        </w:rPr>
        <w:t xml:space="preserve">Simulation-based nursing education has emerged as a transformative instructional strategy in response to growing concerns about clinical preparedness and competency gaps among nursing graduates. The increasing complexity of healthcare systems, limitations in clinical placement opportunities, and heightened emphasis on patient safety have necessitated innovative approaches to experiential learning. The literature reviewed in this study </w:t>
      </w:r>
      <w:r w:rsidRPr="00710AAE">
        <w:rPr>
          <w:rFonts w:ascii="Arial" w:hAnsi="Arial" w:cs="Arial"/>
          <w:lang w:val="en-PH"/>
        </w:rPr>
        <w:lastRenderedPageBreak/>
        <w:t>consistently demonstrates that simulation-based education enhances psychomotor skill performance, strengthens clinical judgment, improves learner confidence, and contributes to patient safety preparedness. When implemented in alignment with established standards and structured debriefing practices, simulation provides measurable and sustainable competency gains.</w:t>
      </w:r>
    </w:p>
    <w:p w14:paraId="089270CC" w14:textId="77777777" w:rsidR="00710AAE" w:rsidRPr="00710AAE" w:rsidRDefault="00710AAE" w:rsidP="00710AAE">
      <w:pPr>
        <w:pStyle w:val="Body"/>
        <w:spacing w:after="0"/>
        <w:rPr>
          <w:rFonts w:ascii="Arial" w:hAnsi="Arial" w:cs="Arial"/>
          <w:lang w:val="en-PH"/>
        </w:rPr>
      </w:pPr>
    </w:p>
    <w:p w14:paraId="1C85A2CE" w14:textId="77777777" w:rsidR="00710AAE" w:rsidRDefault="00710AAE" w:rsidP="00710AAE">
      <w:pPr>
        <w:pStyle w:val="Body"/>
        <w:spacing w:after="0"/>
        <w:rPr>
          <w:rFonts w:ascii="Arial" w:hAnsi="Arial" w:cs="Arial"/>
          <w:lang w:val="en-PH"/>
        </w:rPr>
      </w:pPr>
      <w:r w:rsidRPr="00710AAE">
        <w:rPr>
          <w:rFonts w:ascii="Arial" w:hAnsi="Arial" w:cs="Arial"/>
          <w:lang w:val="en-PH"/>
        </w:rPr>
        <w:t>Empirical findings from randomized, quasi-experimental, and meta-analytic studies indicate that simulation-based training significantly improves clinical performance outcomes compared to traditional lecture-based instruction alone. High-fidelity simulation environments allow repeated practice of complex procedures, enabling learners to develop technical accuracy and procedural fluency in a controlled setting. Moreover, simulation fosters reflective learning processes that enhance cognitive integration and decision-making capacity. These outcomes reinforce the role of simulation as more than a supplementary teaching tool; rather, it functions as an essential component of competency-based nursing education.</w:t>
      </w:r>
    </w:p>
    <w:p w14:paraId="4B5948F8" w14:textId="77777777" w:rsidR="00710AAE" w:rsidRPr="00710AAE" w:rsidRDefault="00710AAE" w:rsidP="00710AAE">
      <w:pPr>
        <w:pStyle w:val="Body"/>
        <w:spacing w:after="0"/>
        <w:rPr>
          <w:rFonts w:ascii="Arial" w:hAnsi="Arial" w:cs="Arial"/>
          <w:lang w:val="en-PH"/>
        </w:rPr>
      </w:pPr>
    </w:p>
    <w:p w14:paraId="4DC370E2" w14:textId="77777777" w:rsidR="00710AAE" w:rsidRDefault="00710AAE" w:rsidP="00710AAE">
      <w:pPr>
        <w:pStyle w:val="Body"/>
        <w:spacing w:after="0"/>
        <w:rPr>
          <w:rFonts w:ascii="Arial" w:hAnsi="Arial" w:cs="Arial"/>
          <w:lang w:val="en-PH"/>
        </w:rPr>
      </w:pPr>
      <w:r w:rsidRPr="00710AAE">
        <w:rPr>
          <w:rFonts w:ascii="Arial" w:hAnsi="Arial" w:cs="Arial"/>
          <w:lang w:val="en-PH"/>
        </w:rPr>
        <w:t>Beyond individual skill development, simulation-based education contributes to system-level improvements in patient safety and interprofessional collaboration. By providing safe environments for managing high-risk clinical scenarios, simulation reduces the likelihood of errors during real patient encounters. Interprofessional simulation experiences further strengthen communication, teamwork, and crisis coordination competencies that are critical in modern healthcare delivery. The integration of structured teamwork training within simulation scenarios enhances collective clinical responsiveness and aligns with global patient safety initiatives.</w:t>
      </w:r>
    </w:p>
    <w:p w14:paraId="71F7B50C" w14:textId="77777777" w:rsidR="00EA09FC" w:rsidRPr="00710AAE" w:rsidRDefault="00EA09FC" w:rsidP="00710AAE">
      <w:pPr>
        <w:pStyle w:val="Body"/>
        <w:spacing w:after="0"/>
        <w:rPr>
          <w:rFonts w:ascii="Arial" w:hAnsi="Arial" w:cs="Arial"/>
          <w:lang w:val="en-PH"/>
        </w:rPr>
      </w:pPr>
    </w:p>
    <w:p w14:paraId="5DCE62D8" w14:textId="77777777" w:rsidR="00710AAE" w:rsidRDefault="00710AAE" w:rsidP="00710AAE">
      <w:pPr>
        <w:pStyle w:val="Body"/>
        <w:spacing w:after="0"/>
        <w:rPr>
          <w:rFonts w:ascii="Arial" w:hAnsi="Arial" w:cs="Arial"/>
          <w:lang w:val="en-PH"/>
        </w:rPr>
      </w:pPr>
      <w:r w:rsidRPr="00710AAE">
        <w:rPr>
          <w:rFonts w:ascii="Arial" w:hAnsi="Arial" w:cs="Arial"/>
          <w:lang w:val="en-PH"/>
        </w:rPr>
        <w:t>Despite these strengths, several challenges continue to influence the implementation and sustainability of simulation-based programs. High financial costs associated with equipment, laboratory infrastructure, and technology maintenance remain significant barriers, particularly in resource-limited institutions. Additionally, faculty readiness and facilitator expertise are crucial determinants of simulation effectiveness. Without adequate training in scenario design and debriefing techniques, simulation experiences may fail to achieve intended learning outcomes. Variability in assessment tools and inconsistent integration within curricula further limit the standardization of competency evaluation.</w:t>
      </w:r>
    </w:p>
    <w:p w14:paraId="348DBBCF" w14:textId="77777777" w:rsidR="00710AAE" w:rsidRPr="00710AAE" w:rsidRDefault="00710AAE" w:rsidP="00710AAE">
      <w:pPr>
        <w:pStyle w:val="Body"/>
        <w:spacing w:after="0"/>
        <w:rPr>
          <w:rFonts w:ascii="Arial" w:hAnsi="Arial" w:cs="Arial"/>
          <w:lang w:val="en-PH"/>
        </w:rPr>
      </w:pPr>
    </w:p>
    <w:p w14:paraId="51B2E304" w14:textId="77777777" w:rsidR="00710AAE" w:rsidRDefault="00710AAE" w:rsidP="00710AAE">
      <w:pPr>
        <w:pStyle w:val="Body"/>
        <w:spacing w:after="0"/>
        <w:rPr>
          <w:rFonts w:ascii="Arial" w:hAnsi="Arial" w:cs="Arial"/>
          <w:lang w:val="en-PH"/>
        </w:rPr>
      </w:pPr>
      <w:r w:rsidRPr="00710AAE">
        <w:rPr>
          <w:rFonts w:ascii="Arial" w:hAnsi="Arial" w:cs="Arial"/>
          <w:lang w:val="en-PH"/>
        </w:rPr>
        <w:t>Emerging digital platforms, including virtual and augmented reality technologies, offer promising avenues for expanding access to simulation-based learning. These innovations may reduce infrastructure dependency and enhance scalability, particularly in settings where traditional laboratory facilities are limited. However, continued research is necessary to examine long-term competency retention, cost-effectiveness, and the transferability of simulation-acquired skills to real clinical practice.</w:t>
      </w:r>
    </w:p>
    <w:p w14:paraId="64309830" w14:textId="77777777" w:rsidR="00710AAE" w:rsidRPr="00710AAE" w:rsidRDefault="00710AAE" w:rsidP="00710AAE">
      <w:pPr>
        <w:pStyle w:val="Body"/>
        <w:spacing w:after="0"/>
        <w:rPr>
          <w:rFonts w:ascii="Arial" w:hAnsi="Arial" w:cs="Arial"/>
          <w:lang w:val="en-PH"/>
        </w:rPr>
      </w:pPr>
    </w:p>
    <w:p w14:paraId="592E8961" w14:textId="695941A0" w:rsidR="00710AAE" w:rsidRPr="00710AAE" w:rsidRDefault="00710AAE" w:rsidP="00710AAE">
      <w:pPr>
        <w:pStyle w:val="Body"/>
        <w:spacing w:after="0"/>
        <w:rPr>
          <w:rFonts w:ascii="Arial" w:hAnsi="Arial" w:cs="Arial"/>
          <w:lang w:val="en-PH"/>
        </w:rPr>
      </w:pPr>
      <w:r w:rsidRPr="00710AAE">
        <w:rPr>
          <w:rFonts w:ascii="Arial" w:hAnsi="Arial" w:cs="Arial"/>
          <w:lang w:val="en-PH"/>
        </w:rPr>
        <w:t xml:space="preserve">In summary, the evidence synthesized in this review affirms that simulation-based nursing education plays a critical role in enhancing clinical competency across cognitive, psychomotor, and affective domains. While implementation challenges remain, strategic institutional planning, investment in faculty development, adherence to evidence-based standards, and integration of emerging technologies can strengthen the effectiveness of simulation programs. </w:t>
      </w:r>
    </w:p>
    <w:p w14:paraId="2BD088C7" w14:textId="77777777" w:rsidR="00790ADA" w:rsidRPr="00710AAE" w:rsidRDefault="00790ADA" w:rsidP="00441B6F">
      <w:pPr>
        <w:pStyle w:val="Body"/>
        <w:spacing w:after="0"/>
        <w:rPr>
          <w:rFonts w:ascii="Arial" w:hAnsi="Arial" w:cs="Arial"/>
          <w:lang w:val="en-PH"/>
        </w:rPr>
      </w:pPr>
    </w:p>
    <w:p w14:paraId="11BD56B2" w14:textId="77777777" w:rsidR="00846D9D" w:rsidRPr="00710AAE" w:rsidRDefault="00846D9D" w:rsidP="00710AAE">
      <w:pPr>
        <w:jc w:val="both"/>
        <w:rPr>
          <w:rFonts w:ascii="Arial" w:hAnsi="Arial" w:cs="Arial"/>
        </w:rPr>
      </w:pPr>
    </w:p>
    <w:p w14:paraId="7F52B20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22846D05" w14:textId="77777777" w:rsidR="00860000" w:rsidRPr="00786D36" w:rsidRDefault="00860000" w:rsidP="00441B6F">
      <w:pPr>
        <w:pStyle w:val="ReferHead"/>
        <w:spacing w:after="0"/>
        <w:jc w:val="both"/>
        <w:rPr>
          <w:rFonts w:ascii="Arial" w:hAnsi="Arial" w:cs="Arial"/>
        </w:rPr>
      </w:pPr>
    </w:p>
    <w:p w14:paraId="61F7323A" w14:textId="085C5AB3" w:rsidR="00846D9D" w:rsidRPr="00846D9D" w:rsidRDefault="00846D9D" w:rsidP="00846D9D">
      <w:pPr>
        <w:pStyle w:val="ReferHead"/>
        <w:jc w:val="both"/>
        <w:rPr>
          <w:rFonts w:ascii="Arial" w:hAnsi="Arial" w:cs="Arial"/>
          <w:b w:val="0"/>
          <w:caps w:val="0"/>
          <w:sz w:val="20"/>
        </w:rPr>
      </w:pPr>
      <w:r w:rsidRPr="00846D9D">
        <w:rPr>
          <w:rFonts w:ascii="Arial" w:hAnsi="Arial" w:cs="Arial"/>
          <w:b w:val="0"/>
          <w:caps w:val="0"/>
          <w:sz w:val="20"/>
        </w:rPr>
        <w:t xml:space="preserve">The author declares that there are no financial or personal relationships with any individuals or organizations that could inappropriately influence or bias the work presented in this manuscript. </w:t>
      </w:r>
    </w:p>
    <w:p w14:paraId="6CE98CA9" w14:textId="77777777" w:rsidR="005E1D24" w:rsidRPr="005E1D24" w:rsidRDefault="005E1D24" w:rsidP="005E1D24">
      <w:pPr>
        <w:spacing w:after="200" w:line="276" w:lineRule="auto"/>
        <w:rPr>
          <w:rFonts w:ascii="Calibri" w:eastAsia="Calibri" w:hAnsi="Calibri"/>
          <w:kern w:val="2"/>
          <w:sz w:val="22"/>
          <w:szCs w:val="22"/>
          <w:highlight w:val="yellow"/>
        </w:rPr>
      </w:pPr>
      <w:r w:rsidRPr="005E1D24">
        <w:rPr>
          <w:rFonts w:ascii="Calibri" w:eastAsia="Calibri" w:hAnsi="Calibri"/>
          <w:kern w:val="2"/>
          <w:sz w:val="22"/>
          <w:szCs w:val="22"/>
          <w:highlight w:val="yellow"/>
        </w:rPr>
        <w:t>Disclaimer (Artificial intelligence)</w:t>
      </w:r>
    </w:p>
    <w:p w14:paraId="56C611D9" w14:textId="77777777" w:rsidR="005E1D24" w:rsidRPr="005E1D24" w:rsidRDefault="005E1D24" w:rsidP="005E1D24">
      <w:pPr>
        <w:spacing w:after="200" w:line="276" w:lineRule="auto"/>
        <w:rPr>
          <w:rFonts w:ascii="Calibri" w:eastAsia="Calibri" w:hAnsi="Calibri"/>
          <w:kern w:val="2"/>
          <w:sz w:val="22"/>
          <w:szCs w:val="22"/>
          <w:highlight w:val="yellow"/>
        </w:rPr>
      </w:pPr>
      <w:r w:rsidRPr="005E1D24">
        <w:rPr>
          <w:rFonts w:ascii="Calibri" w:eastAsia="Calibri" w:hAnsi="Calibri"/>
          <w:kern w:val="2"/>
          <w:sz w:val="22"/>
          <w:szCs w:val="22"/>
          <w:highlight w:val="yellow"/>
        </w:rPr>
        <w:t>Author(s) hereby declare that NO generative AI technologies such as Large Language Models (</w:t>
      </w:r>
      <w:proofErr w:type="spellStart"/>
      <w:r w:rsidRPr="005E1D24">
        <w:rPr>
          <w:rFonts w:ascii="Calibri" w:eastAsia="Calibri" w:hAnsi="Calibri"/>
          <w:kern w:val="2"/>
          <w:sz w:val="22"/>
          <w:szCs w:val="22"/>
          <w:highlight w:val="yellow"/>
        </w:rPr>
        <w:t>ChatGPT</w:t>
      </w:r>
      <w:proofErr w:type="spellEnd"/>
      <w:r w:rsidRPr="005E1D24">
        <w:rPr>
          <w:rFonts w:ascii="Calibri" w:eastAsia="Calibri" w:hAnsi="Calibri"/>
          <w:kern w:val="2"/>
          <w:sz w:val="22"/>
          <w:szCs w:val="22"/>
          <w:highlight w:val="yellow"/>
        </w:rPr>
        <w:t xml:space="preserve">, COPILOT, etc.) and text-to-image generators have been used during the writing or editing of this manuscript. </w:t>
      </w:r>
    </w:p>
    <w:p w14:paraId="71706FB1" w14:textId="77777777" w:rsidR="005E1D24" w:rsidRPr="00846D9D" w:rsidRDefault="005E1D24" w:rsidP="00846D9D">
      <w:pPr>
        <w:pStyle w:val="ReferHead"/>
        <w:spacing w:after="0"/>
        <w:jc w:val="both"/>
        <w:rPr>
          <w:rFonts w:ascii="Arial" w:hAnsi="Arial" w:cs="Arial"/>
          <w:b w:val="0"/>
          <w:caps w:val="0"/>
          <w:sz w:val="20"/>
        </w:rPr>
      </w:pPr>
    </w:p>
    <w:p w14:paraId="489233F1" w14:textId="77777777" w:rsidR="00846D9D" w:rsidRDefault="00846D9D" w:rsidP="00441B6F">
      <w:pPr>
        <w:pStyle w:val="Body"/>
        <w:spacing w:after="0"/>
        <w:rPr>
          <w:rFonts w:ascii="Arial" w:hAnsi="Arial" w:cs="Arial"/>
        </w:rPr>
      </w:pPr>
    </w:p>
    <w:p w14:paraId="13C2B0B9" w14:textId="77777777" w:rsidR="00790ADA" w:rsidRDefault="00790ADA" w:rsidP="00441B6F">
      <w:pPr>
        <w:pStyle w:val="Body"/>
        <w:spacing w:after="0"/>
        <w:rPr>
          <w:rFonts w:ascii="Arial" w:hAnsi="Arial" w:cs="Arial"/>
        </w:rPr>
      </w:pPr>
    </w:p>
    <w:p w14:paraId="258534C9" w14:textId="3598461E" w:rsidR="00846D9D" w:rsidRPr="00846D9D" w:rsidRDefault="00846D9D" w:rsidP="00846D9D">
      <w:pPr>
        <w:pStyle w:val="Body"/>
        <w:spacing w:after="0"/>
        <w:rPr>
          <w:rFonts w:ascii="Arial" w:hAnsi="Arial" w:cs="Arial"/>
          <w:b/>
          <w:bCs/>
          <w:sz w:val="22"/>
          <w:szCs w:val="22"/>
          <w:lang w:val="en-PH"/>
        </w:rPr>
      </w:pPr>
      <w:r w:rsidRPr="00846D9D">
        <w:rPr>
          <w:rFonts w:ascii="Arial" w:hAnsi="Arial" w:cs="Arial"/>
          <w:b/>
          <w:bCs/>
          <w:sz w:val="22"/>
          <w:szCs w:val="22"/>
          <w:lang w:val="en-PH"/>
        </w:rPr>
        <w:t>REFERENCES</w:t>
      </w:r>
    </w:p>
    <w:p w14:paraId="3E166E95" w14:textId="77777777" w:rsidR="00846D9D" w:rsidRPr="00846D9D" w:rsidRDefault="00846D9D" w:rsidP="00846D9D">
      <w:pPr>
        <w:pStyle w:val="Body"/>
        <w:spacing w:after="0"/>
        <w:ind w:left="720" w:hanging="720"/>
        <w:rPr>
          <w:rFonts w:ascii="Arial" w:hAnsi="Arial" w:cs="Arial"/>
          <w:lang w:val="en-PH"/>
        </w:rPr>
      </w:pPr>
    </w:p>
    <w:p w14:paraId="75F27D7E"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Alshehri, A., Jones, P., &amp; Harrison, S. (2023). The effectiveness of high-fidelity simulation in undergraduate nursing education: A systematic review. </w:t>
      </w:r>
      <w:r w:rsidRPr="00196690">
        <w:rPr>
          <w:rFonts w:ascii="Arial" w:hAnsi="Arial" w:cs="Arial"/>
          <w:i/>
          <w:iCs/>
          <w:lang w:val="en-PH"/>
        </w:rPr>
        <w:t>Nurse Education Today, 121</w:t>
      </w:r>
      <w:r w:rsidRPr="00196690">
        <w:rPr>
          <w:rFonts w:ascii="Arial" w:hAnsi="Arial" w:cs="Arial"/>
          <w:lang w:val="en-PH"/>
        </w:rPr>
        <w:t>, 105679. https://doi.org/10.1016/j.nedt.2022.105679</w:t>
      </w:r>
    </w:p>
    <w:p w14:paraId="72C54461"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Ashley, J., &amp; Stamp, K. (2014). Learning to think like a nurse: The development of clinical judgment in simulation. </w:t>
      </w:r>
      <w:r w:rsidRPr="00196690">
        <w:rPr>
          <w:rFonts w:ascii="Arial" w:hAnsi="Arial" w:cs="Arial"/>
          <w:i/>
          <w:iCs/>
          <w:lang w:val="en-PH"/>
        </w:rPr>
        <w:t>Journal of Nursing Education, 53</w:t>
      </w:r>
      <w:r w:rsidRPr="00196690">
        <w:rPr>
          <w:rFonts w:ascii="Arial" w:hAnsi="Arial" w:cs="Arial"/>
          <w:lang w:val="en-PH"/>
        </w:rPr>
        <w:t>(10), 553–558. https://doi.org/10.3928/01484834-20140821-14</w:t>
      </w:r>
    </w:p>
    <w:p w14:paraId="14DD35F3"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Bussard, M. E. (2015). Clinical judgment in simulation: A qualitative study. </w:t>
      </w:r>
      <w:r w:rsidRPr="00196690">
        <w:rPr>
          <w:rFonts w:ascii="Arial" w:hAnsi="Arial" w:cs="Arial"/>
          <w:i/>
          <w:iCs/>
          <w:lang w:val="en-PH"/>
        </w:rPr>
        <w:t>Journal of Nursing Education, 54</w:t>
      </w:r>
      <w:r w:rsidRPr="00196690">
        <w:rPr>
          <w:rFonts w:ascii="Arial" w:hAnsi="Arial" w:cs="Arial"/>
          <w:lang w:val="en-PH"/>
        </w:rPr>
        <w:t>(2), 1–6. https://doi.org/10.3928/01484834-20141224-05</w:t>
      </w:r>
    </w:p>
    <w:p w14:paraId="056B76BC" w14:textId="77777777" w:rsidR="00196690" w:rsidRPr="00196690" w:rsidRDefault="00196690" w:rsidP="00196690">
      <w:pPr>
        <w:pStyle w:val="Reference"/>
        <w:rPr>
          <w:rFonts w:ascii="Arial" w:hAnsi="Arial" w:cs="Arial"/>
          <w:lang w:val="en-PH"/>
        </w:rPr>
      </w:pPr>
      <w:proofErr w:type="gramStart"/>
      <w:r w:rsidRPr="00196690">
        <w:rPr>
          <w:rFonts w:ascii="Arial" w:hAnsi="Arial" w:cs="Arial"/>
          <w:lang w:val="en-PH"/>
        </w:rPr>
        <w:t>Cant</w:t>
      </w:r>
      <w:proofErr w:type="gramEnd"/>
      <w:r w:rsidRPr="00196690">
        <w:rPr>
          <w:rFonts w:ascii="Arial" w:hAnsi="Arial" w:cs="Arial"/>
          <w:lang w:val="en-PH"/>
        </w:rPr>
        <w:t xml:space="preserve">, R. P., &amp; Cooper, S. J. (2010). Simulation-based learning in nurse education: Systematic review. </w:t>
      </w:r>
      <w:r w:rsidRPr="00196690">
        <w:rPr>
          <w:rFonts w:ascii="Arial" w:hAnsi="Arial" w:cs="Arial"/>
          <w:i/>
          <w:iCs/>
          <w:lang w:val="en-PH"/>
        </w:rPr>
        <w:t>Journal of Advanced Nursing, 66</w:t>
      </w:r>
      <w:r w:rsidRPr="00196690">
        <w:rPr>
          <w:rFonts w:ascii="Arial" w:hAnsi="Arial" w:cs="Arial"/>
          <w:lang w:val="en-PH"/>
        </w:rPr>
        <w:t xml:space="preserve">(1), 3–15. </w:t>
      </w:r>
      <w:hyperlink r:id="rId10" w:tgtFrame="_new" w:history="1">
        <w:r w:rsidRPr="00196690">
          <w:rPr>
            <w:rStyle w:val="Hyperlink"/>
            <w:rFonts w:ascii="Arial" w:hAnsi="Arial" w:cs="Arial"/>
            <w:color w:val="auto"/>
            <w:u w:val="none"/>
            <w:lang w:val="en-PH"/>
          </w:rPr>
          <w:t>https://doi.org/10.1111/j.1365-2648.2009.05240.x</w:t>
        </w:r>
      </w:hyperlink>
    </w:p>
    <w:p w14:paraId="06B6BA68" w14:textId="77777777" w:rsidR="00196690" w:rsidRPr="00196690" w:rsidRDefault="00196690" w:rsidP="00196690">
      <w:pPr>
        <w:pStyle w:val="Reference"/>
        <w:rPr>
          <w:rFonts w:ascii="Arial" w:hAnsi="Arial" w:cs="Arial"/>
          <w:lang w:val="en-PH"/>
        </w:rPr>
      </w:pPr>
      <w:proofErr w:type="gramStart"/>
      <w:r w:rsidRPr="00196690">
        <w:rPr>
          <w:rFonts w:ascii="Arial" w:hAnsi="Arial" w:cs="Arial"/>
          <w:lang w:val="en-PH"/>
        </w:rPr>
        <w:t>Cant</w:t>
      </w:r>
      <w:proofErr w:type="gramEnd"/>
      <w:r w:rsidRPr="00196690">
        <w:rPr>
          <w:rFonts w:ascii="Arial" w:hAnsi="Arial" w:cs="Arial"/>
          <w:lang w:val="en-PH"/>
        </w:rPr>
        <w:t xml:space="preserve">, R. P., &amp; Cooper, S. J. (2017). The value of simulation-based learning in pre-licensure nurse education: A state-of-the-art review and meta-analysis. </w:t>
      </w:r>
      <w:r w:rsidRPr="00196690">
        <w:rPr>
          <w:rFonts w:ascii="Arial" w:hAnsi="Arial" w:cs="Arial"/>
          <w:i/>
          <w:iCs/>
          <w:lang w:val="en-PH"/>
        </w:rPr>
        <w:t>Nurse Education in Practice, 27</w:t>
      </w:r>
      <w:r w:rsidRPr="00196690">
        <w:rPr>
          <w:rFonts w:ascii="Arial" w:hAnsi="Arial" w:cs="Arial"/>
          <w:lang w:val="en-PH"/>
        </w:rPr>
        <w:t xml:space="preserve">, 45–62. </w:t>
      </w:r>
      <w:hyperlink r:id="rId11" w:tgtFrame="_new" w:history="1">
        <w:r w:rsidRPr="00196690">
          <w:rPr>
            <w:rStyle w:val="Hyperlink"/>
            <w:rFonts w:ascii="Arial" w:hAnsi="Arial" w:cs="Arial"/>
            <w:color w:val="auto"/>
            <w:u w:val="none"/>
            <w:lang w:val="en-PH"/>
          </w:rPr>
          <w:t>https://doi.org/10.1016/j.nepr.2017.08.012</w:t>
        </w:r>
      </w:hyperlink>
    </w:p>
    <w:p w14:paraId="2B19CC6C"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Chen, F., Leng, Y., Ge, J., Wang, D., Li, C., Chen, B., &amp; Sun, Z. (2020). Effectiveness of virtual reality in nursing education: Meta-analysis. </w:t>
      </w:r>
      <w:r w:rsidRPr="00196690">
        <w:rPr>
          <w:rFonts w:ascii="Arial" w:hAnsi="Arial" w:cs="Arial"/>
          <w:i/>
          <w:iCs/>
          <w:lang w:val="en-PH"/>
        </w:rPr>
        <w:t>Journal of Medical Internet Research, 22</w:t>
      </w:r>
      <w:r w:rsidRPr="00196690">
        <w:rPr>
          <w:rFonts w:ascii="Arial" w:hAnsi="Arial" w:cs="Arial"/>
          <w:lang w:val="en-PH"/>
        </w:rPr>
        <w:t xml:space="preserve">(9), e18290. </w:t>
      </w:r>
      <w:hyperlink r:id="rId12" w:tgtFrame="_new" w:history="1">
        <w:r w:rsidRPr="00196690">
          <w:rPr>
            <w:rStyle w:val="Hyperlink"/>
            <w:rFonts w:ascii="Arial" w:hAnsi="Arial" w:cs="Arial"/>
            <w:color w:val="auto"/>
            <w:u w:val="none"/>
            <w:lang w:val="en-PH"/>
          </w:rPr>
          <w:t>https://doi.org/10.2196/18290</w:t>
        </w:r>
      </w:hyperlink>
    </w:p>
    <w:p w14:paraId="17C41E42"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Cook, D. A., Hatala, R., Brydges, R., Zendejas, B., Szostek, J. H., Wang, A. T., et al. (2011). Technology-enhanced simulation for health professions education: A systematic review and meta-analysis. </w:t>
      </w:r>
      <w:r w:rsidRPr="00196690">
        <w:rPr>
          <w:rFonts w:ascii="Arial" w:hAnsi="Arial" w:cs="Arial"/>
          <w:i/>
          <w:iCs/>
          <w:lang w:val="en-PH"/>
        </w:rPr>
        <w:t>JAMA, 306</w:t>
      </w:r>
      <w:r w:rsidRPr="00196690">
        <w:rPr>
          <w:rFonts w:ascii="Arial" w:hAnsi="Arial" w:cs="Arial"/>
          <w:lang w:val="en-PH"/>
        </w:rPr>
        <w:t>(9), 978–988. https://doi.org/10.1001/jama.2011.1234</w:t>
      </w:r>
    </w:p>
    <w:p w14:paraId="59C98757"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Decker, S., Fey, M., Sideras, S., Caballero, S., </w:t>
      </w:r>
      <w:proofErr w:type="spellStart"/>
      <w:r w:rsidRPr="00196690">
        <w:rPr>
          <w:rFonts w:ascii="Arial" w:hAnsi="Arial" w:cs="Arial"/>
          <w:lang w:val="en-PH"/>
        </w:rPr>
        <w:t>Rockstraw</w:t>
      </w:r>
      <w:proofErr w:type="spellEnd"/>
      <w:r w:rsidRPr="00196690">
        <w:rPr>
          <w:rFonts w:ascii="Arial" w:hAnsi="Arial" w:cs="Arial"/>
          <w:lang w:val="en-PH"/>
        </w:rPr>
        <w:t xml:space="preserve">, L., Boese, T., et al. (2013). Standards of best practice: Simulation standard VI: The debriefing process. </w:t>
      </w:r>
      <w:r w:rsidRPr="00196690">
        <w:rPr>
          <w:rFonts w:ascii="Arial" w:hAnsi="Arial" w:cs="Arial"/>
          <w:i/>
          <w:iCs/>
          <w:lang w:val="en-PH"/>
        </w:rPr>
        <w:t>Clinical Simulation in Nursing, 9</w:t>
      </w:r>
      <w:r w:rsidRPr="00196690">
        <w:rPr>
          <w:rFonts w:ascii="Arial" w:hAnsi="Arial" w:cs="Arial"/>
          <w:lang w:val="en-PH"/>
        </w:rPr>
        <w:t>(6), S26–S29. https://doi.org/10.1016/j.ecns.2013.04.008</w:t>
      </w:r>
    </w:p>
    <w:p w14:paraId="235A0BBE" w14:textId="77777777" w:rsidR="00196690" w:rsidRPr="00196690" w:rsidRDefault="00196690" w:rsidP="00196690">
      <w:pPr>
        <w:pStyle w:val="Reference"/>
        <w:rPr>
          <w:rFonts w:ascii="Arial" w:hAnsi="Arial" w:cs="Arial"/>
          <w:lang w:val="en-PH"/>
        </w:rPr>
      </w:pPr>
      <w:r w:rsidRPr="00196690">
        <w:rPr>
          <w:rFonts w:ascii="Arial" w:hAnsi="Arial" w:cs="Arial"/>
          <w:lang w:val="it-IT"/>
        </w:rPr>
        <w:t xml:space="preserve">Foronda, C., Liu, S., &amp; Bauman, E. B. (2014). </w:t>
      </w:r>
      <w:r w:rsidRPr="00196690">
        <w:rPr>
          <w:rFonts w:ascii="Arial" w:hAnsi="Arial" w:cs="Arial"/>
          <w:lang w:val="en-PH"/>
        </w:rPr>
        <w:t xml:space="preserve">Evaluation of simulation in undergraduate nurse education: An integrative review. </w:t>
      </w:r>
      <w:r w:rsidRPr="00196690">
        <w:rPr>
          <w:rFonts w:ascii="Arial" w:hAnsi="Arial" w:cs="Arial"/>
          <w:i/>
          <w:iCs/>
          <w:lang w:val="en-PH"/>
        </w:rPr>
        <w:t>Nurse Education Today, 33</w:t>
      </w:r>
      <w:r w:rsidRPr="00196690">
        <w:rPr>
          <w:rFonts w:ascii="Arial" w:hAnsi="Arial" w:cs="Arial"/>
          <w:lang w:val="en-PH"/>
        </w:rPr>
        <w:t>(5), 1–7. https://doi.org/10.1016/j.nedt.2013.10.007</w:t>
      </w:r>
    </w:p>
    <w:p w14:paraId="50814A85"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Foronda, C., Fernandez-Burgos, M., Nadeau, C., Kelley, C., &amp; Henry, M. (2020). Virtual simulation in nursing education: A systematic review. </w:t>
      </w:r>
      <w:r w:rsidRPr="00196690">
        <w:rPr>
          <w:rFonts w:ascii="Arial" w:hAnsi="Arial" w:cs="Arial"/>
          <w:i/>
          <w:iCs/>
          <w:lang w:val="en-PH"/>
        </w:rPr>
        <w:t>Simulation in Healthcare, 15</w:t>
      </w:r>
      <w:r w:rsidRPr="00196690">
        <w:rPr>
          <w:rFonts w:ascii="Arial" w:hAnsi="Arial" w:cs="Arial"/>
          <w:lang w:val="en-PH"/>
        </w:rPr>
        <w:t>(1), 1–9. https://doi.org/10.1097/SIH.0000000000000411</w:t>
      </w:r>
    </w:p>
    <w:p w14:paraId="0B14A9A2"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Hayden, J. K., Smiley, R. A., Alexander, M., </w:t>
      </w:r>
      <w:proofErr w:type="spellStart"/>
      <w:r w:rsidRPr="00196690">
        <w:rPr>
          <w:rFonts w:ascii="Arial" w:hAnsi="Arial" w:cs="Arial"/>
          <w:lang w:val="en-PH"/>
        </w:rPr>
        <w:t>Kardong</w:t>
      </w:r>
      <w:proofErr w:type="spellEnd"/>
      <w:r w:rsidRPr="00196690">
        <w:rPr>
          <w:rFonts w:ascii="Arial" w:hAnsi="Arial" w:cs="Arial"/>
          <w:lang w:val="en-PH"/>
        </w:rPr>
        <w:t xml:space="preserve">-Edgren, S., &amp; Jeffries, P. R. (2014). The NCSBN national simulation study: A longitudinal randomized controlled </w:t>
      </w:r>
      <w:r w:rsidRPr="00196690">
        <w:rPr>
          <w:rFonts w:ascii="Arial" w:hAnsi="Arial" w:cs="Arial"/>
          <w:lang w:val="en-PH"/>
        </w:rPr>
        <w:lastRenderedPageBreak/>
        <w:t xml:space="preserve">study replacing clinical hours with simulation in prelicensure nursing education. </w:t>
      </w:r>
      <w:r w:rsidRPr="00196690">
        <w:rPr>
          <w:rFonts w:ascii="Arial" w:hAnsi="Arial" w:cs="Arial"/>
          <w:i/>
          <w:iCs/>
          <w:lang w:val="en-PH"/>
        </w:rPr>
        <w:t>Journal of Nursing Regulation, 5</w:t>
      </w:r>
      <w:r w:rsidRPr="00196690">
        <w:rPr>
          <w:rFonts w:ascii="Arial" w:hAnsi="Arial" w:cs="Arial"/>
          <w:lang w:val="en-PH"/>
        </w:rPr>
        <w:t>(2), S1–S64. https://doi.org/10.1016/S2155-8256(15)30062-4</w:t>
      </w:r>
    </w:p>
    <w:p w14:paraId="32BC731C"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Høegh-Larsen, A. M., Gonzalez, M. T., Reierson, I. Å., Husebø, S. I. E., Hofoss, D., &amp; Ravik, M. (2023). Nursing students' clinical judgment skills in simulation and clinical placement: A comparison of student self-assessment and evaluator assessment. </w:t>
      </w:r>
      <w:r w:rsidRPr="00196690">
        <w:rPr>
          <w:rFonts w:ascii="Arial" w:hAnsi="Arial" w:cs="Arial"/>
          <w:i/>
          <w:iCs/>
          <w:lang w:val="en-PH"/>
        </w:rPr>
        <w:t>BMC Nursing, 22</w:t>
      </w:r>
      <w:r w:rsidRPr="00196690">
        <w:rPr>
          <w:rFonts w:ascii="Arial" w:hAnsi="Arial" w:cs="Arial"/>
          <w:lang w:val="en-PH"/>
        </w:rPr>
        <w:t xml:space="preserve">, 220. </w:t>
      </w:r>
      <w:hyperlink r:id="rId13" w:tgtFrame="_new" w:history="1">
        <w:r w:rsidRPr="00196690">
          <w:rPr>
            <w:rStyle w:val="Hyperlink"/>
            <w:rFonts w:ascii="Arial" w:hAnsi="Arial" w:cs="Arial"/>
            <w:color w:val="auto"/>
            <w:u w:val="none"/>
            <w:lang w:val="en-PH"/>
          </w:rPr>
          <w:t>https://doi.org/10.1186/s12912-023-01220-0</w:t>
        </w:r>
      </w:hyperlink>
    </w:p>
    <w:p w14:paraId="0298C90D"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Hung, C. C., Kao, C. Y., Liu, H. C., Liang, H. F., Chu, T. P., &amp; Lee, B. O. (2021). Effects of simulation-based learning on nursing students’ perceived competence, self-efficacy, and learning satisfaction: A repeated measures design. </w:t>
      </w:r>
      <w:r w:rsidRPr="00196690">
        <w:rPr>
          <w:rFonts w:ascii="Arial" w:hAnsi="Arial" w:cs="Arial"/>
          <w:i/>
          <w:iCs/>
          <w:lang w:val="en-PH"/>
        </w:rPr>
        <w:t>Nurse Education Today, 97</w:t>
      </w:r>
      <w:r w:rsidRPr="00196690">
        <w:rPr>
          <w:rFonts w:ascii="Arial" w:hAnsi="Arial" w:cs="Arial"/>
          <w:lang w:val="en-PH"/>
        </w:rPr>
        <w:t>, 104725. https://doi.org/10.1016/j.nedt.2020.104725</w:t>
      </w:r>
    </w:p>
    <w:p w14:paraId="3A659CF6"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Kim, J., Park, J. H., &amp; Shin, S. (2016). Effectiveness of simulation-based nursing education depending on fidelity: A meta-analysis. </w:t>
      </w:r>
      <w:r w:rsidRPr="00196690">
        <w:rPr>
          <w:rFonts w:ascii="Arial" w:hAnsi="Arial" w:cs="Arial"/>
          <w:i/>
          <w:iCs/>
          <w:lang w:val="en-PH"/>
        </w:rPr>
        <w:t>BMC Medical Education, 16</w:t>
      </w:r>
      <w:r w:rsidRPr="00196690">
        <w:rPr>
          <w:rFonts w:ascii="Arial" w:hAnsi="Arial" w:cs="Arial"/>
          <w:lang w:val="en-PH"/>
        </w:rPr>
        <w:t>, 152. https://doi.org/10.1186/s12909-016-0672-7</w:t>
      </w:r>
    </w:p>
    <w:p w14:paraId="67436DC5"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Lapkin, S., Levett-Jones, T., </w:t>
      </w:r>
      <w:proofErr w:type="spellStart"/>
      <w:r w:rsidRPr="00196690">
        <w:rPr>
          <w:rFonts w:ascii="Arial" w:hAnsi="Arial" w:cs="Arial"/>
          <w:lang w:val="en-PH"/>
        </w:rPr>
        <w:t>Bellchambers</w:t>
      </w:r>
      <w:proofErr w:type="spellEnd"/>
      <w:r w:rsidRPr="00196690">
        <w:rPr>
          <w:rFonts w:ascii="Arial" w:hAnsi="Arial" w:cs="Arial"/>
          <w:lang w:val="en-PH"/>
        </w:rPr>
        <w:t xml:space="preserve">, H., &amp; Fernandez, R. (2010). Effectiveness of patient simulation manikins in teaching clinical reasoning skills to undergraduate nursing students: A systematic review. </w:t>
      </w:r>
      <w:r w:rsidRPr="00196690">
        <w:rPr>
          <w:rFonts w:ascii="Arial" w:hAnsi="Arial" w:cs="Arial"/>
          <w:i/>
          <w:iCs/>
          <w:lang w:val="en-PH"/>
        </w:rPr>
        <w:t>Nurse Education Today, 30</w:t>
      </w:r>
      <w:r w:rsidRPr="00196690">
        <w:rPr>
          <w:rFonts w:ascii="Arial" w:hAnsi="Arial" w:cs="Arial"/>
          <w:lang w:val="en-PH"/>
        </w:rPr>
        <w:t>(5), 408–415. https://doi.org/10.1016/j.nedt.2009.10.005</w:t>
      </w:r>
    </w:p>
    <w:p w14:paraId="20D71EB2" w14:textId="77777777" w:rsidR="00196690" w:rsidRPr="00196690" w:rsidRDefault="00196690" w:rsidP="00196690">
      <w:pPr>
        <w:pStyle w:val="Reference"/>
        <w:rPr>
          <w:rFonts w:ascii="Arial" w:hAnsi="Arial" w:cs="Arial"/>
          <w:lang w:val="en-PH"/>
        </w:rPr>
      </w:pPr>
      <w:r w:rsidRPr="00196690">
        <w:rPr>
          <w:rFonts w:ascii="Arial" w:hAnsi="Arial" w:cs="Arial"/>
          <w:lang w:val="it-IT"/>
        </w:rPr>
        <w:t xml:space="preserve">Liu, K., Li, S., Yang, S., Guo, Y., &amp; Chen, Y. (2023). </w:t>
      </w:r>
      <w:r w:rsidRPr="00196690">
        <w:rPr>
          <w:rFonts w:ascii="Arial" w:hAnsi="Arial" w:cs="Arial"/>
          <w:lang w:val="en-PH"/>
        </w:rPr>
        <w:t xml:space="preserve">The effectiveness of virtual simulation in nursing education: A meta-analysis. </w:t>
      </w:r>
      <w:r w:rsidRPr="00196690">
        <w:rPr>
          <w:rFonts w:ascii="Arial" w:hAnsi="Arial" w:cs="Arial"/>
          <w:i/>
          <w:iCs/>
          <w:lang w:val="en-PH"/>
        </w:rPr>
        <w:t>Nurse Education Today, 124</w:t>
      </w:r>
      <w:r w:rsidRPr="00196690">
        <w:rPr>
          <w:rFonts w:ascii="Arial" w:hAnsi="Arial" w:cs="Arial"/>
          <w:lang w:val="en-PH"/>
        </w:rPr>
        <w:t>, 105713. https://doi.org/10.1016/j.nedt.2023.105713</w:t>
      </w:r>
    </w:p>
    <w:p w14:paraId="77C15D5D" w14:textId="77777777" w:rsidR="00196690" w:rsidRPr="00196690" w:rsidRDefault="00196690" w:rsidP="00196690">
      <w:pPr>
        <w:pStyle w:val="Reference"/>
        <w:rPr>
          <w:rFonts w:ascii="Arial" w:hAnsi="Arial" w:cs="Arial"/>
          <w:lang w:val="en-PH"/>
        </w:rPr>
      </w:pPr>
      <w:r w:rsidRPr="00196690">
        <w:rPr>
          <w:rFonts w:ascii="Arial" w:hAnsi="Arial" w:cs="Arial"/>
          <w:lang w:val="it-IT"/>
        </w:rPr>
        <w:t xml:space="preserve">Padilha, J. M., Machado, P. P., Ribeiro, A., Ramos, J., &amp; Costa, P. (2019). </w:t>
      </w:r>
      <w:r w:rsidRPr="00196690">
        <w:rPr>
          <w:rFonts w:ascii="Arial" w:hAnsi="Arial" w:cs="Arial"/>
          <w:lang w:val="en-PH"/>
        </w:rPr>
        <w:t xml:space="preserve">Clinical virtual simulation in nursing education: Randomized controlled trial. </w:t>
      </w:r>
      <w:r w:rsidRPr="00196690">
        <w:rPr>
          <w:rFonts w:ascii="Arial" w:hAnsi="Arial" w:cs="Arial"/>
          <w:i/>
          <w:iCs/>
          <w:lang w:val="en-PH"/>
        </w:rPr>
        <w:t>Journal of Medical Internet Research, 21</w:t>
      </w:r>
      <w:r w:rsidRPr="00196690">
        <w:rPr>
          <w:rFonts w:ascii="Arial" w:hAnsi="Arial" w:cs="Arial"/>
          <w:lang w:val="en-PH"/>
        </w:rPr>
        <w:t xml:space="preserve">(3), e11529. </w:t>
      </w:r>
      <w:hyperlink r:id="rId14" w:tgtFrame="_new" w:history="1">
        <w:r w:rsidRPr="00196690">
          <w:rPr>
            <w:rStyle w:val="Hyperlink"/>
            <w:rFonts w:ascii="Arial" w:hAnsi="Arial" w:cs="Arial"/>
            <w:color w:val="auto"/>
            <w:u w:val="none"/>
            <w:lang w:val="en-PH"/>
          </w:rPr>
          <w:t>https://doi.org/10.2196/11529</w:t>
        </w:r>
      </w:hyperlink>
    </w:p>
    <w:p w14:paraId="5027BCA9"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Shin, S., Park, J. H., &amp; Kim, J. H. (2015). Effectiveness of patient simulation in nursing education: Meta-analysis. </w:t>
      </w:r>
      <w:r w:rsidRPr="00196690">
        <w:rPr>
          <w:rFonts w:ascii="Arial" w:hAnsi="Arial" w:cs="Arial"/>
          <w:i/>
          <w:iCs/>
          <w:lang w:val="en-PH"/>
        </w:rPr>
        <w:t>Nurse Education Today, 35</w:t>
      </w:r>
      <w:r w:rsidRPr="00196690">
        <w:rPr>
          <w:rFonts w:ascii="Arial" w:hAnsi="Arial" w:cs="Arial"/>
          <w:lang w:val="en-PH"/>
        </w:rPr>
        <w:t xml:space="preserve">(1), 176–182. </w:t>
      </w:r>
      <w:hyperlink r:id="rId15" w:tgtFrame="_new" w:history="1">
        <w:r w:rsidRPr="00196690">
          <w:rPr>
            <w:rStyle w:val="Hyperlink"/>
            <w:rFonts w:ascii="Arial" w:hAnsi="Arial" w:cs="Arial"/>
            <w:color w:val="auto"/>
            <w:u w:val="none"/>
            <w:lang w:val="en-PH"/>
          </w:rPr>
          <w:t>https://doi.org/10.1016/j.nedt.2014.09.009</w:t>
        </w:r>
      </w:hyperlink>
    </w:p>
    <w:p w14:paraId="1F7D6D3F"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Shinnick, M. A., &amp; Woo, M. A. (2013). The effect of human patient simulation on knowledge and self-efficacy. </w:t>
      </w:r>
      <w:r w:rsidRPr="00196690">
        <w:rPr>
          <w:rFonts w:ascii="Arial" w:hAnsi="Arial" w:cs="Arial"/>
          <w:i/>
          <w:iCs/>
          <w:lang w:val="en-PH"/>
        </w:rPr>
        <w:t>Nurse Education Today, 33</w:t>
      </w:r>
      <w:r w:rsidRPr="00196690">
        <w:rPr>
          <w:rFonts w:ascii="Arial" w:hAnsi="Arial" w:cs="Arial"/>
          <w:lang w:val="en-PH"/>
        </w:rPr>
        <w:t>(9), 1–6. https://doi.org/10.1016/j.nedt.2012.04.004</w:t>
      </w:r>
    </w:p>
    <w:p w14:paraId="29D4D92A" w14:textId="77777777" w:rsidR="00196690" w:rsidRPr="00196690" w:rsidRDefault="00196690" w:rsidP="00196690">
      <w:pPr>
        <w:pStyle w:val="Reference"/>
        <w:rPr>
          <w:rFonts w:ascii="Arial" w:hAnsi="Arial" w:cs="Arial"/>
          <w:lang w:val="en-PH"/>
        </w:rPr>
      </w:pPr>
      <w:r w:rsidRPr="00196690">
        <w:rPr>
          <w:rFonts w:ascii="Arial" w:hAnsi="Arial" w:cs="Arial"/>
          <w:lang w:val="en-PH"/>
        </w:rPr>
        <w:t xml:space="preserve">Yoo, M. S., &amp; Park, J. H. (2013). Effect of case-based learning on the development of graduate nurses’ problem-solving ability. </w:t>
      </w:r>
      <w:r w:rsidRPr="00196690">
        <w:rPr>
          <w:rFonts w:ascii="Arial" w:hAnsi="Arial" w:cs="Arial"/>
          <w:i/>
          <w:iCs/>
          <w:lang w:val="en-PH"/>
        </w:rPr>
        <w:t>Nurse Education Today, 34</w:t>
      </w:r>
      <w:r w:rsidRPr="00196690">
        <w:rPr>
          <w:rFonts w:ascii="Arial" w:hAnsi="Arial" w:cs="Arial"/>
          <w:lang w:val="en-PH"/>
        </w:rPr>
        <w:t>(1), 47–51. https://doi.org/10.1016/j.nedt.2013.02.014</w:t>
      </w:r>
    </w:p>
    <w:p w14:paraId="3437BFFF" w14:textId="77777777" w:rsidR="00B01FCD" w:rsidRDefault="00B01FCD" w:rsidP="00441B6F">
      <w:pPr>
        <w:pStyle w:val="Reference"/>
        <w:numPr>
          <w:ilvl w:val="0"/>
          <w:numId w:val="0"/>
        </w:numPr>
        <w:spacing w:line="240" w:lineRule="auto"/>
        <w:rPr>
          <w:rFonts w:ascii="Arial" w:hAnsi="Arial" w:cs="Arial"/>
        </w:rPr>
      </w:pPr>
    </w:p>
    <w:p w14:paraId="13EFDF9E" w14:textId="77777777" w:rsidR="00196690" w:rsidRPr="00FB3A86" w:rsidRDefault="00196690" w:rsidP="00441B6F">
      <w:pPr>
        <w:pStyle w:val="Reference"/>
        <w:numPr>
          <w:ilvl w:val="0"/>
          <w:numId w:val="0"/>
        </w:numPr>
        <w:spacing w:line="240" w:lineRule="auto"/>
        <w:rPr>
          <w:rFonts w:ascii="Arial" w:hAnsi="Arial" w:cs="Arial"/>
        </w:rPr>
      </w:pPr>
    </w:p>
    <w:sectPr w:rsidR="00196690" w:rsidRPr="00FB3A86" w:rsidSect="00846D9D">
      <w:footerReference w:type="defaul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88292" w14:textId="77777777" w:rsidR="002B3811" w:rsidRDefault="002B3811" w:rsidP="00C37E61">
      <w:r>
        <w:separator/>
      </w:r>
    </w:p>
  </w:endnote>
  <w:endnote w:type="continuationSeparator" w:id="0">
    <w:p w14:paraId="2F5B0968" w14:textId="77777777" w:rsidR="002B3811" w:rsidRDefault="002B381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39604" w14:textId="77777777" w:rsidR="009E048A" w:rsidRDefault="009E048A">
    <w:pPr>
      <w:pStyle w:val="Footer"/>
      <w:rPr>
        <w:rFonts w:ascii="Arial" w:hAnsi="Arial" w:cs="Arial"/>
        <w:sz w:val="16"/>
      </w:rPr>
    </w:pPr>
  </w:p>
  <w:p w14:paraId="26EEEE8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4140B4" w14:textId="77777777" w:rsidR="009E048A" w:rsidRDefault="009E048A">
    <w:pPr>
      <w:pStyle w:val="Footer"/>
      <w:rPr>
        <w:rFonts w:ascii="Arial" w:hAnsi="Arial" w:cs="Arial"/>
        <w:sz w:val="16"/>
      </w:rPr>
    </w:pPr>
  </w:p>
  <w:p w14:paraId="5D5C11C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D594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D1998" w14:textId="77777777" w:rsidR="002B3811" w:rsidRDefault="002B3811" w:rsidP="00C37E61">
      <w:r>
        <w:separator/>
      </w:r>
    </w:p>
  </w:footnote>
  <w:footnote w:type="continuationSeparator" w:id="0">
    <w:p w14:paraId="74BA161E" w14:textId="77777777" w:rsidR="002B3811" w:rsidRDefault="002B381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12981" w14:textId="77777777" w:rsidR="00296529" w:rsidRPr="00296529" w:rsidRDefault="00296529" w:rsidP="00296529">
    <w:pPr>
      <w:ind w:left="2160"/>
      <w:jc w:val="center"/>
      <w:rPr>
        <w:rFonts w:ascii="Times New Roman" w:eastAsia="Calibri" w:hAnsi="Times New Roman"/>
        <w:i/>
        <w:sz w:val="18"/>
        <w:szCs w:val="22"/>
      </w:rPr>
    </w:pPr>
  </w:p>
  <w:p w14:paraId="250212F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9DF3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8DC64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FD1C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2B66F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19C59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C067F4"/>
    <w:multiLevelType w:val="multilevel"/>
    <w:tmpl w:val="9A2A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9259AC"/>
    <w:multiLevelType w:val="multilevel"/>
    <w:tmpl w:val="A6B05F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3E7C4D"/>
    <w:multiLevelType w:val="multilevel"/>
    <w:tmpl w:val="C5BC4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7E4746B"/>
    <w:multiLevelType w:val="multilevel"/>
    <w:tmpl w:val="FDD2F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CBE78BD"/>
    <w:multiLevelType w:val="multilevel"/>
    <w:tmpl w:val="9622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2"/>
  </w:num>
  <w:num w:numId="12">
    <w:abstractNumId w:val="3"/>
  </w:num>
  <w:num w:numId="13">
    <w:abstractNumId w:val="20"/>
  </w:num>
  <w:num w:numId="14">
    <w:abstractNumId w:val="8"/>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9"/>
  </w:num>
  <w:num w:numId="22">
    <w:abstractNumId w:val="14"/>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1"/>
  </w:num>
  <w:num w:numId="31">
    <w:abstractNumId w:val="16"/>
  </w:num>
  <w:num w:numId="32">
    <w:abstractNumId w:val="21"/>
  </w:num>
  <w:num w:numId="33">
    <w:abstractNumId w:val="10"/>
  </w:num>
  <w:num w:numId="34">
    <w:abstractNumId w:val="1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0szAyN7O0MDIxNjBW0lEKTi0uzszPAykwrAUAFWePPywAAAA="/>
  </w:docVars>
  <w:rsids>
    <w:rsidRoot w:val="00AA6219"/>
    <w:rsid w:val="00000F8F"/>
    <w:rsid w:val="00030174"/>
    <w:rsid w:val="00044124"/>
    <w:rsid w:val="0004579C"/>
    <w:rsid w:val="00075FA5"/>
    <w:rsid w:val="00086A01"/>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6690"/>
    <w:rsid w:val="00197926"/>
    <w:rsid w:val="001A28B1"/>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2962"/>
    <w:rsid w:val="002B3811"/>
    <w:rsid w:val="002B685A"/>
    <w:rsid w:val="002C57D2"/>
    <w:rsid w:val="002E0D56"/>
    <w:rsid w:val="00315186"/>
    <w:rsid w:val="0033343E"/>
    <w:rsid w:val="00347AA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1D24"/>
    <w:rsid w:val="005E5539"/>
    <w:rsid w:val="00601316"/>
    <w:rsid w:val="00602BF5"/>
    <w:rsid w:val="00617FDD"/>
    <w:rsid w:val="00633614"/>
    <w:rsid w:val="00633F68"/>
    <w:rsid w:val="00636EB2"/>
    <w:rsid w:val="006375B8"/>
    <w:rsid w:val="0066510A"/>
    <w:rsid w:val="00673F9F"/>
    <w:rsid w:val="00686953"/>
    <w:rsid w:val="00687DEA"/>
    <w:rsid w:val="00687E67"/>
    <w:rsid w:val="006967F7"/>
    <w:rsid w:val="006A250C"/>
    <w:rsid w:val="006A28BB"/>
    <w:rsid w:val="006B21D3"/>
    <w:rsid w:val="006B57D0"/>
    <w:rsid w:val="006C7580"/>
    <w:rsid w:val="006D30FF"/>
    <w:rsid w:val="006D6940"/>
    <w:rsid w:val="006F11EC"/>
    <w:rsid w:val="0070082C"/>
    <w:rsid w:val="00710AAE"/>
    <w:rsid w:val="007303F5"/>
    <w:rsid w:val="007369E6"/>
    <w:rsid w:val="00746E59"/>
    <w:rsid w:val="00754C9A"/>
    <w:rsid w:val="0075599A"/>
    <w:rsid w:val="00761D52"/>
    <w:rsid w:val="0077749E"/>
    <w:rsid w:val="00790ADA"/>
    <w:rsid w:val="007D2288"/>
    <w:rsid w:val="007E088F"/>
    <w:rsid w:val="007F7B32"/>
    <w:rsid w:val="00804BC2"/>
    <w:rsid w:val="0081431A"/>
    <w:rsid w:val="0083216F"/>
    <w:rsid w:val="00836571"/>
    <w:rsid w:val="00846D9D"/>
    <w:rsid w:val="00860000"/>
    <w:rsid w:val="00863BD3"/>
    <w:rsid w:val="008641ED"/>
    <w:rsid w:val="00866D66"/>
    <w:rsid w:val="008671C6"/>
    <w:rsid w:val="00875803"/>
    <w:rsid w:val="008B459E"/>
    <w:rsid w:val="008E13AE"/>
    <w:rsid w:val="008E1506"/>
    <w:rsid w:val="008E60B1"/>
    <w:rsid w:val="008E710C"/>
    <w:rsid w:val="008F69D6"/>
    <w:rsid w:val="00902823"/>
    <w:rsid w:val="00915CA6"/>
    <w:rsid w:val="00927834"/>
    <w:rsid w:val="009473FB"/>
    <w:rsid w:val="009500A6"/>
    <w:rsid w:val="009521DE"/>
    <w:rsid w:val="00957C18"/>
    <w:rsid w:val="009659BA"/>
    <w:rsid w:val="00983040"/>
    <w:rsid w:val="00997856"/>
    <w:rsid w:val="009B3FB9"/>
    <w:rsid w:val="009C2465"/>
    <w:rsid w:val="009C568B"/>
    <w:rsid w:val="009D35A0"/>
    <w:rsid w:val="009D7EB7"/>
    <w:rsid w:val="009E048A"/>
    <w:rsid w:val="009E08E9"/>
    <w:rsid w:val="009E3DB9"/>
    <w:rsid w:val="009E6E35"/>
    <w:rsid w:val="009F0EDA"/>
    <w:rsid w:val="00A03B96"/>
    <w:rsid w:val="00A05B19"/>
    <w:rsid w:val="00A1134E"/>
    <w:rsid w:val="00A15830"/>
    <w:rsid w:val="00A24E7E"/>
    <w:rsid w:val="00A258C3"/>
    <w:rsid w:val="00A347C0"/>
    <w:rsid w:val="00A51431"/>
    <w:rsid w:val="00A539AD"/>
    <w:rsid w:val="00A756BF"/>
    <w:rsid w:val="00A94063"/>
    <w:rsid w:val="00AA6219"/>
    <w:rsid w:val="00AA74E0"/>
    <w:rsid w:val="00AB703F"/>
    <w:rsid w:val="00AC6BB8"/>
    <w:rsid w:val="00AE008F"/>
    <w:rsid w:val="00B01FCD"/>
    <w:rsid w:val="00B1776C"/>
    <w:rsid w:val="00B52583"/>
    <w:rsid w:val="00B52896"/>
    <w:rsid w:val="00B87254"/>
    <w:rsid w:val="00B95236"/>
    <w:rsid w:val="00B96BD9"/>
    <w:rsid w:val="00BA1B01"/>
    <w:rsid w:val="00BA2641"/>
    <w:rsid w:val="00BB37AA"/>
    <w:rsid w:val="00BC53A0"/>
    <w:rsid w:val="00BE62AD"/>
    <w:rsid w:val="00BF121F"/>
    <w:rsid w:val="00BF1F80"/>
    <w:rsid w:val="00C166EF"/>
    <w:rsid w:val="00C17EB0"/>
    <w:rsid w:val="00C27F5F"/>
    <w:rsid w:val="00C30A0F"/>
    <w:rsid w:val="00C330D5"/>
    <w:rsid w:val="00C37E61"/>
    <w:rsid w:val="00C70F1B"/>
    <w:rsid w:val="00C71A47"/>
    <w:rsid w:val="00C7464C"/>
    <w:rsid w:val="00C85588"/>
    <w:rsid w:val="00CD6755"/>
    <w:rsid w:val="00CD6856"/>
    <w:rsid w:val="00CE0089"/>
    <w:rsid w:val="00CE208A"/>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09F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6DFE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47A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66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86A01"/>
    <w:pPr>
      <w:ind w:left="720"/>
      <w:contextualSpacing/>
    </w:pPr>
  </w:style>
  <w:style w:type="character" w:customStyle="1" w:styleId="Heading2Char">
    <w:name w:val="Heading 2 Char"/>
    <w:basedOn w:val="DefaultParagraphFont"/>
    <w:link w:val="Heading2"/>
    <w:semiHidden/>
    <w:rsid w:val="00347AA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19669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86/s12912-023-0122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96/182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nepr.2017.08.012" TargetMode="External"/><Relationship Id="rId5" Type="http://schemas.openxmlformats.org/officeDocument/2006/relationships/webSettings" Target="webSettings.xml"/><Relationship Id="rId15" Type="http://schemas.openxmlformats.org/officeDocument/2006/relationships/hyperlink" Target="https://doi.org/10.1016/j.nedt.2014.09.009" TargetMode="External"/><Relationship Id="rId10" Type="http://schemas.openxmlformats.org/officeDocument/2006/relationships/hyperlink" Target="https://doi.org/10.1111/j.1365-2648.2009.05240.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96/115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1544D-2041-4D86-AD5A-6176E076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141</TotalTime>
  <Pages>17</Pages>
  <Words>7815</Words>
  <Characters>44546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52257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21</cp:revision>
  <cp:lastPrinted>1999-07-06T11:00:00Z</cp:lastPrinted>
  <dcterms:created xsi:type="dcterms:W3CDTF">2014-10-25T14:34:00Z</dcterms:created>
  <dcterms:modified xsi:type="dcterms:W3CDTF">2026-03-28T10:46:00Z</dcterms:modified>
</cp:coreProperties>
</file>