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BF318" w14:textId="42F78CA8" w:rsidR="00007598" w:rsidRPr="006F3EAC" w:rsidRDefault="006F3EAC" w:rsidP="00244092">
      <w:pPr>
        <w:spacing w:after="0" w:line="240" w:lineRule="auto"/>
        <w:jc w:val="center"/>
        <w:rPr>
          <w:rFonts w:ascii="Times New Roman" w:hAnsi="Times New Roman" w:cs="Times New Roman"/>
          <w:b/>
          <w:bCs/>
          <w:sz w:val="24"/>
          <w:szCs w:val="24"/>
        </w:rPr>
      </w:pPr>
      <w:r w:rsidRPr="006F3EAC">
        <w:rPr>
          <w:rFonts w:ascii="Times New Roman" w:hAnsi="Times New Roman" w:cs="Times New Roman"/>
          <w:b/>
          <w:bCs/>
          <w:sz w:val="24"/>
          <w:szCs w:val="24"/>
        </w:rPr>
        <w:t>COGNITIVE FLEXIBILITY AND COMMUNITY PARTICIPATION AMONG ARTS AND SCIENCE COLLEGE STUDENTS: A SURVEY STUDY</w:t>
      </w:r>
    </w:p>
    <w:p w14:paraId="23CFC366" w14:textId="77777777" w:rsidR="00007598" w:rsidRPr="00007598" w:rsidRDefault="00007598" w:rsidP="00244092">
      <w:pPr>
        <w:spacing w:after="0" w:line="240" w:lineRule="auto"/>
        <w:jc w:val="center"/>
        <w:rPr>
          <w:rFonts w:ascii="Times New Roman" w:hAnsi="Times New Roman" w:cs="Times New Roman"/>
          <w:b/>
          <w:bCs/>
          <w:sz w:val="28"/>
          <w:szCs w:val="28"/>
        </w:rPr>
      </w:pPr>
    </w:p>
    <w:p w14:paraId="75207555" w14:textId="77777777" w:rsidR="00244092" w:rsidRPr="00786C50" w:rsidRDefault="00244092" w:rsidP="00244092">
      <w:pPr>
        <w:spacing w:after="0" w:line="240" w:lineRule="auto"/>
        <w:jc w:val="both"/>
        <w:rPr>
          <w:rFonts w:ascii="Times New Roman" w:hAnsi="Times New Roman" w:cs="Times New Roman"/>
          <w:b/>
          <w:sz w:val="24"/>
          <w:szCs w:val="24"/>
        </w:rPr>
      </w:pPr>
    </w:p>
    <w:p w14:paraId="79422799" w14:textId="77777777" w:rsidR="008309E0" w:rsidRPr="00786C50" w:rsidRDefault="00E417C1" w:rsidP="008309E0">
      <w:pPr>
        <w:jc w:val="center"/>
        <w:rPr>
          <w:rFonts w:ascii="Times New Roman" w:hAnsi="Times New Roman" w:cs="Times New Roman"/>
          <w:b/>
          <w:sz w:val="24"/>
          <w:szCs w:val="24"/>
        </w:rPr>
      </w:pPr>
      <w:r w:rsidRPr="00786C50">
        <w:rPr>
          <w:rFonts w:ascii="Times New Roman" w:hAnsi="Times New Roman" w:cs="Times New Roman"/>
          <w:b/>
          <w:sz w:val="24"/>
          <w:szCs w:val="24"/>
        </w:rPr>
        <w:t>Abstract</w:t>
      </w:r>
      <w:bookmarkStart w:id="0" w:name="_GoBack"/>
      <w:bookmarkEnd w:id="0"/>
    </w:p>
    <w:p w14:paraId="65D82BBA" w14:textId="2857E000" w:rsidR="00007598" w:rsidRDefault="00007598" w:rsidP="00007598">
      <w:pPr>
        <w:pStyle w:val="NormalWeb"/>
        <w:spacing w:line="360" w:lineRule="auto"/>
        <w:jc w:val="both"/>
      </w:pPr>
      <w:r>
        <w:t>This study examines the relationship between cognitive flexibility and community participation among arts and science college students using a normative survey method. The sample consisted of 307 undergraduate (UG) and postgraduate (PG) students selected from government and private colleges in Tamil Nadu, India. Data were analysed using t-tests and correlation analysis to identify differences across demographic variables such as gender, degree level, institution type, and locality. The findings revealed significant differences in cognitive flexibility with respect to gender and locality. However, no significant differences were observed based on degree level and type of institution. Community participation did not show significant variation across any demographic variables. Furthermore, the correlation analysis indicated that there was no statistically significant relationship between cognitive flexibility and community participation. The study provides insights into the role of demographic factors in shaping cognitive flexibility and highlights the need to explore additional variables influencing student engagement and community participation.</w:t>
      </w:r>
    </w:p>
    <w:p w14:paraId="18EDADB1" w14:textId="0F16AA74" w:rsidR="00007598" w:rsidRDefault="00007598" w:rsidP="00007598">
      <w:pPr>
        <w:pStyle w:val="NormalWeb"/>
        <w:spacing w:line="360" w:lineRule="auto"/>
        <w:jc w:val="both"/>
      </w:pPr>
      <w:r>
        <w:rPr>
          <w:rStyle w:val="Strong"/>
        </w:rPr>
        <w:t>Key Words:</w:t>
      </w:r>
      <w:r>
        <w:t xml:space="preserve"> Cognitive Flexibility, Community Participation, Arts and Science College Students</w:t>
      </w:r>
      <w:r w:rsidR="003979F5">
        <w:t xml:space="preserve">, </w:t>
      </w:r>
      <w:r w:rsidR="003979F5" w:rsidRPr="003979F5">
        <w:t>student engagement</w:t>
      </w:r>
    </w:p>
    <w:p w14:paraId="2D232705" w14:textId="77777777" w:rsidR="00986A25" w:rsidRPr="00786C50" w:rsidRDefault="00986A25" w:rsidP="00D70A52">
      <w:pPr>
        <w:spacing w:before="100" w:beforeAutospacing="1" w:after="100" w:afterAutospacing="1" w:line="360" w:lineRule="auto"/>
        <w:jc w:val="both"/>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INTRODUCTION</w:t>
      </w:r>
    </w:p>
    <w:p w14:paraId="389CA82F" w14:textId="77777777" w:rsidR="00986A25" w:rsidRPr="00786C50" w:rsidRDefault="005B6E0D" w:rsidP="005B6E0D">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 xml:space="preserve">Cognitive flexibility and community engagement are the two main areas of interest for university students in this study. Cognitive flexibility is the capacity to adjust and transition between various mental processes or cognitive strategies.  </w:t>
      </w:r>
      <w:r w:rsidR="0036573E" w:rsidRPr="00786C50">
        <w:rPr>
          <w:rFonts w:ascii="Times New Roman" w:hAnsi="Times New Roman" w:cs="Times New Roman"/>
          <w:sz w:val="24"/>
          <w:szCs w:val="24"/>
        </w:rPr>
        <w:fldChar w:fldCharType="begin" w:fldLock="1"/>
      </w:r>
      <w:r w:rsidR="00313DD8" w:rsidRPr="00786C50">
        <w:rPr>
          <w:rFonts w:ascii="Times New Roman" w:hAnsi="Times New Roman" w:cs="Times New Roman"/>
          <w:sz w:val="24"/>
          <w:szCs w:val="24"/>
        </w:rPr>
        <w:instrText>ADDIN CSL_CITATION {"citationItems":[{"id":"ITEM-1","itemData":{"DOI":"10.6018/analesps.381181","ISSN":"16952294","abstract":"In accordance with the goal of the positive psychology ap-proach, this study was designed to build an understanding of the relation-ships among optimism, cognitive flexibility, adjustment to university life and happiness by proposing a multiple mediation model. A total of 386 undergraduates (64% female and 36% male) between 18-22 years partici-pated in the study. The participants were recruited from a small university in Turkey. The Life Orientation Test, Cognitive Flexibility Inventory, Uni-versity Life Scale, and Oxford Happiness Questionnaire Short Form were utilized as measures. The results showed that optimism, cognitive flexibil-ity, adjustment to university life, and happiness positively correlated. The findings from the mediational analyses also indicated that the serial multi-ple mediation of cognitive flexibility and adjustment to university life in the hypothetical model was statistically significant and explained approximately 50% of the variance in happiness.","author":[{"dropping-particle":"","family":"Demirtaş","given":"Ayşe Sibel","non-dropping-particle":"","parse-names":false,"suffix":""}],"container-title":"Anales de Psicologia","id":"ITEM-1","issue":"2","issued":{"date-parts":[["2020"]]},"page":"320-329","title":"Optimism and happiness in undergraduate students: Cognitive flexibility and adjustment to university life as mediators","type":"article-journal","volume":"36"},"uris":["http://www.mendeley.com/documents/?uuid=f3db88a3-fea5-4146-bfdb-40ff5f3b141f"]}],"mendeley":{"formattedCitation":"(Demirtaş, 2020)","plainTextFormattedCitation":"(Demirtaş, 2020)","previouslyFormattedCitation":"(Demirtaş, 2020)"},"properties":{"noteIndex":0},"schema":"https://github.com/citation-style-language/schema/raw/master/csl-citation.json"}</w:instrText>
      </w:r>
      <w:r w:rsidR="0036573E" w:rsidRPr="00786C50">
        <w:rPr>
          <w:rFonts w:ascii="Times New Roman" w:hAnsi="Times New Roman" w:cs="Times New Roman"/>
          <w:sz w:val="24"/>
          <w:szCs w:val="24"/>
        </w:rPr>
        <w:fldChar w:fldCharType="separate"/>
      </w:r>
      <w:r w:rsidR="00313DD8" w:rsidRPr="00786C50">
        <w:rPr>
          <w:rFonts w:ascii="Times New Roman" w:hAnsi="Times New Roman" w:cs="Times New Roman"/>
          <w:noProof/>
          <w:sz w:val="24"/>
          <w:szCs w:val="24"/>
        </w:rPr>
        <w:t>(Demirtaş, 2020)</w:t>
      </w:r>
      <w:r w:rsidR="0036573E" w:rsidRPr="00786C50">
        <w:rPr>
          <w:rFonts w:ascii="Times New Roman" w:hAnsi="Times New Roman" w:cs="Times New Roman"/>
          <w:sz w:val="24"/>
          <w:szCs w:val="24"/>
        </w:rPr>
        <w:fldChar w:fldCharType="end"/>
      </w:r>
      <w:r w:rsidR="00D70A52" w:rsidRPr="00786C50">
        <w:rPr>
          <w:rFonts w:ascii="Times New Roman" w:hAnsi="Times New Roman" w:cs="Times New Roman"/>
          <w:sz w:val="24"/>
          <w:szCs w:val="24"/>
        </w:rPr>
        <w:t>.</w:t>
      </w:r>
      <w:r w:rsidR="00986A25" w:rsidRPr="00786C50">
        <w:rPr>
          <w:rFonts w:ascii="Times New Roman" w:hAnsi="Times New Roman" w:cs="Times New Roman"/>
          <w:sz w:val="24"/>
          <w:szCs w:val="24"/>
        </w:rPr>
        <w:t xml:space="preserve"> It encompasses skills such as generating alternative approaches to problems, fostering creativity, and adjusting to changing circumstances. In contrast, community participation involves various forms of engagement within one’s community, including social interactions, volunteer activities, and civic involvement aimed at enhancing the community’s overall well-being.</w:t>
      </w:r>
    </w:p>
    <w:p w14:paraId="6CECE3D8" w14:textId="77777777" w:rsidR="00986A25" w:rsidRPr="00786C50" w:rsidRDefault="00986A25" w:rsidP="00D70A52">
      <w:pPr>
        <w:pStyle w:val="NormalWeb"/>
        <w:spacing w:line="360" w:lineRule="auto"/>
        <w:jc w:val="both"/>
      </w:pPr>
      <w:r w:rsidRPr="00786C50">
        <w:t xml:space="preserve">The study examines a population of college students enrolled in undergraduate (UG) and postgraduate (PG) programs in arts and science disciplines. </w:t>
      </w:r>
      <w:r w:rsidR="005B6E0D" w:rsidRPr="00786C50">
        <w:t xml:space="preserve">The study examines variables like </w:t>
      </w:r>
      <w:r w:rsidR="005B6E0D" w:rsidRPr="00786C50">
        <w:lastRenderedPageBreak/>
        <w:t>gender (boys and girls), academic level (undergraduate and postgraduate), type of institution (government and private), and geographical location (urban and rural) in order to obtain a thorough grasp of the relationship between cognitive flexibility, community participation, and demographic factors.</w:t>
      </w:r>
      <w:r w:rsidRPr="00786C50">
        <w:t xml:space="preserve"> These demographic factors are critical for identifying variations and trends in cognitive flexibility and community engagement across diverse student groups.</w:t>
      </w:r>
    </w:p>
    <w:p w14:paraId="56EDCE54" w14:textId="77777777" w:rsidR="00986A25" w:rsidRPr="00786C50" w:rsidRDefault="00986A25" w:rsidP="00F225E8">
      <w:pPr>
        <w:pStyle w:val="NormalWeb"/>
        <w:spacing w:line="360" w:lineRule="auto"/>
        <w:jc w:val="both"/>
      </w:pPr>
      <w:r w:rsidRPr="00786C50">
        <w:t xml:space="preserve">Cognitive flexibility refers to the ability to shift between different concepts, think about multiple ideas simultaneously, or choose between various object representations, strategies, or tasks in specific or changing situations </w:t>
      </w:r>
      <w:r w:rsidR="0036573E" w:rsidRPr="00786C50">
        <w:fldChar w:fldCharType="begin" w:fldLock="1"/>
      </w:r>
      <w:r w:rsidR="00762F34" w:rsidRPr="00786C50">
        <w:instrText>ADDIN CSL_CITATION {"citationItems":[{"id":"ITEM-1","itemData":{"author":[{"dropping-particle":"","family":"Scott","given":"William A.","non-dropping-particle":"","parse-names":false,"suffix":""}],"container-title":"Sociometry","id":"ITEM-1","issue":"4","issued":{"date-parts":[["1962"]]},"page":"405-414","title":"Cognitive Complexity and Cognitive Flexibility Author ( s ): William A . Scott Published by : American Sociological Association Stable URL : http://www.jstor.org/stable/2785779 Accessed : 29-04-2016 14 : 36 UTC Your use of the JSTOR archive indicates your","type":"article-journal","volume":"25"},"uris":["http://www.mendeley.com/documents/?uuid=804dfcfe-6b62-4063-8263-d2ee7bbb0154"]}],"mendeley":{"formattedCitation":"(Scott, 1962)","manualFormatting":"(Scott, 1962","plainTextFormattedCitation":"(Scott, 1962)","previouslyFormattedCitation":"(Scott, 1962)"},"properties":{"noteIndex":0},"schema":"https://github.com/citation-style-language/schema/raw/master/csl-citation.json"}</w:instrText>
      </w:r>
      <w:r w:rsidR="0036573E" w:rsidRPr="00786C50">
        <w:fldChar w:fldCharType="separate"/>
      </w:r>
      <w:r w:rsidR="00313DD8" w:rsidRPr="00786C50">
        <w:rPr>
          <w:noProof/>
        </w:rPr>
        <w:t>(Scott, 1962</w:t>
      </w:r>
      <w:r w:rsidR="0036573E" w:rsidRPr="00786C50">
        <w:fldChar w:fldCharType="end"/>
      </w:r>
      <w:r w:rsidRPr="00786C50">
        <w:t xml:space="preserve"> Jacques &amp; </w:t>
      </w:r>
      <w:proofErr w:type="spellStart"/>
      <w:r w:rsidRPr="00786C50">
        <w:t>Zelazo</w:t>
      </w:r>
      <w:proofErr w:type="spellEnd"/>
      <w:r w:rsidRPr="00786C50">
        <w:t>, 2005). It is a vital component of executive functioning across the lifespan</w:t>
      </w:r>
      <w:r w:rsidR="00762F34" w:rsidRPr="00786C50">
        <w:t xml:space="preserve"> </w:t>
      </w:r>
      <w:r w:rsidR="0036573E" w:rsidRPr="00786C50">
        <w:fldChar w:fldCharType="begin" w:fldLock="1"/>
      </w:r>
      <w:r w:rsidR="00762F34" w:rsidRPr="00786C50">
        <w:instrText>ADDIN CSL_CITATION {"citationItems":[{"id":"ITEM-1","itemData":{"abstract":"The purpose of this study was to investigate the relationship between cognitive flexibility, academic skills, educational trajectories, and career goals of college students with and without Attention Deficit Hyperactivity Disorder (ADHD). Participants completed a demographic questionnaire, objective and subjective measures of cognitive flexibility, and tests of academic achievement. Cognitive Flexibility predicted academic achievement ; reading skills increased as subjective cognitive flexibility increased and as the tendency to perseverate (i.e., to stick with an ineffective strategy) on the Wisconsin Card Sorting Test decreased. Objective cognitive flexibility also predicted mathematical and writing skills. Although students with different college majors did not vary significantly in their cognitive flexibility, the interaction between cognitive flexibility and ADHD shared a significant relationship with career confidence. Our results expand on the literature examining cog-nitive flexibility and have implications for both academic and career planning, particularly for students who may struggle with attention.","author":[{"dropping-particle":"","family":"Kercood","given":"Suneeta","non-dropping-particle":"","parse-names":false,"suffix":""},{"dropping-particle":"","family":"Lineweaver","given":"Tara T","non-dropping-particle":"","parse-names":false,"suffix":""},{"dropping-particle":"","family":"Frank","given":"Colleen C","non-dropping-particle":"","parse-names":false,"suffix":""},{"dropping-particle":"","family":"Fromm","given":"Erik D","non-dropping-particle":"","parse-names":false,"suffix":""}],"container-title":"Journal of Postsecondary Education and Disability","id":"ITEM-1","issue":"4","issued":{"date-parts":[["2017"]]},"page":"329","title":"Cognitive Flexibility and Its Relationship to Academic Achievement and Career Choice of College Students With and Without Attention Deficit Hyperactivity Disorder","type":"article-journal","volume":"30"},"uris":["http://www.mendeley.com/documents/?uuid=a716a87f-c8ad-4b69-a88f-cc4d4d59a20b"]}],"mendeley":{"formattedCitation":"(Kercood et al., 2017)","plainTextFormattedCitation":"(Kercood et al., 2017)","previouslyFormattedCitation":"(Kercood et al., 2017)"},"properties":{"noteIndex":0},"schema":"https://github.com/citation-style-language/schema/raw/master/csl-citation.json"}</w:instrText>
      </w:r>
      <w:r w:rsidR="0036573E" w:rsidRPr="00786C50">
        <w:fldChar w:fldCharType="separate"/>
      </w:r>
      <w:r w:rsidR="00762F34" w:rsidRPr="00786C50">
        <w:rPr>
          <w:noProof/>
        </w:rPr>
        <w:t>(Kercood et al., 2017)</w:t>
      </w:r>
      <w:r w:rsidR="0036573E" w:rsidRPr="00786C50">
        <w:fldChar w:fldCharType="end"/>
      </w:r>
      <w:r w:rsidRPr="00786C50">
        <w:t xml:space="preserve"> and is strongly influenced by dopamine levels in the prefrontal cortex</w:t>
      </w:r>
      <w:r w:rsidR="00762F34" w:rsidRPr="00786C50">
        <w:t xml:space="preserve"> </w:t>
      </w:r>
      <w:r w:rsidR="0036573E" w:rsidRPr="00786C50">
        <w:fldChar w:fldCharType="begin" w:fldLock="1"/>
      </w:r>
      <w:r w:rsidR="00762F34" w:rsidRPr="00786C50">
        <w:instrText>ADDIN CSL_CITATION {"citationItems":[{"id":"ITEM-1","itemData":{"DOI":"10.1037/0278-7393.30.2.343","ISSN":"02787393","PMID":"14979809","abstract":"A fundamental problem that organisms face in a changing environment is how to regulate dynamically the balance between stable maintenance and flexible switching of goals and cognitive sets. The authors show that positive affect plays an important role in the regulation of this stability-flexibility balance. In a cognitive set-switching paradigm, the induction of mild increases in positive affect, as compared with neutral or negative affect, promoted cognitive flexibility and reduced perseveration, but also incurred a cost in terms of increased distractibility. Rather than influencing set switching in an unspecific way, positive affect thus exerted opposite effects on perseveration and distractibility. Results are consistent with neuropsychological models according to which effects of positive affect on cognitive control are mediated by increased dopamine levels in frontal brain areas.","author":[{"dropping-particle":"","family":"Dreisbach","given":"Gesine","non-dropping-particle":"","parse-names":false,"suffix":""},{"dropping-particle":"","family":"Goschke","given":"Thomas","non-dropping-particle":"","parse-names":false,"suffix":""}],"container-title":"Journal of Experimental Psychology: Learning Memory and Cognition","id":"ITEM-1","issue":"2","issued":{"date-parts":[["2004"]]},"page":"343-353","title":"How Positive Affect Modulates Cognitive Control: Reduced Perseveration at the Cost of Increased Distractibility","type":"article-journal","volume":"30"},"uris":["http://www.mendeley.com/documents/?uuid=805bf6e9-1e42-4629-b9a6-e91e5b07c0f1"]}],"mendeley":{"formattedCitation":"(Dreisbach &amp; Goschke, 2004)","plainTextFormattedCitation":"(Dreisbach &amp; Goschke, 2004)","previouslyFormattedCitation":"(Dreisbach &amp; Goschke, 2004)"},"properties":{"noteIndex":0},"schema":"https://github.com/citation-style-language/schema/raw/master/csl-citation.json"}</w:instrText>
      </w:r>
      <w:r w:rsidR="0036573E" w:rsidRPr="00786C50">
        <w:fldChar w:fldCharType="separate"/>
      </w:r>
      <w:r w:rsidR="00762F34" w:rsidRPr="00786C50">
        <w:rPr>
          <w:noProof/>
        </w:rPr>
        <w:t>(Dreisbach &amp; Goschke, 2004)</w:t>
      </w:r>
      <w:r w:rsidR="0036573E" w:rsidRPr="00786C50">
        <w:fldChar w:fldCharType="end"/>
      </w:r>
      <w:r w:rsidRPr="00786C50">
        <w:t xml:space="preserve"> This ability involves control over focus and awareness, suggesting that difficulties in regulating attention may correlate with reduced cognitive flexibility.</w:t>
      </w:r>
      <w:r w:rsidR="0036573E" w:rsidRPr="00786C50">
        <w:fldChar w:fldCharType="begin" w:fldLock="1"/>
      </w:r>
      <w:r w:rsidR="00436B30" w:rsidRPr="00786C50">
        <w:instrText>ADDIN CSL_CITATION {"citationItems":[{"id":"ITEM-1","itemData":{"author":[{"dropping-particle":"","family":"Moore","given":"Bryan A","non-dropping-particle":"","parse-names":false,"suffix":""}],"id":"ITEM-1","issue":"May","issued":{"date-parts":[["2012"]]},"title":"by","type":"article-journal"},"uris":["http://www.mendeley.com/documents/?uuid=a2f1f295-e7dd-4ba4-8665-7941e3535b89"]}],"mendeley":{"formattedCitation":"(Moore, 2012)","plainTextFormattedCitation":"(Moore, 2012)","previouslyFormattedCitation":"(Moore, 2012)"},"properties":{"noteIndex":0},"schema":"https://github.com/citation-style-language/schema/raw/master/csl-citation.json"}</w:instrText>
      </w:r>
      <w:r w:rsidR="0036573E" w:rsidRPr="00786C50">
        <w:fldChar w:fldCharType="separate"/>
      </w:r>
      <w:r w:rsidR="00C123EE" w:rsidRPr="00786C50">
        <w:rPr>
          <w:noProof/>
        </w:rPr>
        <w:t>(Moore, 2012)</w:t>
      </w:r>
      <w:r w:rsidR="0036573E" w:rsidRPr="00786C50">
        <w:fldChar w:fldCharType="end"/>
      </w:r>
      <w:r w:rsidR="00C123EE" w:rsidRPr="00786C50">
        <w:t xml:space="preserve"> found a favorable correlation between improved cognitive flexibility and the capacity to self-regulate attention and mindfulness in a study that looked at</w:t>
      </w:r>
      <w:r w:rsidR="00F225E8" w:rsidRPr="00786C50">
        <w:t xml:space="preserve"> </w:t>
      </w:r>
      <w:r w:rsidR="00C123EE" w:rsidRPr="00786C50">
        <w:t xml:space="preserve"> </w:t>
      </w:r>
      <w:r w:rsidR="00F225E8" w:rsidRPr="00786C50">
        <w:t xml:space="preserve">the association between several cognitive domains and college students' cognitive flexibility. </w:t>
      </w:r>
      <w:r w:rsidR="00436B30" w:rsidRPr="00786C50">
        <w:t xml:space="preserve">Gender may also influence the cognitive flexibility of college students. A study conducted by  </w:t>
      </w:r>
      <w:r w:rsidR="0036573E" w:rsidRPr="00786C50">
        <w:fldChar w:fldCharType="begin" w:fldLock="1"/>
      </w:r>
      <w:r w:rsidR="00C82B0A" w:rsidRPr="00786C50">
        <w:instrText>ADDIN CSL_CITATION {"citationItems":[{"id":"ITEM-1","itemData":{"DOI":"10.1037/1099-9809.12.2.245","ISSN":"10999809","PMID":"16719575","abstract":"The purpose of this study was to examine Asian American college students' behavioral acculturation to U.S. cultural norms and behavioral enculturation to Asian cultural norms and their relationships to ratings on measures of cognitive flexibility, general self-efficacy, collective self-esteem, acculturative stress, and attitudes toward seeking professional psychological help. As hypothesized, the results indicated that both acculturation and enculturation were positively related to the membership dimension of collective self-esteem. Although not hypothesized, the results indicated that acculturation was positively related to cognitive flexibility, general self-efficacy, and the public dimension of collective self-esteem. In addition, enculturation was positively related to the private dimension and the importance of identity dimension of collective self-esteem. Copyright 2006 by the American Psychological Association.","author":[{"dropping-particle":"","family":"Kim","given":"Bryan S.K.","non-dropping-particle":"","parse-names":false,"suffix":""},{"dropping-particle":"","family":"Omizo","given":"Michael M.","non-dropping-particle":"","parse-names":false,"suffix":""}],"container-title":"Cultural Diversity and Ethnic Minority Psychology","id":"ITEM-1","issue":"2","issued":{"date-parts":[["2006"]]},"page":"245-258","title":"Behavioral acculturation and enculturation and psychological functioning among Asian American college students","type":"article-journal","volume":"12"},"uris":["http://www.mendeley.com/documents/?uuid=ea6f4bb0-fde7-44f5-bed7-49935b7dd744"]}],"mendeley":{"formattedCitation":"(Kim &amp; Omizo, 2006)","plainTextFormattedCitation":"(Kim &amp; Omizo, 2006)","previouslyFormattedCitation":"(Kim &amp; Omizo, 2006)"},"properties":{"noteIndex":0},"schema":"https://github.com/citation-style-language/schema/raw/master/csl-citation.json"}</w:instrText>
      </w:r>
      <w:r w:rsidR="0036573E" w:rsidRPr="00786C50">
        <w:fldChar w:fldCharType="separate"/>
      </w:r>
      <w:r w:rsidR="00436B30" w:rsidRPr="00786C50">
        <w:rPr>
          <w:noProof/>
        </w:rPr>
        <w:t>(Kim &amp; Omizo, 2006)</w:t>
      </w:r>
      <w:r w:rsidR="0036573E" w:rsidRPr="00786C50">
        <w:fldChar w:fldCharType="end"/>
      </w:r>
      <w:r w:rsidR="00436B30" w:rsidRPr="00786C50">
        <w:t>, for example, examined the function of cognitive flexibility in the process of integration for both male and female college immigrants. The cognitive flexibility of Asian-American students did not differ statistically significantly by gender, according to the study. </w:t>
      </w:r>
      <w:r w:rsidRPr="00786C50">
        <w:t xml:space="preserve"> However, despite the lack of statistical significance in this study, it remains essential to consider potential gender differences in cognitive flexibility among college students, as they may vary across contexts and populations.</w:t>
      </w:r>
    </w:p>
    <w:p w14:paraId="7C1145E7" w14:textId="77777777" w:rsidR="00C82B0A" w:rsidRPr="00786C50" w:rsidRDefault="00C82B0A" w:rsidP="00C82B0A">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 xml:space="preserve">According to </w:t>
      </w:r>
      <w:r w:rsidR="0036573E" w:rsidRPr="00786C50">
        <w:rPr>
          <w:rFonts w:ascii="Times New Roman" w:hAnsi="Times New Roman" w:cs="Times New Roman"/>
          <w:sz w:val="24"/>
          <w:szCs w:val="24"/>
        </w:rPr>
        <w:fldChar w:fldCharType="begin" w:fldLock="1"/>
      </w:r>
      <w:r w:rsidR="00E164A2" w:rsidRPr="00786C50">
        <w:rPr>
          <w:rFonts w:ascii="Times New Roman" w:hAnsi="Times New Roman" w:cs="Times New Roman"/>
          <w:sz w:val="24"/>
          <w:szCs w:val="24"/>
        </w:rPr>
        <w:instrText>ADDIN CSL_CITATION {"citationItems":[{"id":"ITEM-1","itemData":{"id":"ITEM-1","issued":{"date-parts":[["1988"]]},"title":"Remarks by Ernest L . Boyer President The Carnegie Foundation for the Advancement of Teaching Chester E . Peters Lecture in Student Development Kansas State University Manhattan , Kansas","type":"article-journal"},"uris":["http://www.mendeley.com/documents/?uuid=150e7fce-ff77-41c4-bcce-865b45a2148d"]}],"mendeley":{"formattedCitation":"(&lt;i&gt;Remarks by Ernest L . Boyer President The Carnegie Foundation for the Advancement of Teaching Chester E . Peters Lecture in Student Development Kansas State University Manhattan , Kansas&lt;/i&gt;, 1988)","manualFormatting":" Ernest L . Boyer President The Carnegie Foundation for the Advancement of Teaching Chester E . Peters Lecture in Student Development Kansas State University Manhattan , Kansas, 1988","plainTextFormattedCitation":"(Remarks by Ernest L . Boyer President The Carnegie Foundation for the Advancement of Teaching Chester E . Peters Lecture in Student Development Kansas State University Manhattan , Kansas, 1988)"},"properties":{"noteIndex":0},"schema":"https://github.com/citation-style-language/schema/raw/master/csl-citation.json"}</w:instrText>
      </w:r>
      <w:r w:rsidR="0036573E" w:rsidRPr="00786C50">
        <w:rPr>
          <w:rFonts w:ascii="Times New Roman" w:hAnsi="Times New Roman" w:cs="Times New Roman"/>
          <w:sz w:val="24"/>
          <w:szCs w:val="24"/>
        </w:rPr>
        <w:fldChar w:fldCharType="separate"/>
      </w:r>
      <w:r w:rsidRPr="00786C50">
        <w:rPr>
          <w:rFonts w:ascii="Times New Roman" w:hAnsi="Times New Roman" w:cs="Times New Roman"/>
          <w:i/>
          <w:noProof/>
          <w:sz w:val="24"/>
          <w:szCs w:val="24"/>
        </w:rPr>
        <w:t xml:space="preserve"> Ernest L . Boyer President The Carnegie Foundation for the Advancement of Teaching Chester E . Peters Lecture in Student Development Kansas State University Manhattan , Kansas</w:t>
      </w:r>
      <w:r w:rsidRPr="00786C50">
        <w:rPr>
          <w:rFonts w:ascii="Times New Roman" w:hAnsi="Times New Roman" w:cs="Times New Roman"/>
          <w:noProof/>
          <w:sz w:val="24"/>
          <w:szCs w:val="24"/>
        </w:rPr>
        <w:t>, 1988</w:t>
      </w:r>
      <w:r w:rsidR="0036573E" w:rsidRPr="00786C50">
        <w:rPr>
          <w:rFonts w:ascii="Times New Roman" w:hAnsi="Times New Roman" w:cs="Times New Roman"/>
          <w:sz w:val="24"/>
          <w:szCs w:val="24"/>
        </w:rPr>
        <w:fldChar w:fldCharType="end"/>
      </w:r>
      <w:r w:rsidRPr="00786C50">
        <w:rPr>
          <w:rFonts w:ascii="Times New Roman" w:hAnsi="Times New Roman" w:cs="Times New Roman"/>
          <w:sz w:val="24"/>
          <w:szCs w:val="24"/>
        </w:rPr>
        <w:t xml:space="preserve"> from the middle of the 1980s, educators and critics of higher education have pushed for a greater commitment from colleges and universities to match student learning with current civic and social challenges (</w:t>
      </w:r>
      <w:proofErr w:type="spellStart"/>
      <w:r w:rsidRPr="00786C50">
        <w:rPr>
          <w:rFonts w:ascii="Times New Roman" w:hAnsi="Times New Roman" w:cs="Times New Roman"/>
          <w:sz w:val="24"/>
          <w:szCs w:val="24"/>
        </w:rPr>
        <w:t>Eyler</w:t>
      </w:r>
      <w:proofErr w:type="spellEnd"/>
      <w:r w:rsidRPr="00786C50">
        <w:rPr>
          <w:rFonts w:ascii="Times New Roman" w:hAnsi="Times New Roman" w:cs="Times New Roman"/>
          <w:sz w:val="24"/>
          <w:szCs w:val="24"/>
        </w:rPr>
        <w:t xml:space="preserve"> &amp; Giles, 1999; Jacoby, 1996). Chester E. Peters Lecture in Student Development Kansas State University Manhattan, Kansas, 1988. Higher education institutions have responded by implementing classes and extracurricular activities aimed at improving students' comprehension of societal challenges and community needs. A lifetime </w:t>
      </w:r>
      <w:r w:rsidRPr="00786C50">
        <w:rPr>
          <w:rFonts w:ascii="Times New Roman" w:hAnsi="Times New Roman" w:cs="Times New Roman"/>
          <w:sz w:val="24"/>
          <w:szCs w:val="24"/>
        </w:rPr>
        <w:lastRenderedPageBreak/>
        <w:t>commitment to social responsibility and the development of moral leadership abilities are the goals of these programs (</w:t>
      </w:r>
      <w:proofErr w:type="spellStart"/>
      <w:r w:rsidRPr="00786C50">
        <w:rPr>
          <w:rFonts w:ascii="Times New Roman" w:hAnsi="Times New Roman" w:cs="Times New Roman"/>
          <w:sz w:val="24"/>
          <w:szCs w:val="24"/>
        </w:rPr>
        <w:t>Bringle</w:t>
      </w:r>
      <w:proofErr w:type="spellEnd"/>
      <w:r w:rsidRPr="00786C50">
        <w:rPr>
          <w:rFonts w:ascii="Times New Roman" w:hAnsi="Times New Roman" w:cs="Times New Roman"/>
          <w:sz w:val="24"/>
          <w:szCs w:val="24"/>
        </w:rPr>
        <w:t>, 2003; Kendall, 1990).</w:t>
      </w:r>
    </w:p>
    <w:p w14:paraId="3DB3A382" w14:textId="77777777" w:rsidR="00E164A2" w:rsidRPr="00786C50" w:rsidRDefault="00E164A2" w:rsidP="00E164A2">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In order to enhance course content and prepare students for ongoing civic participation, service-learning—which incorporates community service experiences into academic courses—has become a popular curricular innovation (Howard, 2001). (</w:t>
      </w:r>
      <w:proofErr w:type="spellStart"/>
      <w:r w:rsidRPr="00786C50">
        <w:rPr>
          <w:rFonts w:ascii="Times New Roman" w:hAnsi="Times New Roman" w:cs="Times New Roman"/>
          <w:sz w:val="24"/>
          <w:szCs w:val="24"/>
        </w:rPr>
        <w:t>Bringle</w:t>
      </w:r>
      <w:proofErr w:type="spellEnd"/>
      <w:r w:rsidRPr="00786C50">
        <w:rPr>
          <w:rFonts w:ascii="Times New Roman" w:hAnsi="Times New Roman" w:cs="Times New Roman"/>
          <w:sz w:val="24"/>
          <w:szCs w:val="24"/>
        </w:rPr>
        <w:t xml:space="preserve">, </w:t>
      </w:r>
      <w:proofErr w:type="spellStart"/>
      <w:r w:rsidRPr="00786C50">
        <w:rPr>
          <w:rFonts w:ascii="Times New Roman" w:hAnsi="Times New Roman" w:cs="Times New Roman"/>
          <w:sz w:val="24"/>
          <w:szCs w:val="24"/>
        </w:rPr>
        <w:t>Eyler</w:t>
      </w:r>
      <w:proofErr w:type="spellEnd"/>
      <w:r w:rsidRPr="00786C50">
        <w:rPr>
          <w:rFonts w:ascii="Times New Roman" w:hAnsi="Times New Roman" w:cs="Times New Roman"/>
          <w:sz w:val="24"/>
          <w:szCs w:val="24"/>
        </w:rPr>
        <w:t xml:space="preserve"> &amp; Giles, Jacoby, 1996). Numerous studies demonstrate the benefits of community service and service-learning for college </w:t>
      </w:r>
      <w:r w:rsidR="00672CAF" w:rsidRPr="00786C50">
        <w:rPr>
          <w:rFonts w:ascii="Times New Roman" w:hAnsi="Times New Roman" w:cs="Times New Roman"/>
          <w:sz w:val="24"/>
          <w:szCs w:val="24"/>
        </w:rPr>
        <w:t>freshmen (</w:t>
      </w:r>
      <w:proofErr w:type="spellStart"/>
      <w:r w:rsidR="00672CAF" w:rsidRPr="00786C50">
        <w:rPr>
          <w:rFonts w:ascii="Times New Roman" w:hAnsi="Times New Roman" w:cs="Times New Roman"/>
          <w:sz w:val="24"/>
          <w:szCs w:val="24"/>
        </w:rPr>
        <w:t>Astin</w:t>
      </w:r>
      <w:proofErr w:type="spellEnd"/>
      <w:r w:rsidR="00672CAF" w:rsidRPr="00786C50">
        <w:rPr>
          <w:rFonts w:ascii="Times New Roman" w:hAnsi="Times New Roman" w:cs="Times New Roman"/>
          <w:sz w:val="24"/>
          <w:szCs w:val="24"/>
        </w:rPr>
        <w:t xml:space="preserve"> &amp; Sax 1999).  </w:t>
      </w:r>
      <w:r w:rsidRPr="00786C50">
        <w:rPr>
          <w:rFonts w:ascii="Times New Roman" w:hAnsi="Times New Roman" w:cs="Times New Roman"/>
          <w:sz w:val="24"/>
          <w:szCs w:val="24"/>
        </w:rPr>
        <w:t xml:space="preserve">Among the benefits that have been established are enhancements in students' leadership development, academic performance, and attitudes toward civic duty. The work of </w:t>
      </w:r>
      <w:proofErr w:type="spellStart"/>
      <w:r w:rsidRPr="00786C50">
        <w:rPr>
          <w:rFonts w:ascii="Times New Roman" w:hAnsi="Times New Roman" w:cs="Times New Roman"/>
          <w:sz w:val="24"/>
          <w:szCs w:val="24"/>
        </w:rPr>
        <w:t>Astin</w:t>
      </w:r>
      <w:proofErr w:type="spellEnd"/>
      <w:r w:rsidRPr="00786C50">
        <w:rPr>
          <w:rFonts w:ascii="Times New Roman" w:hAnsi="Times New Roman" w:cs="Times New Roman"/>
          <w:sz w:val="24"/>
          <w:szCs w:val="24"/>
        </w:rPr>
        <w:t xml:space="preserve"> and others has been especially significant in proving these results.</w:t>
      </w:r>
    </w:p>
    <w:p w14:paraId="2F947DFB" w14:textId="77777777" w:rsidR="005C073D" w:rsidRPr="00786C50" w:rsidRDefault="005C073D" w:rsidP="005C073D">
      <w:pPr>
        <w:pStyle w:val="NormalWeb"/>
        <w:spacing w:line="360" w:lineRule="auto"/>
        <w:rPr>
          <w:rStyle w:val="Strong"/>
        </w:rPr>
      </w:pPr>
      <w:r w:rsidRPr="00786C50">
        <w:rPr>
          <w:rStyle w:val="Strong"/>
        </w:rPr>
        <w:t>Statement of the Problem</w:t>
      </w:r>
    </w:p>
    <w:p w14:paraId="6EB1D229" w14:textId="77777777" w:rsidR="00296A5E" w:rsidRPr="00786C50" w:rsidRDefault="00296A5E" w:rsidP="00296A5E">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It is crucial to comprehend how college students seeking degrees in the arts and sciences relate to cognitive flexibility and community involvement. </w:t>
      </w:r>
      <w:r w:rsidR="005C073D" w:rsidRPr="00786C50">
        <w:rPr>
          <w:rFonts w:ascii="Times New Roman" w:hAnsi="Times New Roman" w:cs="Times New Roman"/>
          <w:sz w:val="24"/>
          <w:szCs w:val="24"/>
        </w:rPr>
        <w:t>Understanding the relationship between cognitive flexibility and community engagement among college students pursuing degrees in the arts and sciences is critical. Gaining insights into this connection can inform and enhance teaching practices, promote social cohesion, improve mental health, encourage interdisciplinary collaboration, and guide policies aimed at developing engaged and proactive individuals.</w:t>
      </w:r>
      <w:r w:rsidR="00E36F51" w:rsidRPr="00786C50">
        <w:rPr>
          <w:rFonts w:ascii="Times New Roman" w:hAnsi="Times New Roman" w:cs="Times New Roman"/>
          <w:sz w:val="24"/>
          <w:szCs w:val="24"/>
        </w:rPr>
        <w:t xml:space="preserve"> The purpose of this study is to look into how college students majoring in the arts and sciences relate to their level of community involvement and cognitive flexibility.</w:t>
      </w:r>
      <w:r w:rsidR="005C073D" w:rsidRPr="00786C50">
        <w:rPr>
          <w:rFonts w:ascii="Times New Roman" w:hAnsi="Times New Roman" w:cs="Times New Roman"/>
          <w:sz w:val="24"/>
          <w:szCs w:val="24"/>
        </w:rPr>
        <w:t xml:space="preserve"> </w:t>
      </w:r>
    </w:p>
    <w:p w14:paraId="36D84FC7" w14:textId="77777777" w:rsidR="00147320" w:rsidRDefault="00E36F51" w:rsidP="00786C50">
      <w:pPr>
        <w:spacing w:line="360" w:lineRule="auto"/>
        <w:jc w:val="both"/>
        <w:rPr>
          <w:rFonts w:ascii="Times New Roman" w:hAnsi="Times New Roman" w:cs="Times New Roman"/>
          <w:b/>
          <w:sz w:val="24"/>
          <w:szCs w:val="24"/>
        </w:rPr>
      </w:pPr>
      <w:r w:rsidRPr="00786C50">
        <w:rPr>
          <w:rFonts w:ascii="Times New Roman" w:hAnsi="Times New Roman" w:cs="Times New Roman"/>
          <w:b/>
          <w:sz w:val="24"/>
          <w:szCs w:val="24"/>
        </w:rPr>
        <w:t>Study’s</w:t>
      </w:r>
      <w:r w:rsidR="00FE0DCB" w:rsidRPr="00786C50">
        <w:rPr>
          <w:rFonts w:ascii="Times New Roman" w:hAnsi="Times New Roman" w:cs="Times New Roman"/>
          <w:b/>
          <w:sz w:val="24"/>
          <w:szCs w:val="24"/>
        </w:rPr>
        <w:t xml:space="preserve"> objectives</w:t>
      </w:r>
    </w:p>
    <w:p w14:paraId="237959E4" w14:textId="77777777" w:rsidR="00244092" w:rsidRDefault="00FE0DCB" w:rsidP="00786C50">
      <w:pPr>
        <w:spacing w:line="360" w:lineRule="auto"/>
        <w:jc w:val="both"/>
        <w:rPr>
          <w:rFonts w:ascii="Times New Roman" w:hAnsi="Times New Roman" w:cs="Times New Roman"/>
          <w:sz w:val="24"/>
          <w:szCs w:val="24"/>
        </w:rPr>
      </w:pPr>
      <w:r w:rsidRPr="00786C50">
        <w:rPr>
          <w:rFonts w:ascii="Times New Roman" w:hAnsi="Times New Roman" w:cs="Times New Roman"/>
          <w:b/>
          <w:sz w:val="24"/>
          <w:szCs w:val="24"/>
        </w:rPr>
        <w:br/>
      </w:r>
      <w:r w:rsidRPr="00786C50">
        <w:rPr>
          <w:rFonts w:ascii="Times New Roman" w:hAnsi="Times New Roman" w:cs="Times New Roman"/>
          <w:sz w:val="24"/>
          <w:szCs w:val="24"/>
        </w:rPr>
        <w:t xml:space="preserve">1. To assess students enrolled in arts and science programs' levels of cognitive flexibility and </w:t>
      </w:r>
      <w:r w:rsidR="00244092">
        <w:rPr>
          <w:rFonts w:ascii="Times New Roman" w:hAnsi="Times New Roman" w:cs="Times New Roman"/>
          <w:sz w:val="24"/>
          <w:szCs w:val="24"/>
        </w:rPr>
        <w:t>Community Involvement</w:t>
      </w:r>
    </w:p>
    <w:p w14:paraId="017A3615" w14:textId="77777777" w:rsidR="00FE0DCB" w:rsidRPr="00786C50" w:rsidRDefault="00FE0DCB" w:rsidP="00786C50">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2. To investigate how gender, degree level, institution type, and location affect cognitive flexibility.</w:t>
      </w:r>
      <w:r w:rsidRPr="00786C50">
        <w:rPr>
          <w:rFonts w:ascii="Times New Roman" w:hAnsi="Times New Roman" w:cs="Times New Roman"/>
          <w:sz w:val="24"/>
          <w:szCs w:val="24"/>
        </w:rPr>
        <w:br/>
        <w:t>3. To examine how gender, degree level, institution type, and location affect community participation.</w:t>
      </w:r>
      <w:r w:rsidRPr="00786C50">
        <w:rPr>
          <w:rFonts w:ascii="Times New Roman" w:hAnsi="Times New Roman" w:cs="Times New Roman"/>
          <w:sz w:val="24"/>
          <w:szCs w:val="24"/>
        </w:rPr>
        <w:br/>
        <w:t xml:space="preserve">4. To investigate how arts and science students' cognitive flexibility and community involvement </w:t>
      </w:r>
      <w:r w:rsidRPr="00786C50">
        <w:rPr>
          <w:rFonts w:ascii="Times New Roman" w:hAnsi="Times New Roman" w:cs="Times New Roman"/>
          <w:sz w:val="24"/>
          <w:szCs w:val="24"/>
        </w:rPr>
        <w:lastRenderedPageBreak/>
        <w:t>relate to one another while taking into account variables including gender, degree level, institution type, and location.</w:t>
      </w:r>
    </w:p>
    <w:p w14:paraId="48796439" w14:textId="77777777" w:rsidR="00786C50" w:rsidRDefault="00FE0DCB" w:rsidP="00786C50">
      <w:pPr>
        <w:pStyle w:val="NormalWeb"/>
      </w:pPr>
      <w:r w:rsidRPr="00786C50">
        <w:t> </w:t>
      </w:r>
    </w:p>
    <w:p w14:paraId="7406B912" w14:textId="77777777" w:rsidR="00786C50" w:rsidRDefault="00786C50" w:rsidP="00786C50">
      <w:pPr>
        <w:pStyle w:val="NormalWeb"/>
      </w:pPr>
    </w:p>
    <w:p w14:paraId="40F6CF17" w14:textId="77777777" w:rsidR="0044616A" w:rsidRPr="00786C50" w:rsidRDefault="0044616A" w:rsidP="00786C50">
      <w:pPr>
        <w:pStyle w:val="NormalWeb"/>
        <w:rPr>
          <w:b/>
          <w:bCs/>
        </w:rPr>
      </w:pPr>
      <w:r w:rsidRPr="00786C50">
        <w:rPr>
          <w:b/>
          <w:bCs/>
        </w:rPr>
        <w:t>Hypotheses</w:t>
      </w:r>
    </w:p>
    <w:p w14:paraId="57738064" w14:textId="77777777" w:rsidR="00E36F51" w:rsidRPr="00786C50" w:rsidRDefault="00E36F51" w:rsidP="00E36F51">
      <w:pPr>
        <w:spacing w:line="360" w:lineRule="auto"/>
        <w:jc w:val="both"/>
        <w:rPr>
          <w:rFonts w:ascii="Times New Roman" w:eastAsia="Times New Roman" w:hAnsi="Times New Roman" w:cs="Times New Roman"/>
          <w:sz w:val="24"/>
          <w:szCs w:val="24"/>
        </w:rPr>
      </w:pPr>
      <w:r w:rsidRPr="00786C50">
        <w:rPr>
          <w:rFonts w:ascii="Times New Roman" w:hAnsi="Times New Roman" w:cs="Times New Roman"/>
          <w:sz w:val="24"/>
          <w:szCs w:val="24"/>
        </w:rPr>
        <w:t>1. There are no notable differences in cognitive flexibility amongst undergraduates in artistic and scientific endeavors based on their location, degree level, gender, or kind of institution.</w:t>
      </w:r>
      <w:r w:rsidRPr="00786C50">
        <w:rPr>
          <w:rFonts w:ascii="Times New Roman" w:hAnsi="Times New Roman" w:cs="Times New Roman"/>
          <w:sz w:val="24"/>
          <w:szCs w:val="24"/>
        </w:rPr>
        <w:br/>
        <w:t>2. There are no appreciable differences in the level of community involvement among undergraduates studying in the arts and sciences based on their gender, degree level, kind of school, or location.</w:t>
      </w:r>
    </w:p>
    <w:p w14:paraId="051170C5" w14:textId="77777777" w:rsidR="00FE0DCB" w:rsidRPr="00786C50" w:rsidRDefault="00FE0DCB" w:rsidP="001202D1">
      <w:pPr>
        <w:spacing w:line="360" w:lineRule="auto"/>
        <w:rPr>
          <w:rFonts w:ascii="Times New Roman" w:hAnsi="Times New Roman" w:cs="Times New Roman"/>
          <w:sz w:val="24"/>
          <w:szCs w:val="24"/>
        </w:rPr>
      </w:pPr>
      <w:r w:rsidRPr="00786C50">
        <w:rPr>
          <w:rFonts w:ascii="Times New Roman" w:hAnsi="Times New Roman" w:cs="Times New Roman"/>
          <w:sz w:val="24"/>
          <w:szCs w:val="24"/>
        </w:rPr>
        <w:t>3. The degree to which students in arts and science programs participate in the community is significantly correlated with their cognitive flexibility.</w:t>
      </w:r>
      <w:r w:rsidRPr="00786C50">
        <w:rPr>
          <w:rFonts w:ascii="Times New Roman" w:hAnsi="Times New Roman" w:cs="Times New Roman"/>
          <w:sz w:val="24"/>
          <w:szCs w:val="24"/>
        </w:rPr>
        <w:br/>
        <w:t xml:space="preserve">4. Among students studying the arts and </w:t>
      </w:r>
      <w:proofErr w:type="gramStart"/>
      <w:r w:rsidRPr="00786C50">
        <w:rPr>
          <w:rFonts w:ascii="Times New Roman" w:hAnsi="Times New Roman" w:cs="Times New Roman"/>
          <w:sz w:val="24"/>
          <w:szCs w:val="24"/>
        </w:rPr>
        <w:t>sciences</w:t>
      </w:r>
      <w:r w:rsidR="00E36F51" w:rsidRPr="00786C50">
        <w:rPr>
          <w:rFonts w:ascii="Times New Roman" w:hAnsi="Times New Roman" w:cs="Times New Roman"/>
          <w:sz w:val="24"/>
          <w:szCs w:val="24"/>
        </w:rPr>
        <w:t xml:space="preserve"> </w:t>
      </w:r>
      <w:r w:rsidRPr="00786C50">
        <w:rPr>
          <w:rFonts w:ascii="Times New Roman" w:hAnsi="Times New Roman" w:cs="Times New Roman"/>
          <w:sz w:val="24"/>
          <w:szCs w:val="24"/>
        </w:rPr>
        <w:t>,</w:t>
      </w:r>
      <w:r w:rsidR="00E36F51" w:rsidRPr="00786C50">
        <w:rPr>
          <w:rFonts w:ascii="Times New Roman" w:hAnsi="Times New Roman" w:cs="Times New Roman"/>
          <w:sz w:val="24"/>
          <w:szCs w:val="24"/>
        </w:rPr>
        <w:t>a</w:t>
      </w:r>
      <w:proofErr w:type="gramEnd"/>
      <w:r w:rsidR="00E36F51" w:rsidRPr="00786C50">
        <w:rPr>
          <w:rFonts w:ascii="Times New Roman" w:hAnsi="Times New Roman" w:cs="Times New Roman"/>
          <w:sz w:val="24"/>
          <w:szCs w:val="24"/>
        </w:rPr>
        <w:t xml:space="preserve"> significant relationship has been shown between cognitive flexibility and  </w:t>
      </w:r>
      <w:r w:rsidRPr="00786C50">
        <w:rPr>
          <w:rFonts w:ascii="Times New Roman" w:hAnsi="Times New Roman" w:cs="Times New Roman"/>
          <w:sz w:val="24"/>
          <w:szCs w:val="24"/>
        </w:rPr>
        <w:t>community involvement when taking into consideration factors like gender, degree level, kind of institution, and region.</w:t>
      </w:r>
    </w:p>
    <w:p w14:paraId="091FF363" w14:textId="77777777" w:rsidR="007031CE" w:rsidRPr="00786C50" w:rsidRDefault="00FE0DCB" w:rsidP="00E417C1">
      <w:pPr>
        <w:pStyle w:val="NormalWeb"/>
      </w:pPr>
      <w:r w:rsidRPr="00786C50">
        <w:t> </w:t>
      </w:r>
      <w:r w:rsidR="007031CE" w:rsidRPr="00786C50">
        <w:rPr>
          <w:b/>
          <w:bCs/>
        </w:rPr>
        <w:t>Methodology of the Study</w:t>
      </w:r>
    </w:p>
    <w:p w14:paraId="29C8CAD3" w14:textId="77777777" w:rsidR="00FE0DCB" w:rsidRPr="00786C50" w:rsidRDefault="00FE0DCB" w:rsidP="00FE0DCB">
      <w:pPr>
        <w:spacing w:line="360" w:lineRule="auto"/>
        <w:jc w:val="both"/>
        <w:rPr>
          <w:rFonts w:ascii="Times New Roman" w:hAnsi="Times New Roman" w:cs="Times New Roman"/>
          <w:b/>
          <w:sz w:val="24"/>
          <w:szCs w:val="24"/>
        </w:rPr>
      </w:pPr>
      <w:r w:rsidRPr="00786C50">
        <w:rPr>
          <w:rFonts w:ascii="Times New Roman" w:hAnsi="Times New Roman" w:cs="Times New Roman"/>
          <w:b/>
          <w:sz w:val="24"/>
          <w:szCs w:val="24"/>
        </w:rPr>
        <w:t>Research Plan</w:t>
      </w:r>
    </w:p>
    <w:p w14:paraId="1719BA6D" w14:textId="77777777" w:rsidR="00FE0DCB" w:rsidRPr="00786C50" w:rsidRDefault="00FE0DCB" w:rsidP="00FE0DCB">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To investigate the variables of cognitive flexibility and community involvement, the study uses a normative survey technique.</w:t>
      </w:r>
    </w:p>
    <w:p w14:paraId="51119CCC" w14:textId="77777777" w:rsidR="007031CE" w:rsidRPr="00786C50" w:rsidRDefault="007031CE" w:rsidP="00FE0DCB">
      <w:pPr>
        <w:spacing w:before="100" w:beforeAutospacing="1" w:after="100" w:afterAutospacing="1" w:line="360" w:lineRule="auto"/>
        <w:rPr>
          <w:rFonts w:ascii="Times New Roman" w:eastAsia="Times New Roman" w:hAnsi="Times New Roman" w:cs="Times New Roman"/>
          <w:sz w:val="24"/>
          <w:szCs w:val="24"/>
        </w:rPr>
      </w:pPr>
      <w:proofErr w:type="gramStart"/>
      <w:r w:rsidRPr="00786C50">
        <w:rPr>
          <w:rFonts w:ascii="Times New Roman" w:eastAsia="Times New Roman" w:hAnsi="Times New Roman" w:cs="Times New Roman"/>
          <w:sz w:val="24"/>
          <w:szCs w:val="24"/>
        </w:rPr>
        <w:t>.</w:t>
      </w:r>
      <w:r w:rsidRPr="00786C50">
        <w:rPr>
          <w:rFonts w:ascii="Times New Roman" w:eastAsia="Times New Roman" w:hAnsi="Times New Roman" w:cs="Times New Roman"/>
          <w:b/>
          <w:bCs/>
          <w:sz w:val="24"/>
          <w:szCs w:val="24"/>
        </w:rPr>
        <w:t>Population</w:t>
      </w:r>
      <w:proofErr w:type="gramEnd"/>
      <w:r w:rsidRPr="00786C50">
        <w:rPr>
          <w:rFonts w:ascii="Times New Roman" w:eastAsia="Times New Roman" w:hAnsi="Times New Roman" w:cs="Times New Roman"/>
          <w:sz w:val="24"/>
          <w:szCs w:val="24"/>
        </w:rPr>
        <w:br/>
        <w:t>The population for this study comprises undergraduate (UG) and postgraduate (PG) arts and science students from colleges located in Chennai, Chengalpattu, and Kanchipuram districts of Tamil Nadu.</w:t>
      </w:r>
    </w:p>
    <w:p w14:paraId="2BB9169A" w14:textId="77777777" w:rsidR="007031CE" w:rsidRPr="00786C50" w:rsidRDefault="007031CE" w:rsidP="007031CE">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Sample</w:t>
      </w:r>
      <w:r w:rsidRPr="00786C50">
        <w:rPr>
          <w:rFonts w:ascii="Times New Roman" w:eastAsia="Times New Roman" w:hAnsi="Times New Roman" w:cs="Times New Roman"/>
          <w:sz w:val="24"/>
          <w:szCs w:val="24"/>
        </w:rPr>
        <w:br/>
        <w:t>The sample includes 307 UG and PG students enrolled in both government and private arts and science colleges.</w:t>
      </w:r>
    </w:p>
    <w:p w14:paraId="76A4D946" w14:textId="77777777" w:rsidR="007031CE" w:rsidRPr="00786C50" w:rsidRDefault="007031CE" w:rsidP="007031CE">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lastRenderedPageBreak/>
        <w:t>Tools</w:t>
      </w:r>
    </w:p>
    <w:p w14:paraId="2D304FA3" w14:textId="77777777" w:rsidR="007031CE" w:rsidRPr="00786C50" w:rsidRDefault="007031CE" w:rsidP="007031C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Cognitive Flexibility Scale</w:t>
      </w:r>
      <w:r w:rsidRPr="00786C50">
        <w:rPr>
          <w:rFonts w:ascii="Times New Roman" w:eastAsia="Times New Roman" w:hAnsi="Times New Roman" w:cs="Times New Roman"/>
          <w:sz w:val="24"/>
          <w:szCs w:val="24"/>
        </w:rPr>
        <w:t>: A scale specifically developed and validated by the researcher to measure cognitive flexibility.</w:t>
      </w:r>
    </w:p>
    <w:p w14:paraId="316BE7C6" w14:textId="77777777" w:rsidR="007031CE" w:rsidRPr="00786C50" w:rsidRDefault="007031CE" w:rsidP="007031C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Community Participation Survey</w:t>
      </w:r>
      <w:r w:rsidRPr="00786C50">
        <w:rPr>
          <w:rFonts w:ascii="Times New Roman" w:eastAsia="Times New Roman" w:hAnsi="Times New Roman" w:cs="Times New Roman"/>
          <w:sz w:val="24"/>
          <w:szCs w:val="24"/>
        </w:rPr>
        <w:t>: A scale constructed and validated by the researcher to assess the impact of cognitive flexibility on students' involvement in community activities.</w:t>
      </w:r>
    </w:p>
    <w:p w14:paraId="13A75C51" w14:textId="77777777" w:rsidR="007031CE" w:rsidRPr="00786C50" w:rsidRDefault="007031CE" w:rsidP="007031CE">
      <w:pPr>
        <w:spacing w:before="100" w:beforeAutospacing="1" w:after="100" w:afterAutospacing="1" w:line="360" w:lineRule="auto"/>
        <w:rPr>
          <w:rFonts w:ascii="Times New Roman" w:eastAsia="Times New Roman" w:hAnsi="Times New Roman" w:cs="Times New Roman"/>
          <w:b/>
          <w:bCs/>
          <w:sz w:val="24"/>
          <w:szCs w:val="24"/>
        </w:rPr>
      </w:pPr>
      <w:r w:rsidRPr="00786C50">
        <w:rPr>
          <w:rFonts w:ascii="Times New Roman" w:eastAsia="Times New Roman" w:hAnsi="Times New Roman" w:cs="Times New Roman"/>
          <w:b/>
          <w:bCs/>
          <w:sz w:val="24"/>
          <w:szCs w:val="24"/>
        </w:rPr>
        <w:t>Validity and Reliability of Tools</w:t>
      </w:r>
    </w:p>
    <w:p w14:paraId="168D4A8C" w14:textId="77777777" w:rsidR="00B85047" w:rsidRPr="00786C50" w:rsidRDefault="00B85047" w:rsidP="00B85047">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The test-retest approach was used to determine the tools' dependability, and the results showed a reliability coefficient of 0.80. This suggests that the study's instruments are quite dependable.</w:t>
      </w:r>
    </w:p>
    <w:p w14:paraId="45719C66" w14:textId="77777777" w:rsidR="007031CE" w:rsidRPr="00786C50" w:rsidRDefault="007031CE" w:rsidP="007031CE">
      <w:pPr>
        <w:shd w:val="clear" w:color="auto" w:fill="FFFFFF"/>
        <w:spacing w:after="0" w:line="480" w:lineRule="auto"/>
        <w:jc w:val="both"/>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Data Analysis</w:t>
      </w:r>
    </w:p>
    <w:p w14:paraId="3289D018" w14:textId="77777777" w:rsidR="003A0937" w:rsidRPr="00786C50" w:rsidRDefault="003A0937" w:rsidP="003A0937">
      <w:pPr>
        <w:shd w:val="clear" w:color="auto" w:fill="FFFFFF"/>
        <w:spacing w:after="0" w:line="360" w:lineRule="auto"/>
        <w:jc w:val="both"/>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Cognitive Flexibility</w:t>
      </w:r>
    </w:p>
    <w:p w14:paraId="30A170F0" w14:textId="77777777" w:rsidR="002D7936" w:rsidRDefault="00B85047" w:rsidP="00B85047">
      <w:pPr>
        <w:spacing w:line="360" w:lineRule="auto"/>
        <w:jc w:val="center"/>
        <w:rPr>
          <w:rFonts w:ascii="Times New Roman" w:hAnsi="Times New Roman" w:cs="Times New Roman"/>
          <w:b/>
          <w:sz w:val="24"/>
          <w:szCs w:val="24"/>
        </w:rPr>
      </w:pPr>
      <w:r w:rsidRPr="00786C50">
        <w:rPr>
          <w:rFonts w:ascii="Times New Roman" w:hAnsi="Times New Roman" w:cs="Times New Roman"/>
          <w:b/>
          <w:sz w:val="24"/>
          <w:szCs w:val="24"/>
        </w:rPr>
        <w:t xml:space="preserve">The Cognitive Flexibility Mean, Standard Deviation, and "t" value are displayed in </w:t>
      </w:r>
    </w:p>
    <w:p w14:paraId="6C00F6CB" w14:textId="6981B8F5" w:rsidR="00B85047" w:rsidRPr="00786C50" w:rsidRDefault="00B85047" w:rsidP="00B85047">
      <w:pPr>
        <w:spacing w:line="360" w:lineRule="auto"/>
        <w:jc w:val="center"/>
        <w:rPr>
          <w:rFonts w:ascii="Times New Roman" w:hAnsi="Times New Roman" w:cs="Times New Roman"/>
          <w:b/>
          <w:sz w:val="24"/>
          <w:szCs w:val="24"/>
        </w:rPr>
      </w:pPr>
      <w:r w:rsidRPr="00786C50">
        <w:rPr>
          <w:rFonts w:ascii="Times New Roman" w:hAnsi="Times New Roman" w:cs="Times New Roman"/>
          <w:b/>
          <w:sz w:val="24"/>
          <w:szCs w:val="24"/>
        </w:rPr>
        <w:t>Table 1 according to Gender, Degree, Institution Type, and Location.</w:t>
      </w:r>
    </w:p>
    <w:tbl>
      <w:tblPr>
        <w:tblStyle w:val="TableGrid"/>
        <w:tblW w:w="0" w:type="auto"/>
        <w:jc w:val="center"/>
        <w:tblLook w:val="04A0" w:firstRow="1" w:lastRow="0" w:firstColumn="1" w:lastColumn="0" w:noHBand="0" w:noVBand="1"/>
      </w:tblPr>
      <w:tblGrid>
        <w:gridCol w:w="1793"/>
        <w:gridCol w:w="1677"/>
        <w:gridCol w:w="1217"/>
        <w:gridCol w:w="1143"/>
        <w:gridCol w:w="1227"/>
        <w:gridCol w:w="1234"/>
        <w:gridCol w:w="1059"/>
      </w:tblGrid>
      <w:tr w:rsidR="003A0937" w:rsidRPr="00786C50" w14:paraId="7E05E1AF" w14:textId="77777777" w:rsidTr="00EE5176">
        <w:trPr>
          <w:jc w:val="center"/>
        </w:trPr>
        <w:tc>
          <w:tcPr>
            <w:tcW w:w="3528" w:type="dxa"/>
            <w:gridSpan w:val="2"/>
          </w:tcPr>
          <w:p w14:paraId="7C08ADEC" w14:textId="77777777" w:rsidR="003A0937" w:rsidRPr="00786C50" w:rsidRDefault="003A0937" w:rsidP="00EE5176">
            <w:pPr>
              <w:rPr>
                <w:lang w:val="en-GB"/>
              </w:rPr>
            </w:pPr>
            <w:r w:rsidRPr="00786C50">
              <w:rPr>
                <w:lang w:val="en-GB"/>
              </w:rPr>
              <w:t>Variable</w:t>
            </w:r>
          </w:p>
        </w:tc>
        <w:tc>
          <w:tcPr>
            <w:tcW w:w="1260" w:type="dxa"/>
          </w:tcPr>
          <w:p w14:paraId="74053164" w14:textId="77777777" w:rsidR="003A0937" w:rsidRPr="00786C50" w:rsidRDefault="003A0937" w:rsidP="00EE5176">
            <w:pPr>
              <w:rPr>
                <w:lang w:val="en-GB"/>
              </w:rPr>
            </w:pPr>
            <w:r w:rsidRPr="00786C50">
              <w:rPr>
                <w:lang w:val="en-GB"/>
              </w:rPr>
              <w:t>No</w:t>
            </w:r>
          </w:p>
        </w:tc>
        <w:tc>
          <w:tcPr>
            <w:tcW w:w="1170" w:type="dxa"/>
          </w:tcPr>
          <w:p w14:paraId="0644B082" w14:textId="77777777" w:rsidR="003A0937" w:rsidRPr="00786C50" w:rsidRDefault="003A0937" w:rsidP="00EE5176">
            <w:pPr>
              <w:rPr>
                <w:lang w:val="en-GB"/>
              </w:rPr>
            </w:pPr>
            <w:r w:rsidRPr="00786C50">
              <w:rPr>
                <w:lang w:val="en-GB"/>
              </w:rPr>
              <w:t>Mean</w:t>
            </w:r>
          </w:p>
        </w:tc>
        <w:tc>
          <w:tcPr>
            <w:tcW w:w="1260" w:type="dxa"/>
          </w:tcPr>
          <w:p w14:paraId="1434235A" w14:textId="77777777" w:rsidR="003A0937" w:rsidRPr="00786C50" w:rsidRDefault="003A0937" w:rsidP="00EE5176">
            <w:pPr>
              <w:rPr>
                <w:lang w:val="en-GB"/>
              </w:rPr>
            </w:pPr>
            <w:r w:rsidRPr="00786C50">
              <w:rPr>
                <w:lang w:val="en-GB"/>
              </w:rPr>
              <w:t>SD</w:t>
            </w:r>
          </w:p>
        </w:tc>
        <w:tc>
          <w:tcPr>
            <w:tcW w:w="1260" w:type="dxa"/>
          </w:tcPr>
          <w:p w14:paraId="2F3CE90C" w14:textId="77777777" w:rsidR="003A0937" w:rsidRPr="00786C50" w:rsidRDefault="003A0937" w:rsidP="00EE5176">
            <w:pPr>
              <w:rPr>
                <w:lang w:val="en-GB"/>
              </w:rPr>
            </w:pPr>
            <w:r w:rsidRPr="00786C50">
              <w:rPr>
                <w:lang w:val="en-GB"/>
              </w:rPr>
              <w:t>‘t</w:t>
            </w:r>
          </w:p>
        </w:tc>
        <w:tc>
          <w:tcPr>
            <w:tcW w:w="1098" w:type="dxa"/>
          </w:tcPr>
          <w:p w14:paraId="4EC5316C" w14:textId="77777777" w:rsidR="003A0937" w:rsidRPr="00786C50" w:rsidRDefault="003A0937" w:rsidP="00EE5176">
            <w:pPr>
              <w:rPr>
                <w:lang w:val="en-GB"/>
              </w:rPr>
            </w:pPr>
            <w:r w:rsidRPr="00786C50">
              <w:rPr>
                <w:lang w:val="en-GB"/>
              </w:rPr>
              <w:t>S</w:t>
            </w:r>
          </w:p>
        </w:tc>
      </w:tr>
      <w:tr w:rsidR="003A0937" w:rsidRPr="00786C50" w14:paraId="4CDE9007" w14:textId="77777777" w:rsidTr="00EE5176">
        <w:trPr>
          <w:jc w:val="center"/>
        </w:trPr>
        <w:tc>
          <w:tcPr>
            <w:tcW w:w="3528" w:type="dxa"/>
            <w:gridSpan w:val="2"/>
          </w:tcPr>
          <w:p w14:paraId="42AFF487" w14:textId="77777777" w:rsidR="003A0937" w:rsidRPr="00786C50" w:rsidRDefault="003A0937" w:rsidP="00EE5176">
            <w:pPr>
              <w:rPr>
                <w:lang w:val="en-GB"/>
              </w:rPr>
            </w:pPr>
            <w:r w:rsidRPr="00786C50">
              <w:rPr>
                <w:lang w:val="en-GB"/>
              </w:rPr>
              <w:t xml:space="preserve">Cognitive Flexibility </w:t>
            </w:r>
          </w:p>
        </w:tc>
        <w:tc>
          <w:tcPr>
            <w:tcW w:w="1260" w:type="dxa"/>
          </w:tcPr>
          <w:p w14:paraId="7344C5EB" w14:textId="77777777" w:rsidR="003A0937" w:rsidRPr="00786C50" w:rsidRDefault="003A0937" w:rsidP="00EE5176">
            <w:pPr>
              <w:rPr>
                <w:lang w:val="en-GB"/>
              </w:rPr>
            </w:pPr>
            <w:r w:rsidRPr="00786C50">
              <w:rPr>
                <w:lang w:val="en-GB"/>
              </w:rPr>
              <w:t>307</w:t>
            </w:r>
          </w:p>
        </w:tc>
        <w:tc>
          <w:tcPr>
            <w:tcW w:w="1170" w:type="dxa"/>
          </w:tcPr>
          <w:p w14:paraId="3069B146" w14:textId="77777777" w:rsidR="003A0937" w:rsidRPr="00786C50" w:rsidRDefault="003A0937" w:rsidP="00EE5176">
            <w:pPr>
              <w:rPr>
                <w:lang w:val="en-GB"/>
              </w:rPr>
            </w:pPr>
            <w:r w:rsidRPr="00786C50">
              <w:rPr>
                <w:lang w:val="en-GB"/>
              </w:rPr>
              <w:t>85.98</w:t>
            </w:r>
          </w:p>
        </w:tc>
        <w:tc>
          <w:tcPr>
            <w:tcW w:w="1260" w:type="dxa"/>
          </w:tcPr>
          <w:p w14:paraId="61C2894B" w14:textId="77777777" w:rsidR="003A0937" w:rsidRPr="00786C50" w:rsidRDefault="003A0937" w:rsidP="00EE5176">
            <w:pPr>
              <w:rPr>
                <w:lang w:val="en-GB"/>
              </w:rPr>
            </w:pPr>
            <w:r w:rsidRPr="00786C50">
              <w:rPr>
                <w:lang w:val="en-GB"/>
              </w:rPr>
              <w:t>25.02</w:t>
            </w:r>
          </w:p>
        </w:tc>
        <w:tc>
          <w:tcPr>
            <w:tcW w:w="1260" w:type="dxa"/>
          </w:tcPr>
          <w:p w14:paraId="7F19EB4B" w14:textId="77777777" w:rsidR="003A0937" w:rsidRPr="00786C50" w:rsidRDefault="003A0937" w:rsidP="00EE5176">
            <w:pPr>
              <w:rPr>
                <w:lang w:val="en-GB"/>
              </w:rPr>
            </w:pPr>
          </w:p>
        </w:tc>
        <w:tc>
          <w:tcPr>
            <w:tcW w:w="1098" w:type="dxa"/>
          </w:tcPr>
          <w:p w14:paraId="20648F6A" w14:textId="77777777" w:rsidR="003A0937" w:rsidRPr="00786C50" w:rsidRDefault="003A0937" w:rsidP="00EE5176">
            <w:pPr>
              <w:rPr>
                <w:lang w:val="en-GB"/>
              </w:rPr>
            </w:pPr>
          </w:p>
        </w:tc>
      </w:tr>
      <w:tr w:rsidR="003A0937" w:rsidRPr="00786C50" w14:paraId="3EA5EC69" w14:textId="77777777" w:rsidTr="00EE5176">
        <w:trPr>
          <w:trHeight w:val="330"/>
          <w:jc w:val="center"/>
        </w:trPr>
        <w:tc>
          <w:tcPr>
            <w:tcW w:w="1830" w:type="dxa"/>
            <w:vMerge w:val="restart"/>
            <w:tcBorders>
              <w:right w:val="single" w:sz="4" w:space="0" w:color="auto"/>
            </w:tcBorders>
          </w:tcPr>
          <w:p w14:paraId="11483111" w14:textId="77777777" w:rsidR="003A0937" w:rsidRPr="00786C50" w:rsidRDefault="003A0937" w:rsidP="00EE5176">
            <w:pPr>
              <w:rPr>
                <w:lang w:val="en-GB"/>
              </w:rPr>
            </w:pPr>
            <w:r w:rsidRPr="00786C50">
              <w:rPr>
                <w:lang w:val="en-GB"/>
              </w:rPr>
              <w:t>Gender</w:t>
            </w:r>
          </w:p>
          <w:p w14:paraId="198F0875" w14:textId="77777777" w:rsidR="003A0937" w:rsidRPr="00786C50" w:rsidRDefault="003A0937" w:rsidP="00EE5176">
            <w:pPr>
              <w:rPr>
                <w:lang w:val="en-GB"/>
              </w:rPr>
            </w:pPr>
          </w:p>
        </w:tc>
        <w:tc>
          <w:tcPr>
            <w:tcW w:w="1698" w:type="dxa"/>
            <w:tcBorders>
              <w:left w:val="single" w:sz="4" w:space="0" w:color="auto"/>
              <w:bottom w:val="single" w:sz="4" w:space="0" w:color="auto"/>
            </w:tcBorders>
          </w:tcPr>
          <w:p w14:paraId="1F443B96" w14:textId="77777777" w:rsidR="003A0937" w:rsidRPr="00786C50" w:rsidRDefault="003A0937" w:rsidP="00EE5176">
            <w:pPr>
              <w:rPr>
                <w:lang w:val="en-GB"/>
              </w:rPr>
            </w:pPr>
            <w:r w:rsidRPr="00786C50">
              <w:rPr>
                <w:lang w:val="en-GB"/>
              </w:rPr>
              <w:t xml:space="preserve">Boys </w:t>
            </w:r>
          </w:p>
        </w:tc>
        <w:tc>
          <w:tcPr>
            <w:tcW w:w="1260" w:type="dxa"/>
            <w:tcBorders>
              <w:bottom w:val="single" w:sz="4" w:space="0" w:color="auto"/>
            </w:tcBorders>
          </w:tcPr>
          <w:p w14:paraId="17AE9D1F" w14:textId="77777777" w:rsidR="003A0937" w:rsidRPr="00786C50" w:rsidRDefault="003A0937" w:rsidP="00EE5176">
            <w:pPr>
              <w:rPr>
                <w:lang w:val="en-GB"/>
              </w:rPr>
            </w:pPr>
            <w:r w:rsidRPr="00786C50">
              <w:rPr>
                <w:lang w:val="en-GB"/>
              </w:rPr>
              <w:t>158</w:t>
            </w:r>
          </w:p>
        </w:tc>
        <w:tc>
          <w:tcPr>
            <w:tcW w:w="1170" w:type="dxa"/>
            <w:tcBorders>
              <w:bottom w:val="single" w:sz="4" w:space="0" w:color="auto"/>
            </w:tcBorders>
          </w:tcPr>
          <w:p w14:paraId="20CE6782" w14:textId="77777777" w:rsidR="003A0937" w:rsidRPr="00786C50" w:rsidRDefault="003A0937" w:rsidP="00EE5176">
            <w:pPr>
              <w:rPr>
                <w:lang w:val="en-GB"/>
              </w:rPr>
            </w:pPr>
            <w:r w:rsidRPr="00786C50">
              <w:rPr>
                <w:lang w:val="en-GB"/>
              </w:rPr>
              <w:t>92.47</w:t>
            </w:r>
          </w:p>
        </w:tc>
        <w:tc>
          <w:tcPr>
            <w:tcW w:w="1260" w:type="dxa"/>
            <w:tcBorders>
              <w:bottom w:val="single" w:sz="4" w:space="0" w:color="auto"/>
            </w:tcBorders>
          </w:tcPr>
          <w:p w14:paraId="2965B760" w14:textId="77777777" w:rsidR="003A0937" w:rsidRPr="00786C50" w:rsidRDefault="003A0937" w:rsidP="00EE5176">
            <w:pPr>
              <w:rPr>
                <w:lang w:val="en-GB"/>
              </w:rPr>
            </w:pPr>
            <w:r w:rsidRPr="00786C50">
              <w:rPr>
                <w:lang w:val="en-GB"/>
              </w:rPr>
              <w:t>25.32</w:t>
            </w:r>
          </w:p>
        </w:tc>
        <w:tc>
          <w:tcPr>
            <w:tcW w:w="1260" w:type="dxa"/>
            <w:vMerge w:val="restart"/>
          </w:tcPr>
          <w:p w14:paraId="3E38ACDA" w14:textId="77777777" w:rsidR="003A0937" w:rsidRPr="00786C50" w:rsidRDefault="003A0937" w:rsidP="00EE5176">
            <w:pPr>
              <w:rPr>
                <w:lang w:val="en-GB"/>
              </w:rPr>
            </w:pPr>
            <w:r w:rsidRPr="00786C50">
              <w:rPr>
                <w:lang w:val="en-GB"/>
              </w:rPr>
              <w:t>1.83</w:t>
            </w:r>
          </w:p>
        </w:tc>
        <w:tc>
          <w:tcPr>
            <w:tcW w:w="1098" w:type="dxa"/>
            <w:vMerge w:val="restart"/>
          </w:tcPr>
          <w:p w14:paraId="1F4BEBE8" w14:textId="77777777" w:rsidR="003A0937" w:rsidRPr="00786C50" w:rsidRDefault="003A0937" w:rsidP="00EE5176">
            <w:pPr>
              <w:rPr>
                <w:lang w:val="en-GB"/>
              </w:rPr>
            </w:pPr>
            <w:r w:rsidRPr="00786C50">
              <w:rPr>
                <w:lang w:val="en-GB"/>
              </w:rPr>
              <w:t>S</w:t>
            </w:r>
          </w:p>
        </w:tc>
      </w:tr>
      <w:tr w:rsidR="003A0937" w:rsidRPr="00786C50" w14:paraId="049B5D22" w14:textId="77777777" w:rsidTr="00EE5176">
        <w:trPr>
          <w:trHeight w:val="195"/>
          <w:jc w:val="center"/>
        </w:trPr>
        <w:tc>
          <w:tcPr>
            <w:tcW w:w="1830" w:type="dxa"/>
            <w:vMerge/>
            <w:tcBorders>
              <w:right w:val="single" w:sz="4" w:space="0" w:color="auto"/>
            </w:tcBorders>
          </w:tcPr>
          <w:p w14:paraId="7E6B5CC5"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77D2EF98" w14:textId="77777777" w:rsidR="003A0937" w:rsidRPr="00786C50" w:rsidRDefault="003A0937" w:rsidP="00EE5176">
            <w:pPr>
              <w:rPr>
                <w:lang w:val="en-GB"/>
              </w:rPr>
            </w:pPr>
            <w:r w:rsidRPr="00786C50">
              <w:rPr>
                <w:lang w:val="en-GB"/>
              </w:rPr>
              <w:t>Girls</w:t>
            </w:r>
          </w:p>
        </w:tc>
        <w:tc>
          <w:tcPr>
            <w:tcW w:w="1260" w:type="dxa"/>
            <w:tcBorders>
              <w:top w:val="single" w:sz="4" w:space="0" w:color="auto"/>
            </w:tcBorders>
          </w:tcPr>
          <w:p w14:paraId="723E8823" w14:textId="77777777" w:rsidR="003A0937" w:rsidRPr="00786C50" w:rsidRDefault="003A0937" w:rsidP="00EE5176">
            <w:pPr>
              <w:rPr>
                <w:lang w:val="en-GB"/>
              </w:rPr>
            </w:pPr>
            <w:r w:rsidRPr="00786C50">
              <w:rPr>
                <w:lang w:val="en-GB"/>
              </w:rPr>
              <w:t>149</w:t>
            </w:r>
          </w:p>
        </w:tc>
        <w:tc>
          <w:tcPr>
            <w:tcW w:w="1170" w:type="dxa"/>
            <w:tcBorders>
              <w:top w:val="single" w:sz="4" w:space="0" w:color="auto"/>
            </w:tcBorders>
          </w:tcPr>
          <w:p w14:paraId="63F99289" w14:textId="77777777" w:rsidR="003A0937" w:rsidRPr="00786C50" w:rsidRDefault="003A0937" w:rsidP="00EE5176">
            <w:pPr>
              <w:rPr>
                <w:lang w:val="en-GB"/>
              </w:rPr>
            </w:pPr>
            <w:r w:rsidRPr="00786C50">
              <w:rPr>
                <w:lang w:val="en-GB"/>
              </w:rPr>
              <w:t>79.09</w:t>
            </w:r>
          </w:p>
        </w:tc>
        <w:tc>
          <w:tcPr>
            <w:tcW w:w="1260" w:type="dxa"/>
            <w:tcBorders>
              <w:top w:val="single" w:sz="4" w:space="0" w:color="auto"/>
            </w:tcBorders>
          </w:tcPr>
          <w:p w14:paraId="78777A4B" w14:textId="77777777" w:rsidR="003A0937" w:rsidRPr="00786C50" w:rsidRDefault="003A0937" w:rsidP="00EE5176">
            <w:pPr>
              <w:rPr>
                <w:lang w:val="en-GB"/>
              </w:rPr>
            </w:pPr>
            <w:r w:rsidRPr="00786C50">
              <w:rPr>
                <w:lang w:val="en-GB"/>
              </w:rPr>
              <w:t>22.83</w:t>
            </w:r>
          </w:p>
        </w:tc>
        <w:tc>
          <w:tcPr>
            <w:tcW w:w="1260" w:type="dxa"/>
            <w:vMerge/>
          </w:tcPr>
          <w:p w14:paraId="1A9B7800" w14:textId="77777777" w:rsidR="003A0937" w:rsidRPr="00786C50" w:rsidRDefault="003A0937" w:rsidP="00EE5176">
            <w:pPr>
              <w:rPr>
                <w:lang w:val="en-GB"/>
              </w:rPr>
            </w:pPr>
          </w:p>
        </w:tc>
        <w:tc>
          <w:tcPr>
            <w:tcW w:w="1098" w:type="dxa"/>
            <w:vMerge/>
          </w:tcPr>
          <w:p w14:paraId="59574914" w14:textId="77777777" w:rsidR="003A0937" w:rsidRPr="00786C50" w:rsidRDefault="003A0937" w:rsidP="00EE5176">
            <w:pPr>
              <w:rPr>
                <w:lang w:val="en-GB"/>
              </w:rPr>
            </w:pPr>
          </w:p>
        </w:tc>
      </w:tr>
      <w:tr w:rsidR="003A0937" w:rsidRPr="00786C50" w14:paraId="316BB071" w14:textId="77777777" w:rsidTr="00EE5176">
        <w:trPr>
          <w:trHeight w:val="135"/>
          <w:jc w:val="center"/>
        </w:trPr>
        <w:tc>
          <w:tcPr>
            <w:tcW w:w="1830" w:type="dxa"/>
            <w:vMerge w:val="restart"/>
            <w:tcBorders>
              <w:right w:val="single" w:sz="4" w:space="0" w:color="auto"/>
            </w:tcBorders>
          </w:tcPr>
          <w:p w14:paraId="5750A529" w14:textId="77777777" w:rsidR="003A0937" w:rsidRPr="00786C50" w:rsidRDefault="003A0937" w:rsidP="00EE5176">
            <w:pPr>
              <w:rPr>
                <w:lang w:val="en-GB"/>
              </w:rPr>
            </w:pPr>
            <w:r w:rsidRPr="00786C50">
              <w:rPr>
                <w:lang w:val="en-GB"/>
              </w:rPr>
              <w:t>Degree</w:t>
            </w:r>
          </w:p>
        </w:tc>
        <w:tc>
          <w:tcPr>
            <w:tcW w:w="1698" w:type="dxa"/>
            <w:tcBorders>
              <w:left w:val="single" w:sz="4" w:space="0" w:color="auto"/>
              <w:bottom w:val="single" w:sz="4" w:space="0" w:color="auto"/>
            </w:tcBorders>
          </w:tcPr>
          <w:p w14:paraId="4BDCFE7E" w14:textId="77777777" w:rsidR="003A0937" w:rsidRPr="00786C50" w:rsidRDefault="003A0937" w:rsidP="00EE5176">
            <w:pPr>
              <w:rPr>
                <w:lang w:val="en-GB"/>
              </w:rPr>
            </w:pPr>
            <w:r w:rsidRPr="00786C50">
              <w:rPr>
                <w:lang w:val="en-GB"/>
              </w:rPr>
              <w:t>UG</w:t>
            </w:r>
          </w:p>
        </w:tc>
        <w:tc>
          <w:tcPr>
            <w:tcW w:w="1260" w:type="dxa"/>
            <w:tcBorders>
              <w:bottom w:val="single" w:sz="4" w:space="0" w:color="auto"/>
            </w:tcBorders>
          </w:tcPr>
          <w:p w14:paraId="781C177D" w14:textId="77777777" w:rsidR="003A0937" w:rsidRPr="00786C50" w:rsidRDefault="003A0937" w:rsidP="00EE5176">
            <w:pPr>
              <w:rPr>
                <w:lang w:val="en-GB"/>
              </w:rPr>
            </w:pPr>
            <w:r w:rsidRPr="00786C50">
              <w:rPr>
                <w:lang w:val="en-GB"/>
              </w:rPr>
              <w:t>162</w:t>
            </w:r>
          </w:p>
        </w:tc>
        <w:tc>
          <w:tcPr>
            <w:tcW w:w="1170" w:type="dxa"/>
            <w:tcBorders>
              <w:bottom w:val="single" w:sz="4" w:space="0" w:color="auto"/>
            </w:tcBorders>
          </w:tcPr>
          <w:p w14:paraId="68BE0FF1" w14:textId="77777777" w:rsidR="003A0937" w:rsidRPr="00786C50" w:rsidRDefault="003A0937" w:rsidP="00EE5176">
            <w:pPr>
              <w:rPr>
                <w:lang w:val="en-GB"/>
              </w:rPr>
            </w:pPr>
            <w:r w:rsidRPr="00786C50">
              <w:rPr>
                <w:lang w:val="en-GB"/>
              </w:rPr>
              <w:t>84.02</w:t>
            </w:r>
          </w:p>
        </w:tc>
        <w:tc>
          <w:tcPr>
            <w:tcW w:w="1260" w:type="dxa"/>
            <w:tcBorders>
              <w:bottom w:val="single" w:sz="4" w:space="0" w:color="auto"/>
            </w:tcBorders>
          </w:tcPr>
          <w:p w14:paraId="5E76825E" w14:textId="77777777" w:rsidR="003A0937" w:rsidRPr="00786C50" w:rsidRDefault="003A0937" w:rsidP="00EE5176">
            <w:pPr>
              <w:rPr>
                <w:lang w:val="en-GB"/>
              </w:rPr>
            </w:pPr>
            <w:r w:rsidRPr="00786C50">
              <w:rPr>
                <w:lang w:val="en-GB"/>
              </w:rPr>
              <w:t>24.04</w:t>
            </w:r>
          </w:p>
        </w:tc>
        <w:tc>
          <w:tcPr>
            <w:tcW w:w="1260" w:type="dxa"/>
            <w:vMerge w:val="restart"/>
          </w:tcPr>
          <w:p w14:paraId="0374269F" w14:textId="77777777" w:rsidR="003A0937" w:rsidRPr="00786C50" w:rsidRDefault="003A0937" w:rsidP="00EE5176">
            <w:pPr>
              <w:rPr>
                <w:lang w:val="en-GB"/>
              </w:rPr>
            </w:pPr>
            <w:r w:rsidRPr="00786C50">
              <w:rPr>
                <w:lang w:val="en-GB"/>
              </w:rPr>
              <w:t>1.4481</w:t>
            </w:r>
          </w:p>
        </w:tc>
        <w:tc>
          <w:tcPr>
            <w:tcW w:w="1098" w:type="dxa"/>
            <w:vMerge w:val="restart"/>
          </w:tcPr>
          <w:p w14:paraId="19FA4668" w14:textId="77777777" w:rsidR="003A0937" w:rsidRPr="00786C50" w:rsidRDefault="003A0937" w:rsidP="00EE5176">
            <w:pPr>
              <w:rPr>
                <w:lang w:val="en-GB"/>
              </w:rPr>
            </w:pPr>
            <w:r w:rsidRPr="00786C50">
              <w:rPr>
                <w:lang w:val="en-GB"/>
              </w:rPr>
              <w:t>NS</w:t>
            </w:r>
          </w:p>
        </w:tc>
      </w:tr>
      <w:tr w:rsidR="003A0937" w:rsidRPr="00786C50" w14:paraId="7A422CF9" w14:textId="77777777" w:rsidTr="00EE5176">
        <w:trPr>
          <w:trHeight w:val="135"/>
          <w:jc w:val="center"/>
        </w:trPr>
        <w:tc>
          <w:tcPr>
            <w:tcW w:w="1830" w:type="dxa"/>
            <w:vMerge/>
            <w:tcBorders>
              <w:right w:val="single" w:sz="4" w:space="0" w:color="auto"/>
            </w:tcBorders>
          </w:tcPr>
          <w:p w14:paraId="0B5C9C6C"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7AE985A4" w14:textId="77777777" w:rsidR="003A0937" w:rsidRPr="00786C50" w:rsidRDefault="003A0937" w:rsidP="00EE5176">
            <w:pPr>
              <w:rPr>
                <w:lang w:val="en-GB"/>
              </w:rPr>
            </w:pPr>
            <w:r w:rsidRPr="00786C50">
              <w:rPr>
                <w:lang w:val="en-GB"/>
              </w:rPr>
              <w:t>PG</w:t>
            </w:r>
          </w:p>
        </w:tc>
        <w:tc>
          <w:tcPr>
            <w:tcW w:w="1260" w:type="dxa"/>
            <w:tcBorders>
              <w:top w:val="single" w:sz="4" w:space="0" w:color="auto"/>
            </w:tcBorders>
          </w:tcPr>
          <w:p w14:paraId="6BB8DD6F" w14:textId="77777777" w:rsidR="003A0937" w:rsidRPr="00786C50" w:rsidRDefault="003A0937" w:rsidP="00EE5176">
            <w:pPr>
              <w:rPr>
                <w:lang w:val="en-GB"/>
              </w:rPr>
            </w:pPr>
            <w:r w:rsidRPr="00786C50">
              <w:rPr>
                <w:lang w:val="en-GB"/>
              </w:rPr>
              <w:t>145</w:t>
            </w:r>
          </w:p>
        </w:tc>
        <w:tc>
          <w:tcPr>
            <w:tcW w:w="1170" w:type="dxa"/>
            <w:tcBorders>
              <w:top w:val="single" w:sz="4" w:space="0" w:color="auto"/>
            </w:tcBorders>
          </w:tcPr>
          <w:p w14:paraId="2E13EB14" w14:textId="77777777" w:rsidR="003A0937" w:rsidRPr="00786C50" w:rsidRDefault="003A0937" w:rsidP="00EE5176">
            <w:pPr>
              <w:rPr>
                <w:lang w:val="en-GB"/>
              </w:rPr>
            </w:pPr>
            <w:r w:rsidRPr="00786C50">
              <w:rPr>
                <w:lang w:val="en-GB"/>
              </w:rPr>
              <w:t>88.16</w:t>
            </w:r>
          </w:p>
        </w:tc>
        <w:tc>
          <w:tcPr>
            <w:tcW w:w="1260" w:type="dxa"/>
            <w:tcBorders>
              <w:top w:val="single" w:sz="4" w:space="0" w:color="auto"/>
            </w:tcBorders>
          </w:tcPr>
          <w:p w14:paraId="4D2E2C91" w14:textId="77777777" w:rsidR="003A0937" w:rsidRPr="00786C50" w:rsidRDefault="003A0937" w:rsidP="00EE5176">
            <w:pPr>
              <w:rPr>
                <w:lang w:val="en-GB"/>
              </w:rPr>
            </w:pPr>
            <w:r w:rsidRPr="00786C50">
              <w:rPr>
                <w:lang w:val="en-GB"/>
              </w:rPr>
              <w:t>25.97</w:t>
            </w:r>
          </w:p>
        </w:tc>
        <w:tc>
          <w:tcPr>
            <w:tcW w:w="1260" w:type="dxa"/>
            <w:vMerge/>
          </w:tcPr>
          <w:p w14:paraId="7F708965" w14:textId="77777777" w:rsidR="003A0937" w:rsidRPr="00786C50" w:rsidRDefault="003A0937" w:rsidP="00EE5176">
            <w:pPr>
              <w:rPr>
                <w:lang w:val="en-GB"/>
              </w:rPr>
            </w:pPr>
          </w:p>
        </w:tc>
        <w:tc>
          <w:tcPr>
            <w:tcW w:w="1098" w:type="dxa"/>
            <w:vMerge/>
          </w:tcPr>
          <w:p w14:paraId="1B53D5EA" w14:textId="77777777" w:rsidR="003A0937" w:rsidRPr="00786C50" w:rsidRDefault="003A0937" w:rsidP="00EE5176">
            <w:pPr>
              <w:rPr>
                <w:lang w:val="en-GB"/>
              </w:rPr>
            </w:pPr>
          </w:p>
        </w:tc>
      </w:tr>
      <w:tr w:rsidR="003A0937" w:rsidRPr="00786C50" w14:paraId="27D43B81" w14:textId="77777777" w:rsidTr="00EE5176">
        <w:trPr>
          <w:trHeight w:val="150"/>
          <w:jc w:val="center"/>
        </w:trPr>
        <w:tc>
          <w:tcPr>
            <w:tcW w:w="1830" w:type="dxa"/>
            <w:vMerge w:val="restart"/>
            <w:tcBorders>
              <w:right w:val="single" w:sz="4" w:space="0" w:color="auto"/>
            </w:tcBorders>
          </w:tcPr>
          <w:p w14:paraId="57C44AC9" w14:textId="77777777" w:rsidR="003A0937" w:rsidRPr="00786C50" w:rsidRDefault="003A0937" w:rsidP="00EE5176">
            <w:pPr>
              <w:rPr>
                <w:lang w:val="en-GB"/>
              </w:rPr>
            </w:pPr>
            <w:r w:rsidRPr="00786C50">
              <w:rPr>
                <w:lang w:val="en-GB"/>
              </w:rPr>
              <w:t>Type of Institutions</w:t>
            </w:r>
          </w:p>
        </w:tc>
        <w:tc>
          <w:tcPr>
            <w:tcW w:w="1698" w:type="dxa"/>
            <w:tcBorders>
              <w:left w:val="single" w:sz="4" w:space="0" w:color="auto"/>
              <w:bottom w:val="single" w:sz="4" w:space="0" w:color="auto"/>
            </w:tcBorders>
          </w:tcPr>
          <w:p w14:paraId="2075E474" w14:textId="77777777" w:rsidR="003A0937" w:rsidRPr="00786C50" w:rsidRDefault="003A0937" w:rsidP="00EE5176">
            <w:pPr>
              <w:rPr>
                <w:lang w:val="en-GB"/>
              </w:rPr>
            </w:pPr>
            <w:r w:rsidRPr="00786C50">
              <w:rPr>
                <w:lang w:val="en-GB"/>
              </w:rPr>
              <w:t>Government</w:t>
            </w:r>
          </w:p>
        </w:tc>
        <w:tc>
          <w:tcPr>
            <w:tcW w:w="1260" w:type="dxa"/>
            <w:tcBorders>
              <w:bottom w:val="single" w:sz="4" w:space="0" w:color="auto"/>
            </w:tcBorders>
          </w:tcPr>
          <w:p w14:paraId="65C9EB0A" w14:textId="77777777" w:rsidR="003A0937" w:rsidRPr="00786C50" w:rsidRDefault="003A0937" w:rsidP="00EE5176">
            <w:pPr>
              <w:rPr>
                <w:lang w:val="en-GB"/>
              </w:rPr>
            </w:pPr>
            <w:r w:rsidRPr="00786C50">
              <w:rPr>
                <w:lang w:val="en-GB"/>
              </w:rPr>
              <w:t>151</w:t>
            </w:r>
          </w:p>
        </w:tc>
        <w:tc>
          <w:tcPr>
            <w:tcW w:w="1170" w:type="dxa"/>
            <w:tcBorders>
              <w:bottom w:val="single" w:sz="4" w:space="0" w:color="auto"/>
            </w:tcBorders>
          </w:tcPr>
          <w:p w14:paraId="0E4AC19E" w14:textId="77777777" w:rsidR="003A0937" w:rsidRPr="00786C50" w:rsidRDefault="003A0937" w:rsidP="00EE5176">
            <w:pPr>
              <w:rPr>
                <w:lang w:val="en-GB"/>
              </w:rPr>
            </w:pPr>
            <w:r w:rsidRPr="00786C50">
              <w:rPr>
                <w:lang w:val="en-GB"/>
              </w:rPr>
              <w:t>86.70</w:t>
            </w:r>
          </w:p>
        </w:tc>
        <w:tc>
          <w:tcPr>
            <w:tcW w:w="1260" w:type="dxa"/>
            <w:tcBorders>
              <w:bottom w:val="single" w:sz="4" w:space="0" w:color="auto"/>
            </w:tcBorders>
          </w:tcPr>
          <w:p w14:paraId="64F27BD9" w14:textId="77777777" w:rsidR="003A0937" w:rsidRPr="00786C50" w:rsidRDefault="003A0937" w:rsidP="00EE5176">
            <w:pPr>
              <w:rPr>
                <w:lang w:val="en-GB"/>
              </w:rPr>
            </w:pPr>
            <w:r w:rsidRPr="00786C50">
              <w:rPr>
                <w:lang w:val="en-GB"/>
              </w:rPr>
              <w:t>25.41</w:t>
            </w:r>
          </w:p>
        </w:tc>
        <w:tc>
          <w:tcPr>
            <w:tcW w:w="1260" w:type="dxa"/>
            <w:vMerge w:val="restart"/>
          </w:tcPr>
          <w:p w14:paraId="45862F8A" w14:textId="77777777" w:rsidR="003A0937" w:rsidRPr="00786C50" w:rsidRDefault="003A0937" w:rsidP="00EE5176">
            <w:pPr>
              <w:rPr>
                <w:lang w:val="en-GB"/>
              </w:rPr>
            </w:pPr>
            <w:r w:rsidRPr="00786C50">
              <w:rPr>
                <w:lang w:val="en-GB"/>
              </w:rPr>
              <w:t>0.4943</w:t>
            </w:r>
          </w:p>
        </w:tc>
        <w:tc>
          <w:tcPr>
            <w:tcW w:w="1098" w:type="dxa"/>
            <w:vMerge w:val="restart"/>
          </w:tcPr>
          <w:p w14:paraId="47DA96B3" w14:textId="77777777" w:rsidR="003A0937" w:rsidRPr="00786C50" w:rsidRDefault="003A0937" w:rsidP="00EE5176">
            <w:pPr>
              <w:rPr>
                <w:lang w:val="en-GB"/>
              </w:rPr>
            </w:pPr>
            <w:r w:rsidRPr="00786C50">
              <w:rPr>
                <w:lang w:val="en-GB"/>
              </w:rPr>
              <w:t>NS</w:t>
            </w:r>
          </w:p>
        </w:tc>
      </w:tr>
      <w:tr w:rsidR="003A0937" w:rsidRPr="00786C50" w14:paraId="6BAEA15C" w14:textId="77777777" w:rsidTr="00EE5176">
        <w:trPr>
          <w:trHeight w:val="120"/>
          <w:jc w:val="center"/>
        </w:trPr>
        <w:tc>
          <w:tcPr>
            <w:tcW w:w="1830" w:type="dxa"/>
            <w:vMerge/>
            <w:tcBorders>
              <w:right w:val="single" w:sz="4" w:space="0" w:color="auto"/>
            </w:tcBorders>
          </w:tcPr>
          <w:p w14:paraId="13FB7B9D"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31C1EEE8" w14:textId="77777777" w:rsidR="003A0937" w:rsidRPr="00786C50" w:rsidRDefault="003A0937" w:rsidP="00EE5176">
            <w:pPr>
              <w:rPr>
                <w:lang w:val="en-GB"/>
              </w:rPr>
            </w:pPr>
            <w:r w:rsidRPr="00786C50">
              <w:rPr>
                <w:lang w:val="en-GB"/>
              </w:rPr>
              <w:t>Private</w:t>
            </w:r>
          </w:p>
        </w:tc>
        <w:tc>
          <w:tcPr>
            <w:tcW w:w="1260" w:type="dxa"/>
            <w:tcBorders>
              <w:top w:val="single" w:sz="4" w:space="0" w:color="auto"/>
            </w:tcBorders>
          </w:tcPr>
          <w:p w14:paraId="77F70EF2" w14:textId="77777777" w:rsidR="003A0937" w:rsidRPr="00786C50" w:rsidRDefault="003A0937" w:rsidP="00EE5176">
            <w:pPr>
              <w:rPr>
                <w:lang w:val="en-GB"/>
              </w:rPr>
            </w:pPr>
            <w:r w:rsidRPr="00786C50">
              <w:rPr>
                <w:lang w:val="en-GB"/>
              </w:rPr>
              <w:t>156</w:t>
            </w:r>
          </w:p>
        </w:tc>
        <w:tc>
          <w:tcPr>
            <w:tcW w:w="1170" w:type="dxa"/>
            <w:tcBorders>
              <w:top w:val="single" w:sz="4" w:space="0" w:color="auto"/>
            </w:tcBorders>
          </w:tcPr>
          <w:p w14:paraId="5C0563DB" w14:textId="77777777" w:rsidR="003A0937" w:rsidRPr="00786C50" w:rsidRDefault="003A0937" w:rsidP="00EE5176">
            <w:pPr>
              <w:rPr>
                <w:lang w:val="en-GB"/>
              </w:rPr>
            </w:pPr>
            <w:r w:rsidRPr="00786C50">
              <w:rPr>
                <w:lang w:val="en-GB"/>
              </w:rPr>
              <w:t>85.28</w:t>
            </w:r>
          </w:p>
        </w:tc>
        <w:tc>
          <w:tcPr>
            <w:tcW w:w="1260" w:type="dxa"/>
            <w:tcBorders>
              <w:top w:val="single" w:sz="4" w:space="0" w:color="auto"/>
            </w:tcBorders>
          </w:tcPr>
          <w:p w14:paraId="55D4B1D5" w14:textId="77777777" w:rsidR="003A0937" w:rsidRPr="00786C50" w:rsidRDefault="003A0937" w:rsidP="00EE5176">
            <w:pPr>
              <w:rPr>
                <w:lang w:val="en-GB"/>
              </w:rPr>
            </w:pPr>
            <w:r w:rsidRPr="00786C50">
              <w:rPr>
                <w:lang w:val="en-GB"/>
              </w:rPr>
              <w:t>24.69</w:t>
            </w:r>
          </w:p>
        </w:tc>
        <w:tc>
          <w:tcPr>
            <w:tcW w:w="1260" w:type="dxa"/>
            <w:vMerge/>
          </w:tcPr>
          <w:p w14:paraId="5BB71A16" w14:textId="77777777" w:rsidR="003A0937" w:rsidRPr="00786C50" w:rsidRDefault="003A0937" w:rsidP="00EE5176">
            <w:pPr>
              <w:rPr>
                <w:lang w:val="en-GB"/>
              </w:rPr>
            </w:pPr>
          </w:p>
        </w:tc>
        <w:tc>
          <w:tcPr>
            <w:tcW w:w="1098" w:type="dxa"/>
            <w:vMerge/>
          </w:tcPr>
          <w:p w14:paraId="1A709270" w14:textId="77777777" w:rsidR="003A0937" w:rsidRPr="00786C50" w:rsidRDefault="003A0937" w:rsidP="00EE5176">
            <w:pPr>
              <w:rPr>
                <w:lang w:val="en-GB"/>
              </w:rPr>
            </w:pPr>
          </w:p>
        </w:tc>
      </w:tr>
      <w:tr w:rsidR="003A0937" w:rsidRPr="00786C50" w14:paraId="67DA2A09" w14:textId="77777777" w:rsidTr="00EE5176">
        <w:trPr>
          <w:trHeight w:val="165"/>
          <w:jc w:val="center"/>
        </w:trPr>
        <w:tc>
          <w:tcPr>
            <w:tcW w:w="1830" w:type="dxa"/>
            <w:vMerge w:val="restart"/>
            <w:tcBorders>
              <w:right w:val="single" w:sz="4" w:space="0" w:color="auto"/>
            </w:tcBorders>
          </w:tcPr>
          <w:p w14:paraId="25713BFC" w14:textId="77777777" w:rsidR="003A0937" w:rsidRPr="00786C50" w:rsidRDefault="003A0937" w:rsidP="00EE5176">
            <w:pPr>
              <w:rPr>
                <w:lang w:val="en-GB"/>
              </w:rPr>
            </w:pPr>
            <w:r w:rsidRPr="00786C50">
              <w:rPr>
                <w:lang w:val="en-GB"/>
              </w:rPr>
              <w:t>Locality</w:t>
            </w:r>
          </w:p>
        </w:tc>
        <w:tc>
          <w:tcPr>
            <w:tcW w:w="1698" w:type="dxa"/>
            <w:tcBorders>
              <w:left w:val="single" w:sz="4" w:space="0" w:color="auto"/>
              <w:bottom w:val="single" w:sz="4" w:space="0" w:color="auto"/>
            </w:tcBorders>
          </w:tcPr>
          <w:p w14:paraId="04170C3D" w14:textId="77777777" w:rsidR="003A0937" w:rsidRPr="00786C50" w:rsidRDefault="003A0937" w:rsidP="00EE5176">
            <w:pPr>
              <w:rPr>
                <w:lang w:val="en-GB"/>
              </w:rPr>
            </w:pPr>
            <w:r w:rsidRPr="00786C50">
              <w:rPr>
                <w:lang w:val="en-GB"/>
              </w:rPr>
              <w:t>Rural</w:t>
            </w:r>
          </w:p>
        </w:tc>
        <w:tc>
          <w:tcPr>
            <w:tcW w:w="1260" w:type="dxa"/>
            <w:tcBorders>
              <w:bottom w:val="single" w:sz="4" w:space="0" w:color="auto"/>
            </w:tcBorders>
          </w:tcPr>
          <w:p w14:paraId="033D43E6" w14:textId="77777777" w:rsidR="003A0937" w:rsidRPr="00786C50" w:rsidRDefault="003A0937" w:rsidP="00EE5176">
            <w:pPr>
              <w:rPr>
                <w:lang w:val="en-GB"/>
              </w:rPr>
            </w:pPr>
            <w:r w:rsidRPr="00786C50">
              <w:rPr>
                <w:lang w:val="en-GB"/>
              </w:rPr>
              <w:t>142</w:t>
            </w:r>
          </w:p>
        </w:tc>
        <w:tc>
          <w:tcPr>
            <w:tcW w:w="1170" w:type="dxa"/>
            <w:tcBorders>
              <w:bottom w:val="single" w:sz="4" w:space="0" w:color="auto"/>
            </w:tcBorders>
          </w:tcPr>
          <w:p w14:paraId="606289D2" w14:textId="77777777" w:rsidR="003A0937" w:rsidRPr="00786C50" w:rsidRDefault="003A0937" w:rsidP="00EE5176">
            <w:pPr>
              <w:rPr>
                <w:lang w:val="en-GB"/>
              </w:rPr>
            </w:pPr>
            <w:r w:rsidRPr="00786C50">
              <w:rPr>
                <w:lang w:val="en-GB"/>
              </w:rPr>
              <w:t>97.67</w:t>
            </w:r>
          </w:p>
        </w:tc>
        <w:tc>
          <w:tcPr>
            <w:tcW w:w="1260" w:type="dxa"/>
            <w:tcBorders>
              <w:bottom w:val="single" w:sz="4" w:space="0" w:color="auto"/>
            </w:tcBorders>
          </w:tcPr>
          <w:p w14:paraId="3F4E3122" w14:textId="77777777" w:rsidR="003A0937" w:rsidRPr="00786C50" w:rsidRDefault="003A0937" w:rsidP="00EE5176">
            <w:pPr>
              <w:rPr>
                <w:lang w:val="en-GB"/>
              </w:rPr>
            </w:pPr>
            <w:r w:rsidRPr="00786C50">
              <w:rPr>
                <w:lang w:val="en-GB"/>
              </w:rPr>
              <w:t>22.15</w:t>
            </w:r>
          </w:p>
        </w:tc>
        <w:tc>
          <w:tcPr>
            <w:tcW w:w="1260" w:type="dxa"/>
            <w:vMerge w:val="restart"/>
          </w:tcPr>
          <w:p w14:paraId="35BFA8CA" w14:textId="77777777" w:rsidR="003A0937" w:rsidRPr="00786C50" w:rsidRDefault="003A0937" w:rsidP="00EE5176">
            <w:pPr>
              <w:rPr>
                <w:lang w:val="en-GB"/>
              </w:rPr>
            </w:pPr>
            <w:r w:rsidRPr="00786C50">
              <w:rPr>
                <w:lang w:val="en-GB"/>
              </w:rPr>
              <w:t>8.42</w:t>
            </w:r>
          </w:p>
        </w:tc>
        <w:tc>
          <w:tcPr>
            <w:tcW w:w="1098" w:type="dxa"/>
            <w:vMerge w:val="restart"/>
          </w:tcPr>
          <w:p w14:paraId="14BB1325" w14:textId="77777777" w:rsidR="003A0937" w:rsidRPr="00786C50" w:rsidRDefault="003A0937" w:rsidP="00EE5176">
            <w:pPr>
              <w:rPr>
                <w:lang w:val="en-GB"/>
              </w:rPr>
            </w:pPr>
            <w:r w:rsidRPr="00786C50">
              <w:rPr>
                <w:lang w:val="en-GB"/>
              </w:rPr>
              <w:t>S</w:t>
            </w:r>
          </w:p>
        </w:tc>
      </w:tr>
      <w:tr w:rsidR="003A0937" w:rsidRPr="00786C50" w14:paraId="267F331F" w14:textId="77777777" w:rsidTr="00EE5176">
        <w:trPr>
          <w:trHeight w:val="90"/>
          <w:jc w:val="center"/>
        </w:trPr>
        <w:tc>
          <w:tcPr>
            <w:tcW w:w="1830" w:type="dxa"/>
            <w:vMerge/>
            <w:tcBorders>
              <w:right w:val="single" w:sz="4" w:space="0" w:color="auto"/>
            </w:tcBorders>
          </w:tcPr>
          <w:p w14:paraId="378B92EE"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00909160" w14:textId="77777777" w:rsidR="003A0937" w:rsidRPr="00786C50" w:rsidRDefault="003A0937" w:rsidP="00EE5176">
            <w:pPr>
              <w:rPr>
                <w:lang w:val="en-GB"/>
              </w:rPr>
            </w:pPr>
            <w:r w:rsidRPr="00786C50">
              <w:rPr>
                <w:lang w:val="en-GB"/>
              </w:rPr>
              <w:t>Urban</w:t>
            </w:r>
          </w:p>
        </w:tc>
        <w:tc>
          <w:tcPr>
            <w:tcW w:w="1260" w:type="dxa"/>
            <w:tcBorders>
              <w:top w:val="single" w:sz="4" w:space="0" w:color="auto"/>
            </w:tcBorders>
          </w:tcPr>
          <w:p w14:paraId="4525CC58" w14:textId="77777777" w:rsidR="003A0937" w:rsidRPr="00786C50" w:rsidRDefault="003A0937" w:rsidP="00EE5176">
            <w:pPr>
              <w:rPr>
                <w:lang w:val="en-GB"/>
              </w:rPr>
            </w:pPr>
            <w:r w:rsidRPr="00786C50">
              <w:rPr>
                <w:lang w:val="en-GB"/>
              </w:rPr>
              <w:t>165</w:t>
            </w:r>
          </w:p>
        </w:tc>
        <w:tc>
          <w:tcPr>
            <w:tcW w:w="1170" w:type="dxa"/>
            <w:tcBorders>
              <w:top w:val="single" w:sz="4" w:space="0" w:color="auto"/>
            </w:tcBorders>
          </w:tcPr>
          <w:p w14:paraId="561D15D9" w14:textId="77777777" w:rsidR="003A0937" w:rsidRPr="00786C50" w:rsidRDefault="003A0937" w:rsidP="00EE5176">
            <w:pPr>
              <w:rPr>
                <w:lang w:val="en-GB"/>
              </w:rPr>
            </w:pPr>
            <w:r w:rsidRPr="00786C50">
              <w:rPr>
                <w:lang w:val="en-GB"/>
              </w:rPr>
              <w:t>75.92</w:t>
            </w:r>
          </w:p>
        </w:tc>
        <w:tc>
          <w:tcPr>
            <w:tcW w:w="1260" w:type="dxa"/>
            <w:tcBorders>
              <w:top w:val="single" w:sz="4" w:space="0" w:color="auto"/>
            </w:tcBorders>
          </w:tcPr>
          <w:p w14:paraId="34DC0EE2" w14:textId="77777777" w:rsidR="003A0937" w:rsidRPr="00786C50" w:rsidRDefault="003A0937" w:rsidP="00EE5176">
            <w:pPr>
              <w:rPr>
                <w:lang w:val="en-GB"/>
              </w:rPr>
            </w:pPr>
            <w:r w:rsidRPr="00786C50">
              <w:rPr>
                <w:lang w:val="en-GB"/>
              </w:rPr>
              <w:t>22.93</w:t>
            </w:r>
          </w:p>
        </w:tc>
        <w:tc>
          <w:tcPr>
            <w:tcW w:w="1260" w:type="dxa"/>
            <w:vMerge/>
          </w:tcPr>
          <w:p w14:paraId="7933C0E6" w14:textId="77777777" w:rsidR="003A0937" w:rsidRPr="00786C50" w:rsidRDefault="003A0937" w:rsidP="00EE5176">
            <w:pPr>
              <w:rPr>
                <w:lang w:val="en-GB"/>
              </w:rPr>
            </w:pPr>
          </w:p>
        </w:tc>
        <w:tc>
          <w:tcPr>
            <w:tcW w:w="1098" w:type="dxa"/>
            <w:vMerge/>
          </w:tcPr>
          <w:p w14:paraId="517C3EB9" w14:textId="77777777" w:rsidR="003A0937" w:rsidRPr="00786C50" w:rsidRDefault="003A0937" w:rsidP="00EE5176">
            <w:pPr>
              <w:rPr>
                <w:lang w:val="en-GB"/>
              </w:rPr>
            </w:pPr>
          </w:p>
        </w:tc>
      </w:tr>
    </w:tbl>
    <w:p w14:paraId="78D90606" w14:textId="77777777" w:rsidR="003A0937" w:rsidRPr="00786C50" w:rsidRDefault="003A0937" w:rsidP="003A0937">
      <w:pPr>
        <w:shd w:val="clear" w:color="auto" w:fill="FFFFFF"/>
        <w:spacing w:after="0" w:line="360" w:lineRule="auto"/>
        <w:jc w:val="both"/>
        <w:rPr>
          <w:rFonts w:ascii="Times New Roman" w:eastAsia="Times New Roman" w:hAnsi="Times New Roman" w:cs="Times New Roman"/>
          <w:b/>
          <w:sz w:val="24"/>
          <w:szCs w:val="24"/>
        </w:rPr>
      </w:pPr>
    </w:p>
    <w:p w14:paraId="38C9053F" w14:textId="77777777" w:rsidR="007349CA" w:rsidRPr="00786C50" w:rsidRDefault="00323A9A" w:rsidP="00323A9A">
      <w:pPr>
        <w:spacing w:after="0" w:line="360" w:lineRule="auto"/>
        <w:jc w:val="both"/>
        <w:rPr>
          <w:b/>
        </w:rPr>
      </w:pPr>
      <w:r w:rsidRPr="00786C50">
        <w:rPr>
          <w:rFonts w:ascii="Times New Roman" w:hAnsi="Times New Roman" w:cs="Times New Roman"/>
          <w:sz w:val="24"/>
          <w:szCs w:val="24"/>
        </w:rPr>
        <w:t>Boys and girls differ significantly in their cognitive flexibility, according to the findings</w:t>
      </w:r>
      <w:r w:rsidRPr="00323A9A">
        <w:rPr>
          <w:rFonts w:ascii="Times New Roman" w:eastAsia="Times New Roman" w:hAnsi="Times New Roman" w:cs="Times New Roman"/>
          <w:sz w:val="24"/>
          <w:szCs w:val="24"/>
        </w:rPr>
        <w:t>.</w:t>
      </w:r>
      <w:r w:rsidRPr="00786C50">
        <w:rPr>
          <w:rFonts w:ascii="Times New Roman" w:eastAsia="Times New Roman" w:hAnsi="Times New Roman" w:cs="Times New Roman"/>
          <w:sz w:val="24"/>
          <w:szCs w:val="24"/>
        </w:rPr>
        <w:t xml:space="preserve"> </w:t>
      </w:r>
      <w:r w:rsidR="00FF652F" w:rsidRPr="00786C50">
        <w:rPr>
          <w:rFonts w:ascii="Times New Roman" w:hAnsi="Times New Roman" w:cs="Times New Roman"/>
          <w:sz w:val="24"/>
          <w:szCs w:val="24"/>
        </w:rPr>
        <w:t xml:space="preserve"> Boys scored a higher mean of </w:t>
      </w:r>
      <w:r w:rsidR="00FF652F" w:rsidRPr="00786C50">
        <w:rPr>
          <w:rStyle w:val="Strong"/>
          <w:rFonts w:ascii="Times New Roman" w:hAnsi="Times New Roman" w:cs="Times New Roman"/>
          <w:b w:val="0"/>
          <w:sz w:val="24"/>
          <w:szCs w:val="24"/>
        </w:rPr>
        <w:t>92.47 (SD = 25.32</w:t>
      </w:r>
      <w:r w:rsidR="00FF652F" w:rsidRPr="00786C50">
        <w:rPr>
          <w:rStyle w:val="Strong"/>
          <w:rFonts w:ascii="Times New Roman" w:hAnsi="Times New Roman" w:cs="Times New Roman"/>
          <w:sz w:val="24"/>
          <w:szCs w:val="24"/>
        </w:rPr>
        <w:t>)</w:t>
      </w:r>
      <w:r w:rsidR="00FF652F" w:rsidRPr="00786C50">
        <w:rPr>
          <w:rFonts w:ascii="Times New Roman" w:hAnsi="Times New Roman" w:cs="Times New Roman"/>
          <w:sz w:val="24"/>
          <w:szCs w:val="24"/>
        </w:rPr>
        <w:t xml:space="preserve"> compared to girls, who scored </w:t>
      </w:r>
      <w:r w:rsidR="00FF652F" w:rsidRPr="00786C50">
        <w:rPr>
          <w:rStyle w:val="Strong"/>
          <w:rFonts w:ascii="Times New Roman" w:hAnsi="Times New Roman" w:cs="Times New Roman"/>
          <w:b w:val="0"/>
          <w:sz w:val="24"/>
          <w:szCs w:val="24"/>
        </w:rPr>
        <w:t>79.09 (SD = 22.83)</w:t>
      </w:r>
      <w:r w:rsidR="00FF652F" w:rsidRPr="00786C50">
        <w:rPr>
          <w:rFonts w:ascii="Times New Roman" w:hAnsi="Times New Roman" w:cs="Times New Roman"/>
          <w:b/>
          <w:sz w:val="24"/>
          <w:szCs w:val="24"/>
        </w:rPr>
        <w:t>.</w:t>
      </w:r>
      <w:r w:rsidR="00FF652F" w:rsidRPr="00786C50">
        <w:rPr>
          <w:rFonts w:ascii="Times New Roman" w:hAnsi="Times New Roman" w:cs="Times New Roman"/>
          <w:sz w:val="24"/>
          <w:szCs w:val="24"/>
        </w:rPr>
        <w:t xml:space="preserve"> The </w:t>
      </w:r>
      <w:r w:rsidR="00FF652F" w:rsidRPr="00786C50">
        <w:rPr>
          <w:rStyle w:val="Strong"/>
          <w:rFonts w:ascii="Times New Roman" w:hAnsi="Times New Roman" w:cs="Times New Roman"/>
          <w:b w:val="0"/>
          <w:sz w:val="24"/>
          <w:szCs w:val="24"/>
        </w:rPr>
        <w:t>t-value (1.83)</w:t>
      </w:r>
      <w:r w:rsidR="00FF652F" w:rsidRPr="00786C50">
        <w:rPr>
          <w:rFonts w:ascii="Times New Roman" w:hAnsi="Times New Roman" w:cs="Times New Roman"/>
          <w:sz w:val="24"/>
          <w:szCs w:val="24"/>
        </w:rPr>
        <w:t xml:space="preserve"> indicates a statistically significant difference. This suggests that boys tend to exhibit greater cognitive flexibility than girls within the study population. The difference may stem from varying social, educational, or cultural influences affecting cognitive adaptability in male and female students</w:t>
      </w:r>
      <w:r w:rsidR="00DB7755" w:rsidRPr="00786C50">
        <w:rPr>
          <w:rFonts w:ascii="Times New Roman" w:hAnsi="Times New Roman" w:cs="Times New Roman"/>
          <w:sz w:val="24"/>
          <w:szCs w:val="24"/>
        </w:rPr>
        <w:t xml:space="preserve"> </w:t>
      </w:r>
      <w:r w:rsidR="00FF652F" w:rsidRPr="00786C50">
        <w:rPr>
          <w:rFonts w:ascii="Times New Roman" w:hAnsi="Times New Roman" w:cs="Times New Roman"/>
          <w:sz w:val="24"/>
          <w:szCs w:val="24"/>
        </w:rPr>
        <w:t xml:space="preserve">.Cognitive flexibility was compared between undergraduate (UG) and postgraduate (PG) students. UG students had a mean score of </w:t>
      </w:r>
      <w:r w:rsidR="00FF652F" w:rsidRPr="00786C50">
        <w:rPr>
          <w:rStyle w:val="Strong"/>
          <w:rFonts w:ascii="Times New Roman" w:hAnsi="Times New Roman" w:cs="Times New Roman"/>
          <w:b w:val="0"/>
          <w:sz w:val="24"/>
          <w:szCs w:val="24"/>
        </w:rPr>
        <w:t>84.02 (SD = 24.04)</w:t>
      </w:r>
      <w:r w:rsidR="00FF652F" w:rsidRPr="00786C50">
        <w:rPr>
          <w:rFonts w:ascii="Times New Roman" w:hAnsi="Times New Roman" w:cs="Times New Roman"/>
          <w:b/>
          <w:sz w:val="24"/>
          <w:szCs w:val="24"/>
        </w:rPr>
        <w:t>,</w:t>
      </w:r>
      <w:r w:rsidR="00FF652F" w:rsidRPr="00786C50">
        <w:rPr>
          <w:rFonts w:ascii="Times New Roman" w:hAnsi="Times New Roman" w:cs="Times New Roman"/>
          <w:sz w:val="24"/>
          <w:szCs w:val="24"/>
        </w:rPr>
        <w:t xml:space="preserve"> while PG </w:t>
      </w:r>
      <w:r w:rsidR="00FF652F" w:rsidRPr="00786C50">
        <w:rPr>
          <w:rFonts w:ascii="Times New Roman" w:hAnsi="Times New Roman" w:cs="Times New Roman"/>
          <w:sz w:val="24"/>
          <w:szCs w:val="24"/>
        </w:rPr>
        <w:lastRenderedPageBreak/>
        <w:t xml:space="preserve">students scored slightly higher with a mean of </w:t>
      </w:r>
      <w:r w:rsidR="00FF652F" w:rsidRPr="00786C50">
        <w:rPr>
          <w:rStyle w:val="Strong"/>
          <w:rFonts w:ascii="Times New Roman" w:hAnsi="Times New Roman" w:cs="Times New Roman"/>
          <w:b w:val="0"/>
          <w:sz w:val="24"/>
          <w:szCs w:val="24"/>
        </w:rPr>
        <w:t>88.16 (SD = 25.97)</w:t>
      </w:r>
      <w:r w:rsidR="00FF652F" w:rsidRPr="00786C50">
        <w:rPr>
          <w:rFonts w:ascii="Times New Roman" w:hAnsi="Times New Roman" w:cs="Times New Roman"/>
          <w:b/>
          <w:sz w:val="24"/>
          <w:szCs w:val="24"/>
        </w:rPr>
        <w:t>.</w:t>
      </w:r>
      <w:r w:rsidR="00FF652F" w:rsidRPr="00786C50">
        <w:rPr>
          <w:rFonts w:ascii="Times New Roman" w:hAnsi="Times New Roman" w:cs="Times New Roman"/>
          <w:sz w:val="24"/>
          <w:szCs w:val="24"/>
        </w:rPr>
        <w:t xml:space="preserve"> However, the</w:t>
      </w:r>
      <w:r w:rsidR="00FF652F" w:rsidRPr="00786C50">
        <w:rPr>
          <w:rFonts w:ascii="Times New Roman" w:hAnsi="Times New Roman" w:cs="Times New Roman"/>
          <w:b/>
          <w:sz w:val="24"/>
          <w:szCs w:val="24"/>
        </w:rPr>
        <w:t xml:space="preserve"> </w:t>
      </w:r>
      <w:r w:rsidR="00FF652F" w:rsidRPr="00786C50">
        <w:rPr>
          <w:rStyle w:val="Strong"/>
          <w:rFonts w:ascii="Times New Roman" w:hAnsi="Times New Roman" w:cs="Times New Roman"/>
          <w:b w:val="0"/>
          <w:sz w:val="24"/>
          <w:szCs w:val="24"/>
        </w:rPr>
        <w:t>t-value (1.4481)</w:t>
      </w:r>
      <w:r w:rsidR="00FF652F" w:rsidRPr="00786C50">
        <w:rPr>
          <w:rFonts w:ascii="Times New Roman" w:hAnsi="Times New Roman" w:cs="Times New Roman"/>
          <w:sz w:val="24"/>
          <w:szCs w:val="24"/>
        </w:rPr>
        <w:t xml:space="preserve"> was not significant, indicating no meaningful difference in cognitive flexibility between the two groups. This suggests that the academic level (UG or PG) does not significantly impact cognitive flexibility among arts and science college students.</w:t>
      </w:r>
      <w:r w:rsidR="007349CA" w:rsidRPr="00786C50">
        <w:rPr>
          <w:rFonts w:ascii="Times New Roman" w:hAnsi="Times New Roman" w:cs="Times New Roman"/>
          <w:sz w:val="24"/>
          <w:szCs w:val="24"/>
        </w:rPr>
        <w:t xml:space="preserve"> </w:t>
      </w:r>
      <w:r w:rsidR="00FF652F" w:rsidRPr="00786C50">
        <w:rPr>
          <w:rFonts w:ascii="Times New Roman" w:hAnsi="Times New Roman" w:cs="Times New Roman"/>
          <w:sz w:val="24"/>
          <w:szCs w:val="24"/>
        </w:rPr>
        <w:t xml:space="preserve">Students from government and private institutions showed similar levels of cognitive flexibility. Government college students had a mean score of </w:t>
      </w:r>
      <w:r w:rsidR="00FF652F" w:rsidRPr="00786C50">
        <w:rPr>
          <w:rStyle w:val="Strong"/>
          <w:rFonts w:ascii="Times New Roman" w:hAnsi="Times New Roman" w:cs="Times New Roman"/>
          <w:b w:val="0"/>
          <w:sz w:val="24"/>
          <w:szCs w:val="24"/>
        </w:rPr>
        <w:t>86.70 (SD = 25.41</w:t>
      </w:r>
      <w:r w:rsidR="00FF652F" w:rsidRPr="00786C50">
        <w:rPr>
          <w:rStyle w:val="Strong"/>
          <w:rFonts w:ascii="Times New Roman" w:hAnsi="Times New Roman" w:cs="Times New Roman"/>
          <w:sz w:val="24"/>
          <w:szCs w:val="24"/>
        </w:rPr>
        <w:t>)</w:t>
      </w:r>
      <w:r w:rsidR="00FF652F" w:rsidRPr="00786C50">
        <w:rPr>
          <w:rFonts w:ascii="Times New Roman" w:hAnsi="Times New Roman" w:cs="Times New Roman"/>
          <w:sz w:val="24"/>
          <w:szCs w:val="24"/>
        </w:rPr>
        <w:t xml:space="preserve">, while private college students scored </w:t>
      </w:r>
      <w:r w:rsidR="00FF652F" w:rsidRPr="00786C50">
        <w:rPr>
          <w:rStyle w:val="Strong"/>
          <w:rFonts w:ascii="Times New Roman" w:hAnsi="Times New Roman" w:cs="Times New Roman"/>
          <w:b w:val="0"/>
          <w:sz w:val="24"/>
          <w:szCs w:val="24"/>
        </w:rPr>
        <w:t>85.28 (SD = 24.69)</w:t>
      </w:r>
      <w:r w:rsidR="00FF652F" w:rsidRPr="00786C50">
        <w:rPr>
          <w:rFonts w:ascii="Times New Roman" w:hAnsi="Times New Roman" w:cs="Times New Roman"/>
          <w:b/>
          <w:sz w:val="24"/>
          <w:szCs w:val="24"/>
        </w:rPr>
        <w:t xml:space="preserve">. </w:t>
      </w:r>
      <w:r w:rsidR="00FF652F" w:rsidRPr="00786C50">
        <w:rPr>
          <w:rFonts w:ascii="Times New Roman" w:hAnsi="Times New Roman" w:cs="Times New Roman"/>
          <w:sz w:val="24"/>
          <w:szCs w:val="24"/>
        </w:rPr>
        <w:t>The</w:t>
      </w:r>
      <w:r w:rsidR="00FF652F" w:rsidRPr="00786C50">
        <w:rPr>
          <w:rFonts w:ascii="Times New Roman" w:hAnsi="Times New Roman" w:cs="Times New Roman"/>
          <w:b/>
          <w:sz w:val="24"/>
          <w:szCs w:val="24"/>
        </w:rPr>
        <w:t xml:space="preserve"> </w:t>
      </w:r>
      <w:r w:rsidR="00FF652F" w:rsidRPr="00786C50">
        <w:rPr>
          <w:rStyle w:val="Strong"/>
          <w:rFonts w:ascii="Times New Roman" w:hAnsi="Times New Roman" w:cs="Times New Roman"/>
          <w:b w:val="0"/>
          <w:sz w:val="24"/>
          <w:szCs w:val="24"/>
        </w:rPr>
        <w:t>t-value (0.4943)</w:t>
      </w:r>
      <w:r w:rsidR="00FF652F" w:rsidRPr="00786C50">
        <w:rPr>
          <w:rFonts w:ascii="Times New Roman" w:hAnsi="Times New Roman" w:cs="Times New Roman"/>
          <w:sz w:val="24"/>
          <w:szCs w:val="24"/>
        </w:rPr>
        <w:t xml:space="preserve"> was not significant, indicating no statistical difference between the two groups. </w:t>
      </w:r>
      <w:r w:rsidRPr="00786C50">
        <w:rPr>
          <w:rFonts w:ascii="Times New Roman" w:hAnsi="Times New Roman" w:cs="Times New Roman"/>
          <w:sz w:val="24"/>
          <w:szCs w:val="24"/>
        </w:rPr>
        <w:t xml:space="preserve">This result implies that the kind of school—private or public—does not significantly affect how flexible the kids' cognitive abilities are. There was a noticeable difference in the cognitive flexibility of students from urban and rural locations. </w:t>
      </w:r>
      <w:r w:rsidR="00FF652F" w:rsidRPr="00786C50">
        <w:rPr>
          <w:rFonts w:ascii="Times New Roman" w:hAnsi="Times New Roman" w:cs="Times New Roman"/>
          <w:sz w:val="24"/>
          <w:szCs w:val="24"/>
        </w:rPr>
        <w:t>Rural students scored a</w:t>
      </w:r>
      <w:r w:rsidR="00FF652F" w:rsidRPr="00786C50">
        <w:t xml:space="preserve"> much higher mean of </w:t>
      </w:r>
      <w:r w:rsidR="00FF652F" w:rsidRPr="00786C50">
        <w:rPr>
          <w:rStyle w:val="Strong"/>
          <w:b w:val="0"/>
        </w:rPr>
        <w:t>97.67 (SD = 22.15)</w:t>
      </w:r>
      <w:r w:rsidR="00FF652F" w:rsidRPr="00786C50">
        <w:t xml:space="preserve"> compared to urban students, who scored </w:t>
      </w:r>
      <w:r w:rsidR="00FF652F" w:rsidRPr="00786C50">
        <w:rPr>
          <w:rStyle w:val="Strong"/>
          <w:b w:val="0"/>
        </w:rPr>
        <w:t>75.92 (SD = 22.93)</w:t>
      </w:r>
      <w:r w:rsidR="00FF652F" w:rsidRPr="00786C50">
        <w:rPr>
          <w:b/>
        </w:rPr>
        <w:t xml:space="preserve">. </w:t>
      </w:r>
      <w:r w:rsidR="00FF652F" w:rsidRPr="00786C50">
        <w:t>The</w:t>
      </w:r>
      <w:r w:rsidR="00FF652F" w:rsidRPr="00786C50">
        <w:rPr>
          <w:b/>
        </w:rPr>
        <w:t xml:space="preserve"> </w:t>
      </w:r>
      <w:r w:rsidR="00FF652F" w:rsidRPr="00786C50">
        <w:rPr>
          <w:rStyle w:val="Strong"/>
          <w:b w:val="0"/>
        </w:rPr>
        <w:t>t-value (8.42)</w:t>
      </w:r>
      <w:r w:rsidR="00FF652F" w:rsidRPr="00786C50">
        <w:t xml:space="preserve"> indicates a highly significant difference. This suggests that students from rural areas demonstrate greater cognitive flexibility, potentially influenced by their unique environmental, educational, or socio-economic conditions, which may encourage adaptive thinking.</w:t>
      </w:r>
    </w:p>
    <w:p w14:paraId="63CF6E78" w14:textId="77777777" w:rsidR="007B55D1" w:rsidRDefault="00B85047" w:rsidP="00E417C1">
      <w:pPr>
        <w:spacing w:line="360" w:lineRule="auto"/>
        <w:jc w:val="center"/>
        <w:rPr>
          <w:rFonts w:ascii="Times New Roman" w:hAnsi="Times New Roman" w:cs="Times New Roman"/>
          <w:b/>
          <w:sz w:val="24"/>
          <w:szCs w:val="24"/>
        </w:rPr>
      </w:pPr>
      <w:r w:rsidRPr="00786C50">
        <w:rPr>
          <w:rFonts w:ascii="Times New Roman" w:hAnsi="Times New Roman" w:cs="Times New Roman"/>
          <w:b/>
          <w:sz w:val="24"/>
          <w:szCs w:val="24"/>
        </w:rPr>
        <w:t>With regard to gender, degree, kind of institution, and location,</w:t>
      </w:r>
    </w:p>
    <w:p w14:paraId="12DB1F7A" w14:textId="424B74DF" w:rsidR="00B85047" w:rsidRPr="00786C50" w:rsidRDefault="00B85047" w:rsidP="00E417C1">
      <w:pPr>
        <w:spacing w:line="360" w:lineRule="auto"/>
        <w:jc w:val="center"/>
        <w:rPr>
          <w:rFonts w:ascii="Times New Roman" w:hAnsi="Times New Roman" w:cs="Times New Roman"/>
          <w:sz w:val="24"/>
          <w:szCs w:val="24"/>
        </w:rPr>
      </w:pPr>
      <w:r w:rsidRPr="00786C50">
        <w:rPr>
          <w:rFonts w:ascii="Times New Roman" w:hAnsi="Times New Roman" w:cs="Times New Roman"/>
          <w:b/>
          <w:sz w:val="24"/>
          <w:szCs w:val="24"/>
        </w:rPr>
        <w:t xml:space="preserve"> Table 2 displays the mean, standard deviation, and "t" value of community participation</w:t>
      </w:r>
      <w:r w:rsidRPr="00786C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793"/>
        <w:gridCol w:w="1677"/>
        <w:gridCol w:w="1217"/>
        <w:gridCol w:w="1143"/>
        <w:gridCol w:w="1227"/>
        <w:gridCol w:w="1234"/>
        <w:gridCol w:w="1059"/>
      </w:tblGrid>
      <w:tr w:rsidR="007C5F09" w:rsidRPr="00786C50" w14:paraId="5A287730" w14:textId="77777777" w:rsidTr="00EE5176">
        <w:trPr>
          <w:jc w:val="center"/>
        </w:trPr>
        <w:tc>
          <w:tcPr>
            <w:tcW w:w="3528" w:type="dxa"/>
            <w:gridSpan w:val="2"/>
          </w:tcPr>
          <w:p w14:paraId="7B5339C6" w14:textId="77777777" w:rsidR="007C5F09" w:rsidRPr="00786C50" w:rsidRDefault="00B85047" w:rsidP="00EE5176">
            <w:pPr>
              <w:rPr>
                <w:lang w:val="en-GB"/>
              </w:rPr>
            </w:pPr>
            <w:r w:rsidRPr="00786C50">
              <w:rPr>
                <w:rFonts w:ascii="Times New Roman" w:hAnsi="Times New Roman" w:cs="Times New Roman"/>
                <w:sz w:val="24"/>
                <w:szCs w:val="24"/>
              </w:rPr>
              <w:t> </w:t>
            </w:r>
            <w:r w:rsidR="007C5F09" w:rsidRPr="00786C50">
              <w:rPr>
                <w:lang w:val="en-GB"/>
              </w:rPr>
              <w:t>Variable</w:t>
            </w:r>
          </w:p>
        </w:tc>
        <w:tc>
          <w:tcPr>
            <w:tcW w:w="1260" w:type="dxa"/>
          </w:tcPr>
          <w:p w14:paraId="42DC5272" w14:textId="77777777" w:rsidR="007C5F09" w:rsidRPr="00786C50" w:rsidRDefault="007C5F09" w:rsidP="00EE5176">
            <w:pPr>
              <w:rPr>
                <w:lang w:val="en-GB"/>
              </w:rPr>
            </w:pPr>
            <w:r w:rsidRPr="00786C50">
              <w:rPr>
                <w:lang w:val="en-GB"/>
              </w:rPr>
              <w:t>No</w:t>
            </w:r>
          </w:p>
        </w:tc>
        <w:tc>
          <w:tcPr>
            <w:tcW w:w="1170" w:type="dxa"/>
          </w:tcPr>
          <w:p w14:paraId="1953C073" w14:textId="77777777" w:rsidR="007C5F09" w:rsidRPr="00786C50" w:rsidRDefault="007C5F09" w:rsidP="00EE5176">
            <w:pPr>
              <w:rPr>
                <w:lang w:val="en-GB"/>
              </w:rPr>
            </w:pPr>
            <w:r w:rsidRPr="00786C50">
              <w:rPr>
                <w:lang w:val="en-GB"/>
              </w:rPr>
              <w:t>Mean</w:t>
            </w:r>
          </w:p>
        </w:tc>
        <w:tc>
          <w:tcPr>
            <w:tcW w:w="1260" w:type="dxa"/>
          </w:tcPr>
          <w:p w14:paraId="3D0AB7DF" w14:textId="77777777" w:rsidR="007C5F09" w:rsidRPr="00786C50" w:rsidRDefault="007C5F09" w:rsidP="00EE5176">
            <w:pPr>
              <w:rPr>
                <w:lang w:val="en-GB"/>
              </w:rPr>
            </w:pPr>
            <w:r w:rsidRPr="00786C50">
              <w:rPr>
                <w:lang w:val="en-GB"/>
              </w:rPr>
              <w:t>SD</w:t>
            </w:r>
          </w:p>
        </w:tc>
        <w:tc>
          <w:tcPr>
            <w:tcW w:w="1260" w:type="dxa"/>
          </w:tcPr>
          <w:p w14:paraId="5F3CB369" w14:textId="77777777" w:rsidR="007C5F09" w:rsidRPr="00786C50" w:rsidRDefault="007C5F09" w:rsidP="00EE5176">
            <w:pPr>
              <w:rPr>
                <w:lang w:val="en-GB"/>
              </w:rPr>
            </w:pPr>
            <w:r w:rsidRPr="00786C50">
              <w:rPr>
                <w:lang w:val="en-GB"/>
              </w:rPr>
              <w:t>‘t</w:t>
            </w:r>
          </w:p>
        </w:tc>
        <w:tc>
          <w:tcPr>
            <w:tcW w:w="1098" w:type="dxa"/>
          </w:tcPr>
          <w:p w14:paraId="36BBB556" w14:textId="77777777" w:rsidR="007C5F09" w:rsidRPr="00786C50" w:rsidRDefault="007C5F09" w:rsidP="00EE5176">
            <w:pPr>
              <w:rPr>
                <w:lang w:val="en-GB"/>
              </w:rPr>
            </w:pPr>
            <w:r w:rsidRPr="00786C50">
              <w:rPr>
                <w:lang w:val="en-GB"/>
              </w:rPr>
              <w:t>S</w:t>
            </w:r>
          </w:p>
        </w:tc>
      </w:tr>
      <w:tr w:rsidR="007C5F09" w:rsidRPr="00786C50" w14:paraId="1A4F4519" w14:textId="77777777" w:rsidTr="00EE5176">
        <w:trPr>
          <w:jc w:val="center"/>
        </w:trPr>
        <w:tc>
          <w:tcPr>
            <w:tcW w:w="3528" w:type="dxa"/>
            <w:gridSpan w:val="2"/>
          </w:tcPr>
          <w:p w14:paraId="5D714932" w14:textId="77777777" w:rsidR="007C5F09" w:rsidRPr="00786C50" w:rsidRDefault="007C5F09" w:rsidP="00EE5176">
            <w:pPr>
              <w:rPr>
                <w:lang w:val="en-GB"/>
              </w:rPr>
            </w:pPr>
            <w:r w:rsidRPr="00786C50">
              <w:rPr>
                <w:lang w:val="en-GB"/>
              </w:rPr>
              <w:t xml:space="preserve">Community Participation </w:t>
            </w:r>
          </w:p>
        </w:tc>
        <w:tc>
          <w:tcPr>
            <w:tcW w:w="1260" w:type="dxa"/>
          </w:tcPr>
          <w:p w14:paraId="5E11FE6B" w14:textId="77777777" w:rsidR="007C5F09" w:rsidRPr="00786C50" w:rsidRDefault="007C5F09" w:rsidP="00EE5176">
            <w:pPr>
              <w:rPr>
                <w:lang w:val="en-GB"/>
              </w:rPr>
            </w:pPr>
            <w:r w:rsidRPr="00786C50">
              <w:rPr>
                <w:lang w:val="en-GB"/>
              </w:rPr>
              <w:t>307</w:t>
            </w:r>
          </w:p>
        </w:tc>
        <w:tc>
          <w:tcPr>
            <w:tcW w:w="1170" w:type="dxa"/>
          </w:tcPr>
          <w:p w14:paraId="735A475A" w14:textId="77777777" w:rsidR="007C5F09" w:rsidRPr="00786C50" w:rsidRDefault="007C5F09" w:rsidP="00EE5176">
            <w:pPr>
              <w:rPr>
                <w:lang w:val="en-GB"/>
              </w:rPr>
            </w:pPr>
            <w:r w:rsidRPr="00786C50">
              <w:rPr>
                <w:lang w:val="en-GB"/>
              </w:rPr>
              <w:t>29.35</w:t>
            </w:r>
          </w:p>
        </w:tc>
        <w:tc>
          <w:tcPr>
            <w:tcW w:w="1260" w:type="dxa"/>
          </w:tcPr>
          <w:p w14:paraId="69704AE4" w14:textId="77777777" w:rsidR="007C5F09" w:rsidRPr="00786C50" w:rsidRDefault="007C5F09" w:rsidP="00EE5176">
            <w:pPr>
              <w:rPr>
                <w:lang w:val="en-GB"/>
              </w:rPr>
            </w:pPr>
            <w:r w:rsidRPr="00786C50">
              <w:rPr>
                <w:lang w:val="en-GB"/>
              </w:rPr>
              <w:t>10.46</w:t>
            </w:r>
          </w:p>
        </w:tc>
        <w:tc>
          <w:tcPr>
            <w:tcW w:w="1260" w:type="dxa"/>
          </w:tcPr>
          <w:p w14:paraId="13F60F22" w14:textId="77777777" w:rsidR="007C5F09" w:rsidRPr="00786C50" w:rsidRDefault="007C5F09" w:rsidP="00EE5176">
            <w:pPr>
              <w:rPr>
                <w:lang w:val="en-GB"/>
              </w:rPr>
            </w:pPr>
          </w:p>
        </w:tc>
        <w:tc>
          <w:tcPr>
            <w:tcW w:w="1098" w:type="dxa"/>
          </w:tcPr>
          <w:p w14:paraId="61AF39F5" w14:textId="77777777" w:rsidR="007C5F09" w:rsidRPr="00786C50" w:rsidRDefault="007C5F09" w:rsidP="00EE5176">
            <w:pPr>
              <w:rPr>
                <w:lang w:val="en-GB"/>
              </w:rPr>
            </w:pPr>
          </w:p>
        </w:tc>
      </w:tr>
      <w:tr w:rsidR="007C5F09" w:rsidRPr="00786C50" w14:paraId="2712728C" w14:textId="77777777" w:rsidTr="00EE5176">
        <w:trPr>
          <w:trHeight w:val="330"/>
          <w:jc w:val="center"/>
        </w:trPr>
        <w:tc>
          <w:tcPr>
            <w:tcW w:w="1830" w:type="dxa"/>
            <w:vMerge w:val="restart"/>
            <w:tcBorders>
              <w:right w:val="single" w:sz="4" w:space="0" w:color="auto"/>
            </w:tcBorders>
          </w:tcPr>
          <w:p w14:paraId="6E1A826E" w14:textId="77777777" w:rsidR="007C5F09" w:rsidRPr="00786C50" w:rsidRDefault="007C5F09" w:rsidP="00EE5176">
            <w:pPr>
              <w:rPr>
                <w:lang w:val="en-GB"/>
              </w:rPr>
            </w:pPr>
            <w:r w:rsidRPr="00786C50">
              <w:rPr>
                <w:lang w:val="en-GB"/>
              </w:rPr>
              <w:t>Gender</w:t>
            </w:r>
          </w:p>
          <w:p w14:paraId="0A0AB891" w14:textId="77777777" w:rsidR="007C5F09" w:rsidRPr="00786C50" w:rsidRDefault="007C5F09" w:rsidP="00EE5176">
            <w:pPr>
              <w:rPr>
                <w:lang w:val="en-GB"/>
              </w:rPr>
            </w:pPr>
          </w:p>
        </w:tc>
        <w:tc>
          <w:tcPr>
            <w:tcW w:w="1698" w:type="dxa"/>
            <w:tcBorders>
              <w:left w:val="single" w:sz="4" w:space="0" w:color="auto"/>
              <w:bottom w:val="single" w:sz="4" w:space="0" w:color="auto"/>
            </w:tcBorders>
          </w:tcPr>
          <w:p w14:paraId="585736DD" w14:textId="77777777" w:rsidR="007C5F09" w:rsidRPr="00786C50" w:rsidRDefault="007C5F09" w:rsidP="00EE5176">
            <w:pPr>
              <w:rPr>
                <w:lang w:val="en-GB"/>
              </w:rPr>
            </w:pPr>
            <w:r w:rsidRPr="00786C50">
              <w:rPr>
                <w:lang w:val="en-GB"/>
              </w:rPr>
              <w:t xml:space="preserve">Boys </w:t>
            </w:r>
          </w:p>
        </w:tc>
        <w:tc>
          <w:tcPr>
            <w:tcW w:w="1260" w:type="dxa"/>
            <w:tcBorders>
              <w:bottom w:val="single" w:sz="4" w:space="0" w:color="auto"/>
            </w:tcBorders>
          </w:tcPr>
          <w:p w14:paraId="24E0B239" w14:textId="77777777" w:rsidR="007C5F09" w:rsidRPr="00786C50" w:rsidRDefault="007C5F09" w:rsidP="00EE5176">
            <w:pPr>
              <w:rPr>
                <w:lang w:val="en-GB"/>
              </w:rPr>
            </w:pPr>
            <w:r w:rsidRPr="00786C50">
              <w:rPr>
                <w:lang w:val="en-GB"/>
              </w:rPr>
              <w:t>158</w:t>
            </w:r>
          </w:p>
        </w:tc>
        <w:tc>
          <w:tcPr>
            <w:tcW w:w="1170" w:type="dxa"/>
            <w:tcBorders>
              <w:bottom w:val="single" w:sz="4" w:space="0" w:color="auto"/>
            </w:tcBorders>
          </w:tcPr>
          <w:p w14:paraId="5B220ACC" w14:textId="77777777" w:rsidR="007C5F09" w:rsidRPr="00786C50" w:rsidRDefault="007C5F09" w:rsidP="00EE5176">
            <w:pPr>
              <w:rPr>
                <w:lang w:val="en-GB"/>
              </w:rPr>
            </w:pPr>
            <w:r w:rsidRPr="00786C50">
              <w:rPr>
                <w:lang w:val="en-GB"/>
              </w:rPr>
              <w:t>29.20</w:t>
            </w:r>
          </w:p>
        </w:tc>
        <w:tc>
          <w:tcPr>
            <w:tcW w:w="1260" w:type="dxa"/>
            <w:tcBorders>
              <w:bottom w:val="single" w:sz="4" w:space="0" w:color="auto"/>
            </w:tcBorders>
          </w:tcPr>
          <w:p w14:paraId="440528FF" w14:textId="77777777" w:rsidR="007C5F09" w:rsidRPr="00786C50" w:rsidRDefault="007C5F09" w:rsidP="00EE5176">
            <w:pPr>
              <w:rPr>
                <w:lang w:val="en-GB"/>
              </w:rPr>
            </w:pPr>
            <w:r w:rsidRPr="00786C50">
              <w:rPr>
                <w:lang w:val="en-GB"/>
              </w:rPr>
              <w:t>10.83</w:t>
            </w:r>
          </w:p>
        </w:tc>
        <w:tc>
          <w:tcPr>
            <w:tcW w:w="1260" w:type="dxa"/>
            <w:vMerge w:val="restart"/>
          </w:tcPr>
          <w:p w14:paraId="1502A644" w14:textId="77777777" w:rsidR="007C5F09" w:rsidRPr="00786C50" w:rsidRDefault="007C5F09" w:rsidP="00EE5176">
            <w:pPr>
              <w:rPr>
                <w:lang w:val="en-GB"/>
              </w:rPr>
            </w:pPr>
            <w:r w:rsidRPr="00786C50">
              <w:rPr>
                <w:lang w:val="en-GB"/>
              </w:rPr>
              <w:t>0.2567</w:t>
            </w:r>
          </w:p>
        </w:tc>
        <w:tc>
          <w:tcPr>
            <w:tcW w:w="1098" w:type="dxa"/>
            <w:vMerge w:val="restart"/>
          </w:tcPr>
          <w:p w14:paraId="21B13A33" w14:textId="77777777" w:rsidR="007C5F09" w:rsidRPr="00786C50" w:rsidRDefault="007C5F09" w:rsidP="00EE5176">
            <w:pPr>
              <w:rPr>
                <w:lang w:val="en-GB"/>
              </w:rPr>
            </w:pPr>
            <w:r w:rsidRPr="00786C50">
              <w:rPr>
                <w:lang w:val="en-GB"/>
              </w:rPr>
              <w:t>NS</w:t>
            </w:r>
          </w:p>
        </w:tc>
      </w:tr>
      <w:tr w:rsidR="007C5F09" w:rsidRPr="00786C50" w14:paraId="5CC79C01" w14:textId="77777777" w:rsidTr="00EE5176">
        <w:trPr>
          <w:trHeight w:val="195"/>
          <w:jc w:val="center"/>
        </w:trPr>
        <w:tc>
          <w:tcPr>
            <w:tcW w:w="1830" w:type="dxa"/>
            <w:vMerge/>
            <w:tcBorders>
              <w:right w:val="single" w:sz="4" w:space="0" w:color="auto"/>
            </w:tcBorders>
          </w:tcPr>
          <w:p w14:paraId="09C12B4C"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52A6AC32" w14:textId="77777777" w:rsidR="007C5F09" w:rsidRPr="00786C50" w:rsidRDefault="007C5F09" w:rsidP="00EE5176">
            <w:pPr>
              <w:rPr>
                <w:lang w:val="en-GB"/>
              </w:rPr>
            </w:pPr>
            <w:r w:rsidRPr="00786C50">
              <w:rPr>
                <w:lang w:val="en-GB"/>
              </w:rPr>
              <w:t>Girls</w:t>
            </w:r>
          </w:p>
        </w:tc>
        <w:tc>
          <w:tcPr>
            <w:tcW w:w="1260" w:type="dxa"/>
            <w:tcBorders>
              <w:top w:val="single" w:sz="4" w:space="0" w:color="auto"/>
            </w:tcBorders>
          </w:tcPr>
          <w:p w14:paraId="5F28CCBC" w14:textId="77777777" w:rsidR="007C5F09" w:rsidRPr="00786C50" w:rsidRDefault="007C5F09" w:rsidP="00EE5176">
            <w:pPr>
              <w:rPr>
                <w:lang w:val="en-GB"/>
              </w:rPr>
            </w:pPr>
            <w:r w:rsidRPr="00786C50">
              <w:rPr>
                <w:lang w:val="en-GB"/>
              </w:rPr>
              <w:t>149</w:t>
            </w:r>
          </w:p>
        </w:tc>
        <w:tc>
          <w:tcPr>
            <w:tcW w:w="1170" w:type="dxa"/>
            <w:tcBorders>
              <w:top w:val="single" w:sz="4" w:space="0" w:color="auto"/>
            </w:tcBorders>
          </w:tcPr>
          <w:p w14:paraId="3B432895" w14:textId="77777777" w:rsidR="007C5F09" w:rsidRPr="00786C50" w:rsidRDefault="007C5F09" w:rsidP="00EE5176">
            <w:pPr>
              <w:rPr>
                <w:lang w:val="en-GB"/>
              </w:rPr>
            </w:pPr>
            <w:r w:rsidRPr="00786C50">
              <w:rPr>
                <w:lang w:val="en-GB"/>
              </w:rPr>
              <w:t>29.50</w:t>
            </w:r>
          </w:p>
        </w:tc>
        <w:tc>
          <w:tcPr>
            <w:tcW w:w="1260" w:type="dxa"/>
            <w:tcBorders>
              <w:top w:val="single" w:sz="4" w:space="0" w:color="auto"/>
            </w:tcBorders>
          </w:tcPr>
          <w:p w14:paraId="1A789F44" w14:textId="77777777" w:rsidR="007C5F09" w:rsidRPr="00786C50" w:rsidRDefault="007C5F09" w:rsidP="00EE5176">
            <w:pPr>
              <w:rPr>
                <w:lang w:val="en-GB"/>
              </w:rPr>
            </w:pPr>
            <w:r w:rsidRPr="00786C50">
              <w:rPr>
                <w:lang w:val="en-GB"/>
              </w:rPr>
              <w:t>10.08</w:t>
            </w:r>
          </w:p>
        </w:tc>
        <w:tc>
          <w:tcPr>
            <w:tcW w:w="1260" w:type="dxa"/>
            <w:vMerge/>
          </w:tcPr>
          <w:p w14:paraId="2082C3F4" w14:textId="77777777" w:rsidR="007C5F09" w:rsidRPr="00786C50" w:rsidRDefault="007C5F09" w:rsidP="00EE5176">
            <w:pPr>
              <w:rPr>
                <w:lang w:val="en-GB"/>
              </w:rPr>
            </w:pPr>
          </w:p>
        </w:tc>
        <w:tc>
          <w:tcPr>
            <w:tcW w:w="1098" w:type="dxa"/>
            <w:vMerge/>
          </w:tcPr>
          <w:p w14:paraId="53A42FB9" w14:textId="77777777" w:rsidR="007C5F09" w:rsidRPr="00786C50" w:rsidRDefault="007C5F09" w:rsidP="00EE5176">
            <w:pPr>
              <w:rPr>
                <w:lang w:val="en-GB"/>
              </w:rPr>
            </w:pPr>
          </w:p>
        </w:tc>
      </w:tr>
      <w:tr w:rsidR="007C5F09" w:rsidRPr="00786C50" w14:paraId="78472356" w14:textId="77777777" w:rsidTr="00EE5176">
        <w:trPr>
          <w:trHeight w:val="135"/>
          <w:jc w:val="center"/>
        </w:trPr>
        <w:tc>
          <w:tcPr>
            <w:tcW w:w="1830" w:type="dxa"/>
            <w:vMerge w:val="restart"/>
            <w:tcBorders>
              <w:right w:val="single" w:sz="4" w:space="0" w:color="auto"/>
            </w:tcBorders>
          </w:tcPr>
          <w:p w14:paraId="70B8BD5C" w14:textId="77777777" w:rsidR="007C5F09" w:rsidRPr="00786C50" w:rsidRDefault="007C5F09" w:rsidP="00EE5176">
            <w:pPr>
              <w:rPr>
                <w:lang w:val="en-GB"/>
              </w:rPr>
            </w:pPr>
            <w:r w:rsidRPr="00786C50">
              <w:rPr>
                <w:lang w:val="en-GB"/>
              </w:rPr>
              <w:t>Degree</w:t>
            </w:r>
          </w:p>
        </w:tc>
        <w:tc>
          <w:tcPr>
            <w:tcW w:w="1698" w:type="dxa"/>
            <w:tcBorders>
              <w:left w:val="single" w:sz="4" w:space="0" w:color="auto"/>
              <w:bottom w:val="single" w:sz="4" w:space="0" w:color="auto"/>
            </w:tcBorders>
          </w:tcPr>
          <w:p w14:paraId="7A455AF2" w14:textId="77777777" w:rsidR="007C5F09" w:rsidRPr="00786C50" w:rsidRDefault="007C5F09" w:rsidP="00EE5176">
            <w:pPr>
              <w:rPr>
                <w:lang w:val="en-GB"/>
              </w:rPr>
            </w:pPr>
            <w:r w:rsidRPr="00786C50">
              <w:rPr>
                <w:lang w:val="en-GB"/>
              </w:rPr>
              <w:t>UG</w:t>
            </w:r>
          </w:p>
        </w:tc>
        <w:tc>
          <w:tcPr>
            <w:tcW w:w="1260" w:type="dxa"/>
            <w:tcBorders>
              <w:bottom w:val="single" w:sz="4" w:space="0" w:color="auto"/>
            </w:tcBorders>
          </w:tcPr>
          <w:p w14:paraId="51BEDEBD" w14:textId="77777777" w:rsidR="007C5F09" w:rsidRPr="00786C50" w:rsidRDefault="007C5F09" w:rsidP="00EE5176">
            <w:pPr>
              <w:rPr>
                <w:lang w:val="en-GB"/>
              </w:rPr>
            </w:pPr>
            <w:r w:rsidRPr="00786C50">
              <w:rPr>
                <w:lang w:val="en-GB"/>
              </w:rPr>
              <w:t>162</w:t>
            </w:r>
          </w:p>
        </w:tc>
        <w:tc>
          <w:tcPr>
            <w:tcW w:w="1170" w:type="dxa"/>
            <w:tcBorders>
              <w:bottom w:val="single" w:sz="4" w:space="0" w:color="auto"/>
            </w:tcBorders>
          </w:tcPr>
          <w:p w14:paraId="2273D6FF" w14:textId="77777777" w:rsidR="007C5F09" w:rsidRPr="00786C50" w:rsidRDefault="007C5F09" w:rsidP="00EE5176">
            <w:pPr>
              <w:rPr>
                <w:lang w:val="en-GB"/>
              </w:rPr>
            </w:pPr>
            <w:r w:rsidRPr="00786C50">
              <w:rPr>
                <w:lang w:val="en-GB"/>
              </w:rPr>
              <w:t>28.38</w:t>
            </w:r>
          </w:p>
        </w:tc>
        <w:tc>
          <w:tcPr>
            <w:tcW w:w="1260" w:type="dxa"/>
            <w:tcBorders>
              <w:bottom w:val="single" w:sz="4" w:space="0" w:color="auto"/>
            </w:tcBorders>
          </w:tcPr>
          <w:p w14:paraId="510BC269" w14:textId="77777777" w:rsidR="007C5F09" w:rsidRPr="00786C50" w:rsidRDefault="007C5F09" w:rsidP="00EE5176">
            <w:pPr>
              <w:rPr>
                <w:lang w:val="en-GB"/>
              </w:rPr>
            </w:pPr>
            <w:r w:rsidRPr="00786C50">
              <w:rPr>
                <w:lang w:val="en-GB"/>
              </w:rPr>
              <w:t>10.15</w:t>
            </w:r>
          </w:p>
        </w:tc>
        <w:tc>
          <w:tcPr>
            <w:tcW w:w="1260" w:type="dxa"/>
            <w:vMerge w:val="restart"/>
          </w:tcPr>
          <w:p w14:paraId="4B2E24D0" w14:textId="77777777" w:rsidR="007C5F09" w:rsidRPr="00786C50" w:rsidRDefault="007C5F09" w:rsidP="00EE5176">
            <w:pPr>
              <w:rPr>
                <w:lang w:val="en-GB"/>
              </w:rPr>
            </w:pPr>
            <w:r w:rsidRPr="00786C50">
              <w:rPr>
                <w:lang w:val="en-GB"/>
              </w:rPr>
              <w:t>1.7104</w:t>
            </w:r>
          </w:p>
        </w:tc>
        <w:tc>
          <w:tcPr>
            <w:tcW w:w="1098" w:type="dxa"/>
            <w:vMerge w:val="restart"/>
          </w:tcPr>
          <w:p w14:paraId="44472444" w14:textId="77777777" w:rsidR="007C5F09" w:rsidRPr="00786C50" w:rsidRDefault="007C5F09" w:rsidP="00EE5176">
            <w:pPr>
              <w:rPr>
                <w:lang w:val="en-GB"/>
              </w:rPr>
            </w:pPr>
            <w:r w:rsidRPr="00786C50">
              <w:rPr>
                <w:lang w:val="en-GB"/>
              </w:rPr>
              <w:t>NS</w:t>
            </w:r>
          </w:p>
        </w:tc>
      </w:tr>
      <w:tr w:rsidR="007C5F09" w:rsidRPr="00786C50" w14:paraId="15403537" w14:textId="77777777" w:rsidTr="00EE5176">
        <w:trPr>
          <w:trHeight w:val="135"/>
          <w:jc w:val="center"/>
        </w:trPr>
        <w:tc>
          <w:tcPr>
            <w:tcW w:w="1830" w:type="dxa"/>
            <w:vMerge/>
            <w:tcBorders>
              <w:right w:val="single" w:sz="4" w:space="0" w:color="auto"/>
            </w:tcBorders>
          </w:tcPr>
          <w:p w14:paraId="5C2383E4"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5987A029" w14:textId="77777777" w:rsidR="007C5F09" w:rsidRPr="00786C50" w:rsidRDefault="007C5F09" w:rsidP="00EE5176">
            <w:pPr>
              <w:rPr>
                <w:lang w:val="en-GB"/>
              </w:rPr>
            </w:pPr>
            <w:r w:rsidRPr="00786C50">
              <w:rPr>
                <w:lang w:val="en-GB"/>
              </w:rPr>
              <w:t>PG</w:t>
            </w:r>
          </w:p>
        </w:tc>
        <w:tc>
          <w:tcPr>
            <w:tcW w:w="1260" w:type="dxa"/>
            <w:tcBorders>
              <w:top w:val="single" w:sz="4" w:space="0" w:color="auto"/>
            </w:tcBorders>
          </w:tcPr>
          <w:p w14:paraId="43183909" w14:textId="77777777" w:rsidR="007C5F09" w:rsidRPr="00786C50" w:rsidRDefault="007C5F09" w:rsidP="00EE5176">
            <w:pPr>
              <w:rPr>
                <w:lang w:val="en-GB"/>
              </w:rPr>
            </w:pPr>
            <w:r w:rsidRPr="00786C50">
              <w:rPr>
                <w:lang w:val="en-GB"/>
              </w:rPr>
              <w:t>145</w:t>
            </w:r>
          </w:p>
        </w:tc>
        <w:tc>
          <w:tcPr>
            <w:tcW w:w="1170" w:type="dxa"/>
            <w:tcBorders>
              <w:top w:val="single" w:sz="4" w:space="0" w:color="auto"/>
            </w:tcBorders>
          </w:tcPr>
          <w:p w14:paraId="1350D694" w14:textId="77777777" w:rsidR="007C5F09" w:rsidRPr="00786C50" w:rsidRDefault="007C5F09" w:rsidP="00EE5176">
            <w:pPr>
              <w:rPr>
                <w:lang w:val="en-GB"/>
              </w:rPr>
            </w:pPr>
            <w:r w:rsidRPr="00786C50">
              <w:rPr>
                <w:lang w:val="en-GB"/>
              </w:rPr>
              <w:t>30.42</w:t>
            </w:r>
          </w:p>
        </w:tc>
        <w:tc>
          <w:tcPr>
            <w:tcW w:w="1260" w:type="dxa"/>
            <w:tcBorders>
              <w:top w:val="single" w:sz="4" w:space="0" w:color="auto"/>
            </w:tcBorders>
          </w:tcPr>
          <w:p w14:paraId="1F44AA1C" w14:textId="77777777" w:rsidR="007C5F09" w:rsidRPr="00786C50" w:rsidRDefault="007C5F09" w:rsidP="00EE5176">
            <w:pPr>
              <w:rPr>
                <w:lang w:val="en-GB"/>
              </w:rPr>
            </w:pPr>
            <w:r w:rsidRPr="00786C50">
              <w:rPr>
                <w:lang w:val="en-GB"/>
              </w:rPr>
              <w:t>10.72</w:t>
            </w:r>
          </w:p>
        </w:tc>
        <w:tc>
          <w:tcPr>
            <w:tcW w:w="1260" w:type="dxa"/>
            <w:vMerge/>
          </w:tcPr>
          <w:p w14:paraId="283EAC72" w14:textId="77777777" w:rsidR="007C5F09" w:rsidRPr="00786C50" w:rsidRDefault="007C5F09" w:rsidP="00EE5176">
            <w:pPr>
              <w:rPr>
                <w:lang w:val="en-GB"/>
              </w:rPr>
            </w:pPr>
          </w:p>
        </w:tc>
        <w:tc>
          <w:tcPr>
            <w:tcW w:w="1098" w:type="dxa"/>
            <w:vMerge/>
          </w:tcPr>
          <w:p w14:paraId="076A54B4" w14:textId="77777777" w:rsidR="007C5F09" w:rsidRPr="00786C50" w:rsidRDefault="007C5F09" w:rsidP="00EE5176">
            <w:pPr>
              <w:rPr>
                <w:lang w:val="en-GB"/>
              </w:rPr>
            </w:pPr>
          </w:p>
        </w:tc>
      </w:tr>
      <w:tr w:rsidR="007C5F09" w:rsidRPr="00786C50" w14:paraId="58DEE050" w14:textId="77777777" w:rsidTr="00EE5176">
        <w:trPr>
          <w:trHeight w:val="150"/>
          <w:jc w:val="center"/>
        </w:trPr>
        <w:tc>
          <w:tcPr>
            <w:tcW w:w="1830" w:type="dxa"/>
            <w:vMerge w:val="restart"/>
            <w:tcBorders>
              <w:right w:val="single" w:sz="4" w:space="0" w:color="auto"/>
            </w:tcBorders>
          </w:tcPr>
          <w:p w14:paraId="5B463ED1" w14:textId="77777777" w:rsidR="007C5F09" w:rsidRPr="00786C50" w:rsidRDefault="007C5F09" w:rsidP="00EE5176">
            <w:pPr>
              <w:rPr>
                <w:lang w:val="en-GB"/>
              </w:rPr>
            </w:pPr>
            <w:r w:rsidRPr="00786C50">
              <w:rPr>
                <w:lang w:val="en-GB"/>
              </w:rPr>
              <w:t>Type of Institutions</w:t>
            </w:r>
          </w:p>
        </w:tc>
        <w:tc>
          <w:tcPr>
            <w:tcW w:w="1698" w:type="dxa"/>
            <w:tcBorders>
              <w:left w:val="single" w:sz="4" w:space="0" w:color="auto"/>
              <w:bottom w:val="single" w:sz="4" w:space="0" w:color="auto"/>
            </w:tcBorders>
          </w:tcPr>
          <w:p w14:paraId="30E4CED7" w14:textId="77777777" w:rsidR="007C5F09" w:rsidRPr="00786C50" w:rsidRDefault="007C5F09" w:rsidP="00EE5176">
            <w:pPr>
              <w:rPr>
                <w:lang w:val="en-GB"/>
              </w:rPr>
            </w:pPr>
            <w:r w:rsidRPr="00786C50">
              <w:rPr>
                <w:lang w:val="en-GB"/>
              </w:rPr>
              <w:t>Government</w:t>
            </w:r>
          </w:p>
        </w:tc>
        <w:tc>
          <w:tcPr>
            <w:tcW w:w="1260" w:type="dxa"/>
            <w:tcBorders>
              <w:bottom w:val="single" w:sz="4" w:space="0" w:color="auto"/>
            </w:tcBorders>
          </w:tcPr>
          <w:p w14:paraId="54DFCBB2" w14:textId="77777777" w:rsidR="007C5F09" w:rsidRPr="00786C50" w:rsidRDefault="007C5F09" w:rsidP="00EE5176">
            <w:pPr>
              <w:rPr>
                <w:lang w:val="en-GB"/>
              </w:rPr>
            </w:pPr>
            <w:r w:rsidRPr="00786C50">
              <w:rPr>
                <w:lang w:val="en-GB"/>
              </w:rPr>
              <w:t>151</w:t>
            </w:r>
          </w:p>
        </w:tc>
        <w:tc>
          <w:tcPr>
            <w:tcW w:w="1170" w:type="dxa"/>
            <w:tcBorders>
              <w:bottom w:val="single" w:sz="4" w:space="0" w:color="auto"/>
            </w:tcBorders>
          </w:tcPr>
          <w:p w14:paraId="28965158" w14:textId="77777777" w:rsidR="007C5F09" w:rsidRPr="00786C50" w:rsidRDefault="007C5F09" w:rsidP="00EE5176">
            <w:pPr>
              <w:rPr>
                <w:lang w:val="en-GB"/>
              </w:rPr>
            </w:pPr>
            <w:r w:rsidRPr="00786C50">
              <w:rPr>
                <w:lang w:val="en-GB"/>
              </w:rPr>
              <w:t>28.84</w:t>
            </w:r>
          </w:p>
        </w:tc>
        <w:tc>
          <w:tcPr>
            <w:tcW w:w="1260" w:type="dxa"/>
            <w:tcBorders>
              <w:bottom w:val="single" w:sz="4" w:space="0" w:color="auto"/>
            </w:tcBorders>
          </w:tcPr>
          <w:p w14:paraId="29BB631A" w14:textId="77777777" w:rsidR="007C5F09" w:rsidRPr="00786C50" w:rsidRDefault="007C5F09" w:rsidP="00EE5176">
            <w:pPr>
              <w:rPr>
                <w:lang w:val="en-GB"/>
              </w:rPr>
            </w:pPr>
            <w:r w:rsidRPr="00786C50">
              <w:rPr>
                <w:lang w:val="en-GB"/>
              </w:rPr>
              <w:t>10.22</w:t>
            </w:r>
          </w:p>
        </w:tc>
        <w:tc>
          <w:tcPr>
            <w:tcW w:w="1260" w:type="dxa"/>
            <w:vMerge w:val="restart"/>
          </w:tcPr>
          <w:p w14:paraId="14D5B6E3" w14:textId="77777777" w:rsidR="007C5F09" w:rsidRPr="00786C50" w:rsidRDefault="007C5F09" w:rsidP="00EE5176">
            <w:pPr>
              <w:rPr>
                <w:lang w:val="en-GB"/>
              </w:rPr>
            </w:pPr>
            <w:r w:rsidRPr="00786C50">
              <w:rPr>
                <w:lang w:val="en-GB"/>
              </w:rPr>
              <w:t>0.831</w:t>
            </w:r>
          </w:p>
        </w:tc>
        <w:tc>
          <w:tcPr>
            <w:tcW w:w="1098" w:type="dxa"/>
            <w:vMerge w:val="restart"/>
          </w:tcPr>
          <w:p w14:paraId="65D5DF28" w14:textId="77777777" w:rsidR="007C5F09" w:rsidRPr="00786C50" w:rsidRDefault="007C5F09" w:rsidP="00EE5176">
            <w:pPr>
              <w:rPr>
                <w:lang w:val="en-GB"/>
              </w:rPr>
            </w:pPr>
            <w:r w:rsidRPr="00786C50">
              <w:rPr>
                <w:lang w:val="en-GB"/>
              </w:rPr>
              <w:t>NS</w:t>
            </w:r>
          </w:p>
        </w:tc>
      </w:tr>
      <w:tr w:rsidR="007C5F09" w:rsidRPr="00786C50" w14:paraId="30AB64BC" w14:textId="77777777" w:rsidTr="00EE5176">
        <w:trPr>
          <w:trHeight w:val="120"/>
          <w:jc w:val="center"/>
        </w:trPr>
        <w:tc>
          <w:tcPr>
            <w:tcW w:w="1830" w:type="dxa"/>
            <w:vMerge/>
            <w:tcBorders>
              <w:right w:val="single" w:sz="4" w:space="0" w:color="auto"/>
            </w:tcBorders>
          </w:tcPr>
          <w:p w14:paraId="795054A5"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19CC3A40" w14:textId="77777777" w:rsidR="007C5F09" w:rsidRPr="00786C50" w:rsidRDefault="007C5F09" w:rsidP="00EE5176">
            <w:pPr>
              <w:rPr>
                <w:lang w:val="en-GB"/>
              </w:rPr>
            </w:pPr>
            <w:r w:rsidRPr="00786C50">
              <w:rPr>
                <w:lang w:val="en-GB"/>
              </w:rPr>
              <w:t>Private</w:t>
            </w:r>
          </w:p>
        </w:tc>
        <w:tc>
          <w:tcPr>
            <w:tcW w:w="1260" w:type="dxa"/>
            <w:tcBorders>
              <w:top w:val="single" w:sz="4" w:space="0" w:color="auto"/>
            </w:tcBorders>
          </w:tcPr>
          <w:p w14:paraId="4AE369EA" w14:textId="77777777" w:rsidR="007C5F09" w:rsidRPr="00786C50" w:rsidRDefault="007C5F09" w:rsidP="00EE5176">
            <w:pPr>
              <w:rPr>
                <w:lang w:val="en-GB"/>
              </w:rPr>
            </w:pPr>
            <w:r w:rsidRPr="00786C50">
              <w:rPr>
                <w:lang w:val="en-GB"/>
              </w:rPr>
              <w:t>156</w:t>
            </w:r>
          </w:p>
        </w:tc>
        <w:tc>
          <w:tcPr>
            <w:tcW w:w="1170" w:type="dxa"/>
            <w:tcBorders>
              <w:top w:val="single" w:sz="4" w:space="0" w:color="auto"/>
            </w:tcBorders>
          </w:tcPr>
          <w:p w14:paraId="1163067C" w14:textId="77777777" w:rsidR="007C5F09" w:rsidRPr="00786C50" w:rsidRDefault="007C5F09" w:rsidP="00EE5176">
            <w:pPr>
              <w:rPr>
                <w:lang w:val="en-GB"/>
              </w:rPr>
            </w:pPr>
            <w:r w:rsidRPr="00786C50">
              <w:rPr>
                <w:lang w:val="en-GB"/>
              </w:rPr>
              <w:t>29.83</w:t>
            </w:r>
          </w:p>
        </w:tc>
        <w:tc>
          <w:tcPr>
            <w:tcW w:w="1260" w:type="dxa"/>
            <w:tcBorders>
              <w:top w:val="single" w:sz="4" w:space="0" w:color="auto"/>
            </w:tcBorders>
          </w:tcPr>
          <w:p w14:paraId="1EFC79AC" w14:textId="77777777" w:rsidR="007C5F09" w:rsidRPr="00786C50" w:rsidRDefault="007C5F09" w:rsidP="00EE5176">
            <w:pPr>
              <w:rPr>
                <w:lang w:val="en-GB"/>
              </w:rPr>
            </w:pPr>
            <w:r w:rsidRPr="00786C50">
              <w:rPr>
                <w:lang w:val="en-GB"/>
              </w:rPr>
              <w:t>10.69</w:t>
            </w:r>
          </w:p>
        </w:tc>
        <w:tc>
          <w:tcPr>
            <w:tcW w:w="1260" w:type="dxa"/>
            <w:vMerge/>
          </w:tcPr>
          <w:p w14:paraId="56D47EEB" w14:textId="77777777" w:rsidR="007C5F09" w:rsidRPr="00786C50" w:rsidRDefault="007C5F09" w:rsidP="00EE5176">
            <w:pPr>
              <w:rPr>
                <w:lang w:val="en-GB"/>
              </w:rPr>
            </w:pPr>
          </w:p>
        </w:tc>
        <w:tc>
          <w:tcPr>
            <w:tcW w:w="1098" w:type="dxa"/>
            <w:vMerge/>
          </w:tcPr>
          <w:p w14:paraId="3115E97E" w14:textId="77777777" w:rsidR="007C5F09" w:rsidRPr="00786C50" w:rsidRDefault="007C5F09" w:rsidP="00EE5176">
            <w:pPr>
              <w:rPr>
                <w:lang w:val="en-GB"/>
              </w:rPr>
            </w:pPr>
          </w:p>
        </w:tc>
      </w:tr>
      <w:tr w:rsidR="007C5F09" w:rsidRPr="00786C50" w14:paraId="78E15E0A" w14:textId="77777777" w:rsidTr="00EE5176">
        <w:trPr>
          <w:trHeight w:val="165"/>
          <w:jc w:val="center"/>
        </w:trPr>
        <w:tc>
          <w:tcPr>
            <w:tcW w:w="1830" w:type="dxa"/>
            <w:vMerge w:val="restart"/>
            <w:tcBorders>
              <w:right w:val="single" w:sz="4" w:space="0" w:color="auto"/>
            </w:tcBorders>
          </w:tcPr>
          <w:p w14:paraId="3A445198" w14:textId="77777777" w:rsidR="007C5F09" w:rsidRPr="00786C50" w:rsidRDefault="007C5F09" w:rsidP="00EE5176">
            <w:pPr>
              <w:rPr>
                <w:lang w:val="en-GB"/>
              </w:rPr>
            </w:pPr>
            <w:r w:rsidRPr="00786C50">
              <w:rPr>
                <w:lang w:val="en-GB"/>
              </w:rPr>
              <w:t>Locality</w:t>
            </w:r>
          </w:p>
        </w:tc>
        <w:tc>
          <w:tcPr>
            <w:tcW w:w="1698" w:type="dxa"/>
            <w:tcBorders>
              <w:left w:val="single" w:sz="4" w:space="0" w:color="auto"/>
              <w:bottom w:val="single" w:sz="4" w:space="0" w:color="auto"/>
            </w:tcBorders>
          </w:tcPr>
          <w:p w14:paraId="69FB1121" w14:textId="77777777" w:rsidR="007C5F09" w:rsidRPr="00786C50" w:rsidRDefault="007C5F09" w:rsidP="00EE5176">
            <w:pPr>
              <w:rPr>
                <w:lang w:val="en-GB"/>
              </w:rPr>
            </w:pPr>
            <w:r w:rsidRPr="00786C50">
              <w:rPr>
                <w:lang w:val="en-GB"/>
              </w:rPr>
              <w:t>Rural</w:t>
            </w:r>
          </w:p>
        </w:tc>
        <w:tc>
          <w:tcPr>
            <w:tcW w:w="1260" w:type="dxa"/>
            <w:tcBorders>
              <w:bottom w:val="single" w:sz="4" w:space="0" w:color="auto"/>
            </w:tcBorders>
          </w:tcPr>
          <w:p w14:paraId="5FCD01D1" w14:textId="77777777" w:rsidR="007C5F09" w:rsidRPr="00786C50" w:rsidRDefault="007C5F09" w:rsidP="00EE5176">
            <w:pPr>
              <w:rPr>
                <w:lang w:val="en-GB"/>
              </w:rPr>
            </w:pPr>
            <w:r w:rsidRPr="00786C50">
              <w:rPr>
                <w:lang w:val="en-GB"/>
              </w:rPr>
              <w:t>142</w:t>
            </w:r>
          </w:p>
        </w:tc>
        <w:tc>
          <w:tcPr>
            <w:tcW w:w="1170" w:type="dxa"/>
            <w:tcBorders>
              <w:bottom w:val="single" w:sz="4" w:space="0" w:color="auto"/>
            </w:tcBorders>
          </w:tcPr>
          <w:p w14:paraId="56CB9F2B" w14:textId="77777777" w:rsidR="007C5F09" w:rsidRPr="00786C50" w:rsidRDefault="007C5F09" w:rsidP="00EE5176">
            <w:pPr>
              <w:rPr>
                <w:lang w:val="en-GB"/>
              </w:rPr>
            </w:pPr>
            <w:r w:rsidRPr="00786C50">
              <w:rPr>
                <w:lang w:val="en-GB"/>
              </w:rPr>
              <w:t>29.15</w:t>
            </w:r>
          </w:p>
        </w:tc>
        <w:tc>
          <w:tcPr>
            <w:tcW w:w="1260" w:type="dxa"/>
            <w:tcBorders>
              <w:bottom w:val="single" w:sz="4" w:space="0" w:color="auto"/>
            </w:tcBorders>
          </w:tcPr>
          <w:p w14:paraId="5CA61235" w14:textId="77777777" w:rsidR="007C5F09" w:rsidRPr="00786C50" w:rsidRDefault="007C5F09" w:rsidP="00EE5176">
            <w:pPr>
              <w:rPr>
                <w:lang w:val="en-GB"/>
              </w:rPr>
            </w:pPr>
            <w:r w:rsidRPr="00786C50">
              <w:rPr>
                <w:lang w:val="en-GB"/>
              </w:rPr>
              <w:t>10.67</w:t>
            </w:r>
          </w:p>
        </w:tc>
        <w:tc>
          <w:tcPr>
            <w:tcW w:w="1260" w:type="dxa"/>
            <w:vMerge w:val="restart"/>
          </w:tcPr>
          <w:p w14:paraId="6A155012" w14:textId="77777777" w:rsidR="007C5F09" w:rsidRPr="00786C50" w:rsidRDefault="007C5F09" w:rsidP="00EE5176">
            <w:pPr>
              <w:rPr>
                <w:lang w:val="en-GB"/>
              </w:rPr>
            </w:pPr>
            <w:r w:rsidRPr="00786C50">
              <w:rPr>
                <w:lang w:val="en-GB"/>
              </w:rPr>
              <w:t>0.2955</w:t>
            </w:r>
          </w:p>
        </w:tc>
        <w:tc>
          <w:tcPr>
            <w:tcW w:w="1098" w:type="dxa"/>
            <w:vMerge w:val="restart"/>
          </w:tcPr>
          <w:p w14:paraId="4EADB40E" w14:textId="77777777" w:rsidR="007C5F09" w:rsidRPr="00786C50" w:rsidRDefault="007C5F09" w:rsidP="00EE5176">
            <w:pPr>
              <w:rPr>
                <w:lang w:val="en-GB"/>
              </w:rPr>
            </w:pPr>
            <w:r w:rsidRPr="00786C50">
              <w:rPr>
                <w:lang w:val="en-GB"/>
              </w:rPr>
              <w:t>NS</w:t>
            </w:r>
          </w:p>
        </w:tc>
      </w:tr>
      <w:tr w:rsidR="007C5F09" w:rsidRPr="00786C50" w14:paraId="4E73B154" w14:textId="77777777" w:rsidTr="00EE5176">
        <w:trPr>
          <w:trHeight w:val="90"/>
          <w:jc w:val="center"/>
        </w:trPr>
        <w:tc>
          <w:tcPr>
            <w:tcW w:w="1830" w:type="dxa"/>
            <w:vMerge/>
            <w:tcBorders>
              <w:right w:val="single" w:sz="4" w:space="0" w:color="auto"/>
            </w:tcBorders>
          </w:tcPr>
          <w:p w14:paraId="78E1A77B"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03E311A6" w14:textId="77777777" w:rsidR="007C5F09" w:rsidRPr="00786C50" w:rsidRDefault="007C5F09" w:rsidP="00EE5176">
            <w:pPr>
              <w:rPr>
                <w:lang w:val="en-GB"/>
              </w:rPr>
            </w:pPr>
            <w:r w:rsidRPr="00786C50">
              <w:rPr>
                <w:lang w:val="en-GB"/>
              </w:rPr>
              <w:t>Urban</w:t>
            </w:r>
          </w:p>
        </w:tc>
        <w:tc>
          <w:tcPr>
            <w:tcW w:w="1260" w:type="dxa"/>
            <w:tcBorders>
              <w:top w:val="single" w:sz="4" w:space="0" w:color="auto"/>
            </w:tcBorders>
          </w:tcPr>
          <w:p w14:paraId="3928B970" w14:textId="77777777" w:rsidR="007C5F09" w:rsidRPr="00786C50" w:rsidRDefault="007C5F09" w:rsidP="00EE5176">
            <w:pPr>
              <w:rPr>
                <w:lang w:val="en-GB"/>
              </w:rPr>
            </w:pPr>
            <w:r w:rsidRPr="00786C50">
              <w:rPr>
                <w:lang w:val="en-GB"/>
              </w:rPr>
              <w:t>165</w:t>
            </w:r>
          </w:p>
        </w:tc>
        <w:tc>
          <w:tcPr>
            <w:tcW w:w="1170" w:type="dxa"/>
            <w:tcBorders>
              <w:top w:val="single" w:sz="4" w:space="0" w:color="auto"/>
            </w:tcBorders>
          </w:tcPr>
          <w:p w14:paraId="6A5ED700" w14:textId="77777777" w:rsidR="007C5F09" w:rsidRPr="00786C50" w:rsidRDefault="007C5F09" w:rsidP="00EE5176">
            <w:pPr>
              <w:rPr>
                <w:lang w:val="en-GB"/>
              </w:rPr>
            </w:pPr>
            <w:r w:rsidRPr="00786C50">
              <w:rPr>
                <w:lang w:val="en-GB"/>
              </w:rPr>
              <w:t>29.51</w:t>
            </w:r>
          </w:p>
        </w:tc>
        <w:tc>
          <w:tcPr>
            <w:tcW w:w="1260" w:type="dxa"/>
            <w:tcBorders>
              <w:top w:val="single" w:sz="4" w:space="0" w:color="auto"/>
            </w:tcBorders>
          </w:tcPr>
          <w:p w14:paraId="536B089F" w14:textId="77777777" w:rsidR="007C5F09" w:rsidRPr="00786C50" w:rsidRDefault="007C5F09" w:rsidP="00EE5176">
            <w:pPr>
              <w:rPr>
                <w:lang w:val="en-GB"/>
              </w:rPr>
            </w:pPr>
            <w:r w:rsidRPr="00786C50">
              <w:rPr>
                <w:lang w:val="en-GB"/>
              </w:rPr>
              <w:t>10.30</w:t>
            </w:r>
          </w:p>
        </w:tc>
        <w:tc>
          <w:tcPr>
            <w:tcW w:w="1260" w:type="dxa"/>
            <w:vMerge/>
          </w:tcPr>
          <w:p w14:paraId="4C368BA3" w14:textId="77777777" w:rsidR="007C5F09" w:rsidRPr="00786C50" w:rsidRDefault="007C5F09" w:rsidP="00EE5176">
            <w:pPr>
              <w:rPr>
                <w:lang w:val="en-GB"/>
              </w:rPr>
            </w:pPr>
          </w:p>
        </w:tc>
        <w:tc>
          <w:tcPr>
            <w:tcW w:w="1098" w:type="dxa"/>
            <w:vMerge/>
          </w:tcPr>
          <w:p w14:paraId="6397B7D1" w14:textId="77777777" w:rsidR="007C5F09" w:rsidRPr="00786C50" w:rsidRDefault="007C5F09" w:rsidP="00EE5176">
            <w:pPr>
              <w:rPr>
                <w:lang w:val="en-GB"/>
              </w:rPr>
            </w:pPr>
          </w:p>
        </w:tc>
      </w:tr>
    </w:tbl>
    <w:p w14:paraId="4766CCA4" w14:textId="77777777" w:rsidR="00323A9A" w:rsidRPr="00786C50" w:rsidRDefault="00DB7755" w:rsidP="00323A9A">
      <w:pPr>
        <w:pStyle w:val="NormalWeb"/>
        <w:spacing w:line="360" w:lineRule="auto"/>
        <w:jc w:val="both"/>
      </w:pPr>
      <w:r w:rsidRPr="00786C50">
        <w:t xml:space="preserve">The study examined community participation levels among arts and science college students based on gender, degree level, type of institution, and locality. The overall mean score for community participation was </w:t>
      </w:r>
      <w:r w:rsidRPr="00786C50">
        <w:rPr>
          <w:rStyle w:val="Strong"/>
          <w:b w:val="0"/>
        </w:rPr>
        <w:t>29.35 (SD = 10.46)</w:t>
      </w:r>
      <w:r w:rsidRPr="00786C50">
        <w:rPr>
          <w:b/>
        </w:rPr>
        <w:t>.</w:t>
      </w:r>
      <w:r w:rsidRPr="00786C50">
        <w:t xml:space="preserve">Boys scored a mean of </w:t>
      </w:r>
      <w:r w:rsidRPr="00786C50">
        <w:rPr>
          <w:rStyle w:val="Strong"/>
          <w:b w:val="0"/>
        </w:rPr>
        <w:t>29.20 (SD = 10.83</w:t>
      </w:r>
      <w:r w:rsidRPr="00786C50">
        <w:rPr>
          <w:rStyle w:val="Strong"/>
        </w:rPr>
        <w:t>)</w:t>
      </w:r>
      <w:r w:rsidRPr="00786C50">
        <w:t xml:space="preserve">, while girls scored slightly higher at </w:t>
      </w:r>
      <w:r w:rsidRPr="00786C50">
        <w:rPr>
          <w:rStyle w:val="Strong"/>
          <w:b w:val="0"/>
        </w:rPr>
        <w:t>29.50 (SD = 10.08)</w:t>
      </w:r>
      <w:r w:rsidRPr="00786C50">
        <w:rPr>
          <w:b/>
        </w:rPr>
        <w:t>.</w:t>
      </w:r>
      <w:r w:rsidRPr="00786C50">
        <w:t xml:space="preserve"> However, the </w:t>
      </w:r>
      <w:r w:rsidRPr="00786C50">
        <w:rPr>
          <w:rStyle w:val="Strong"/>
          <w:b w:val="0"/>
        </w:rPr>
        <w:t>t-value (0.2567)</w:t>
      </w:r>
      <w:r w:rsidRPr="00786C50">
        <w:t xml:space="preserve"> indicates no significant difference in community participation between boys and girls.: Undergraduate (UG) students had a mean score of </w:t>
      </w:r>
      <w:r w:rsidRPr="00786C50">
        <w:rPr>
          <w:rStyle w:val="Strong"/>
          <w:b w:val="0"/>
        </w:rPr>
        <w:t>28.38 (SD = 10.15)</w:t>
      </w:r>
      <w:r w:rsidRPr="00786C50">
        <w:t xml:space="preserve">, whereas postgraduate (PG) students scored higher at </w:t>
      </w:r>
      <w:r w:rsidRPr="00786C50">
        <w:rPr>
          <w:rStyle w:val="Strong"/>
          <w:b w:val="0"/>
        </w:rPr>
        <w:t>30.42 (SD = 10.72</w:t>
      </w:r>
      <w:r w:rsidRPr="00786C50">
        <w:rPr>
          <w:rStyle w:val="Strong"/>
        </w:rPr>
        <w:t>)</w:t>
      </w:r>
      <w:r w:rsidRPr="00786C50">
        <w:t xml:space="preserve">. The </w:t>
      </w:r>
      <w:r w:rsidRPr="00786C50">
        <w:rPr>
          <w:rStyle w:val="Strong"/>
          <w:b w:val="0"/>
        </w:rPr>
        <w:t>t-value (1.7104)</w:t>
      </w:r>
      <w:r w:rsidRPr="00786C50">
        <w:t xml:space="preserve"> was not statistically significant, suggesting that degree level </w:t>
      </w:r>
      <w:r w:rsidRPr="00786C50">
        <w:lastRenderedPageBreak/>
        <w:t xml:space="preserve">does not have a significant impact on community participation. Government college students scored a mean of </w:t>
      </w:r>
      <w:r w:rsidRPr="00786C50">
        <w:rPr>
          <w:rStyle w:val="Strong"/>
          <w:b w:val="0"/>
        </w:rPr>
        <w:t>28.84 (SD = 10.22)</w:t>
      </w:r>
      <w:r w:rsidRPr="00786C50">
        <w:rPr>
          <w:b/>
        </w:rPr>
        <w:t>,</w:t>
      </w:r>
      <w:r w:rsidRPr="00786C50">
        <w:t xml:space="preserve"> while private college students scored slightly higher at </w:t>
      </w:r>
      <w:r w:rsidRPr="00786C50">
        <w:rPr>
          <w:rStyle w:val="Strong"/>
          <w:b w:val="0"/>
        </w:rPr>
        <w:t>29.83 (SD = 10.69)</w:t>
      </w:r>
      <w:r w:rsidRPr="00786C50">
        <w:t xml:space="preserve">. The </w:t>
      </w:r>
      <w:r w:rsidRPr="00786C50">
        <w:rPr>
          <w:rStyle w:val="Strong"/>
          <w:b w:val="0"/>
        </w:rPr>
        <w:t>t-value (0.831)</w:t>
      </w:r>
      <w:r w:rsidRPr="00786C50">
        <w:t xml:space="preserve"> indicates no significant difference in community participation based on the type of institution. Rural students scored </w:t>
      </w:r>
      <w:r w:rsidRPr="00786C50">
        <w:rPr>
          <w:rStyle w:val="Strong"/>
          <w:b w:val="0"/>
        </w:rPr>
        <w:t>29.15 (SD = 10.67)</w:t>
      </w:r>
      <w:r w:rsidRPr="00786C50">
        <w:t xml:space="preserve">, and urban students scored slightly higher at </w:t>
      </w:r>
      <w:r w:rsidRPr="00786C50">
        <w:rPr>
          <w:rStyle w:val="Strong"/>
          <w:b w:val="0"/>
        </w:rPr>
        <w:t>29.51 (SD = 10.30)</w:t>
      </w:r>
      <w:r w:rsidRPr="00786C50">
        <w:t xml:space="preserve">. The </w:t>
      </w:r>
      <w:r w:rsidRPr="00786C50">
        <w:rPr>
          <w:rStyle w:val="Strong"/>
          <w:b w:val="0"/>
        </w:rPr>
        <w:t>t-value (0.2955)</w:t>
      </w:r>
      <w:r w:rsidRPr="00786C50">
        <w:t xml:space="preserve"> was not significant, indicating no meaningful difference in community participation based on locality.</w:t>
      </w:r>
      <w:r w:rsidR="00323A9A" w:rsidRPr="00786C50">
        <w:t xml:space="preserve"> There were no appreciable variations in community involvement across all demographic factors. These results imply that the degree of community involvement among arts and science undergraduates in this study is not significantly influenced by gender, degree level, type of institution, or area.</w:t>
      </w:r>
    </w:p>
    <w:p w14:paraId="4DC58359" w14:textId="77777777" w:rsidR="007349CA" w:rsidRPr="00786C50" w:rsidRDefault="00F60FC0" w:rsidP="007349CA">
      <w:pPr>
        <w:shd w:val="clear" w:color="auto" w:fill="FFFFFF"/>
        <w:spacing w:after="0" w:line="360" w:lineRule="auto"/>
        <w:jc w:val="center"/>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Table -3</w:t>
      </w:r>
    </w:p>
    <w:p w14:paraId="2D4CCA05" w14:textId="77777777" w:rsidR="007349CA" w:rsidRPr="00786C50" w:rsidRDefault="007349CA" w:rsidP="007349CA">
      <w:pPr>
        <w:shd w:val="clear" w:color="auto" w:fill="FFFFFF"/>
        <w:spacing w:after="0" w:line="240" w:lineRule="auto"/>
        <w:jc w:val="center"/>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 xml:space="preserve">Shows </w:t>
      </w:r>
      <w:proofErr w:type="gramStart"/>
      <w:r w:rsidRPr="00786C50">
        <w:rPr>
          <w:rFonts w:ascii="Times New Roman" w:eastAsia="Times New Roman" w:hAnsi="Times New Roman" w:cs="Times New Roman"/>
          <w:b/>
          <w:sz w:val="24"/>
          <w:szCs w:val="24"/>
        </w:rPr>
        <w:t>the  Correlation</w:t>
      </w:r>
      <w:proofErr w:type="gramEnd"/>
      <w:r w:rsidRPr="00786C50">
        <w:rPr>
          <w:rFonts w:ascii="Times New Roman" w:eastAsia="Times New Roman" w:hAnsi="Times New Roman" w:cs="Times New Roman"/>
          <w:b/>
          <w:sz w:val="24"/>
          <w:szCs w:val="24"/>
        </w:rPr>
        <w:t xml:space="preserve"> of  Cognitive Flexibility and Community  Participation with respect  Gender, Degree, Type of Institutions and Locality</w:t>
      </w:r>
    </w:p>
    <w:p w14:paraId="75EEEFBD" w14:textId="77777777" w:rsidR="007349CA" w:rsidRPr="00786C50" w:rsidRDefault="007349CA" w:rsidP="007349CA">
      <w:pPr>
        <w:shd w:val="clear" w:color="auto" w:fill="FFFFFF"/>
        <w:spacing w:after="0" w:line="240" w:lineRule="auto"/>
        <w:jc w:val="both"/>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5070"/>
        <w:gridCol w:w="1074"/>
        <w:gridCol w:w="1141"/>
        <w:gridCol w:w="1112"/>
        <w:gridCol w:w="953"/>
      </w:tblGrid>
      <w:tr w:rsidR="007349CA" w:rsidRPr="00786C50" w14:paraId="6C346E3E" w14:textId="77777777" w:rsidTr="00EE5176">
        <w:tc>
          <w:tcPr>
            <w:tcW w:w="5234" w:type="dxa"/>
          </w:tcPr>
          <w:p w14:paraId="6A702243" w14:textId="77777777" w:rsidR="007349CA" w:rsidRPr="00786C50" w:rsidRDefault="007349CA" w:rsidP="00EE5176">
            <w:pPr>
              <w:rPr>
                <w:lang w:val="en-GB"/>
              </w:rPr>
            </w:pPr>
            <w:r w:rsidRPr="00786C50">
              <w:rPr>
                <w:lang w:val="en-GB"/>
              </w:rPr>
              <w:t>Variables</w:t>
            </w:r>
          </w:p>
        </w:tc>
        <w:tc>
          <w:tcPr>
            <w:tcW w:w="1097" w:type="dxa"/>
          </w:tcPr>
          <w:p w14:paraId="6ADF673D" w14:textId="77777777" w:rsidR="007349CA" w:rsidRPr="00786C50" w:rsidRDefault="007349CA" w:rsidP="00EE5176">
            <w:pPr>
              <w:rPr>
                <w:lang w:val="en-GB"/>
              </w:rPr>
            </w:pPr>
            <w:r w:rsidRPr="00786C50">
              <w:rPr>
                <w:lang w:val="en-GB"/>
              </w:rPr>
              <w:t>No.</w:t>
            </w:r>
          </w:p>
        </w:tc>
        <w:tc>
          <w:tcPr>
            <w:tcW w:w="1145" w:type="dxa"/>
          </w:tcPr>
          <w:p w14:paraId="17887584" w14:textId="77777777" w:rsidR="007349CA" w:rsidRPr="00786C50" w:rsidRDefault="007349CA" w:rsidP="00EE5176">
            <w:pPr>
              <w:rPr>
                <w:lang w:val="en-GB"/>
              </w:rPr>
            </w:pPr>
            <w:r w:rsidRPr="00786C50">
              <w:rPr>
                <w:lang w:val="en-GB"/>
              </w:rPr>
              <w:t xml:space="preserve"> ‘r’</w:t>
            </w:r>
          </w:p>
        </w:tc>
        <w:tc>
          <w:tcPr>
            <w:tcW w:w="1125" w:type="dxa"/>
          </w:tcPr>
          <w:p w14:paraId="69110139" w14:textId="77777777" w:rsidR="007349CA" w:rsidRPr="00786C50" w:rsidRDefault="007349CA" w:rsidP="00EE5176">
            <w:pPr>
              <w:rPr>
                <w:lang w:val="en-GB"/>
              </w:rPr>
            </w:pPr>
            <w:r w:rsidRPr="00786C50">
              <w:rPr>
                <w:lang w:val="en-GB"/>
              </w:rPr>
              <w:t>‘p’</w:t>
            </w:r>
          </w:p>
        </w:tc>
        <w:tc>
          <w:tcPr>
            <w:tcW w:w="975" w:type="dxa"/>
          </w:tcPr>
          <w:p w14:paraId="4C68D15B" w14:textId="77777777" w:rsidR="007349CA" w:rsidRPr="00786C50" w:rsidRDefault="007349CA" w:rsidP="00EE5176">
            <w:pPr>
              <w:rPr>
                <w:lang w:val="en-GB"/>
              </w:rPr>
            </w:pPr>
            <w:r w:rsidRPr="00786C50">
              <w:rPr>
                <w:lang w:val="en-GB"/>
              </w:rPr>
              <w:t>S</w:t>
            </w:r>
          </w:p>
        </w:tc>
      </w:tr>
      <w:tr w:rsidR="007349CA" w:rsidRPr="00786C50" w14:paraId="5EBA9C72" w14:textId="77777777" w:rsidTr="00EE5176">
        <w:tc>
          <w:tcPr>
            <w:tcW w:w="5234" w:type="dxa"/>
          </w:tcPr>
          <w:p w14:paraId="327626BA" w14:textId="77777777" w:rsidR="007349CA" w:rsidRPr="00786C50" w:rsidRDefault="007349CA" w:rsidP="00EE5176">
            <w:pPr>
              <w:rPr>
                <w:lang w:val="en-GB"/>
              </w:rPr>
            </w:pPr>
            <w:r w:rsidRPr="00786C50">
              <w:rPr>
                <w:lang w:val="en-GB"/>
              </w:rPr>
              <w:t>Cognitive Flexibility &amp; Community Participation</w:t>
            </w:r>
          </w:p>
        </w:tc>
        <w:tc>
          <w:tcPr>
            <w:tcW w:w="1097" w:type="dxa"/>
          </w:tcPr>
          <w:p w14:paraId="79B87E1D" w14:textId="77777777" w:rsidR="007349CA" w:rsidRPr="00786C50" w:rsidRDefault="007349CA" w:rsidP="00EE5176">
            <w:pPr>
              <w:rPr>
                <w:lang w:val="en-GB"/>
              </w:rPr>
            </w:pPr>
            <w:r w:rsidRPr="00786C50">
              <w:rPr>
                <w:lang w:val="en-GB"/>
              </w:rPr>
              <w:t>307</w:t>
            </w:r>
          </w:p>
        </w:tc>
        <w:tc>
          <w:tcPr>
            <w:tcW w:w="1145" w:type="dxa"/>
          </w:tcPr>
          <w:p w14:paraId="35CB28DB" w14:textId="77777777" w:rsidR="007349CA" w:rsidRPr="00786C50" w:rsidRDefault="007349CA" w:rsidP="00EE5176">
            <w:pPr>
              <w:rPr>
                <w:lang w:val="en-GB"/>
              </w:rPr>
            </w:pPr>
            <w:r w:rsidRPr="00786C50">
              <w:rPr>
                <w:lang w:val="en-GB"/>
              </w:rPr>
              <w:t>0.0327</w:t>
            </w:r>
          </w:p>
        </w:tc>
        <w:tc>
          <w:tcPr>
            <w:tcW w:w="1125" w:type="dxa"/>
          </w:tcPr>
          <w:p w14:paraId="4DEB1906" w14:textId="77777777" w:rsidR="007349CA" w:rsidRPr="00786C50" w:rsidRDefault="007349CA" w:rsidP="00EE5176">
            <w:pPr>
              <w:rPr>
                <w:lang w:val="en-GB"/>
              </w:rPr>
            </w:pPr>
            <w:r w:rsidRPr="00786C50">
              <w:rPr>
                <w:lang w:val="en-GB"/>
              </w:rPr>
              <w:t>.568</w:t>
            </w:r>
          </w:p>
        </w:tc>
        <w:tc>
          <w:tcPr>
            <w:tcW w:w="975" w:type="dxa"/>
          </w:tcPr>
          <w:p w14:paraId="4F2BCF40" w14:textId="77777777" w:rsidR="007349CA" w:rsidRPr="00786C50" w:rsidRDefault="007349CA" w:rsidP="00EE5176">
            <w:pPr>
              <w:rPr>
                <w:lang w:val="en-GB"/>
              </w:rPr>
            </w:pPr>
            <w:r w:rsidRPr="00786C50">
              <w:rPr>
                <w:lang w:val="en-GB"/>
              </w:rPr>
              <w:t>NS</w:t>
            </w:r>
          </w:p>
        </w:tc>
      </w:tr>
      <w:tr w:rsidR="007349CA" w:rsidRPr="00786C50" w14:paraId="779B1985" w14:textId="77777777" w:rsidTr="00EE5176">
        <w:tc>
          <w:tcPr>
            <w:tcW w:w="5234" w:type="dxa"/>
          </w:tcPr>
          <w:p w14:paraId="3810A538" w14:textId="77777777" w:rsidR="007349CA" w:rsidRPr="00786C50" w:rsidRDefault="007349CA" w:rsidP="00EE5176">
            <w:pPr>
              <w:rPr>
                <w:lang w:val="en-GB"/>
              </w:rPr>
            </w:pPr>
            <w:r w:rsidRPr="00786C50">
              <w:rPr>
                <w:lang w:val="en-GB"/>
              </w:rPr>
              <w:t>Boys</w:t>
            </w:r>
          </w:p>
        </w:tc>
        <w:tc>
          <w:tcPr>
            <w:tcW w:w="1097" w:type="dxa"/>
          </w:tcPr>
          <w:p w14:paraId="719F2D15" w14:textId="77777777" w:rsidR="007349CA" w:rsidRPr="00786C50" w:rsidRDefault="007349CA" w:rsidP="00EE5176">
            <w:pPr>
              <w:rPr>
                <w:lang w:val="en-GB"/>
              </w:rPr>
            </w:pPr>
            <w:r w:rsidRPr="00786C50">
              <w:rPr>
                <w:lang w:val="en-GB"/>
              </w:rPr>
              <w:t>158</w:t>
            </w:r>
          </w:p>
        </w:tc>
        <w:tc>
          <w:tcPr>
            <w:tcW w:w="1145" w:type="dxa"/>
          </w:tcPr>
          <w:p w14:paraId="0291735F" w14:textId="77777777" w:rsidR="007349CA" w:rsidRPr="00786C50" w:rsidRDefault="007349CA" w:rsidP="00EE5176">
            <w:pPr>
              <w:rPr>
                <w:lang w:val="en-GB"/>
              </w:rPr>
            </w:pPr>
            <w:r w:rsidRPr="00786C50">
              <w:rPr>
                <w:lang w:val="en-GB"/>
              </w:rPr>
              <w:t>0.08367</w:t>
            </w:r>
          </w:p>
        </w:tc>
        <w:tc>
          <w:tcPr>
            <w:tcW w:w="1125" w:type="dxa"/>
          </w:tcPr>
          <w:p w14:paraId="2103B6FD" w14:textId="77777777" w:rsidR="007349CA" w:rsidRPr="00786C50" w:rsidRDefault="007349CA" w:rsidP="00EE5176">
            <w:pPr>
              <w:rPr>
                <w:lang w:val="en-GB"/>
              </w:rPr>
            </w:pPr>
            <w:r w:rsidRPr="00786C50">
              <w:rPr>
                <w:lang w:val="en-GB"/>
              </w:rPr>
              <w:t>0.2959</w:t>
            </w:r>
          </w:p>
        </w:tc>
        <w:tc>
          <w:tcPr>
            <w:tcW w:w="975" w:type="dxa"/>
          </w:tcPr>
          <w:p w14:paraId="268FD996" w14:textId="77777777" w:rsidR="007349CA" w:rsidRPr="00786C50" w:rsidRDefault="007349CA" w:rsidP="00EE5176">
            <w:pPr>
              <w:rPr>
                <w:lang w:val="en-GB"/>
              </w:rPr>
            </w:pPr>
            <w:r w:rsidRPr="00786C50">
              <w:rPr>
                <w:lang w:val="en-GB"/>
              </w:rPr>
              <w:t>NS</w:t>
            </w:r>
          </w:p>
        </w:tc>
      </w:tr>
      <w:tr w:rsidR="007349CA" w:rsidRPr="00786C50" w14:paraId="353E9853" w14:textId="77777777" w:rsidTr="00EE5176">
        <w:tc>
          <w:tcPr>
            <w:tcW w:w="5234" w:type="dxa"/>
          </w:tcPr>
          <w:p w14:paraId="142EEED7" w14:textId="77777777" w:rsidR="007349CA" w:rsidRPr="00786C50" w:rsidRDefault="007349CA" w:rsidP="00EE5176">
            <w:pPr>
              <w:rPr>
                <w:lang w:val="en-GB"/>
              </w:rPr>
            </w:pPr>
            <w:r w:rsidRPr="00786C50">
              <w:rPr>
                <w:lang w:val="en-GB"/>
              </w:rPr>
              <w:t>Girls</w:t>
            </w:r>
          </w:p>
        </w:tc>
        <w:tc>
          <w:tcPr>
            <w:tcW w:w="1097" w:type="dxa"/>
          </w:tcPr>
          <w:p w14:paraId="678D7AC1" w14:textId="77777777" w:rsidR="007349CA" w:rsidRPr="00786C50" w:rsidRDefault="007349CA" w:rsidP="00EE5176">
            <w:pPr>
              <w:rPr>
                <w:lang w:val="en-GB"/>
              </w:rPr>
            </w:pPr>
            <w:r w:rsidRPr="00786C50">
              <w:rPr>
                <w:lang w:val="en-GB"/>
              </w:rPr>
              <w:t>149</w:t>
            </w:r>
          </w:p>
        </w:tc>
        <w:tc>
          <w:tcPr>
            <w:tcW w:w="1145" w:type="dxa"/>
          </w:tcPr>
          <w:p w14:paraId="39AB3759" w14:textId="77777777" w:rsidR="007349CA" w:rsidRPr="00786C50" w:rsidRDefault="007349CA" w:rsidP="00EE5176">
            <w:pPr>
              <w:rPr>
                <w:lang w:val="en-GB"/>
              </w:rPr>
            </w:pPr>
            <w:r w:rsidRPr="00786C50">
              <w:rPr>
                <w:lang w:val="en-GB"/>
              </w:rPr>
              <w:t>-0.01956</w:t>
            </w:r>
          </w:p>
        </w:tc>
        <w:tc>
          <w:tcPr>
            <w:tcW w:w="1125" w:type="dxa"/>
          </w:tcPr>
          <w:p w14:paraId="7877271F" w14:textId="77777777" w:rsidR="007349CA" w:rsidRPr="00786C50" w:rsidRDefault="007349CA" w:rsidP="00EE5176">
            <w:pPr>
              <w:rPr>
                <w:lang w:val="en-GB"/>
              </w:rPr>
            </w:pPr>
            <w:r w:rsidRPr="00786C50">
              <w:rPr>
                <w:lang w:val="en-GB"/>
              </w:rPr>
              <w:t>0.8128</w:t>
            </w:r>
          </w:p>
        </w:tc>
        <w:tc>
          <w:tcPr>
            <w:tcW w:w="975" w:type="dxa"/>
          </w:tcPr>
          <w:p w14:paraId="0E24CFA5" w14:textId="77777777" w:rsidR="007349CA" w:rsidRPr="00786C50" w:rsidRDefault="007349CA" w:rsidP="00EE5176">
            <w:pPr>
              <w:rPr>
                <w:lang w:val="en-GB"/>
              </w:rPr>
            </w:pPr>
            <w:r w:rsidRPr="00786C50">
              <w:rPr>
                <w:lang w:val="en-GB"/>
              </w:rPr>
              <w:t>NS</w:t>
            </w:r>
          </w:p>
        </w:tc>
      </w:tr>
      <w:tr w:rsidR="007349CA" w:rsidRPr="00786C50" w14:paraId="701D9203" w14:textId="77777777" w:rsidTr="00EE5176">
        <w:tc>
          <w:tcPr>
            <w:tcW w:w="5234" w:type="dxa"/>
          </w:tcPr>
          <w:p w14:paraId="3D668883" w14:textId="77777777" w:rsidR="007349CA" w:rsidRPr="00786C50" w:rsidRDefault="007349CA" w:rsidP="00EE5176">
            <w:pPr>
              <w:rPr>
                <w:lang w:val="en-GB"/>
              </w:rPr>
            </w:pPr>
            <w:r w:rsidRPr="00786C50">
              <w:rPr>
                <w:lang w:val="en-GB"/>
              </w:rPr>
              <w:t>UG</w:t>
            </w:r>
          </w:p>
        </w:tc>
        <w:tc>
          <w:tcPr>
            <w:tcW w:w="1097" w:type="dxa"/>
          </w:tcPr>
          <w:p w14:paraId="218FD3B2" w14:textId="77777777" w:rsidR="007349CA" w:rsidRPr="00786C50" w:rsidRDefault="007349CA" w:rsidP="00EE5176">
            <w:pPr>
              <w:rPr>
                <w:lang w:val="en-GB"/>
              </w:rPr>
            </w:pPr>
            <w:r w:rsidRPr="00786C50">
              <w:rPr>
                <w:lang w:val="en-GB"/>
              </w:rPr>
              <w:t>162</w:t>
            </w:r>
          </w:p>
        </w:tc>
        <w:tc>
          <w:tcPr>
            <w:tcW w:w="1145" w:type="dxa"/>
          </w:tcPr>
          <w:p w14:paraId="25B91FCB" w14:textId="77777777" w:rsidR="007349CA" w:rsidRPr="00786C50" w:rsidRDefault="007349CA" w:rsidP="00EE5176">
            <w:pPr>
              <w:rPr>
                <w:lang w:val="en-GB"/>
              </w:rPr>
            </w:pPr>
            <w:r w:rsidRPr="00786C50">
              <w:rPr>
                <w:lang w:val="en-GB"/>
              </w:rPr>
              <w:t>-0.009638</w:t>
            </w:r>
          </w:p>
        </w:tc>
        <w:tc>
          <w:tcPr>
            <w:tcW w:w="1125" w:type="dxa"/>
          </w:tcPr>
          <w:p w14:paraId="4A057734" w14:textId="77777777" w:rsidR="007349CA" w:rsidRPr="00786C50" w:rsidRDefault="007349CA" w:rsidP="00EE5176">
            <w:pPr>
              <w:rPr>
                <w:lang w:val="en-GB"/>
              </w:rPr>
            </w:pPr>
            <w:r w:rsidRPr="00786C50">
              <w:rPr>
                <w:lang w:val="en-GB"/>
              </w:rPr>
              <w:t>0.9031</w:t>
            </w:r>
          </w:p>
        </w:tc>
        <w:tc>
          <w:tcPr>
            <w:tcW w:w="975" w:type="dxa"/>
          </w:tcPr>
          <w:p w14:paraId="4EBAD22B" w14:textId="77777777" w:rsidR="007349CA" w:rsidRPr="00786C50" w:rsidRDefault="007349CA" w:rsidP="00EE5176">
            <w:pPr>
              <w:rPr>
                <w:lang w:val="en-GB"/>
              </w:rPr>
            </w:pPr>
            <w:r w:rsidRPr="00786C50">
              <w:rPr>
                <w:lang w:val="en-GB"/>
              </w:rPr>
              <w:t>NS</w:t>
            </w:r>
          </w:p>
        </w:tc>
      </w:tr>
      <w:tr w:rsidR="007349CA" w:rsidRPr="00786C50" w14:paraId="38B9F9AA" w14:textId="77777777" w:rsidTr="00EE5176">
        <w:tc>
          <w:tcPr>
            <w:tcW w:w="5234" w:type="dxa"/>
          </w:tcPr>
          <w:p w14:paraId="3977677D" w14:textId="77777777" w:rsidR="007349CA" w:rsidRPr="00786C50" w:rsidRDefault="007349CA" w:rsidP="00EE5176">
            <w:pPr>
              <w:rPr>
                <w:lang w:val="en-GB"/>
              </w:rPr>
            </w:pPr>
            <w:r w:rsidRPr="00786C50">
              <w:rPr>
                <w:lang w:val="en-GB"/>
              </w:rPr>
              <w:t>PG</w:t>
            </w:r>
          </w:p>
        </w:tc>
        <w:tc>
          <w:tcPr>
            <w:tcW w:w="1097" w:type="dxa"/>
          </w:tcPr>
          <w:p w14:paraId="34C9FD8E" w14:textId="77777777" w:rsidR="007349CA" w:rsidRPr="00786C50" w:rsidRDefault="007349CA" w:rsidP="00EE5176">
            <w:pPr>
              <w:rPr>
                <w:lang w:val="en-GB"/>
              </w:rPr>
            </w:pPr>
            <w:r w:rsidRPr="00786C50">
              <w:rPr>
                <w:lang w:val="en-GB"/>
              </w:rPr>
              <w:t>145</w:t>
            </w:r>
          </w:p>
        </w:tc>
        <w:tc>
          <w:tcPr>
            <w:tcW w:w="1145" w:type="dxa"/>
          </w:tcPr>
          <w:p w14:paraId="4410ED94" w14:textId="77777777" w:rsidR="007349CA" w:rsidRPr="00786C50" w:rsidRDefault="007349CA" w:rsidP="00EE5176">
            <w:pPr>
              <w:rPr>
                <w:lang w:val="en-GB"/>
              </w:rPr>
            </w:pPr>
            <w:r w:rsidRPr="00786C50">
              <w:rPr>
                <w:lang w:val="en-GB"/>
              </w:rPr>
              <w:t>0.05871</w:t>
            </w:r>
          </w:p>
        </w:tc>
        <w:tc>
          <w:tcPr>
            <w:tcW w:w="1125" w:type="dxa"/>
          </w:tcPr>
          <w:p w14:paraId="58771B0F" w14:textId="77777777" w:rsidR="007349CA" w:rsidRPr="00786C50" w:rsidRDefault="007349CA" w:rsidP="00EE5176">
            <w:pPr>
              <w:rPr>
                <w:lang w:val="en-GB"/>
              </w:rPr>
            </w:pPr>
            <w:r w:rsidRPr="00786C50">
              <w:rPr>
                <w:lang w:val="en-GB"/>
              </w:rPr>
              <w:t>0.483</w:t>
            </w:r>
          </w:p>
        </w:tc>
        <w:tc>
          <w:tcPr>
            <w:tcW w:w="975" w:type="dxa"/>
          </w:tcPr>
          <w:p w14:paraId="6C55F58C" w14:textId="77777777" w:rsidR="007349CA" w:rsidRPr="00786C50" w:rsidRDefault="007349CA" w:rsidP="00EE5176">
            <w:pPr>
              <w:rPr>
                <w:lang w:val="en-GB"/>
              </w:rPr>
            </w:pPr>
            <w:r w:rsidRPr="00786C50">
              <w:rPr>
                <w:lang w:val="en-GB"/>
              </w:rPr>
              <w:t>NS</w:t>
            </w:r>
          </w:p>
        </w:tc>
      </w:tr>
      <w:tr w:rsidR="007349CA" w:rsidRPr="00786C50" w14:paraId="6CE7E3D8" w14:textId="77777777" w:rsidTr="00EE5176">
        <w:tc>
          <w:tcPr>
            <w:tcW w:w="5234" w:type="dxa"/>
          </w:tcPr>
          <w:p w14:paraId="51ABC7B2" w14:textId="77777777" w:rsidR="007349CA" w:rsidRPr="00786C50" w:rsidRDefault="007349CA" w:rsidP="00EE5176">
            <w:pPr>
              <w:rPr>
                <w:lang w:val="en-GB"/>
              </w:rPr>
            </w:pPr>
            <w:r w:rsidRPr="00786C50">
              <w:rPr>
                <w:lang w:val="en-GB"/>
              </w:rPr>
              <w:t>Government</w:t>
            </w:r>
          </w:p>
        </w:tc>
        <w:tc>
          <w:tcPr>
            <w:tcW w:w="1097" w:type="dxa"/>
          </w:tcPr>
          <w:p w14:paraId="4618E8CE" w14:textId="77777777" w:rsidR="007349CA" w:rsidRPr="00786C50" w:rsidRDefault="007349CA" w:rsidP="00EE5176">
            <w:pPr>
              <w:rPr>
                <w:lang w:val="en-GB"/>
              </w:rPr>
            </w:pPr>
            <w:r w:rsidRPr="00786C50">
              <w:rPr>
                <w:lang w:val="en-GB"/>
              </w:rPr>
              <w:t>151</w:t>
            </w:r>
          </w:p>
        </w:tc>
        <w:tc>
          <w:tcPr>
            <w:tcW w:w="1145" w:type="dxa"/>
          </w:tcPr>
          <w:p w14:paraId="44A80B51" w14:textId="77777777" w:rsidR="007349CA" w:rsidRPr="00786C50" w:rsidRDefault="007349CA" w:rsidP="00EE5176">
            <w:pPr>
              <w:rPr>
                <w:lang w:val="en-GB"/>
              </w:rPr>
            </w:pPr>
            <w:r w:rsidRPr="00786C50">
              <w:rPr>
                <w:lang w:val="en-GB"/>
              </w:rPr>
              <w:t>0.06354</w:t>
            </w:r>
          </w:p>
        </w:tc>
        <w:tc>
          <w:tcPr>
            <w:tcW w:w="1125" w:type="dxa"/>
          </w:tcPr>
          <w:p w14:paraId="7DC6EC27" w14:textId="77777777" w:rsidR="007349CA" w:rsidRPr="00786C50" w:rsidRDefault="007349CA" w:rsidP="00EE5176">
            <w:pPr>
              <w:rPr>
                <w:lang w:val="en-GB"/>
              </w:rPr>
            </w:pPr>
            <w:r w:rsidRPr="00786C50">
              <w:rPr>
                <w:lang w:val="en-GB"/>
              </w:rPr>
              <w:t>0.4389</w:t>
            </w:r>
          </w:p>
        </w:tc>
        <w:tc>
          <w:tcPr>
            <w:tcW w:w="975" w:type="dxa"/>
          </w:tcPr>
          <w:p w14:paraId="535E8A2E" w14:textId="77777777" w:rsidR="007349CA" w:rsidRPr="00786C50" w:rsidRDefault="007349CA" w:rsidP="00EE5176">
            <w:pPr>
              <w:rPr>
                <w:lang w:val="en-GB"/>
              </w:rPr>
            </w:pPr>
            <w:r w:rsidRPr="00786C50">
              <w:rPr>
                <w:lang w:val="en-GB"/>
              </w:rPr>
              <w:t>NS</w:t>
            </w:r>
          </w:p>
        </w:tc>
      </w:tr>
      <w:tr w:rsidR="007349CA" w:rsidRPr="00786C50" w14:paraId="6EFE3B8C" w14:textId="77777777" w:rsidTr="00EE5176">
        <w:tc>
          <w:tcPr>
            <w:tcW w:w="5234" w:type="dxa"/>
          </w:tcPr>
          <w:p w14:paraId="171CCD35" w14:textId="77777777" w:rsidR="007349CA" w:rsidRPr="00786C50" w:rsidRDefault="007349CA" w:rsidP="00EE5176">
            <w:pPr>
              <w:rPr>
                <w:lang w:val="en-GB"/>
              </w:rPr>
            </w:pPr>
            <w:r w:rsidRPr="00786C50">
              <w:rPr>
                <w:lang w:val="en-GB"/>
              </w:rPr>
              <w:t>Private</w:t>
            </w:r>
          </w:p>
        </w:tc>
        <w:tc>
          <w:tcPr>
            <w:tcW w:w="1097" w:type="dxa"/>
          </w:tcPr>
          <w:p w14:paraId="46F927EB" w14:textId="77777777" w:rsidR="007349CA" w:rsidRPr="00786C50" w:rsidRDefault="007349CA" w:rsidP="00EE5176">
            <w:pPr>
              <w:rPr>
                <w:lang w:val="en-GB"/>
              </w:rPr>
            </w:pPr>
            <w:r w:rsidRPr="00786C50">
              <w:rPr>
                <w:lang w:val="en-GB"/>
              </w:rPr>
              <w:t>156</w:t>
            </w:r>
          </w:p>
        </w:tc>
        <w:tc>
          <w:tcPr>
            <w:tcW w:w="1145" w:type="dxa"/>
          </w:tcPr>
          <w:p w14:paraId="5F7D4F04" w14:textId="77777777" w:rsidR="007349CA" w:rsidRPr="00786C50" w:rsidRDefault="007349CA" w:rsidP="00EE5176">
            <w:pPr>
              <w:rPr>
                <w:lang w:val="en-GB"/>
              </w:rPr>
            </w:pPr>
            <w:r w:rsidRPr="00786C50">
              <w:rPr>
                <w:lang w:val="en-GB"/>
              </w:rPr>
              <w:t>0.006215</w:t>
            </w:r>
          </w:p>
        </w:tc>
        <w:tc>
          <w:tcPr>
            <w:tcW w:w="1125" w:type="dxa"/>
          </w:tcPr>
          <w:p w14:paraId="654D34D4" w14:textId="77777777" w:rsidR="007349CA" w:rsidRPr="00786C50" w:rsidRDefault="007349CA" w:rsidP="00EE5176">
            <w:pPr>
              <w:rPr>
                <w:lang w:val="en-GB"/>
              </w:rPr>
            </w:pPr>
            <w:r w:rsidRPr="00786C50">
              <w:rPr>
                <w:lang w:val="en-GB"/>
              </w:rPr>
              <w:t>0.938</w:t>
            </w:r>
          </w:p>
        </w:tc>
        <w:tc>
          <w:tcPr>
            <w:tcW w:w="975" w:type="dxa"/>
          </w:tcPr>
          <w:p w14:paraId="5DF083D4" w14:textId="77777777" w:rsidR="007349CA" w:rsidRPr="00786C50" w:rsidRDefault="007349CA" w:rsidP="00EE5176">
            <w:pPr>
              <w:rPr>
                <w:lang w:val="en-GB"/>
              </w:rPr>
            </w:pPr>
            <w:r w:rsidRPr="00786C50">
              <w:rPr>
                <w:lang w:val="en-GB"/>
              </w:rPr>
              <w:t>NS</w:t>
            </w:r>
          </w:p>
        </w:tc>
      </w:tr>
      <w:tr w:rsidR="007349CA" w:rsidRPr="00786C50" w14:paraId="2499F51C" w14:textId="77777777" w:rsidTr="00EE5176">
        <w:tc>
          <w:tcPr>
            <w:tcW w:w="5234" w:type="dxa"/>
          </w:tcPr>
          <w:p w14:paraId="2A3F5A67" w14:textId="77777777" w:rsidR="007349CA" w:rsidRPr="00786C50" w:rsidRDefault="007349CA" w:rsidP="00EE5176">
            <w:pPr>
              <w:rPr>
                <w:lang w:val="en-GB"/>
              </w:rPr>
            </w:pPr>
            <w:r w:rsidRPr="00786C50">
              <w:rPr>
                <w:lang w:val="en-GB"/>
              </w:rPr>
              <w:t>Rural</w:t>
            </w:r>
          </w:p>
        </w:tc>
        <w:tc>
          <w:tcPr>
            <w:tcW w:w="1097" w:type="dxa"/>
          </w:tcPr>
          <w:p w14:paraId="5B7BF4A9" w14:textId="77777777" w:rsidR="007349CA" w:rsidRPr="00786C50" w:rsidRDefault="007349CA" w:rsidP="00EE5176">
            <w:pPr>
              <w:rPr>
                <w:lang w:val="en-GB"/>
              </w:rPr>
            </w:pPr>
            <w:r w:rsidRPr="00786C50">
              <w:rPr>
                <w:lang w:val="en-GB"/>
              </w:rPr>
              <w:t>142</w:t>
            </w:r>
          </w:p>
        </w:tc>
        <w:tc>
          <w:tcPr>
            <w:tcW w:w="1145" w:type="dxa"/>
          </w:tcPr>
          <w:p w14:paraId="3D65F008" w14:textId="77777777" w:rsidR="007349CA" w:rsidRPr="00786C50" w:rsidRDefault="007349CA" w:rsidP="00EE5176">
            <w:pPr>
              <w:rPr>
                <w:lang w:val="en-GB"/>
              </w:rPr>
            </w:pPr>
            <w:r w:rsidRPr="00786C50">
              <w:rPr>
                <w:lang w:val="en-GB"/>
              </w:rPr>
              <w:t>0.08582</w:t>
            </w:r>
          </w:p>
        </w:tc>
        <w:tc>
          <w:tcPr>
            <w:tcW w:w="1125" w:type="dxa"/>
          </w:tcPr>
          <w:p w14:paraId="0AB62752" w14:textId="77777777" w:rsidR="007349CA" w:rsidRPr="00786C50" w:rsidRDefault="007349CA" w:rsidP="00EE5176">
            <w:pPr>
              <w:rPr>
                <w:lang w:val="en-GB"/>
              </w:rPr>
            </w:pPr>
            <w:r w:rsidRPr="00786C50">
              <w:rPr>
                <w:lang w:val="en-GB"/>
              </w:rPr>
              <w:t>0.3098</w:t>
            </w:r>
          </w:p>
        </w:tc>
        <w:tc>
          <w:tcPr>
            <w:tcW w:w="975" w:type="dxa"/>
          </w:tcPr>
          <w:p w14:paraId="090F220D" w14:textId="77777777" w:rsidR="007349CA" w:rsidRPr="00786C50" w:rsidRDefault="007349CA" w:rsidP="00EE5176">
            <w:pPr>
              <w:rPr>
                <w:lang w:val="en-GB"/>
              </w:rPr>
            </w:pPr>
            <w:r w:rsidRPr="00786C50">
              <w:rPr>
                <w:lang w:val="en-GB"/>
              </w:rPr>
              <w:t>NS</w:t>
            </w:r>
          </w:p>
        </w:tc>
      </w:tr>
      <w:tr w:rsidR="007349CA" w:rsidRPr="00786C50" w14:paraId="75867D5B" w14:textId="77777777" w:rsidTr="00EE5176">
        <w:tc>
          <w:tcPr>
            <w:tcW w:w="5234" w:type="dxa"/>
          </w:tcPr>
          <w:p w14:paraId="415D0957" w14:textId="77777777" w:rsidR="007349CA" w:rsidRPr="00786C50" w:rsidRDefault="007349CA" w:rsidP="00EE5176">
            <w:pPr>
              <w:rPr>
                <w:lang w:val="en-GB"/>
              </w:rPr>
            </w:pPr>
            <w:r w:rsidRPr="00786C50">
              <w:rPr>
                <w:lang w:val="en-GB"/>
              </w:rPr>
              <w:t>Urban</w:t>
            </w:r>
          </w:p>
        </w:tc>
        <w:tc>
          <w:tcPr>
            <w:tcW w:w="1097" w:type="dxa"/>
          </w:tcPr>
          <w:p w14:paraId="293C241A" w14:textId="77777777" w:rsidR="007349CA" w:rsidRPr="00786C50" w:rsidRDefault="007349CA" w:rsidP="00EE5176">
            <w:pPr>
              <w:rPr>
                <w:lang w:val="en-GB"/>
              </w:rPr>
            </w:pPr>
            <w:r w:rsidRPr="00786C50">
              <w:rPr>
                <w:lang w:val="en-GB"/>
              </w:rPr>
              <w:t>165</w:t>
            </w:r>
          </w:p>
        </w:tc>
        <w:tc>
          <w:tcPr>
            <w:tcW w:w="1145" w:type="dxa"/>
          </w:tcPr>
          <w:p w14:paraId="0341B697" w14:textId="77777777" w:rsidR="007349CA" w:rsidRPr="00786C50" w:rsidRDefault="007349CA" w:rsidP="00EE5176">
            <w:pPr>
              <w:rPr>
                <w:lang w:val="en-GB"/>
              </w:rPr>
            </w:pPr>
            <w:r w:rsidRPr="00786C50">
              <w:rPr>
                <w:lang w:val="en-GB"/>
              </w:rPr>
              <w:t>0.009017</w:t>
            </w:r>
          </w:p>
        </w:tc>
        <w:tc>
          <w:tcPr>
            <w:tcW w:w="1125" w:type="dxa"/>
          </w:tcPr>
          <w:p w14:paraId="0B067ABA" w14:textId="77777777" w:rsidR="007349CA" w:rsidRPr="00786C50" w:rsidRDefault="007349CA" w:rsidP="00EE5176">
            <w:pPr>
              <w:rPr>
                <w:lang w:val="en-GB"/>
              </w:rPr>
            </w:pPr>
            <w:r w:rsidRPr="00786C50">
              <w:rPr>
                <w:lang w:val="en-GB"/>
              </w:rPr>
              <w:t>0.9085</w:t>
            </w:r>
          </w:p>
        </w:tc>
        <w:tc>
          <w:tcPr>
            <w:tcW w:w="975" w:type="dxa"/>
          </w:tcPr>
          <w:p w14:paraId="129EEA12" w14:textId="77777777" w:rsidR="007349CA" w:rsidRPr="00786C50" w:rsidRDefault="007349CA" w:rsidP="00EE5176">
            <w:pPr>
              <w:rPr>
                <w:lang w:val="en-GB"/>
              </w:rPr>
            </w:pPr>
            <w:r w:rsidRPr="00786C50">
              <w:rPr>
                <w:lang w:val="en-GB"/>
              </w:rPr>
              <w:t>NS</w:t>
            </w:r>
          </w:p>
        </w:tc>
      </w:tr>
    </w:tbl>
    <w:p w14:paraId="4384124B" w14:textId="77777777" w:rsidR="00323A9A" w:rsidRPr="00786C50" w:rsidRDefault="007349CA" w:rsidP="00323A9A">
      <w:pPr>
        <w:pStyle w:val="NormalWeb"/>
        <w:spacing w:line="360" w:lineRule="auto"/>
        <w:jc w:val="both"/>
      </w:pPr>
      <w:r w:rsidRPr="00786C50">
        <w:t xml:space="preserve">The study analyzed the relationship between cognitive flexibility and community participation among arts and science college students, considering various demographic variables. The overall correlation coefficient </w:t>
      </w:r>
      <w:r w:rsidRPr="00786C50">
        <w:rPr>
          <w:b/>
        </w:rPr>
        <w:t>(</w:t>
      </w:r>
      <w:r w:rsidRPr="00786C50">
        <w:rPr>
          <w:rStyle w:val="Strong"/>
          <w:b w:val="0"/>
        </w:rPr>
        <w:t>r = 0.0327</w:t>
      </w:r>
      <w:r w:rsidRPr="00786C50">
        <w:rPr>
          <w:b/>
        </w:rPr>
        <w:t>)</w:t>
      </w:r>
      <w:r w:rsidRPr="00786C50">
        <w:t xml:space="preserve"> and </w:t>
      </w:r>
      <w:r w:rsidRPr="00786C50">
        <w:rPr>
          <w:rStyle w:val="Strong"/>
          <w:b w:val="0"/>
        </w:rPr>
        <w:t>p-value (0.568)</w:t>
      </w:r>
      <w:r w:rsidRPr="00786C50">
        <w:t xml:space="preserve"> indicate no significant relationship between cognitive flexibility and community participation.</w:t>
      </w:r>
      <w:r w:rsidR="00323A9A" w:rsidRPr="00786C50">
        <w:t xml:space="preserve"> In terms of gender analysis, there was no statistically significant difference between the weak positive correlation (r = 0.08367, p = 0.2959) and weak negative correlation (r = -0.01956, p = 0.8128) between boys and girls. Comparing degree levels and institution types also revealed no significant differences (UG: r = -0.009638, p = 0.9031; PG: r = 0.05871, p = 0.483; Government: r = 0.06354, p = 0.4389; Private: r = 0.006215, p = 0.938). Rural students exhibited a weak positive association with their locality (r = 0.08582, p = 0.3098), but urban students displayed a negligible correlation (r = 0.009017, p = 0.9085). The two were not statistically significant.</w:t>
      </w:r>
    </w:p>
    <w:p w14:paraId="3CBE9DA4" w14:textId="77777777" w:rsidR="00323A9A" w:rsidRPr="00786C50" w:rsidRDefault="00323A9A" w:rsidP="007349CA">
      <w:pPr>
        <w:pStyle w:val="NormalWeb"/>
        <w:spacing w:line="360" w:lineRule="auto"/>
        <w:jc w:val="both"/>
      </w:pPr>
    </w:p>
    <w:p w14:paraId="77B2609C" w14:textId="77777777" w:rsidR="007349CA" w:rsidRPr="00786C50" w:rsidRDefault="007349CA" w:rsidP="007349CA">
      <w:pPr>
        <w:pStyle w:val="NormalWeb"/>
        <w:spacing w:line="360" w:lineRule="auto"/>
        <w:jc w:val="both"/>
      </w:pPr>
      <w:r w:rsidRPr="00786C50">
        <w:t xml:space="preserve"> The findings reveal no significant correlation between cognitive flexibility and community participation across all demographic variables. This indicates that the two constructs are independent of each other in the studied population.</w:t>
      </w:r>
    </w:p>
    <w:p w14:paraId="11313E2E" w14:textId="77777777" w:rsidR="007349CA" w:rsidRPr="00786C50" w:rsidRDefault="007349CA" w:rsidP="007349CA">
      <w:pPr>
        <w:spacing w:before="100" w:beforeAutospacing="1" w:after="100" w:afterAutospacing="1" w:line="240" w:lineRule="auto"/>
        <w:outlineLvl w:val="2"/>
        <w:rPr>
          <w:rFonts w:ascii="Times New Roman" w:eastAsia="Times New Roman" w:hAnsi="Times New Roman" w:cs="Times New Roman"/>
          <w:b/>
          <w:bCs/>
          <w:sz w:val="27"/>
          <w:szCs w:val="27"/>
        </w:rPr>
      </w:pPr>
      <w:r w:rsidRPr="00786C50">
        <w:rPr>
          <w:rFonts w:ascii="Times New Roman" w:eastAsia="Times New Roman" w:hAnsi="Times New Roman" w:cs="Times New Roman"/>
          <w:b/>
          <w:bCs/>
          <w:sz w:val="27"/>
          <w:szCs w:val="27"/>
        </w:rPr>
        <w:t>Suggestions for Future Research and Practice</w:t>
      </w:r>
    </w:p>
    <w:p w14:paraId="292B27C7"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Exploring Other Influencing Factors</w:t>
      </w:r>
    </w:p>
    <w:p w14:paraId="77A1D88D"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Since no significant relationships were found between cognitive flexibility and community participation across various demographic factors, future research could explore additional factors that might influence these constructs. These may include personality traits, motivation, social-emotional skills, or academic engagement, which could provide deeper insights into what drives community involvement and cognitive adaptability in students.</w:t>
      </w:r>
    </w:p>
    <w:p w14:paraId="16FDA292"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Longitudinal Studies</w:t>
      </w:r>
    </w:p>
    <w:p w14:paraId="1B526C92"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Conducting longitudinal studies could help determine whether the relationship between cognitive flexibility and community participation evolves over time. Such studies would allow for a deeper understanding of how these variables interact as students progress through their academic careers.</w:t>
      </w:r>
    </w:p>
    <w:p w14:paraId="441BD2FD" w14:textId="77777777" w:rsidR="00A8343A" w:rsidRPr="00786C50" w:rsidRDefault="00A8343A" w:rsidP="00A8343A">
      <w:pPr>
        <w:spacing w:line="360" w:lineRule="auto"/>
        <w:jc w:val="both"/>
        <w:rPr>
          <w:rFonts w:ascii="Times New Roman" w:hAnsi="Times New Roman" w:cs="Times New Roman"/>
          <w:b/>
          <w:sz w:val="24"/>
          <w:szCs w:val="24"/>
        </w:rPr>
      </w:pPr>
      <w:r w:rsidRPr="00786C50">
        <w:rPr>
          <w:rFonts w:ascii="Times New Roman" w:hAnsi="Times New Roman" w:cs="Times New Roman"/>
          <w:b/>
          <w:sz w:val="24"/>
          <w:szCs w:val="24"/>
        </w:rPr>
        <w:t>Qualitative Investigations</w:t>
      </w:r>
    </w:p>
    <w:p w14:paraId="7A7A055B" w14:textId="77777777" w:rsidR="007349CA" w:rsidRDefault="00A8343A" w:rsidP="00A8343A">
      <w:pPr>
        <w:spacing w:line="360" w:lineRule="auto"/>
        <w:jc w:val="both"/>
        <w:rPr>
          <w:rFonts w:ascii="Times New Roman" w:eastAsia="Times New Roman" w:hAnsi="Times New Roman" w:cs="Times New Roman"/>
          <w:sz w:val="24"/>
          <w:szCs w:val="24"/>
        </w:rPr>
      </w:pPr>
      <w:r w:rsidRPr="00786C50">
        <w:rPr>
          <w:rFonts w:ascii="Times New Roman" w:hAnsi="Times New Roman" w:cs="Times New Roman"/>
          <w:sz w:val="24"/>
          <w:szCs w:val="24"/>
        </w:rPr>
        <w:t>The quantitative results could benefit from the addition of qualitative techniques like focus groups and interviews.</w:t>
      </w:r>
      <w:r w:rsidR="007349CA" w:rsidRPr="00786C50">
        <w:rPr>
          <w:rFonts w:ascii="Times New Roman" w:eastAsia="Times New Roman" w:hAnsi="Times New Roman" w:cs="Times New Roman"/>
          <w:sz w:val="24"/>
          <w:szCs w:val="24"/>
        </w:rPr>
        <w:t xml:space="preserve"> Qualitative data could uncover personal experiences, cultural influences, and individual perspectives that might help explain why cognitive flexibility and community participation appear to be unrelated in this study.</w:t>
      </w:r>
    </w:p>
    <w:p w14:paraId="362C5EE8" w14:textId="77777777" w:rsidR="00296037" w:rsidRPr="00786C50" w:rsidRDefault="00296037" w:rsidP="00A8343A">
      <w:pPr>
        <w:spacing w:line="360" w:lineRule="auto"/>
        <w:jc w:val="both"/>
        <w:rPr>
          <w:rFonts w:ascii="Times New Roman" w:eastAsia="Times New Roman" w:hAnsi="Times New Roman" w:cs="Times New Roman"/>
          <w:sz w:val="24"/>
          <w:szCs w:val="24"/>
        </w:rPr>
      </w:pPr>
    </w:p>
    <w:p w14:paraId="5F41C505"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Interventions to Enhance Cognitive Flexibility</w:t>
      </w:r>
    </w:p>
    <w:p w14:paraId="79302961" w14:textId="77777777" w:rsidR="007349CA" w:rsidRPr="00786C50" w:rsidRDefault="00A8343A" w:rsidP="00A8343A">
      <w:pPr>
        <w:spacing w:line="360" w:lineRule="auto"/>
        <w:rPr>
          <w:rFonts w:ascii="Times New Roman" w:eastAsia="Times New Roman" w:hAnsi="Times New Roman" w:cs="Times New Roman"/>
          <w:sz w:val="24"/>
          <w:szCs w:val="24"/>
        </w:rPr>
      </w:pPr>
      <w:r w:rsidRPr="00786C50">
        <w:rPr>
          <w:rFonts w:ascii="Times New Roman" w:hAnsi="Times New Roman" w:cs="Times New Roman"/>
          <w:sz w:val="24"/>
          <w:szCs w:val="24"/>
        </w:rPr>
        <w:t xml:space="preserve">Institutions should create focused interventions, such as training courses or workshops, to assist students in increasing their cognitive flexibility because it is crucial for both academic and </w:t>
      </w:r>
      <w:r w:rsidRPr="00786C50">
        <w:rPr>
          <w:rFonts w:ascii="Times New Roman" w:hAnsi="Times New Roman" w:cs="Times New Roman"/>
          <w:sz w:val="24"/>
          <w:szCs w:val="24"/>
        </w:rPr>
        <w:lastRenderedPageBreak/>
        <w:t>professional success. </w:t>
      </w:r>
      <w:r w:rsidR="007349CA" w:rsidRPr="00786C50">
        <w:rPr>
          <w:rFonts w:ascii="Times New Roman" w:eastAsia="Times New Roman" w:hAnsi="Times New Roman" w:cs="Times New Roman"/>
          <w:sz w:val="24"/>
          <w:szCs w:val="24"/>
        </w:rPr>
        <w:t>Encouraging activities like problem-solving exercises, mindfulness practices, or exposure to diverse viewpoints could enhance students' ability to adapt to different challenges.</w:t>
      </w:r>
    </w:p>
    <w:p w14:paraId="47B062E7"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Encouraging Community Engagement</w:t>
      </w:r>
    </w:p>
    <w:p w14:paraId="54CF0AB6"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While no significant relationship was found in this study, universities and colleges could continue to promote community engagement as part of their educational philosophy. Service-learning, volunteerism, and other community-based activities could be integrated into curricula to enhance students' social responsibility and leadership skills, potentially fostering more involvement in community issues over time.</w:t>
      </w:r>
    </w:p>
    <w:p w14:paraId="25DADD4F"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Expanding the Study Sample</w:t>
      </w:r>
    </w:p>
    <w:p w14:paraId="5868D678"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The study was conducted in a specific geographic area (Chennai, Chengalpattu, and Kanchipuram districts in Tamil Nadu). Expanding the sample to include students from a broader range of regions, including urban and rural areas across different states, would offer a more comprehensive perspective and could lead to different insights based on geographical and cultural differences.</w:t>
      </w:r>
    </w:p>
    <w:p w14:paraId="48F8B154"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Examining Other Variables in the Study</w:t>
      </w:r>
    </w:p>
    <w:p w14:paraId="07B7C766"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Future studies could explore the impact of additional variables like socioeconomic status, parental background, extracurricular activities, or academic performance on both cognitive flexibility and community participation. This could reveal more nuanced relationships and help create more targeted interventions for students.</w:t>
      </w:r>
    </w:p>
    <w:p w14:paraId="30694C67" w14:textId="77777777" w:rsidR="007349CA" w:rsidRPr="00786C50" w:rsidRDefault="007349CA" w:rsidP="007349CA">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By addressing these suggestions, future research can deepen the understanding of cognitive flexibility and community participation among college students, providing valuable information for educators and policymakers to foster better academic and social outcomes.</w:t>
      </w:r>
    </w:p>
    <w:p w14:paraId="52A4D5AC" w14:textId="77777777" w:rsidR="0013388B" w:rsidRPr="00786C50" w:rsidRDefault="0013388B" w:rsidP="0013388B">
      <w:pPr>
        <w:pStyle w:val="Heading3"/>
        <w:rPr>
          <w:rStyle w:val="Strong"/>
          <w:b/>
          <w:bCs/>
        </w:rPr>
      </w:pPr>
      <w:r w:rsidRPr="00786C50">
        <w:rPr>
          <w:rStyle w:val="Strong"/>
          <w:b/>
          <w:bCs/>
        </w:rPr>
        <w:t>Conclusion</w:t>
      </w:r>
    </w:p>
    <w:p w14:paraId="18A6018D" w14:textId="77777777" w:rsidR="0013388B" w:rsidRDefault="00977D7F" w:rsidP="00E417C1">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 xml:space="preserve">Among undergraduates studying the arts and sciences, the study examined the relationship between cognitive flexibility and community participation by focusing on several demographic </w:t>
      </w:r>
      <w:r w:rsidRPr="00786C50">
        <w:rPr>
          <w:rFonts w:ascii="Times New Roman" w:hAnsi="Times New Roman" w:cs="Times New Roman"/>
          <w:sz w:val="24"/>
          <w:szCs w:val="24"/>
        </w:rPr>
        <w:lastRenderedPageBreak/>
        <w:t>factors, such as gender, degree level, institution type, and geography. </w:t>
      </w:r>
      <w:r w:rsidR="00786C50" w:rsidRPr="00786C50">
        <w:rPr>
          <w:rFonts w:ascii="Times New Roman" w:hAnsi="Times New Roman" w:cs="Times New Roman"/>
          <w:sz w:val="24"/>
          <w:szCs w:val="24"/>
        </w:rPr>
        <w:t xml:space="preserve"> </w:t>
      </w:r>
      <w:r w:rsidR="0013388B" w:rsidRPr="00786C50">
        <w:rPr>
          <w:rFonts w:ascii="Times New Roman" w:hAnsi="Times New Roman" w:cs="Times New Roman"/>
          <w:sz w:val="24"/>
          <w:szCs w:val="24"/>
        </w:rPr>
        <w:t xml:space="preserve">The findings revealed no significant correlation between cognitive flexibility and community participation across these demographic variables. </w:t>
      </w:r>
      <w:r w:rsidR="00CA5CBD" w:rsidRPr="00786C50">
        <w:rPr>
          <w:rFonts w:ascii="Times New Roman" w:hAnsi="Times New Roman" w:cs="Times New Roman"/>
          <w:sz w:val="24"/>
          <w:szCs w:val="24"/>
        </w:rPr>
        <w:t>None of these differences were statistically significant, despite some gender- and location-based differences in cognitive flexibility and minor degree-level and institution-type-based differences in community participation levels. Given the absence of substantial correlations shown between cognitive flexibility and community involvement, it is possible that these variables are more heavily influenced by other factors not examined in this study. In the population under study, cognitive flexibility and community involvement seem to be unrelated. The significance of community involvement in promoting social responsibility and engagement, as well as cognitive flexibility in academic and professional settings, is not diminished by this, though.</w:t>
      </w:r>
      <w:r w:rsidR="00927AA1" w:rsidRPr="00786C50">
        <w:rPr>
          <w:rFonts w:ascii="Times New Roman" w:hAnsi="Times New Roman" w:cs="Times New Roman"/>
          <w:sz w:val="24"/>
          <w:szCs w:val="24"/>
        </w:rPr>
        <w:t xml:space="preserve"> </w:t>
      </w:r>
      <w:r w:rsidR="0013388B" w:rsidRPr="00786C50">
        <w:rPr>
          <w:rFonts w:ascii="Times New Roman" w:hAnsi="Times New Roman" w:cs="Times New Roman"/>
          <w:sz w:val="24"/>
          <w:szCs w:val="24"/>
        </w:rPr>
        <w:t>Given these findings, further research is needed to explore additional factors that may contribute to cognitive flexibility and community involvement, such as personality traits, socio-economic background, or exposure to diverse learning environments. Future studies employing longitudinal or qualitative methods, along with expanding the sample to include a broader range of regions, could offer more detailed insights into the dynamics of these variables. Overall, while the study did not find significant correlations, it provides a basis for future exploration and encourages the continued promotion of both cognitive flexibility and community engagement within educational settings.</w:t>
      </w:r>
    </w:p>
    <w:p w14:paraId="0E30ABF1" w14:textId="77777777" w:rsidR="00AB0095" w:rsidRPr="00AB0095" w:rsidRDefault="00AB0095" w:rsidP="00AB0095">
      <w:pPr>
        <w:spacing w:before="100" w:beforeAutospacing="1" w:after="100" w:afterAutospacing="1" w:line="240" w:lineRule="auto"/>
        <w:outlineLvl w:val="2"/>
        <w:rPr>
          <w:rFonts w:ascii="Times New Roman" w:eastAsia="Times New Roman" w:hAnsi="Times New Roman" w:cs="Times New Roman"/>
          <w:b/>
          <w:bCs/>
          <w:sz w:val="27"/>
          <w:szCs w:val="27"/>
          <w:lang w:bidi="ta-IN"/>
        </w:rPr>
      </w:pPr>
      <w:r w:rsidRPr="00AB0095">
        <w:rPr>
          <w:rFonts w:ascii="Times New Roman" w:eastAsia="Times New Roman" w:hAnsi="Times New Roman" w:cs="Times New Roman"/>
          <w:b/>
          <w:bCs/>
          <w:sz w:val="27"/>
          <w:szCs w:val="27"/>
          <w:lang w:bidi="ta-IN"/>
        </w:rPr>
        <w:t>Disclaimer (Artificial Intelligence)</w:t>
      </w:r>
    </w:p>
    <w:p w14:paraId="5DAA363B" w14:textId="3F72A0D7" w:rsidR="00AB0095" w:rsidRDefault="00AB0095" w:rsidP="00E417C1">
      <w:pPr>
        <w:spacing w:line="360" w:lineRule="auto"/>
        <w:jc w:val="both"/>
        <w:rPr>
          <w:rFonts w:ascii="Times New Roman" w:hAnsi="Times New Roman" w:cs="Times New Roman"/>
          <w:sz w:val="24"/>
          <w:szCs w:val="24"/>
        </w:rPr>
      </w:pPr>
      <w:r w:rsidRPr="00AB0095">
        <w:rPr>
          <w:rFonts w:ascii="Times New Roman" w:hAnsi="Times New Roman" w:cs="Times New Roman"/>
          <w:sz w:val="24"/>
          <w:szCs w:val="24"/>
        </w:rPr>
        <w:t>The authors hereby declare that generative AI technologies have been used only for the purpose of refining the language, correcting grammatical errors, and formatting the content of the manuscript. The intellectual content, data analysis, interpretation of the results, and the entire research work are the original contribution of the authors. No AI tools have been used for data generation, analysis, or conclusion.</w:t>
      </w:r>
    </w:p>
    <w:p w14:paraId="2B913851" w14:textId="7D2A3797" w:rsidR="00893EFA" w:rsidRDefault="00893EFA" w:rsidP="00E417C1">
      <w:pPr>
        <w:spacing w:line="360" w:lineRule="auto"/>
        <w:jc w:val="both"/>
        <w:rPr>
          <w:rFonts w:ascii="Times New Roman" w:hAnsi="Times New Roman" w:cs="Times New Roman"/>
          <w:sz w:val="24"/>
          <w:szCs w:val="24"/>
        </w:rPr>
      </w:pPr>
    </w:p>
    <w:p w14:paraId="57A39696" w14:textId="77777777" w:rsidR="00893EFA" w:rsidRPr="00786C50" w:rsidRDefault="00893EFA" w:rsidP="00E417C1">
      <w:pPr>
        <w:spacing w:line="360" w:lineRule="auto"/>
        <w:jc w:val="both"/>
        <w:rPr>
          <w:rFonts w:ascii="Times New Roman" w:hAnsi="Times New Roman" w:cs="Times New Roman"/>
          <w:sz w:val="24"/>
          <w:szCs w:val="24"/>
        </w:rPr>
      </w:pPr>
    </w:p>
    <w:p w14:paraId="50E07CBA" w14:textId="77777777" w:rsidR="006F3EAC" w:rsidRDefault="00313DD8" w:rsidP="006F3EAC">
      <w:pPr>
        <w:spacing w:line="360" w:lineRule="auto"/>
        <w:jc w:val="both"/>
        <w:rPr>
          <w:rFonts w:ascii="Times New Roman" w:hAnsi="Times New Roman" w:cs="Times New Roman"/>
          <w:b/>
          <w:sz w:val="24"/>
          <w:szCs w:val="24"/>
          <w:lang w:val="en-GB"/>
        </w:rPr>
      </w:pPr>
      <w:r w:rsidRPr="00786C50">
        <w:rPr>
          <w:rFonts w:ascii="Times New Roman" w:hAnsi="Times New Roman" w:cs="Times New Roman"/>
          <w:b/>
          <w:sz w:val="24"/>
          <w:szCs w:val="24"/>
          <w:lang w:val="en-GB"/>
        </w:rPr>
        <w:t>Reference</w:t>
      </w:r>
      <w:r w:rsidR="00007598">
        <w:rPr>
          <w:rFonts w:ascii="Times New Roman" w:hAnsi="Times New Roman" w:cs="Times New Roman"/>
          <w:b/>
          <w:sz w:val="24"/>
          <w:szCs w:val="24"/>
          <w:lang w:val="en-GB"/>
        </w:rPr>
        <w:t>s</w:t>
      </w:r>
    </w:p>
    <w:p w14:paraId="6AE3ECAD" w14:textId="3FFFBC1D" w:rsidR="00007598" w:rsidRPr="006D3647" w:rsidRDefault="00007598" w:rsidP="006D3647">
      <w:pPr>
        <w:pStyle w:val="ListParagraph"/>
        <w:numPr>
          <w:ilvl w:val="0"/>
          <w:numId w:val="5"/>
        </w:numPr>
        <w:spacing w:line="360" w:lineRule="auto"/>
        <w:jc w:val="both"/>
        <w:rPr>
          <w:rFonts w:ascii="Times New Roman" w:hAnsi="Times New Roman" w:cs="Times New Roman"/>
          <w:b/>
          <w:sz w:val="24"/>
          <w:szCs w:val="24"/>
          <w:lang w:val="en-GB"/>
        </w:rPr>
      </w:pPr>
      <w:proofErr w:type="spellStart"/>
      <w:r>
        <w:lastRenderedPageBreak/>
        <w:t>Astin</w:t>
      </w:r>
      <w:proofErr w:type="spellEnd"/>
      <w:r>
        <w:t xml:space="preserve">, A. W., &amp; Sax, L. J. (1998). How undergraduates are affected by service participation. </w:t>
      </w:r>
      <w:r>
        <w:rPr>
          <w:rStyle w:val="Emphasis"/>
        </w:rPr>
        <w:t>Journal of College Student Development, 39</w:t>
      </w:r>
      <w:r>
        <w:t>(3), 251–263.</w:t>
      </w:r>
    </w:p>
    <w:p w14:paraId="44FB9DA9" w14:textId="77777777" w:rsidR="00007598" w:rsidRDefault="00007598" w:rsidP="006D3647">
      <w:pPr>
        <w:pStyle w:val="NormalWeb"/>
        <w:numPr>
          <w:ilvl w:val="0"/>
          <w:numId w:val="5"/>
        </w:numPr>
        <w:spacing w:line="360" w:lineRule="auto"/>
        <w:jc w:val="both"/>
      </w:pPr>
      <w:proofErr w:type="spellStart"/>
      <w:r>
        <w:t>Bringle</w:t>
      </w:r>
      <w:proofErr w:type="spellEnd"/>
      <w:r>
        <w:t xml:space="preserve">, R. G., &amp; Hatcher, J. A. (2011). International service learning. In R. G. </w:t>
      </w:r>
      <w:proofErr w:type="spellStart"/>
      <w:r>
        <w:t>Bringle</w:t>
      </w:r>
      <w:proofErr w:type="spellEnd"/>
      <w:r>
        <w:t xml:space="preserve">, J. A. Hatcher, &amp; S. G. Jones (Eds.), </w:t>
      </w:r>
      <w:r>
        <w:rPr>
          <w:rStyle w:val="Emphasis"/>
        </w:rPr>
        <w:t>International service learning: Conceptual frameworks and research</w:t>
      </w:r>
      <w:r>
        <w:t xml:space="preserve"> (pp. 3–28). Stylus Publishing.</w:t>
      </w:r>
    </w:p>
    <w:p w14:paraId="03DC3D22" w14:textId="77777777" w:rsidR="00007598" w:rsidRDefault="00007598" w:rsidP="006D3647">
      <w:pPr>
        <w:pStyle w:val="NormalWeb"/>
        <w:numPr>
          <w:ilvl w:val="0"/>
          <w:numId w:val="5"/>
        </w:numPr>
        <w:spacing w:line="360" w:lineRule="auto"/>
        <w:jc w:val="both"/>
      </w:pPr>
      <w:r>
        <w:t xml:space="preserve">Demirtaş, A. S. (2020). Optimism and happiness in undergraduate students: Cognitive flexibility and adjustment to university life as mediators. </w:t>
      </w:r>
      <w:proofErr w:type="spellStart"/>
      <w:r>
        <w:rPr>
          <w:rStyle w:val="Emphasis"/>
        </w:rPr>
        <w:t>Anales</w:t>
      </w:r>
      <w:proofErr w:type="spellEnd"/>
      <w:r>
        <w:rPr>
          <w:rStyle w:val="Emphasis"/>
        </w:rPr>
        <w:t xml:space="preserve"> de </w:t>
      </w:r>
      <w:proofErr w:type="spellStart"/>
      <w:r>
        <w:rPr>
          <w:rStyle w:val="Emphasis"/>
        </w:rPr>
        <w:t>Psicología</w:t>
      </w:r>
      <w:proofErr w:type="spellEnd"/>
      <w:r>
        <w:rPr>
          <w:rStyle w:val="Emphasis"/>
        </w:rPr>
        <w:t>, 36</w:t>
      </w:r>
      <w:r>
        <w:t xml:space="preserve">(2), 320–329. </w:t>
      </w:r>
      <w:hyperlink r:id="rId6" w:tgtFrame="_new" w:history="1">
        <w:r>
          <w:rPr>
            <w:rStyle w:val="Hyperlink"/>
          </w:rPr>
          <w:t>https://doi.org/10.6018/analesps.381181</w:t>
        </w:r>
      </w:hyperlink>
    </w:p>
    <w:p w14:paraId="3321E192" w14:textId="77777777" w:rsidR="00007598" w:rsidRDefault="00007598" w:rsidP="006D3647">
      <w:pPr>
        <w:pStyle w:val="NormalWeb"/>
        <w:numPr>
          <w:ilvl w:val="0"/>
          <w:numId w:val="5"/>
        </w:numPr>
        <w:spacing w:line="360" w:lineRule="auto"/>
        <w:jc w:val="both"/>
      </w:pPr>
      <w:r>
        <w:t xml:space="preserve">Diamond, A. (2013). Executive functions. </w:t>
      </w:r>
      <w:r>
        <w:rPr>
          <w:rStyle w:val="Emphasis"/>
        </w:rPr>
        <w:t>Annual Review of Psychology, 64</w:t>
      </w:r>
      <w:r>
        <w:t xml:space="preserve">, 135–168. </w:t>
      </w:r>
      <w:hyperlink r:id="rId7" w:tgtFrame="_new" w:history="1">
        <w:r>
          <w:rPr>
            <w:rStyle w:val="Hyperlink"/>
          </w:rPr>
          <w:t>https://doi.org/10.1146/annurev-psych-113011-143750</w:t>
        </w:r>
      </w:hyperlink>
    </w:p>
    <w:p w14:paraId="35D77BED" w14:textId="77777777" w:rsidR="00007598" w:rsidRDefault="00007598" w:rsidP="006D3647">
      <w:pPr>
        <w:pStyle w:val="NormalWeb"/>
        <w:numPr>
          <w:ilvl w:val="0"/>
          <w:numId w:val="5"/>
        </w:numPr>
        <w:spacing w:line="360" w:lineRule="auto"/>
        <w:jc w:val="both"/>
      </w:pPr>
      <w:proofErr w:type="spellStart"/>
      <w:r>
        <w:t>Dreisbach</w:t>
      </w:r>
      <w:proofErr w:type="spellEnd"/>
      <w:r>
        <w:t xml:space="preserve">, G., &amp; </w:t>
      </w:r>
      <w:proofErr w:type="spellStart"/>
      <w:r>
        <w:t>Goschke</w:t>
      </w:r>
      <w:proofErr w:type="spellEnd"/>
      <w:r>
        <w:t xml:space="preserve">, T. (2004). How positive affect modulates cognitive control: Reduced perseveration at the cost of increased distractibility. </w:t>
      </w:r>
      <w:r>
        <w:rPr>
          <w:rStyle w:val="Emphasis"/>
        </w:rPr>
        <w:t>Journal of Experimental Psychology: Learning, Memory, and Cognition, 30</w:t>
      </w:r>
      <w:r>
        <w:t xml:space="preserve">(2), 343–353. </w:t>
      </w:r>
      <w:hyperlink r:id="rId8" w:tgtFrame="_new" w:history="1">
        <w:r>
          <w:rPr>
            <w:rStyle w:val="Hyperlink"/>
          </w:rPr>
          <w:t>https://doi.org/10.1037/0278-7393.30.2.343</w:t>
        </w:r>
      </w:hyperlink>
    </w:p>
    <w:p w14:paraId="26B9FD6E" w14:textId="77777777" w:rsidR="00007598" w:rsidRDefault="00007598" w:rsidP="006D3647">
      <w:pPr>
        <w:pStyle w:val="NormalWeb"/>
        <w:numPr>
          <w:ilvl w:val="0"/>
          <w:numId w:val="5"/>
        </w:numPr>
        <w:spacing w:line="360" w:lineRule="auto"/>
        <w:jc w:val="both"/>
      </w:pPr>
      <w:proofErr w:type="spellStart"/>
      <w:r>
        <w:t>Eyler</w:t>
      </w:r>
      <w:proofErr w:type="spellEnd"/>
      <w:r>
        <w:t xml:space="preserve">, J., &amp; Giles, D. E. (1999). </w:t>
      </w:r>
      <w:r>
        <w:rPr>
          <w:rStyle w:val="Emphasis"/>
        </w:rPr>
        <w:t>Where’s the learning in service-learning?</w:t>
      </w:r>
      <w:r>
        <w:t xml:space="preserve"> Jossey-Bass.</w:t>
      </w:r>
    </w:p>
    <w:p w14:paraId="483C1FA1" w14:textId="77777777" w:rsidR="00007598" w:rsidRDefault="00007598" w:rsidP="006D3647">
      <w:pPr>
        <w:pStyle w:val="NormalWeb"/>
        <w:numPr>
          <w:ilvl w:val="0"/>
          <w:numId w:val="5"/>
        </w:numPr>
        <w:spacing w:line="360" w:lineRule="auto"/>
        <w:jc w:val="both"/>
      </w:pPr>
      <w:r>
        <w:t xml:space="preserve">Fredricks, J. A., Blumenfeld, P. C., &amp; Paris, A. H. (2004). School engagement: Potential of the concept, state of the evidence. </w:t>
      </w:r>
      <w:r>
        <w:rPr>
          <w:rStyle w:val="Emphasis"/>
        </w:rPr>
        <w:t>Review of Educational Research, 74</w:t>
      </w:r>
      <w:r>
        <w:t xml:space="preserve">(1), 59–109. </w:t>
      </w:r>
      <w:hyperlink r:id="rId9" w:tgtFrame="_new" w:history="1">
        <w:r>
          <w:rPr>
            <w:rStyle w:val="Hyperlink"/>
          </w:rPr>
          <w:t>https://doi.org/10.3102/00346543074001059</w:t>
        </w:r>
      </w:hyperlink>
    </w:p>
    <w:p w14:paraId="459645F2" w14:textId="77777777" w:rsidR="00007598" w:rsidRDefault="00007598" w:rsidP="006D3647">
      <w:pPr>
        <w:pStyle w:val="NormalWeb"/>
        <w:numPr>
          <w:ilvl w:val="0"/>
          <w:numId w:val="5"/>
        </w:numPr>
        <w:spacing w:line="360" w:lineRule="auto"/>
        <w:jc w:val="both"/>
      </w:pPr>
      <w:r>
        <w:t xml:space="preserve">Jacoby, B. (2015). </w:t>
      </w:r>
      <w:r>
        <w:rPr>
          <w:rStyle w:val="Emphasis"/>
        </w:rPr>
        <w:t>Service-learning essentials: Questions, answers, and lessons learned</w:t>
      </w:r>
      <w:r>
        <w:t>. Jossey-Bass.</w:t>
      </w:r>
    </w:p>
    <w:p w14:paraId="31062251" w14:textId="77777777" w:rsidR="00007598" w:rsidRDefault="00007598" w:rsidP="006D3647">
      <w:pPr>
        <w:pStyle w:val="NormalWeb"/>
        <w:numPr>
          <w:ilvl w:val="0"/>
          <w:numId w:val="5"/>
        </w:numPr>
        <w:spacing w:line="360" w:lineRule="auto"/>
        <w:jc w:val="both"/>
      </w:pPr>
      <w:proofErr w:type="spellStart"/>
      <w:r>
        <w:t>Kercood</w:t>
      </w:r>
      <w:proofErr w:type="spellEnd"/>
      <w:r>
        <w:t xml:space="preserve">, S., Lineweaver, T. T., Frank, C. C., &amp; Fromm, E. D. (2017). Cognitive flexibility and its relationship to academic achievement and career choice of college students with and without attention deficit hyperactivity disorder. </w:t>
      </w:r>
      <w:r>
        <w:rPr>
          <w:rStyle w:val="Emphasis"/>
        </w:rPr>
        <w:t>Journal of Postsecondary Education and Disability, 30</w:t>
      </w:r>
      <w:r>
        <w:t>(4), 329–344.</w:t>
      </w:r>
    </w:p>
    <w:p w14:paraId="535F4941" w14:textId="77777777" w:rsidR="00007598" w:rsidRDefault="00007598" w:rsidP="006D3647">
      <w:pPr>
        <w:pStyle w:val="NormalWeb"/>
        <w:numPr>
          <w:ilvl w:val="0"/>
          <w:numId w:val="5"/>
        </w:numPr>
        <w:spacing w:line="360" w:lineRule="auto"/>
        <w:jc w:val="both"/>
      </w:pPr>
      <w:r>
        <w:t xml:space="preserve">Martin, M. M., &amp; Rubin, R. B. (2012). A new measure of cognitive flexibility. </w:t>
      </w:r>
      <w:r>
        <w:rPr>
          <w:rStyle w:val="Emphasis"/>
        </w:rPr>
        <w:t>Psychological Reports, 110</w:t>
      </w:r>
      <w:r>
        <w:t>(3), 835–845. https://doi.org/10.2466/03.09.PR0.110.3.835-845</w:t>
      </w:r>
    </w:p>
    <w:p w14:paraId="098A1590" w14:textId="77777777" w:rsidR="00007598" w:rsidRDefault="00007598" w:rsidP="006D3647">
      <w:pPr>
        <w:pStyle w:val="NormalWeb"/>
        <w:numPr>
          <w:ilvl w:val="0"/>
          <w:numId w:val="5"/>
        </w:numPr>
        <w:spacing w:line="360" w:lineRule="auto"/>
        <w:jc w:val="both"/>
      </w:pPr>
      <w:r>
        <w:t xml:space="preserve">Moore, B. A., &amp; Malinowski, P. (2009). Meditation, mindfulness, and cognitive flexibility. </w:t>
      </w:r>
      <w:r>
        <w:rPr>
          <w:rStyle w:val="Emphasis"/>
        </w:rPr>
        <w:t>Consciousness and Cognition, 18</w:t>
      </w:r>
      <w:r>
        <w:t>(1), 176–186. https://doi.org/10.1016/j.concog.2008.12.008</w:t>
      </w:r>
    </w:p>
    <w:p w14:paraId="1169EBB7" w14:textId="77777777" w:rsidR="00007598" w:rsidRDefault="00007598" w:rsidP="006D3647">
      <w:pPr>
        <w:pStyle w:val="NormalWeb"/>
        <w:numPr>
          <w:ilvl w:val="0"/>
          <w:numId w:val="5"/>
        </w:numPr>
        <w:spacing w:line="360" w:lineRule="auto"/>
        <w:jc w:val="both"/>
      </w:pPr>
      <w:proofErr w:type="spellStart"/>
      <w:r>
        <w:lastRenderedPageBreak/>
        <w:t>Zaff</w:t>
      </w:r>
      <w:proofErr w:type="spellEnd"/>
      <w:r>
        <w:t xml:space="preserve">, J. F., Kawashima-Ginsberg, K., Lin, E. S., Lamb, M., </w:t>
      </w:r>
      <w:proofErr w:type="spellStart"/>
      <w:r>
        <w:t>Balsano</w:t>
      </w:r>
      <w:proofErr w:type="spellEnd"/>
      <w:r>
        <w:t xml:space="preserve">, A., &amp; Lerner, R. M. (2010). Developmental trajectories of civic engagement across adolescence. </w:t>
      </w:r>
      <w:r>
        <w:rPr>
          <w:rStyle w:val="Emphasis"/>
        </w:rPr>
        <w:t>Journal of Adolescence, 33</w:t>
      </w:r>
      <w:r>
        <w:t>(1), 111–120. https://doi.org/10.1016/j.adolescence.2009.04.002</w:t>
      </w:r>
    </w:p>
    <w:p w14:paraId="27847A03" w14:textId="77777777" w:rsidR="00007598" w:rsidRDefault="00007598" w:rsidP="006D3647">
      <w:pPr>
        <w:pStyle w:val="NormalWeb"/>
        <w:numPr>
          <w:ilvl w:val="0"/>
          <w:numId w:val="5"/>
        </w:numPr>
        <w:spacing w:line="360" w:lineRule="auto"/>
        <w:jc w:val="both"/>
      </w:pPr>
      <w:proofErr w:type="spellStart"/>
      <w:r>
        <w:t>Datu</w:t>
      </w:r>
      <w:proofErr w:type="spellEnd"/>
      <w:r>
        <w:t xml:space="preserve">, J. A. D., &amp; King, R. B. (2018). Subjective well-being is reciprocally associated with academic engagement. </w:t>
      </w:r>
      <w:r>
        <w:rPr>
          <w:rStyle w:val="Emphasis"/>
        </w:rPr>
        <w:t>Journal of School Psychology, 69</w:t>
      </w:r>
      <w:r>
        <w:t>, 61–73. https://doi.org/10.1016/j.jsp.2018.05.007</w:t>
      </w:r>
    </w:p>
    <w:p w14:paraId="20499737" w14:textId="77777777" w:rsidR="00007598" w:rsidRDefault="00007598" w:rsidP="006D3647">
      <w:pPr>
        <w:pStyle w:val="NormalWeb"/>
        <w:numPr>
          <w:ilvl w:val="0"/>
          <w:numId w:val="5"/>
        </w:numPr>
        <w:spacing w:line="360" w:lineRule="auto"/>
        <w:jc w:val="both"/>
      </w:pPr>
      <w:r>
        <w:t xml:space="preserve">OECD. (2019). </w:t>
      </w:r>
      <w:r>
        <w:rPr>
          <w:rStyle w:val="Emphasis"/>
        </w:rPr>
        <w:t>OECD future of education and skills 2030: OECD learning compass 2030</w:t>
      </w:r>
      <w:r>
        <w:t>. OECD Publishing.</w:t>
      </w:r>
    </w:p>
    <w:p w14:paraId="423ACF74" w14:textId="77777777" w:rsidR="00007598" w:rsidRDefault="00007598" w:rsidP="006D3647">
      <w:pPr>
        <w:pStyle w:val="NormalWeb"/>
        <w:numPr>
          <w:ilvl w:val="0"/>
          <w:numId w:val="5"/>
        </w:numPr>
        <w:spacing w:line="360" w:lineRule="auto"/>
        <w:jc w:val="both"/>
      </w:pPr>
      <w:proofErr w:type="spellStart"/>
      <w:r>
        <w:t>Schleicher</w:t>
      </w:r>
      <w:proofErr w:type="spellEnd"/>
      <w:r>
        <w:t xml:space="preserve">, A. (2018). </w:t>
      </w:r>
      <w:r>
        <w:rPr>
          <w:rStyle w:val="Emphasis"/>
        </w:rPr>
        <w:t>World class: How to build a 21st-century school system</w:t>
      </w:r>
      <w:r>
        <w:t>. OECD Publishing.</w:t>
      </w:r>
    </w:p>
    <w:p w14:paraId="65357100" w14:textId="77777777" w:rsidR="00007598" w:rsidRDefault="00007598" w:rsidP="006D3647">
      <w:pPr>
        <w:pStyle w:val="NormalWeb"/>
        <w:numPr>
          <w:ilvl w:val="0"/>
          <w:numId w:val="5"/>
        </w:numPr>
        <w:spacing w:line="360" w:lineRule="auto"/>
        <w:jc w:val="both"/>
      </w:pPr>
      <w:r>
        <w:t xml:space="preserve">Scott, W. A. (1962). Cognitive complexity and cognitive flexibility. </w:t>
      </w:r>
      <w:r>
        <w:rPr>
          <w:rStyle w:val="Emphasis"/>
        </w:rPr>
        <w:t>Sociometry, 25</w:t>
      </w:r>
      <w:r>
        <w:t>(4), 405–414.</w:t>
      </w:r>
    </w:p>
    <w:p w14:paraId="48F63B90" w14:textId="70042A9E" w:rsidR="00E07196" w:rsidRPr="00786C50" w:rsidRDefault="00E07196" w:rsidP="00007598">
      <w:pPr>
        <w:widowControl w:val="0"/>
        <w:autoSpaceDE w:val="0"/>
        <w:autoSpaceDN w:val="0"/>
        <w:adjustRightInd w:val="0"/>
        <w:spacing w:line="360" w:lineRule="auto"/>
        <w:ind w:left="480" w:hanging="480"/>
        <w:jc w:val="both"/>
        <w:rPr>
          <w:rFonts w:ascii="Times New Roman" w:hAnsi="Times New Roman" w:cs="Times New Roman"/>
          <w:sz w:val="24"/>
          <w:szCs w:val="24"/>
          <w:lang w:val="en-GB"/>
        </w:rPr>
      </w:pPr>
    </w:p>
    <w:p w14:paraId="2957E159" w14:textId="77777777" w:rsidR="00E07196" w:rsidRPr="00786C50" w:rsidRDefault="00E07196" w:rsidP="00E07196">
      <w:pPr>
        <w:spacing w:line="360" w:lineRule="auto"/>
        <w:jc w:val="both"/>
        <w:rPr>
          <w:rFonts w:ascii="Times New Roman" w:hAnsi="Times New Roman" w:cs="Times New Roman"/>
          <w:sz w:val="24"/>
          <w:szCs w:val="24"/>
          <w:lang w:val="en-GB"/>
        </w:rPr>
      </w:pPr>
    </w:p>
    <w:p w14:paraId="2B6CEB99" w14:textId="77777777" w:rsidR="00E07196" w:rsidRPr="00786C50" w:rsidRDefault="00E07196" w:rsidP="00E07196">
      <w:pPr>
        <w:spacing w:line="360" w:lineRule="auto"/>
        <w:jc w:val="both"/>
        <w:rPr>
          <w:rFonts w:ascii="Times New Roman" w:hAnsi="Times New Roman" w:cs="Times New Roman"/>
          <w:sz w:val="24"/>
          <w:szCs w:val="24"/>
          <w:lang w:val="en-GB"/>
        </w:rPr>
      </w:pPr>
    </w:p>
    <w:p w14:paraId="0C972560" w14:textId="77777777" w:rsidR="00E07196" w:rsidRPr="00786C50" w:rsidRDefault="00E07196" w:rsidP="00E07196">
      <w:pPr>
        <w:spacing w:line="360" w:lineRule="auto"/>
        <w:jc w:val="both"/>
        <w:rPr>
          <w:rFonts w:ascii="Times New Roman" w:hAnsi="Times New Roman" w:cs="Times New Roman"/>
          <w:sz w:val="24"/>
          <w:szCs w:val="24"/>
          <w:lang w:val="en-GB"/>
        </w:rPr>
      </w:pPr>
    </w:p>
    <w:p w14:paraId="1D8190B8" w14:textId="77777777" w:rsidR="00E07196" w:rsidRPr="00786C50" w:rsidRDefault="00E07196" w:rsidP="00E07196">
      <w:pPr>
        <w:spacing w:line="360" w:lineRule="auto"/>
        <w:jc w:val="both"/>
        <w:rPr>
          <w:rFonts w:ascii="Times New Roman" w:hAnsi="Times New Roman" w:cs="Times New Roman"/>
          <w:sz w:val="24"/>
          <w:szCs w:val="24"/>
          <w:lang w:val="en-GB"/>
        </w:rPr>
      </w:pPr>
    </w:p>
    <w:p w14:paraId="0E99A934" w14:textId="77777777" w:rsidR="00E07196" w:rsidRPr="00786C50" w:rsidRDefault="00E07196" w:rsidP="00E07196">
      <w:pPr>
        <w:spacing w:line="360" w:lineRule="auto"/>
        <w:jc w:val="both"/>
        <w:rPr>
          <w:rFonts w:ascii="Times New Roman" w:hAnsi="Times New Roman" w:cs="Times New Roman"/>
          <w:sz w:val="24"/>
          <w:szCs w:val="24"/>
          <w:lang w:val="en-GB"/>
        </w:rPr>
      </w:pPr>
    </w:p>
    <w:sectPr w:rsidR="00E07196" w:rsidRPr="00786C50" w:rsidSect="00716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55928"/>
    <w:multiLevelType w:val="multilevel"/>
    <w:tmpl w:val="1F36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32CC3"/>
    <w:multiLevelType w:val="multilevel"/>
    <w:tmpl w:val="DE8A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63345"/>
    <w:multiLevelType w:val="hybridMultilevel"/>
    <w:tmpl w:val="22AC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A08C4"/>
    <w:multiLevelType w:val="multilevel"/>
    <w:tmpl w:val="DDAC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1C462C"/>
    <w:multiLevelType w:val="multilevel"/>
    <w:tmpl w:val="7D84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NDMxNDWzNLA0sLBQ0lEKTi0uzszPAykwrAUAnXzNiiwAAAA="/>
  </w:docVars>
  <w:rsids>
    <w:rsidRoot w:val="008309E0"/>
    <w:rsid w:val="00007598"/>
    <w:rsid w:val="00043318"/>
    <w:rsid w:val="001202D1"/>
    <w:rsid w:val="0013388B"/>
    <w:rsid w:val="00147320"/>
    <w:rsid w:val="0017142C"/>
    <w:rsid w:val="00206C2F"/>
    <w:rsid w:val="0024308B"/>
    <w:rsid w:val="00244092"/>
    <w:rsid w:val="002507C5"/>
    <w:rsid w:val="00296037"/>
    <w:rsid w:val="00296A5E"/>
    <w:rsid w:val="002B3E50"/>
    <w:rsid w:val="002D7936"/>
    <w:rsid w:val="002E2933"/>
    <w:rsid w:val="00313DD8"/>
    <w:rsid w:val="00323A9A"/>
    <w:rsid w:val="003242BC"/>
    <w:rsid w:val="0033091E"/>
    <w:rsid w:val="0036573E"/>
    <w:rsid w:val="00367C90"/>
    <w:rsid w:val="00371868"/>
    <w:rsid w:val="00383B16"/>
    <w:rsid w:val="003979F5"/>
    <w:rsid w:val="003A0937"/>
    <w:rsid w:val="003C7D2C"/>
    <w:rsid w:val="00426EA0"/>
    <w:rsid w:val="00436B30"/>
    <w:rsid w:val="0044616A"/>
    <w:rsid w:val="00446B56"/>
    <w:rsid w:val="004A155E"/>
    <w:rsid w:val="005B6E0D"/>
    <w:rsid w:val="005C073D"/>
    <w:rsid w:val="005E1B6D"/>
    <w:rsid w:val="00632245"/>
    <w:rsid w:val="00672CAF"/>
    <w:rsid w:val="006D3647"/>
    <w:rsid w:val="006F3EAC"/>
    <w:rsid w:val="007031CE"/>
    <w:rsid w:val="007163A4"/>
    <w:rsid w:val="007233F6"/>
    <w:rsid w:val="007349CA"/>
    <w:rsid w:val="00735E81"/>
    <w:rsid w:val="00744476"/>
    <w:rsid w:val="00762F34"/>
    <w:rsid w:val="00786C50"/>
    <w:rsid w:val="00796A37"/>
    <w:rsid w:val="007B55D1"/>
    <w:rsid w:val="007C5F09"/>
    <w:rsid w:val="008309E0"/>
    <w:rsid w:val="00845F24"/>
    <w:rsid w:val="00893EFA"/>
    <w:rsid w:val="00910610"/>
    <w:rsid w:val="00927AA1"/>
    <w:rsid w:val="00977D7F"/>
    <w:rsid w:val="00986A25"/>
    <w:rsid w:val="00987830"/>
    <w:rsid w:val="00A8343A"/>
    <w:rsid w:val="00AB0095"/>
    <w:rsid w:val="00AE60FE"/>
    <w:rsid w:val="00B60DED"/>
    <w:rsid w:val="00B85047"/>
    <w:rsid w:val="00C123EE"/>
    <w:rsid w:val="00C82B0A"/>
    <w:rsid w:val="00CA5CBD"/>
    <w:rsid w:val="00D70A52"/>
    <w:rsid w:val="00D762DE"/>
    <w:rsid w:val="00D80F51"/>
    <w:rsid w:val="00DB7755"/>
    <w:rsid w:val="00DD2F51"/>
    <w:rsid w:val="00E062C9"/>
    <w:rsid w:val="00E07196"/>
    <w:rsid w:val="00E164A2"/>
    <w:rsid w:val="00E36F51"/>
    <w:rsid w:val="00E3793A"/>
    <w:rsid w:val="00E417C1"/>
    <w:rsid w:val="00F225E8"/>
    <w:rsid w:val="00F60FC0"/>
    <w:rsid w:val="00FA0BAF"/>
    <w:rsid w:val="00FE08FC"/>
    <w:rsid w:val="00FE0DCB"/>
    <w:rsid w:val="00FF652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59B3"/>
  <w15:docId w15:val="{75AA9E37-B72D-4D4A-B508-ED3605B9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34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9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9E0"/>
    <w:rPr>
      <w:b/>
      <w:bCs/>
    </w:rPr>
  </w:style>
  <w:style w:type="table" w:styleId="TableGrid">
    <w:name w:val="Table Grid"/>
    <w:basedOn w:val="TableNormal"/>
    <w:uiPriority w:val="59"/>
    <w:rsid w:val="003A0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349C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44092"/>
    <w:rPr>
      <w:color w:val="0000FF" w:themeColor="hyperlink"/>
      <w:u w:val="single"/>
    </w:rPr>
  </w:style>
  <w:style w:type="character" w:styleId="CommentReference">
    <w:name w:val="annotation reference"/>
    <w:basedOn w:val="DefaultParagraphFont"/>
    <w:uiPriority w:val="99"/>
    <w:semiHidden/>
    <w:unhideWhenUsed/>
    <w:rsid w:val="00007598"/>
    <w:rPr>
      <w:sz w:val="16"/>
      <w:szCs w:val="16"/>
    </w:rPr>
  </w:style>
  <w:style w:type="paragraph" w:styleId="CommentText">
    <w:name w:val="annotation text"/>
    <w:basedOn w:val="Normal"/>
    <w:link w:val="CommentTextChar"/>
    <w:uiPriority w:val="99"/>
    <w:semiHidden/>
    <w:unhideWhenUsed/>
    <w:rsid w:val="00007598"/>
    <w:pPr>
      <w:spacing w:line="240" w:lineRule="auto"/>
    </w:pPr>
    <w:rPr>
      <w:sz w:val="20"/>
      <w:szCs w:val="20"/>
    </w:rPr>
  </w:style>
  <w:style w:type="character" w:customStyle="1" w:styleId="CommentTextChar">
    <w:name w:val="Comment Text Char"/>
    <w:basedOn w:val="DefaultParagraphFont"/>
    <w:link w:val="CommentText"/>
    <w:uiPriority w:val="99"/>
    <w:semiHidden/>
    <w:rsid w:val="00007598"/>
    <w:rPr>
      <w:sz w:val="20"/>
      <w:szCs w:val="20"/>
    </w:rPr>
  </w:style>
  <w:style w:type="paragraph" w:styleId="CommentSubject">
    <w:name w:val="annotation subject"/>
    <w:basedOn w:val="CommentText"/>
    <w:next w:val="CommentText"/>
    <w:link w:val="CommentSubjectChar"/>
    <w:uiPriority w:val="99"/>
    <w:semiHidden/>
    <w:unhideWhenUsed/>
    <w:rsid w:val="00007598"/>
    <w:rPr>
      <w:b/>
      <w:bCs/>
    </w:rPr>
  </w:style>
  <w:style w:type="character" w:customStyle="1" w:styleId="CommentSubjectChar">
    <w:name w:val="Comment Subject Char"/>
    <w:basedOn w:val="CommentTextChar"/>
    <w:link w:val="CommentSubject"/>
    <w:uiPriority w:val="99"/>
    <w:semiHidden/>
    <w:rsid w:val="00007598"/>
    <w:rPr>
      <w:b/>
      <w:bCs/>
      <w:sz w:val="20"/>
      <w:szCs w:val="20"/>
    </w:rPr>
  </w:style>
  <w:style w:type="character" w:styleId="Emphasis">
    <w:name w:val="Emphasis"/>
    <w:basedOn w:val="DefaultParagraphFont"/>
    <w:uiPriority w:val="20"/>
    <w:qFormat/>
    <w:rsid w:val="00007598"/>
    <w:rPr>
      <w:i/>
      <w:iCs/>
    </w:rPr>
  </w:style>
  <w:style w:type="paragraph" w:styleId="ListParagraph">
    <w:name w:val="List Paragraph"/>
    <w:basedOn w:val="Normal"/>
    <w:uiPriority w:val="34"/>
    <w:qFormat/>
    <w:rsid w:val="006D3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400">
      <w:bodyDiv w:val="1"/>
      <w:marLeft w:val="0"/>
      <w:marRight w:val="0"/>
      <w:marTop w:val="0"/>
      <w:marBottom w:val="0"/>
      <w:divBdr>
        <w:top w:val="none" w:sz="0" w:space="0" w:color="auto"/>
        <w:left w:val="none" w:sz="0" w:space="0" w:color="auto"/>
        <w:bottom w:val="none" w:sz="0" w:space="0" w:color="auto"/>
        <w:right w:val="none" w:sz="0" w:space="0" w:color="auto"/>
      </w:divBdr>
    </w:div>
    <w:div w:id="45181611">
      <w:bodyDiv w:val="1"/>
      <w:marLeft w:val="0"/>
      <w:marRight w:val="0"/>
      <w:marTop w:val="0"/>
      <w:marBottom w:val="0"/>
      <w:divBdr>
        <w:top w:val="none" w:sz="0" w:space="0" w:color="auto"/>
        <w:left w:val="none" w:sz="0" w:space="0" w:color="auto"/>
        <w:bottom w:val="none" w:sz="0" w:space="0" w:color="auto"/>
        <w:right w:val="none" w:sz="0" w:space="0" w:color="auto"/>
      </w:divBdr>
    </w:div>
    <w:div w:id="101338442">
      <w:bodyDiv w:val="1"/>
      <w:marLeft w:val="0"/>
      <w:marRight w:val="0"/>
      <w:marTop w:val="0"/>
      <w:marBottom w:val="0"/>
      <w:divBdr>
        <w:top w:val="none" w:sz="0" w:space="0" w:color="auto"/>
        <w:left w:val="none" w:sz="0" w:space="0" w:color="auto"/>
        <w:bottom w:val="none" w:sz="0" w:space="0" w:color="auto"/>
        <w:right w:val="none" w:sz="0" w:space="0" w:color="auto"/>
      </w:divBdr>
    </w:div>
    <w:div w:id="146942166">
      <w:bodyDiv w:val="1"/>
      <w:marLeft w:val="0"/>
      <w:marRight w:val="0"/>
      <w:marTop w:val="0"/>
      <w:marBottom w:val="0"/>
      <w:divBdr>
        <w:top w:val="none" w:sz="0" w:space="0" w:color="auto"/>
        <w:left w:val="none" w:sz="0" w:space="0" w:color="auto"/>
        <w:bottom w:val="none" w:sz="0" w:space="0" w:color="auto"/>
        <w:right w:val="none" w:sz="0" w:space="0" w:color="auto"/>
      </w:divBdr>
    </w:div>
    <w:div w:id="302466297">
      <w:bodyDiv w:val="1"/>
      <w:marLeft w:val="0"/>
      <w:marRight w:val="0"/>
      <w:marTop w:val="0"/>
      <w:marBottom w:val="0"/>
      <w:divBdr>
        <w:top w:val="none" w:sz="0" w:space="0" w:color="auto"/>
        <w:left w:val="none" w:sz="0" w:space="0" w:color="auto"/>
        <w:bottom w:val="none" w:sz="0" w:space="0" w:color="auto"/>
        <w:right w:val="none" w:sz="0" w:space="0" w:color="auto"/>
      </w:divBdr>
    </w:div>
    <w:div w:id="345133749">
      <w:bodyDiv w:val="1"/>
      <w:marLeft w:val="0"/>
      <w:marRight w:val="0"/>
      <w:marTop w:val="0"/>
      <w:marBottom w:val="0"/>
      <w:divBdr>
        <w:top w:val="none" w:sz="0" w:space="0" w:color="auto"/>
        <w:left w:val="none" w:sz="0" w:space="0" w:color="auto"/>
        <w:bottom w:val="none" w:sz="0" w:space="0" w:color="auto"/>
        <w:right w:val="none" w:sz="0" w:space="0" w:color="auto"/>
      </w:divBdr>
    </w:div>
    <w:div w:id="386997296">
      <w:bodyDiv w:val="1"/>
      <w:marLeft w:val="0"/>
      <w:marRight w:val="0"/>
      <w:marTop w:val="0"/>
      <w:marBottom w:val="0"/>
      <w:divBdr>
        <w:top w:val="none" w:sz="0" w:space="0" w:color="auto"/>
        <w:left w:val="none" w:sz="0" w:space="0" w:color="auto"/>
        <w:bottom w:val="none" w:sz="0" w:space="0" w:color="auto"/>
        <w:right w:val="none" w:sz="0" w:space="0" w:color="auto"/>
      </w:divBdr>
    </w:div>
    <w:div w:id="402607118">
      <w:bodyDiv w:val="1"/>
      <w:marLeft w:val="0"/>
      <w:marRight w:val="0"/>
      <w:marTop w:val="0"/>
      <w:marBottom w:val="0"/>
      <w:divBdr>
        <w:top w:val="none" w:sz="0" w:space="0" w:color="auto"/>
        <w:left w:val="none" w:sz="0" w:space="0" w:color="auto"/>
        <w:bottom w:val="none" w:sz="0" w:space="0" w:color="auto"/>
        <w:right w:val="none" w:sz="0" w:space="0" w:color="auto"/>
      </w:divBdr>
    </w:div>
    <w:div w:id="421951019">
      <w:bodyDiv w:val="1"/>
      <w:marLeft w:val="0"/>
      <w:marRight w:val="0"/>
      <w:marTop w:val="0"/>
      <w:marBottom w:val="0"/>
      <w:divBdr>
        <w:top w:val="none" w:sz="0" w:space="0" w:color="auto"/>
        <w:left w:val="none" w:sz="0" w:space="0" w:color="auto"/>
        <w:bottom w:val="none" w:sz="0" w:space="0" w:color="auto"/>
        <w:right w:val="none" w:sz="0" w:space="0" w:color="auto"/>
      </w:divBdr>
    </w:div>
    <w:div w:id="543635729">
      <w:bodyDiv w:val="1"/>
      <w:marLeft w:val="0"/>
      <w:marRight w:val="0"/>
      <w:marTop w:val="0"/>
      <w:marBottom w:val="0"/>
      <w:divBdr>
        <w:top w:val="none" w:sz="0" w:space="0" w:color="auto"/>
        <w:left w:val="none" w:sz="0" w:space="0" w:color="auto"/>
        <w:bottom w:val="none" w:sz="0" w:space="0" w:color="auto"/>
        <w:right w:val="none" w:sz="0" w:space="0" w:color="auto"/>
      </w:divBdr>
    </w:div>
    <w:div w:id="605230970">
      <w:bodyDiv w:val="1"/>
      <w:marLeft w:val="0"/>
      <w:marRight w:val="0"/>
      <w:marTop w:val="0"/>
      <w:marBottom w:val="0"/>
      <w:divBdr>
        <w:top w:val="none" w:sz="0" w:space="0" w:color="auto"/>
        <w:left w:val="none" w:sz="0" w:space="0" w:color="auto"/>
        <w:bottom w:val="none" w:sz="0" w:space="0" w:color="auto"/>
        <w:right w:val="none" w:sz="0" w:space="0" w:color="auto"/>
      </w:divBdr>
    </w:div>
    <w:div w:id="643002733">
      <w:bodyDiv w:val="1"/>
      <w:marLeft w:val="0"/>
      <w:marRight w:val="0"/>
      <w:marTop w:val="0"/>
      <w:marBottom w:val="0"/>
      <w:divBdr>
        <w:top w:val="none" w:sz="0" w:space="0" w:color="auto"/>
        <w:left w:val="none" w:sz="0" w:space="0" w:color="auto"/>
        <w:bottom w:val="none" w:sz="0" w:space="0" w:color="auto"/>
        <w:right w:val="none" w:sz="0" w:space="0" w:color="auto"/>
      </w:divBdr>
    </w:div>
    <w:div w:id="654919691">
      <w:bodyDiv w:val="1"/>
      <w:marLeft w:val="0"/>
      <w:marRight w:val="0"/>
      <w:marTop w:val="0"/>
      <w:marBottom w:val="0"/>
      <w:divBdr>
        <w:top w:val="none" w:sz="0" w:space="0" w:color="auto"/>
        <w:left w:val="none" w:sz="0" w:space="0" w:color="auto"/>
        <w:bottom w:val="none" w:sz="0" w:space="0" w:color="auto"/>
        <w:right w:val="none" w:sz="0" w:space="0" w:color="auto"/>
      </w:divBdr>
    </w:div>
    <w:div w:id="691689460">
      <w:bodyDiv w:val="1"/>
      <w:marLeft w:val="0"/>
      <w:marRight w:val="0"/>
      <w:marTop w:val="0"/>
      <w:marBottom w:val="0"/>
      <w:divBdr>
        <w:top w:val="none" w:sz="0" w:space="0" w:color="auto"/>
        <w:left w:val="none" w:sz="0" w:space="0" w:color="auto"/>
        <w:bottom w:val="none" w:sz="0" w:space="0" w:color="auto"/>
        <w:right w:val="none" w:sz="0" w:space="0" w:color="auto"/>
      </w:divBdr>
    </w:div>
    <w:div w:id="703677966">
      <w:bodyDiv w:val="1"/>
      <w:marLeft w:val="0"/>
      <w:marRight w:val="0"/>
      <w:marTop w:val="0"/>
      <w:marBottom w:val="0"/>
      <w:divBdr>
        <w:top w:val="none" w:sz="0" w:space="0" w:color="auto"/>
        <w:left w:val="none" w:sz="0" w:space="0" w:color="auto"/>
        <w:bottom w:val="none" w:sz="0" w:space="0" w:color="auto"/>
        <w:right w:val="none" w:sz="0" w:space="0" w:color="auto"/>
      </w:divBdr>
    </w:div>
    <w:div w:id="723218757">
      <w:bodyDiv w:val="1"/>
      <w:marLeft w:val="0"/>
      <w:marRight w:val="0"/>
      <w:marTop w:val="0"/>
      <w:marBottom w:val="0"/>
      <w:divBdr>
        <w:top w:val="none" w:sz="0" w:space="0" w:color="auto"/>
        <w:left w:val="none" w:sz="0" w:space="0" w:color="auto"/>
        <w:bottom w:val="none" w:sz="0" w:space="0" w:color="auto"/>
        <w:right w:val="none" w:sz="0" w:space="0" w:color="auto"/>
      </w:divBdr>
    </w:div>
    <w:div w:id="749544111">
      <w:bodyDiv w:val="1"/>
      <w:marLeft w:val="0"/>
      <w:marRight w:val="0"/>
      <w:marTop w:val="0"/>
      <w:marBottom w:val="0"/>
      <w:divBdr>
        <w:top w:val="none" w:sz="0" w:space="0" w:color="auto"/>
        <w:left w:val="none" w:sz="0" w:space="0" w:color="auto"/>
        <w:bottom w:val="none" w:sz="0" w:space="0" w:color="auto"/>
        <w:right w:val="none" w:sz="0" w:space="0" w:color="auto"/>
      </w:divBdr>
    </w:div>
    <w:div w:id="814832621">
      <w:bodyDiv w:val="1"/>
      <w:marLeft w:val="0"/>
      <w:marRight w:val="0"/>
      <w:marTop w:val="0"/>
      <w:marBottom w:val="0"/>
      <w:divBdr>
        <w:top w:val="none" w:sz="0" w:space="0" w:color="auto"/>
        <w:left w:val="none" w:sz="0" w:space="0" w:color="auto"/>
        <w:bottom w:val="none" w:sz="0" w:space="0" w:color="auto"/>
        <w:right w:val="none" w:sz="0" w:space="0" w:color="auto"/>
      </w:divBdr>
    </w:div>
    <w:div w:id="882711535">
      <w:bodyDiv w:val="1"/>
      <w:marLeft w:val="0"/>
      <w:marRight w:val="0"/>
      <w:marTop w:val="0"/>
      <w:marBottom w:val="0"/>
      <w:divBdr>
        <w:top w:val="none" w:sz="0" w:space="0" w:color="auto"/>
        <w:left w:val="none" w:sz="0" w:space="0" w:color="auto"/>
        <w:bottom w:val="none" w:sz="0" w:space="0" w:color="auto"/>
        <w:right w:val="none" w:sz="0" w:space="0" w:color="auto"/>
      </w:divBdr>
    </w:div>
    <w:div w:id="924461379">
      <w:bodyDiv w:val="1"/>
      <w:marLeft w:val="0"/>
      <w:marRight w:val="0"/>
      <w:marTop w:val="0"/>
      <w:marBottom w:val="0"/>
      <w:divBdr>
        <w:top w:val="none" w:sz="0" w:space="0" w:color="auto"/>
        <w:left w:val="none" w:sz="0" w:space="0" w:color="auto"/>
        <w:bottom w:val="none" w:sz="0" w:space="0" w:color="auto"/>
        <w:right w:val="none" w:sz="0" w:space="0" w:color="auto"/>
      </w:divBdr>
    </w:div>
    <w:div w:id="960764167">
      <w:bodyDiv w:val="1"/>
      <w:marLeft w:val="0"/>
      <w:marRight w:val="0"/>
      <w:marTop w:val="0"/>
      <w:marBottom w:val="0"/>
      <w:divBdr>
        <w:top w:val="none" w:sz="0" w:space="0" w:color="auto"/>
        <w:left w:val="none" w:sz="0" w:space="0" w:color="auto"/>
        <w:bottom w:val="none" w:sz="0" w:space="0" w:color="auto"/>
        <w:right w:val="none" w:sz="0" w:space="0" w:color="auto"/>
      </w:divBdr>
    </w:div>
    <w:div w:id="962689261">
      <w:bodyDiv w:val="1"/>
      <w:marLeft w:val="0"/>
      <w:marRight w:val="0"/>
      <w:marTop w:val="0"/>
      <w:marBottom w:val="0"/>
      <w:divBdr>
        <w:top w:val="none" w:sz="0" w:space="0" w:color="auto"/>
        <w:left w:val="none" w:sz="0" w:space="0" w:color="auto"/>
        <w:bottom w:val="none" w:sz="0" w:space="0" w:color="auto"/>
        <w:right w:val="none" w:sz="0" w:space="0" w:color="auto"/>
      </w:divBdr>
    </w:div>
    <w:div w:id="997807798">
      <w:bodyDiv w:val="1"/>
      <w:marLeft w:val="0"/>
      <w:marRight w:val="0"/>
      <w:marTop w:val="0"/>
      <w:marBottom w:val="0"/>
      <w:divBdr>
        <w:top w:val="none" w:sz="0" w:space="0" w:color="auto"/>
        <w:left w:val="none" w:sz="0" w:space="0" w:color="auto"/>
        <w:bottom w:val="none" w:sz="0" w:space="0" w:color="auto"/>
        <w:right w:val="none" w:sz="0" w:space="0" w:color="auto"/>
      </w:divBdr>
    </w:div>
    <w:div w:id="1030229228">
      <w:bodyDiv w:val="1"/>
      <w:marLeft w:val="0"/>
      <w:marRight w:val="0"/>
      <w:marTop w:val="0"/>
      <w:marBottom w:val="0"/>
      <w:divBdr>
        <w:top w:val="none" w:sz="0" w:space="0" w:color="auto"/>
        <w:left w:val="none" w:sz="0" w:space="0" w:color="auto"/>
        <w:bottom w:val="none" w:sz="0" w:space="0" w:color="auto"/>
        <w:right w:val="none" w:sz="0" w:space="0" w:color="auto"/>
      </w:divBdr>
    </w:div>
    <w:div w:id="1041172995">
      <w:bodyDiv w:val="1"/>
      <w:marLeft w:val="0"/>
      <w:marRight w:val="0"/>
      <w:marTop w:val="0"/>
      <w:marBottom w:val="0"/>
      <w:divBdr>
        <w:top w:val="none" w:sz="0" w:space="0" w:color="auto"/>
        <w:left w:val="none" w:sz="0" w:space="0" w:color="auto"/>
        <w:bottom w:val="none" w:sz="0" w:space="0" w:color="auto"/>
        <w:right w:val="none" w:sz="0" w:space="0" w:color="auto"/>
      </w:divBdr>
    </w:div>
    <w:div w:id="1132596624">
      <w:bodyDiv w:val="1"/>
      <w:marLeft w:val="0"/>
      <w:marRight w:val="0"/>
      <w:marTop w:val="0"/>
      <w:marBottom w:val="0"/>
      <w:divBdr>
        <w:top w:val="none" w:sz="0" w:space="0" w:color="auto"/>
        <w:left w:val="none" w:sz="0" w:space="0" w:color="auto"/>
        <w:bottom w:val="none" w:sz="0" w:space="0" w:color="auto"/>
        <w:right w:val="none" w:sz="0" w:space="0" w:color="auto"/>
      </w:divBdr>
    </w:div>
    <w:div w:id="1154756642">
      <w:bodyDiv w:val="1"/>
      <w:marLeft w:val="0"/>
      <w:marRight w:val="0"/>
      <w:marTop w:val="0"/>
      <w:marBottom w:val="0"/>
      <w:divBdr>
        <w:top w:val="none" w:sz="0" w:space="0" w:color="auto"/>
        <w:left w:val="none" w:sz="0" w:space="0" w:color="auto"/>
        <w:bottom w:val="none" w:sz="0" w:space="0" w:color="auto"/>
        <w:right w:val="none" w:sz="0" w:space="0" w:color="auto"/>
      </w:divBdr>
    </w:div>
    <w:div w:id="1189640206">
      <w:bodyDiv w:val="1"/>
      <w:marLeft w:val="0"/>
      <w:marRight w:val="0"/>
      <w:marTop w:val="0"/>
      <w:marBottom w:val="0"/>
      <w:divBdr>
        <w:top w:val="none" w:sz="0" w:space="0" w:color="auto"/>
        <w:left w:val="none" w:sz="0" w:space="0" w:color="auto"/>
        <w:bottom w:val="none" w:sz="0" w:space="0" w:color="auto"/>
        <w:right w:val="none" w:sz="0" w:space="0" w:color="auto"/>
      </w:divBdr>
    </w:div>
    <w:div w:id="1202667218">
      <w:bodyDiv w:val="1"/>
      <w:marLeft w:val="0"/>
      <w:marRight w:val="0"/>
      <w:marTop w:val="0"/>
      <w:marBottom w:val="0"/>
      <w:divBdr>
        <w:top w:val="none" w:sz="0" w:space="0" w:color="auto"/>
        <w:left w:val="none" w:sz="0" w:space="0" w:color="auto"/>
        <w:bottom w:val="none" w:sz="0" w:space="0" w:color="auto"/>
        <w:right w:val="none" w:sz="0" w:space="0" w:color="auto"/>
      </w:divBdr>
    </w:div>
    <w:div w:id="1222445839">
      <w:bodyDiv w:val="1"/>
      <w:marLeft w:val="0"/>
      <w:marRight w:val="0"/>
      <w:marTop w:val="0"/>
      <w:marBottom w:val="0"/>
      <w:divBdr>
        <w:top w:val="none" w:sz="0" w:space="0" w:color="auto"/>
        <w:left w:val="none" w:sz="0" w:space="0" w:color="auto"/>
        <w:bottom w:val="none" w:sz="0" w:space="0" w:color="auto"/>
        <w:right w:val="none" w:sz="0" w:space="0" w:color="auto"/>
      </w:divBdr>
    </w:div>
    <w:div w:id="1228343234">
      <w:bodyDiv w:val="1"/>
      <w:marLeft w:val="0"/>
      <w:marRight w:val="0"/>
      <w:marTop w:val="0"/>
      <w:marBottom w:val="0"/>
      <w:divBdr>
        <w:top w:val="none" w:sz="0" w:space="0" w:color="auto"/>
        <w:left w:val="none" w:sz="0" w:space="0" w:color="auto"/>
        <w:bottom w:val="none" w:sz="0" w:space="0" w:color="auto"/>
        <w:right w:val="none" w:sz="0" w:space="0" w:color="auto"/>
      </w:divBdr>
    </w:div>
    <w:div w:id="1265966438">
      <w:bodyDiv w:val="1"/>
      <w:marLeft w:val="0"/>
      <w:marRight w:val="0"/>
      <w:marTop w:val="0"/>
      <w:marBottom w:val="0"/>
      <w:divBdr>
        <w:top w:val="none" w:sz="0" w:space="0" w:color="auto"/>
        <w:left w:val="none" w:sz="0" w:space="0" w:color="auto"/>
        <w:bottom w:val="none" w:sz="0" w:space="0" w:color="auto"/>
        <w:right w:val="none" w:sz="0" w:space="0" w:color="auto"/>
      </w:divBdr>
    </w:div>
    <w:div w:id="1343782027">
      <w:bodyDiv w:val="1"/>
      <w:marLeft w:val="0"/>
      <w:marRight w:val="0"/>
      <w:marTop w:val="0"/>
      <w:marBottom w:val="0"/>
      <w:divBdr>
        <w:top w:val="none" w:sz="0" w:space="0" w:color="auto"/>
        <w:left w:val="none" w:sz="0" w:space="0" w:color="auto"/>
        <w:bottom w:val="none" w:sz="0" w:space="0" w:color="auto"/>
        <w:right w:val="none" w:sz="0" w:space="0" w:color="auto"/>
      </w:divBdr>
    </w:div>
    <w:div w:id="1397120030">
      <w:bodyDiv w:val="1"/>
      <w:marLeft w:val="0"/>
      <w:marRight w:val="0"/>
      <w:marTop w:val="0"/>
      <w:marBottom w:val="0"/>
      <w:divBdr>
        <w:top w:val="none" w:sz="0" w:space="0" w:color="auto"/>
        <w:left w:val="none" w:sz="0" w:space="0" w:color="auto"/>
        <w:bottom w:val="none" w:sz="0" w:space="0" w:color="auto"/>
        <w:right w:val="none" w:sz="0" w:space="0" w:color="auto"/>
      </w:divBdr>
    </w:div>
    <w:div w:id="1420247335">
      <w:bodyDiv w:val="1"/>
      <w:marLeft w:val="0"/>
      <w:marRight w:val="0"/>
      <w:marTop w:val="0"/>
      <w:marBottom w:val="0"/>
      <w:divBdr>
        <w:top w:val="none" w:sz="0" w:space="0" w:color="auto"/>
        <w:left w:val="none" w:sz="0" w:space="0" w:color="auto"/>
        <w:bottom w:val="none" w:sz="0" w:space="0" w:color="auto"/>
        <w:right w:val="none" w:sz="0" w:space="0" w:color="auto"/>
      </w:divBdr>
    </w:div>
    <w:div w:id="1431049897">
      <w:bodyDiv w:val="1"/>
      <w:marLeft w:val="0"/>
      <w:marRight w:val="0"/>
      <w:marTop w:val="0"/>
      <w:marBottom w:val="0"/>
      <w:divBdr>
        <w:top w:val="none" w:sz="0" w:space="0" w:color="auto"/>
        <w:left w:val="none" w:sz="0" w:space="0" w:color="auto"/>
        <w:bottom w:val="none" w:sz="0" w:space="0" w:color="auto"/>
        <w:right w:val="none" w:sz="0" w:space="0" w:color="auto"/>
      </w:divBdr>
    </w:div>
    <w:div w:id="1480075975">
      <w:bodyDiv w:val="1"/>
      <w:marLeft w:val="0"/>
      <w:marRight w:val="0"/>
      <w:marTop w:val="0"/>
      <w:marBottom w:val="0"/>
      <w:divBdr>
        <w:top w:val="none" w:sz="0" w:space="0" w:color="auto"/>
        <w:left w:val="none" w:sz="0" w:space="0" w:color="auto"/>
        <w:bottom w:val="none" w:sz="0" w:space="0" w:color="auto"/>
        <w:right w:val="none" w:sz="0" w:space="0" w:color="auto"/>
      </w:divBdr>
    </w:div>
    <w:div w:id="1525291115">
      <w:bodyDiv w:val="1"/>
      <w:marLeft w:val="0"/>
      <w:marRight w:val="0"/>
      <w:marTop w:val="0"/>
      <w:marBottom w:val="0"/>
      <w:divBdr>
        <w:top w:val="none" w:sz="0" w:space="0" w:color="auto"/>
        <w:left w:val="none" w:sz="0" w:space="0" w:color="auto"/>
        <w:bottom w:val="none" w:sz="0" w:space="0" w:color="auto"/>
        <w:right w:val="none" w:sz="0" w:space="0" w:color="auto"/>
      </w:divBdr>
    </w:div>
    <w:div w:id="1535774931">
      <w:bodyDiv w:val="1"/>
      <w:marLeft w:val="0"/>
      <w:marRight w:val="0"/>
      <w:marTop w:val="0"/>
      <w:marBottom w:val="0"/>
      <w:divBdr>
        <w:top w:val="none" w:sz="0" w:space="0" w:color="auto"/>
        <w:left w:val="none" w:sz="0" w:space="0" w:color="auto"/>
        <w:bottom w:val="none" w:sz="0" w:space="0" w:color="auto"/>
        <w:right w:val="none" w:sz="0" w:space="0" w:color="auto"/>
      </w:divBdr>
    </w:div>
    <w:div w:id="1600872197">
      <w:bodyDiv w:val="1"/>
      <w:marLeft w:val="0"/>
      <w:marRight w:val="0"/>
      <w:marTop w:val="0"/>
      <w:marBottom w:val="0"/>
      <w:divBdr>
        <w:top w:val="none" w:sz="0" w:space="0" w:color="auto"/>
        <w:left w:val="none" w:sz="0" w:space="0" w:color="auto"/>
        <w:bottom w:val="none" w:sz="0" w:space="0" w:color="auto"/>
        <w:right w:val="none" w:sz="0" w:space="0" w:color="auto"/>
      </w:divBdr>
    </w:div>
    <w:div w:id="1670794603">
      <w:bodyDiv w:val="1"/>
      <w:marLeft w:val="0"/>
      <w:marRight w:val="0"/>
      <w:marTop w:val="0"/>
      <w:marBottom w:val="0"/>
      <w:divBdr>
        <w:top w:val="none" w:sz="0" w:space="0" w:color="auto"/>
        <w:left w:val="none" w:sz="0" w:space="0" w:color="auto"/>
        <w:bottom w:val="none" w:sz="0" w:space="0" w:color="auto"/>
        <w:right w:val="none" w:sz="0" w:space="0" w:color="auto"/>
      </w:divBdr>
    </w:div>
    <w:div w:id="1675109196">
      <w:bodyDiv w:val="1"/>
      <w:marLeft w:val="0"/>
      <w:marRight w:val="0"/>
      <w:marTop w:val="0"/>
      <w:marBottom w:val="0"/>
      <w:divBdr>
        <w:top w:val="none" w:sz="0" w:space="0" w:color="auto"/>
        <w:left w:val="none" w:sz="0" w:space="0" w:color="auto"/>
        <w:bottom w:val="none" w:sz="0" w:space="0" w:color="auto"/>
        <w:right w:val="none" w:sz="0" w:space="0" w:color="auto"/>
      </w:divBdr>
    </w:div>
    <w:div w:id="1704867473">
      <w:bodyDiv w:val="1"/>
      <w:marLeft w:val="0"/>
      <w:marRight w:val="0"/>
      <w:marTop w:val="0"/>
      <w:marBottom w:val="0"/>
      <w:divBdr>
        <w:top w:val="none" w:sz="0" w:space="0" w:color="auto"/>
        <w:left w:val="none" w:sz="0" w:space="0" w:color="auto"/>
        <w:bottom w:val="none" w:sz="0" w:space="0" w:color="auto"/>
        <w:right w:val="none" w:sz="0" w:space="0" w:color="auto"/>
      </w:divBdr>
    </w:div>
    <w:div w:id="1823547292">
      <w:bodyDiv w:val="1"/>
      <w:marLeft w:val="0"/>
      <w:marRight w:val="0"/>
      <w:marTop w:val="0"/>
      <w:marBottom w:val="0"/>
      <w:divBdr>
        <w:top w:val="none" w:sz="0" w:space="0" w:color="auto"/>
        <w:left w:val="none" w:sz="0" w:space="0" w:color="auto"/>
        <w:bottom w:val="none" w:sz="0" w:space="0" w:color="auto"/>
        <w:right w:val="none" w:sz="0" w:space="0" w:color="auto"/>
      </w:divBdr>
    </w:div>
    <w:div w:id="1828090314">
      <w:bodyDiv w:val="1"/>
      <w:marLeft w:val="0"/>
      <w:marRight w:val="0"/>
      <w:marTop w:val="0"/>
      <w:marBottom w:val="0"/>
      <w:divBdr>
        <w:top w:val="none" w:sz="0" w:space="0" w:color="auto"/>
        <w:left w:val="none" w:sz="0" w:space="0" w:color="auto"/>
        <w:bottom w:val="none" w:sz="0" w:space="0" w:color="auto"/>
        <w:right w:val="none" w:sz="0" w:space="0" w:color="auto"/>
      </w:divBdr>
    </w:div>
    <w:div w:id="1850368557">
      <w:bodyDiv w:val="1"/>
      <w:marLeft w:val="0"/>
      <w:marRight w:val="0"/>
      <w:marTop w:val="0"/>
      <w:marBottom w:val="0"/>
      <w:divBdr>
        <w:top w:val="none" w:sz="0" w:space="0" w:color="auto"/>
        <w:left w:val="none" w:sz="0" w:space="0" w:color="auto"/>
        <w:bottom w:val="none" w:sz="0" w:space="0" w:color="auto"/>
        <w:right w:val="none" w:sz="0" w:space="0" w:color="auto"/>
      </w:divBdr>
    </w:div>
    <w:div w:id="1858806045">
      <w:bodyDiv w:val="1"/>
      <w:marLeft w:val="0"/>
      <w:marRight w:val="0"/>
      <w:marTop w:val="0"/>
      <w:marBottom w:val="0"/>
      <w:divBdr>
        <w:top w:val="none" w:sz="0" w:space="0" w:color="auto"/>
        <w:left w:val="none" w:sz="0" w:space="0" w:color="auto"/>
        <w:bottom w:val="none" w:sz="0" w:space="0" w:color="auto"/>
        <w:right w:val="none" w:sz="0" w:space="0" w:color="auto"/>
      </w:divBdr>
    </w:div>
    <w:div w:id="1891065391">
      <w:bodyDiv w:val="1"/>
      <w:marLeft w:val="0"/>
      <w:marRight w:val="0"/>
      <w:marTop w:val="0"/>
      <w:marBottom w:val="0"/>
      <w:divBdr>
        <w:top w:val="none" w:sz="0" w:space="0" w:color="auto"/>
        <w:left w:val="none" w:sz="0" w:space="0" w:color="auto"/>
        <w:bottom w:val="none" w:sz="0" w:space="0" w:color="auto"/>
        <w:right w:val="none" w:sz="0" w:space="0" w:color="auto"/>
      </w:divBdr>
    </w:div>
    <w:div w:id="1941835152">
      <w:bodyDiv w:val="1"/>
      <w:marLeft w:val="0"/>
      <w:marRight w:val="0"/>
      <w:marTop w:val="0"/>
      <w:marBottom w:val="0"/>
      <w:divBdr>
        <w:top w:val="none" w:sz="0" w:space="0" w:color="auto"/>
        <w:left w:val="none" w:sz="0" w:space="0" w:color="auto"/>
        <w:bottom w:val="none" w:sz="0" w:space="0" w:color="auto"/>
        <w:right w:val="none" w:sz="0" w:space="0" w:color="auto"/>
      </w:divBdr>
    </w:div>
    <w:div w:id="1971520034">
      <w:bodyDiv w:val="1"/>
      <w:marLeft w:val="0"/>
      <w:marRight w:val="0"/>
      <w:marTop w:val="0"/>
      <w:marBottom w:val="0"/>
      <w:divBdr>
        <w:top w:val="none" w:sz="0" w:space="0" w:color="auto"/>
        <w:left w:val="none" w:sz="0" w:space="0" w:color="auto"/>
        <w:bottom w:val="none" w:sz="0" w:space="0" w:color="auto"/>
        <w:right w:val="none" w:sz="0" w:space="0" w:color="auto"/>
      </w:divBdr>
    </w:div>
    <w:div w:id="1981574134">
      <w:bodyDiv w:val="1"/>
      <w:marLeft w:val="0"/>
      <w:marRight w:val="0"/>
      <w:marTop w:val="0"/>
      <w:marBottom w:val="0"/>
      <w:divBdr>
        <w:top w:val="none" w:sz="0" w:space="0" w:color="auto"/>
        <w:left w:val="none" w:sz="0" w:space="0" w:color="auto"/>
        <w:bottom w:val="none" w:sz="0" w:space="0" w:color="auto"/>
        <w:right w:val="none" w:sz="0" w:space="0" w:color="auto"/>
      </w:divBdr>
    </w:div>
    <w:div w:id="2074695635">
      <w:bodyDiv w:val="1"/>
      <w:marLeft w:val="0"/>
      <w:marRight w:val="0"/>
      <w:marTop w:val="0"/>
      <w:marBottom w:val="0"/>
      <w:divBdr>
        <w:top w:val="none" w:sz="0" w:space="0" w:color="auto"/>
        <w:left w:val="none" w:sz="0" w:space="0" w:color="auto"/>
        <w:bottom w:val="none" w:sz="0" w:space="0" w:color="auto"/>
        <w:right w:val="none" w:sz="0" w:space="0" w:color="auto"/>
      </w:divBdr>
    </w:div>
    <w:div w:id="2119178367">
      <w:bodyDiv w:val="1"/>
      <w:marLeft w:val="0"/>
      <w:marRight w:val="0"/>
      <w:marTop w:val="0"/>
      <w:marBottom w:val="0"/>
      <w:divBdr>
        <w:top w:val="none" w:sz="0" w:space="0" w:color="auto"/>
        <w:left w:val="none" w:sz="0" w:space="0" w:color="auto"/>
        <w:bottom w:val="none" w:sz="0" w:space="0" w:color="auto"/>
        <w:right w:val="none" w:sz="0" w:space="0" w:color="auto"/>
      </w:divBdr>
    </w:div>
    <w:div w:id="21325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278-7393.30.2.343" TargetMode="External"/><Relationship Id="rId3" Type="http://schemas.openxmlformats.org/officeDocument/2006/relationships/styles" Target="styles.xml"/><Relationship Id="rId7" Type="http://schemas.openxmlformats.org/officeDocument/2006/relationships/hyperlink" Target="https://doi.org/10.1146/annurev-psych-113011-1437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6018/analesps.38118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102/0034654307400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4E309-17F3-4821-BB60-F95F82FF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Dr.K.Govidarajan</dc:creator>
  <cp:lastModifiedBy>SDI 1020</cp:lastModifiedBy>
  <cp:revision>16</cp:revision>
  <dcterms:created xsi:type="dcterms:W3CDTF">2026-03-19T06:50:00Z</dcterms:created>
  <dcterms:modified xsi:type="dcterms:W3CDTF">2026-03-24T09:02:00Z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101e16d8-9c7e-3fd4-8ecc-4795915b94f5</vt:lpwstr>
  </property>
  <property fmtid="{D5CDD505-2E9C-101B-9397-08002B2CF9AE}" pid="24" name="Mendeley Citation Style_1">
    <vt:lpwstr>http://www.zotero.org/styles/apa</vt:lpwstr>
  </property>
</Properties>
</file>