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CA30" w14:textId="6AD1404C" w:rsidR="00754C9A" w:rsidRDefault="001A6E19" w:rsidP="00441B6F">
      <w:pPr>
        <w:pStyle w:val="Title"/>
        <w:spacing w:after="0"/>
        <w:jc w:val="both"/>
        <w:rPr>
          <w:rFonts w:ascii="Arial" w:hAnsi="Arial" w:cs="Arial"/>
        </w:rPr>
      </w:pPr>
      <w:r>
        <w:rPr>
          <w:rFonts w:ascii="Arial" w:hAnsi="Arial" w:cs="Arial"/>
        </w:rPr>
        <w:tab/>
      </w:r>
    </w:p>
    <w:p w14:paraId="597D82AF" w14:textId="68BB9648" w:rsidR="00613393" w:rsidRPr="001F3007" w:rsidRDefault="001F3007" w:rsidP="00926D04">
      <w:pPr>
        <w:pStyle w:val="Affiliation"/>
        <w:spacing w:after="0" w:line="240" w:lineRule="auto"/>
        <w:rPr>
          <w:rFonts w:ascii="Arial" w:hAnsi="Arial" w:cs="Arial"/>
          <w:b/>
          <w:bCs/>
          <w:sz w:val="36"/>
          <w:szCs w:val="36"/>
        </w:rPr>
      </w:pPr>
      <w:r w:rsidRPr="001F3007">
        <w:rPr>
          <w:rFonts w:ascii="Arial" w:hAnsi="Arial" w:cs="Arial"/>
          <w:b/>
          <w:bCs/>
          <w:sz w:val="36"/>
          <w:szCs w:val="36"/>
          <w:lang w:val="en-IN"/>
        </w:rPr>
        <w:t>Impact of Student Involvement in Community Extension Programs: A Philippine Higher Education Study</w:t>
      </w:r>
    </w:p>
    <w:p w14:paraId="2FD3AB1D" w14:textId="77777777" w:rsidR="00613393" w:rsidRDefault="00613393" w:rsidP="00926D04">
      <w:pPr>
        <w:pStyle w:val="Affiliation"/>
        <w:spacing w:after="0" w:line="240" w:lineRule="auto"/>
        <w:rPr>
          <w:rFonts w:ascii="Arial" w:hAnsi="Arial" w:cs="Arial"/>
        </w:rPr>
      </w:pPr>
    </w:p>
    <w:p w14:paraId="610391EA" w14:textId="77777777" w:rsidR="00613393" w:rsidRDefault="00613393" w:rsidP="00926D04">
      <w:pPr>
        <w:pStyle w:val="Affiliation"/>
        <w:spacing w:after="0" w:line="240" w:lineRule="auto"/>
        <w:rPr>
          <w:rFonts w:ascii="Arial" w:hAnsi="Arial" w:cs="Arial"/>
        </w:rPr>
      </w:pPr>
    </w:p>
    <w:p w14:paraId="14E450B8" w14:textId="77777777" w:rsidR="00F470D1" w:rsidRDefault="00F470D1" w:rsidP="00926D04">
      <w:pPr>
        <w:pStyle w:val="Affiliation"/>
        <w:spacing w:after="0" w:line="240" w:lineRule="auto"/>
        <w:rPr>
          <w:rFonts w:ascii="Arial" w:hAnsi="Arial" w:cs="Arial"/>
        </w:rPr>
      </w:pPr>
    </w:p>
    <w:p w14:paraId="430F629A" w14:textId="77777777" w:rsidR="00706DD7" w:rsidRDefault="00706DD7" w:rsidP="00926D04">
      <w:pPr>
        <w:pStyle w:val="Affiliation"/>
        <w:spacing w:after="0" w:line="240" w:lineRule="auto"/>
        <w:rPr>
          <w:rFonts w:ascii="Arial" w:hAnsi="Arial" w:cs="Arial"/>
        </w:rPr>
      </w:pPr>
    </w:p>
    <w:p w14:paraId="6E11BFB4" w14:textId="2BF076EE" w:rsidR="00CD789E" w:rsidRDefault="00CD789E" w:rsidP="00926D04">
      <w:pPr>
        <w:pStyle w:val="Affiliation"/>
        <w:spacing w:after="0" w:line="240" w:lineRule="auto"/>
        <w:rPr>
          <w:rFonts w:ascii="Arial" w:hAnsi="Arial" w:cs="Arial"/>
        </w:rPr>
      </w:pPr>
      <w:r>
        <w:rPr>
          <w:rFonts w:ascii="Arial" w:hAnsi="Arial" w:cs="Arial"/>
        </w:rPr>
        <w:t xml:space="preserve"> </w:t>
      </w:r>
    </w:p>
    <w:p w14:paraId="0220CE12" w14:textId="77777777" w:rsidR="002C57D2" w:rsidRPr="00FB3A86" w:rsidRDefault="002C57D2" w:rsidP="00441B6F">
      <w:pPr>
        <w:pStyle w:val="Affiliation"/>
        <w:spacing w:after="0" w:line="240" w:lineRule="auto"/>
        <w:jc w:val="both"/>
        <w:rPr>
          <w:rFonts w:ascii="Arial" w:hAnsi="Arial" w:cs="Arial"/>
        </w:rPr>
      </w:pPr>
    </w:p>
    <w:p w14:paraId="3F8E4169" w14:textId="209F8A52" w:rsidR="00B01FCD" w:rsidRPr="00FB3A86" w:rsidRDefault="00737005" w:rsidP="00441B6F">
      <w:pPr>
        <w:pStyle w:val="Copyright"/>
        <w:spacing w:after="0" w:line="240" w:lineRule="auto"/>
        <w:jc w:val="both"/>
        <w:rPr>
          <w:rFonts w:ascii="Arial" w:hAnsi="Arial" w:cs="Arial"/>
        </w:rPr>
        <w:sectPr w:rsidR="00B01FCD" w:rsidRPr="00FB3A86" w:rsidSect="006133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5015259" wp14:editId="0B719CF8">
                <wp:extent cx="5303520" cy="635"/>
                <wp:effectExtent l="13335" t="13335" r="17145" b="15240"/>
                <wp:docPr id="15490139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2D1586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9A7F26" w14:textId="53C98683"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9BE73FC" w14:textId="77777777" w:rsidR="00313901" w:rsidRPr="00FB3A86" w:rsidRDefault="00313901"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93D79B" w14:textId="77777777" w:rsidTr="001E44FE">
        <w:tc>
          <w:tcPr>
            <w:tcW w:w="9576" w:type="dxa"/>
            <w:shd w:val="clear" w:color="auto" w:fill="F2F2F2"/>
          </w:tcPr>
          <w:p w14:paraId="3688F3CE" w14:textId="2BCDF9A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75290">
              <w:rPr>
                <w:rFonts w:ascii="Arial" w:eastAsia="Calibri" w:hAnsi="Arial" w:cs="Arial"/>
                <w:szCs w:val="22"/>
              </w:rPr>
              <w:t>Low student participation impedes holistic development</w:t>
            </w:r>
            <w:r w:rsidRPr="00BA1B01">
              <w:rPr>
                <w:rFonts w:ascii="Arial" w:eastAsia="Calibri" w:hAnsi="Arial" w:cs="Arial"/>
                <w:szCs w:val="22"/>
              </w:rPr>
              <w:t>.</w:t>
            </w:r>
            <w:r w:rsidR="00C75290">
              <w:rPr>
                <w:rFonts w:ascii="Arial" w:eastAsia="Calibri" w:hAnsi="Arial" w:cs="Arial"/>
                <w:szCs w:val="22"/>
              </w:rPr>
              <w:t xml:space="preserve"> </w:t>
            </w:r>
            <w:r w:rsidR="007E6A09" w:rsidRPr="00BD1438">
              <w:rPr>
                <w:lang w:val="en-IN"/>
              </w:rPr>
              <w:t>Despite the mandate for community extension in Philippine higher education, student participation remains inconsistent.</w:t>
            </w:r>
            <w:r w:rsidR="007E6A09">
              <w:rPr>
                <w:lang w:val="en-IN"/>
              </w:rPr>
              <w:t xml:space="preserve"> </w:t>
            </w:r>
            <w:r w:rsidR="00C75290">
              <w:rPr>
                <w:rFonts w:ascii="Arial" w:eastAsia="Calibri" w:hAnsi="Arial" w:cs="Arial"/>
                <w:szCs w:val="22"/>
              </w:rPr>
              <w:t xml:space="preserve">Hence, students' involvement in the school’s extension activities is greatly affected and contributed </w:t>
            </w:r>
            <w:r w:rsidR="00993FB6">
              <w:rPr>
                <w:rFonts w:ascii="Arial" w:eastAsia="Calibri" w:hAnsi="Arial" w:cs="Arial"/>
                <w:szCs w:val="22"/>
              </w:rPr>
              <w:t xml:space="preserve">to </w:t>
            </w:r>
            <w:r w:rsidR="00C75290">
              <w:rPr>
                <w:rFonts w:ascii="Arial" w:eastAsia="Calibri" w:hAnsi="Arial" w:cs="Arial"/>
                <w:szCs w:val="22"/>
              </w:rPr>
              <w:t>by several factors</w:t>
            </w:r>
            <w:r w:rsidR="00993FB6">
              <w:rPr>
                <w:rFonts w:ascii="Arial" w:eastAsia="Calibri" w:hAnsi="Arial" w:cs="Arial"/>
                <w:szCs w:val="22"/>
              </w:rPr>
              <w:t>,</w:t>
            </w:r>
            <w:r w:rsidR="00C75290">
              <w:rPr>
                <w:rFonts w:ascii="Arial" w:eastAsia="Calibri" w:hAnsi="Arial" w:cs="Arial"/>
                <w:szCs w:val="22"/>
              </w:rPr>
              <w:t xml:space="preserve"> including their perception </w:t>
            </w:r>
            <w:r w:rsidR="00993FB6">
              <w:rPr>
                <w:rFonts w:ascii="Arial" w:eastAsia="Calibri" w:hAnsi="Arial" w:cs="Arial"/>
                <w:szCs w:val="22"/>
              </w:rPr>
              <w:t>of</w:t>
            </w:r>
            <w:r w:rsidR="00C75290">
              <w:rPr>
                <w:rFonts w:ascii="Arial" w:eastAsia="Calibri" w:hAnsi="Arial" w:cs="Arial"/>
                <w:szCs w:val="22"/>
              </w:rPr>
              <w:t xml:space="preserve"> its </w:t>
            </w:r>
            <w:r w:rsidR="00993FB6">
              <w:rPr>
                <w:rFonts w:ascii="Arial" w:eastAsia="Calibri" w:hAnsi="Arial" w:cs="Arial"/>
                <w:szCs w:val="22"/>
              </w:rPr>
              <w:t>effectiveness</w:t>
            </w:r>
            <w:r w:rsidR="00C75290">
              <w:rPr>
                <w:rFonts w:ascii="Arial" w:eastAsia="Calibri" w:hAnsi="Arial" w:cs="Arial"/>
                <w:szCs w:val="22"/>
              </w:rPr>
              <w:t xml:space="preserve"> and purpose.</w:t>
            </w:r>
          </w:p>
          <w:p w14:paraId="3EFDE440" w14:textId="0EDEE80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E21E7" w:rsidRPr="00BD1438">
              <w:rPr>
                <w:lang w:val="en-IN"/>
              </w:rPr>
              <w:t>This study employed a quantitative-descriptive design</w:t>
            </w:r>
            <w:r w:rsidRPr="00BA1B01">
              <w:rPr>
                <w:rFonts w:ascii="Arial" w:eastAsia="Calibri" w:hAnsi="Arial" w:cs="Arial"/>
                <w:szCs w:val="22"/>
              </w:rPr>
              <w:t>.</w:t>
            </w:r>
          </w:p>
          <w:p w14:paraId="2D2A50DB" w14:textId="3717993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2455">
              <w:rPr>
                <w:rFonts w:ascii="Arial" w:eastAsia="Calibri" w:hAnsi="Arial" w:cs="Arial"/>
                <w:szCs w:val="22"/>
              </w:rPr>
              <w:t>This study was conducted in a higher education institution in Davao City for the academic year 202</w:t>
            </w:r>
            <w:r w:rsidR="00D16450">
              <w:rPr>
                <w:rFonts w:ascii="Arial" w:eastAsia="Calibri" w:hAnsi="Arial" w:cs="Arial"/>
                <w:szCs w:val="22"/>
              </w:rPr>
              <w:t>1</w:t>
            </w:r>
            <w:r w:rsidR="00DE2455">
              <w:rPr>
                <w:rFonts w:ascii="Arial" w:eastAsia="Calibri" w:hAnsi="Arial" w:cs="Arial"/>
                <w:szCs w:val="22"/>
              </w:rPr>
              <w:t>-202</w:t>
            </w:r>
            <w:r w:rsidR="00D16450">
              <w:rPr>
                <w:rFonts w:ascii="Arial" w:eastAsia="Calibri" w:hAnsi="Arial" w:cs="Arial"/>
                <w:szCs w:val="22"/>
              </w:rPr>
              <w:t>2</w:t>
            </w:r>
            <w:r w:rsidR="00DE2455">
              <w:rPr>
                <w:rFonts w:ascii="Arial" w:eastAsia="Calibri" w:hAnsi="Arial" w:cs="Arial"/>
                <w:szCs w:val="22"/>
              </w:rPr>
              <w:t>.</w:t>
            </w:r>
          </w:p>
          <w:p w14:paraId="29E0C8A3" w14:textId="2633AD7C" w:rsidR="002338B2"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2338B2" w:rsidRPr="002338B2">
              <w:rPr>
                <w:rFonts w:ascii="Arial" w:eastAsia="Calibri" w:hAnsi="Arial" w:cs="Arial"/>
                <w:szCs w:val="22"/>
              </w:rPr>
              <w:t>This study employed the quantitative-descriptive research</w:t>
            </w:r>
            <w:r w:rsidR="008562F7">
              <w:rPr>
                <w:rFonts w:ascii="Arial" w:eastAsia="Calibri" w:hAnsi="Arial" w:cs="Arial"/>
                <w:szCs w:val="22"/>
              </w:rPr>
              <w:t xml:space="preserve"> design and used stratified random sampling with 268 basic education students and 317 college students, accounting for 585 respondents.</w:t>
            </w:r>
            <w:r w:rsidR="00555086">
              <w:rPr>
                <w:rFonts w:ascii="Arial" w:eastAsia="Calibri" w:hAnsi="Arial" w:cs="Arial"/>
                <w:szCs w:val="22"/>
              </w:rPr>
              <w:t xml:space="preserve"> In addition, this utilized and adapted survey questionnaire from Boru (2017) and Diaz-Gallego</w:t>
            </w:r>
            <w:r w:rsidR="003601E2">
              <w:rPr>
                <w:rFonts w:ascii="Arial" w:eastAsia="Calibri" w:hAnsi="Arial" w:cs="Arial"/>
                <w:szCs w:val="22"/>
              </w:rPr>
              <w:t>s</w:t>
            </w:r>
            <w:r w:rsidR="00555086">
              <w:rPr>
                <w:rFonts w:ascii="Arial" w:eastAsia="Calibri" w:hAnsi="Arial" w:cs="Arial"/>
                <w:szCs w:val="22"/>
              </w:rPr>
              <w:t xml:space="preserve"> (1999). This followed strict adherence to </w:t>
            </w:r>
            <w:r w:rsidR="00973802">
              <w:rPr>
                <w:rFonts w:ascii="Arial" w:eastAsia="Calibri" w:hAnsi="Arial" w:cs="Arial"/>
                <w:szCs w:val="22"/>
              </w:rPr>
              <w:t xml:space="preserve">the </w:t>
            </w:r>
            <w:r w:rsidR="00555086">
              <w:rPr>
                <w:rFonts w:ascii="Arial" w:eastAsia="Calibri" w:hAnsi="Arial" w:cs="Arial"/>
                <w:szCs w:val="22"/>
              </w:rPr>
              <w:t xml:space="preserve">highest ethical </w:t>
            </w:r>
            <w:r w:rsidR="00973802">
              <w:rPr>
                <w:rFonts w:ascii="Arial" w:eastAsia="Calibri" w:hAnsi="Arial" w:cs="Arial"/>
                <w:szCs w:val="22"/>
              </w:rPr>
              <w:t>standards</w:t>
            </w:r>
            <w:r w:rsidR="00555086">
              <w:rPr>
                <w:rFonts w:ascii="Arial" w:eastAsia="Calibri" w:hAnsi="Arial" w:cs="Arial"/>
                <w:szCs w:val="22"/>
              </w:rPr>
              <w:t xml:space="preserve"> and applied descriptive statistics to analyze the data.</w:t>
            </w:r>
          </w:p>
          <w:p w14:paraId="08BBA60B" w14:textId="53087EA7" w:rsidR="00973802"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350A8" w:rsidRPr="003350A8">
              <w:rPr>
                <w:rFonts w:ascii="Arial" w:eastAsia="Calibri" w:hAnsi="Arial" w:cs="Arial"/>
                <w:szCs w:val="22"/>
              </w:rPr>
              <w:t>The results showed that the college department had more respondents than the basic education department, and students’ extent of involvement in the CEP activities was moderate (M = 2.98), interpreted as “involved.” Furthermore, the implementation of CEP activities was rated very high (M = 4.21), while students perceived the activities as effective (M = 4.13) and having a high effect on their development (M = 4.19).</w:t>
            </w:r>
          </w:p>
          <w:p w14:paraId="49BCBCE2" w14:textId="5CC0A18E"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8564E8">
              <w:rPr>
                <w:rFonts w:ascii="Arial" w:eastAsia="Calibri" w:hAnsi="Arial" w:cs="Arial"/>
                <w:szCs w:val="22"/>
              </w:rPr>
              <w:t xml:space="preserve">The data showed that the CEP activities </w:t>
            </w:r>
            <w:r w:rsidR="00AE17F9">
              <w:rPr>
                <w:rFonts w:ascii="Arial" w:eastAsia="Calibri" w:hAnsi="Arial" w:cs="Arial"/>
                <w:szCs w:val="22"/>
              </w:rPr>
              <w:t>were</w:t>
            </w:r>
            <w:r w:rsidR="008564E8">
              <w:rPr>
                <w:rFonts w:ascii="Arial" w:eastAsia="Calibri" w:hAnsi="Arial" w:cs="Arial"/>
                <w:szCs w:val="22"/>
              </w:rPr>
              <w:t xml:space="preserve"> </w:t>
            </w:r>
            <w:r w:rsidR="00AE17F9">
              <w:rPr>
                <w:rFonts w:ascii="Arial" w:eastAsia="Calibri" w:hAnsi="Arial" w:cs="Arial"/>
                <w:szCs w:val="22"/>
              </w:rPr>
              <w:t>generally perceived</w:t>
            </w:r>
            <w:r w:rsidR="008564E8">
              <w:rPr>
                <w:rFonts w:ascii="Arial" w:eastAsia="Calibri" w:hAnsi="Arial" w:cs="Arial"/>
                <w:szCs w:val="22"/>
              </w:rPr>
              <w:t xml:space="preserve"> by the students</w:t>
            </w:r>
            <w:r w:rsidR="00AE17F9">
              <w:rPr>
                <w:rFonts w:ascii="Arial" w:eastAsia="Calibri" w:hAnsi="Arial" w:cs="Arial"/>
                <w:szCs w:val="22"/>
              </w:rPr>
              <w:t xml:space="preserve"> as effective. It was manifested through their </w:t>
            </w:r>
            <w:r w:rsidR="00AC5EAB">
              <w:rPr>
                <w:rFonts w:ascii="Arial" w:eastAsia="Calibri" w:hAnsi="Arial" w:cs="Arial"/>
                <w:szCs w:val="22"/>
              </w:rPr>
              <w:t>involvement, assessment of the implementation, perceived effectiveness, and perceived effect.</w:t>
            </w:r>
          </w:p>
          <w:p w14:paraId="68A70C68" w14:textId="045231A9" w:rsidR="00505F06" w:rsidRPr="00BA1B01" w:rsidRDefault="00505F06" w:rsidP="00441B6F">
            <w:pPr>
              <w:pStyle w:val="Body"/>
              <w:spacing w:after="0"/>
              <w:rPr>
                <w:rFonts w:ascii="Arial" w:eastAsia="Calibri" w:hAnsi="Arial" w:cs="Arial"/>
                <w:szCs w:val="22"/>
              </w:rPr>
            </w:pPr>
          </w:p>
        </w:tc>
      </w:tr>
    </w:tbl>
    <w:p w14:paraId="21C34FBE" w14:textId="77777777" w:rsidR="00636EB2" w:rsidRDefault="00636EB2" w:rsidP="00441B6F">
      <w:pPr>
        <w:pStyle w:val="Body"/>
        <w:spacing w:after="0"/>
        <w:rPr>
          <w:rFonts w:ascii="Arial" w:hAnsi="Arial" w:cs="Arial"/>
          <w:i/>
        </w:rPr>
      </w:pPr>
    </w:p>
    <w:p w14:paraId="09FE8BF6" w14:textId="01C7584D" w:rsidR="0024282C" w:rsidRPr="009F4725" w:rsidRDefault="00A24E7E" w:rsidP="00441B6F">
      <w:pPr>
        <w:pStyle w:val="Body"/>
        <w:spacing w:after="0"/>
        <w:rPr>
          <w:rFonts w:ascii="Arial" w:hAnsi="Arial" w:cs="Arial"/>
          <w:i/>
        </w:rPr>
      </w:pPr>
      <w:r>
        <w:rPr>
          <w:rFonts w:ascii="Arial" w:hAnsi="Arial" w:cs="Arial"/>
          <w:i/>
        </w:rPr>
        <w:t xml:space="preserve">Keywords: </w:t>
      </w:r>
      <w:r w:rsidR="006945B7" w:rsidRPr="006945B7">
        <w:rPr>
          <w:rFonts w:ascii="Arial" w:hAnsi="Arial" w:cs="Arial"/>
          <w:i/>
        </w:rPr>
        <w:t>community extension, extent of involvement, level of implementation, perceived effectiveness, perceived effect</w:t>
      </w:r>
    </w:p>
    <w:p w14:paraId="054C1B63" w14:textId="77777777" w:rsidR="00505F06" w:rsidRPr="00A24E7E" w:rsidRDefault="00505F06" w:rsidP="00441B6F">
      <w:pPr>
        <w:pStyle w:val="Body"/>
        <w:spacing w:after="0"/>
        <w:rPr>
          <w:rFonts w:ascii="Arial" w:hAnsi="Arial" w:cs="Arial"/>
          <w:i/>
        </w:rPr>
      </w:pPr>
    </w:p>
    <w:p w14:paraId="53C34F39" w14:textId="46DAB4F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6C328A2" w14:textId="77777777" w:rsidR="00790ADA" w:rsidRPr="00FB3A86" w:rsidRDefault="00790ADA" w:rsidP="00441B6F">
      <w:pPr>
        <w:pStyle w:val="AbstHead"/>
        <w:spacing w:after="0"/>
        <w:jc w:val="both"/>
        <w:rPr>
          <w:rFonts w:ascii="Arial" w:hAnsi="Arial" w:cs="Arial"/>
        </w:rPr>
      </w:pPr>
    </w:p>
    <w:p w14:paraId="447F09D5" w14:textId="5C8C2DC8" w:rsidR="00ED36B0" w:rsidRPr="00ED36B0" w:rsidRDefault="00ED36B0" w:rsidP="00ED36B0">
      <w:pPr>
        <w:jc w:val="both"/>
        <w:rPr>
          <w:lang w:val="en-PH"/>
        </w:rPr>
      </w:pPr>
      <w:r w:rsidRPr="00ED36B0">
        <w:rPr>
          <w:lang w:val="en-PH"/>
        </w:rPr>
        <w:t xml:space="preserve">Community extension programs are widely recognized as an essential component of higher education because they promote civic engagement, social responsibility, and experiential learning among students. However, recent studies indicate that student participation in community engagement and service-learning activities remains relatively low in many institutions worldwide. A significant proportion of university students report limited involvement in community-oriented activities despite their availability and institutional promotion. This situation raises concerns about the extent to which students engage in initiatives designed to </w:t>
      </w:r>
      <w:r w:rsidRPr="00ED36B0">
        <w:rPr>
          <w:lang w:val="en-PH"/>
        </w:rPr>
        <w:lastRenderedPageBreak/>
        <w:t>strengthen community partnerships and civic learning within higher education institutions (Belete, 2024).</w:t>
      </w:r>
    </w:p>
    <w:p w14:paraId="1E8309FB" w14:textId="77777777" w:rsidR="00ED36B0" w:rsidRDefault="00ED36B0" w:rsidP="00ED36B0">
      <w:pPr>
        <w:jc w:val="both"/>
        <w:rPr>
          <w:lang w:val="en-PH"/>
        </w:rPr>
      </w:pPr>
    </w:p>
    <w:p w14:paraId="58A8FA08" w14:textId="22562167" w:rsidR="00ED36B0" w:rsidRPr="00ED36B0" w:rsidRDefault="00ED36B0" w:rsidP="00ED36B0">
      <w:pPr>
        <w:jc w:val="both"/>
        <w:rPr>
          <w:lang w:val="en-PH"/>
        </w:rPr>
      </w:pPr>
      <w:r w:rsidRPr="00ED36B0">
        <w:rPr>
          <w:lang w:val="en-PH"/>
        </w:rPr>
        <w:t xml:space="preserve">In several Asian countries, the issue of low student participation in community extension and service-learning programs has also been documented. Studies conducted in Thailand and Malaysia have reported that although universities implement community engagement initiatives, student participation levels remain inconsistent and limited among many programs. Similarly, research in Bangladesh has highlighted that student engagement in collaborative and community-based learning activities remains a continuing challenge in higher education institutions, suggesting that participation in community-oriented initiatives is not yet widespread among students in these contexts (Borhan et al., 2024; </w:t>
      </w:r>
      <w:proofErr w:type="spellStart"/>
      <w:r w:rsidRPr="00ED36B0">
        <w:rPr>
          <w:lang w:val="en-PH"/>
        </w:rPr>
        <w:t>Siripipatthanakul</w:t>
      </w:r>
      <w:proofErr w:type="spellEnd"/>
      <w:r w:rsidRPr="00ED36B0">
        <w:rPr>
          <w:lang w:val="en-PH"/>
        </w:rPr>
        <w:t xml:space="preserve"> et al., 2025).</w:t>
      </w:r>
    </w:p>
    <w:p w14:paraId="3180EA20" w14:textId="77777777" w:rsidR="007753FC" w:rsidRDefault="007753FC" w:rsidP="00ED36B0">
      <w:pPr>
        <w:jc w:val="both"/>
        <w:rPr>
          <w:lang w:val="en-PH"/>
        </w:rPr>
      </w:pPr>
    </w:p>
    <w:p w14:paraId="658CF3F3" w14:textId="3E17C8D8" w:rsidR="00ED36B0" w:rsidRPr="00ED36B0" w:rsidRDefault="00ED36B0" w:rsidP="00ED36B0">
      <w:pPr>
        <w:jc w:val="both"/>
        <w:rPr>
          <w:lang w:val="en-PH"/>
        </w:rPr>
      </w:pPr>
      <w:r w:rsidRPr="00ED36B0">
        <w:rPr>
          <w:lang w:val="en-PH"/>
        </w:rPr>
        <w:t>In the Philippine context, community extension programs are considered a core function of higher education institutions alongside instruction and research. Universities are expected to involve students in outreach and community development initiatives to promote civic responsibility and social awareness. However, studies indicate that student participation in community extension and volunteer activities remains relatively limited in some institutions, suggesting that not all students actively engage in programs designed to connect academic learning with community service (Mori, 2024).</w:t>
      </w:r>
    </w:p>
    <w:p w14:paraId="44AA85F4" w14:textId="77777777" w:rsidR="00ED36B0" w:rsidRDefault="00ED36B0" w:rsidP="000C6C71">
      <w:pPr>
        <w:jc w:val="both"/>
        <w:rPr>
          <w:lang w:val="en-PH"/>
        </w:rPr>
      </w:pPr>
    </w:p>
    <w:p w14:paraId="3CFF173C" w14:textId="47A46367" w:rsidR="001443ED" w:rsidRPr="00ED36B0" w:rsidRDefault="00ED36B0" w:rsidP="000C6C71">
      <w:pPr>
        <w:jc w:val="both"/>
        <w:rPr>
          <w:lang w:val="en-PH"/>
        </w:rPr>
      </w:pPr>
      <w:r w:rsidRPr="00ED36B0">
        <w:rPr>
          <w:lang w:val="en-PH"/>
        </w:rPr>
        <w:t>Low participation in community extension programs can lead to several negative consequences for both students and communities. Limited involvement may reduce opportunities for students to develop civic responsibility, social awareness, and practical skills that are often fostered through community engagement activities. Furthermore, when student participation remains low, the potential impact of university extension initiatives on community development and social transformation may also be constrained, weakening the intended role of higher education institutions in addressing societal needs and fostering civic-minded graduates (</w:t>
      </w:r>
      <w:r w:rsidR="00E11786" w:rsidRPr="00ED36B0">
        <w:rPr>
          <w:lang w:val="en-PH"/>
        </w:rPr>
        <w:t>Sayeed et al., 2025</w:t>
      </w:r>
      <w:r w:rsidRPr="00ED36B0">
        <w:rPr>
          <w:lang w:val="en-PH"/>
        </w:rPr>
        <w:t>).</w:t>
      </w:r>
    </w:p>
    <w:p w14:paraId="1B9F06D8" w14:textId="77777777" w:rsidR="00B210E0" w:rsidRDefault="00B210E0" w:rsidP="000C6C71">
      <w:pPr>
        <w:jc w:val="both"/>
        <w:rPr>
          <w:lang w:val="en-PH"/>
        </w:rPr>
      </w:pPr>
    </w:p>
    <w:p w14:paraId="403185A5" w14:textId="2ACFA0C1" w:rsidR="001443ED" w:rsidRPr="001443ED" w:rsidRDefault="001443ED" w:rsidP="000C6C71">
      <w:pPr>
        <w:jc w:val="both"/>
        <w:rPr>
          <w:rFonts w:ascii="Arial" w:hAnsi="Arial" w:cs="Arial"/>
          <w:b/>
          <w:bCs/>
          <w:lang w:val="en-PH"/>
        </w:rPr>
      </w:pPr>
      <w:r w:rsidRPr="001443ED">
        <w:rPr>
          <w:rFonts w:ascii="Arial" w:hAnsi="Arial" w:cs="Arial"/>
          <w:b/>
          <w:bCs/>
          <w:lang w:val="en-PH"/>
        </w:rPr>
        <w:t>1.1 Statement of the Problem</w:t>
      </w:r>
    </w:p>
    <w:p w14:paraId="5116C1DA"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demographic profile of the respondents in terms of:</w:t>
      </w:r>
    </w:p>
    <w:p w14:paraId="7117A853"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gender;</w:t>
      </w:r>
    </w:p>
    <w:p w14:paraId="33A17A14"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program; and</w:t>
      </w:r>
    </w:p>
    <w:p w14:paraId="54D529E8" w14:textId="77777777" w:rsidR="001443ED" w:rsidRPr="001443ED" w:rsidRDefault="001443ED" w:rsidP="001443ED">
      <w:pPr>
        <w:pStyle w:val="ListParagraph"/>
        <w:numPr>
          <w:ilvl w:val="1"/>
          <w:numId w:val="32"/>
        </w:numPr>
        <w:rPr>
          <w:rFonts w:ascii="Arial" w:hAnsi="Arial" w:cs="Arial"/>
        </w:rPr>
      </w:pPr>
      <w:r w:rsidRPr="001443ED">
        <w:rPr>
          <w:rFonts w:ascii="Arial" w:hAnsi="Arial" w:cs="Arial"/>
        </w:rPr>
        <w:t>year level?</w:t>
      </w:r>
    </w:p>
    <w:p w14:paraId="10B57E8E"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extent of participation of the respondents in the community extension programs of the school?</w:t>
      </w:r>
    </w:p>
    <w:p w14:paraId="1DC4B5D3"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What is the assessment of the respondents on the community extension program activities?</w:t>
      </w:r>
    </w:p>
    <w:p w14:paraId="1E8027E3" w14:textId="77777777" w:rsidR="001443ED" w:rsidRPr="001443ED" w:rsidRDefault="001443ED" w:rsidP="001443ED">
      <w:pPr>
        <w:pStyle w:val="ListParagraph"/>
        <w:numPr>
          <w:ilvl w:val="0"/>
          <w:numId w:val="31"/>
        </w:numPr>
        <w:rPr>
          <w:rFonts w:ascii="Arial" w:hAnsi="Arial" w:cs="Arial"/>
        </w:rPr>
      </w:pPr>
      <w:r w:rsidRPr="001443ED">
        <w:rPr>
          <w:rFonts w:ascii="Arial" w:hAnsi="Arial" w:cs="Arial"/>
        </w:rPr>
        <w:t xml:space="preserve">What is the perceived effect of the community extension program activities on the respondents in terms of the following: </w:t>
      </w:r>
    </w:p>
    <w:p w14:paraId="3586E6D6" w14:textId="77777777" w:rsidR="001443ED" w:rsidRPr="001443ED" w:rsidRDefault="001443ED" w:rsidP="001443ED">
      <w:pPr>
        <w:pStyle w:val="ListParagraph"/>
        <w:numPr>
          <w:ilvl w:val="1"/>
          <w:numId w:val="31"/>
        </w:numPr>
        <w:rPr>
          <w:rFonts w:ascii="Arial" w:hAnsi="Arial" w:cs="Arial"/>
        </w:rPr>
      </w:pPr>
      <w:r w:rsidRPr="001443ED">
        <w:rPr>
          <w:rFonts w:ascii="Arial" w:hAnsi="Arial" w:cs="Arial"/>
        </w:rPr>
        <w:t>personal characteristic;</w:t>
      </w:r>
    </w:p>
    <w:p w14:paraId="13528280" w14:textId="77777777" w:rsidR="001443ED" w:rsidRPr="001443ED" w:rsidRDefault="001443ED" w:rsidP="001443ED">
      <w:pPr>
        <w:pStyle w:val="ListParagraph"/>
        <w:numPr>
          <w:ilvl w:val="1"/>
          <w:numId w:val="31"/>
        </w:numPr>
        <w:rPr>
          <w:rFonts w:ascii="Arial" w:hAnsi="Arial" w:cs="Arial"/>
        </w:rPr>
      </w:pPr>
      <w:r w:rsidRPr="001443ED">
        <w:rPr>
          <w:rFonts w:ascii="Arial" w:hAnsi="Arial" w:cs="Arial"/>
        </w:rPr>
        <w:t xml:space="preserve">social skills; and </w:t>
      </w:r>
    </w:p>
    <w:p w14:paraId="62D3AC20" w14:textId="75F11A2D" w:rsidR="00790ADA" w:rsidRPr="001443ED" w:rsidRDefault="001443ED" w:rsidP="000C6C71">
      <w:pPr>
        <w:pStyle w:val="ListParagraph"/>
        <w:numPr>
          <w:ilvl w:val="1"/>
          <w:numId w:val="31"/>
        </w:numPr>
        <w:rPr>
          <w:rFonts w:ascii="Arial" w:hAnsi="Arial" w:cs="Arial"/>
        </w:rPr>
      </w:pPr>
      <w:r w:rsidRPr="001443ED">
        <w:rPr>
          <w:rFonts w:ascii="Arial" w:hAnsi="Arial" w:cs="Arial"/>
        </w:rPr>
        <w:t>civic responsibility?</w:t>
      </w:r>
    </w:p>
    <w:p w14:paraId="76E5DE04" w14:textId="77777777" w:rsidR="00D73FFE" w:rsidRDefault="00D73FFE" w:rsidP="00441B6F">
      <w:pPr>
        <w:pStyle w:val="AbstHead"/>
        <w:spacing w:after="0"/>
        <w:jc w:val="both"/>
        <w:rPr>
          <w:rFonts w:ascii="Arial" w:hAnsi="Arial" w:cs="Arial"/>
        </w:rPr>
      </w:pPr>
    </w:p>
    <w:p w14:paraId="6D7F2848" w14:textId="37FCC387" w:rsidR="007F7B32" w:rsidRDefault="001443ED"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42393822" w14:textId="77777777" w:rsidR="00790ADA" w:rsidRPr="00FB3A86" w:rsidRDefault="00790ADA" w:rsidP="00441B6F">
      <w:pPr>
        <w:pStyle w:val="AbstHead"/>
        <w:spacing w:after="0"/>
        <w:jc w:val="both"/>
        <w:rPr>
          <w:rFonts w:ascii="Arial" w:hAnsi="Arial" w:cs="Arial"/>
        </w:rPr>
      </w:pPr>
    </w:p>
    <w:p w14:paraId="453AF177" w14:textId="4128CFA5" w:rsidR="001443ED" w:rsidRPr="00CF6651" w:rsidRDefault="001443ED" w:rsidP="00441B6F">
      <w:pPr>
        <w:pStyle w:val="Body"/>
        <w:spacing w:after="0"/>
        <w:rPr>
          <w:rFonts w:ascii="Arial" w:hAnsi="Arial" w:cs="Arial"/>
          <w:b/>
          <w:bCs/>
        </w:rPr>
      </w:pPr>
      <w:r w:rsidRPr="00CF6651">
        <w:rPr>
          <w:rFonts w:ascii="Arial" w:hAnsi="Arial" w:cs="Arial"/>
          <w:b/>
          <w:bCs/>
        </w:rPr>
        <w:t>2.1 Research Design</w:t>
      </w:r>
    </w:p>
    <w:p w14:paraId="02F7AE6B" w14:textId="77777777" w:rsidR="001443ED" w:rsidRDefault="001443ED" w:rsidP="00441B6F">
      <w:pPr>
        <w:pStyle w:val="Body"/>
        <w:spacing w:after="0"/>
        <w:rPr>
          <w:rFonts w:ascii="Arial" w:hAnsi="Arial" w:cs="Arial"/>
        </w:rPr>
      </w:pPr>
    </w:p>
    <w:p w14:paraId="0D8672D5" w14:textId="05B482C6" w:rsidR="00CF6651" w:rsidRPr="00C52F16" w:rsidRDefault="00CF6651" w:rsidP="00C52F16">
      <w:pPr>
        <w:jc w:val="both"/>
      </w:pPr>
      <w:r w:rsidRPr="00C52F16">
        <w:t xml:space="preserve">This study employed the quantitative-descriptive research method to investigate the impact of participating </w:t>
      </w:r>
      <w:r w:rsidR="00C52F16">
        <w:t xml:space="preserve">in </w:t>
      </w:r>
      <w:r w:rsidRPr="00C52F16">
        <w:t xml:space="preserve">community engagement activities.  A descriptive research design helps provide answers to questions concerning the current status of the </w:t>
      </w:r>
      <w:r w:rsidR="00C52F16">
        <w:t>phenomenon</w:t>
      </w:r>
      <w:r w:rsidRPr="00C52F16">
        <w:t xml:space="preserve"> and to describe what exists with respect to the condition in a situation.  Using the descriptive method, researchers </w:t>
      </w:r>
      <w:r w:rsidRPr="00C52F16">
        <w:lastRenderedPageBreak/>
        <w:t xml:space="preserve">can observe a large group within the target population and systematically describe the characteristics of the variables under investigation, allowing them to draw meaningful conclusions based on the collected data (Creswell &amp; Creswell, 2022).  Therefore, this research design enabled the researchers to gather data from a wide range of respondents on the impact of participating </w:t>
      </w:r>
      <w:r w:rsidR="00C52F16">
        <w:t xml:space="preserve">in </w:t>
      </w:r>
      <w:r w:rsidRPr="00C52F16">
        <w:t>community extension activities in terms of their personal characteristics, social skills</w:t>
      </w:r>
      <w:r w:rsidR="00C52F16">
        <w:t>,</w:t>
      </w:r>
      <w:r w:rsidRPr="00C52F16">
        <w:t xml:space="preserve"> and civic responsibility.</w:t>
      </w:r>
    </w:p>
    <w:p w14:paraId="6115B8C0" w14:textId="77777777" w:rsidR="001443ED" w:rsidRPr="00CF6651" w:rsidRDefault="001443ED" w:rsidP="00441B6F">
      <w:pPr>
        <w:pStyle w:val="Body"/>
        <w:spacing w:after="0"/>
        <w:rPr>
          <w:rFonts w:ascii="Arial" w:hAnsi="Arial" w:cs="Arial"/>
          <w:b/>
          <w:bCs/>
          <w:sz w:val="22"/>
          <w:szCs w:val="22"/>
        </w:rPr>
      </w:pPr>
    </w:p>
    <w:p w14:paraId="4DBF7236" w14:textId="4DCF29A0" w:rsidR="00790ADA" w:rsidRPr="00CF6651" w:rsidRDefault="00CF6651" w:rsidP="00441B6F">
      <w:pPr>
        <w:pStyle w:val="Body"/>
        <w:spacing w:after="0"/>
        <w:rPr>
          <w:rFonts w:ascii="Arial" w:hAnsi="Arial" w:cs="Arial"/>
          <w:b/>
          <w:bCs/>
        </w:rPr>
      </w:pPr>
      <w:r w:rsidRPr="00CF6651">
        <w:rPr>
          <w:rFonts w:ascii="Arial" w:hAnsi="Arial" w:cs="Arial"/>
          <w:b/>
          <w:bCs/>
        </w:rPr>
        <w:t>2.2 Research Respondents</w:t>
      </w:r>
    </w:p>
    <w:p w14:paraId="44DA6F74" w14:textId="77777777" w:rsidR="00CF6651" w:rsidRDefault="00CF6651" w:rsidP="00441B6F">
      <w:pPr>
        <w:pStyle w:val="Body"/>
        <w:spacing w:after="0"/>
        <w:rPr>
          <w:rFonts w:ascii="Arial" w:hAnsi="Arial" w:cs="Arial"/>
        </w:rPr>
      </w:pPr>
    </w:p>
    <w:p w14:paraId="0A4A676C" w14:textId="751C6CE4" w:rsidR="00CF6651" w:rsidRPr="00065676" w:rsidRDefault="00735251" w:rsidP="00065676">
      <w:pPr>
        <w:jc w:val="both"/>
      </w:pPr>
      <w:r w:rsidRPr="00065676">
        <w:t>The respondents were the students enrolled in the academic year 202</w:t>
      </w:r>
      <w:r w:rsidR="005970C4">
        <w:t>1</w:t>
      </w:r>
      <w:r w:rsidRPr="00065676">
        <w:t>-202</w:t>
      </w:r>
      <w:r w:rsidR="005970C4">
        <w:t>2</w:t>
      </w:r>
      <w:r w:rsidRPr="00065676">
        <w:t xml:space="preserve"> in a higher education institution </w:t>
      </w:r>
      <w:r w:rsidR="0057450D" w:rsidRPr="00065676">
        <w:t xml:space="preserve">in </w:t>
      </w:r>
      <w:r w:rsidRPr="00065676">
        <w:t xml:space="preserve">Davao City. </w:t>
      </w:r>
      <w:r w:rsidR="00CF6651" w:rsidRPr="00065676">
        <w:t xml:space="preserve">In determining the respondents, the researchers used stratified random sampling. This technique </w:t>
      </w:r>
      <w:r w:rsidR="00E178AB">
        <w:t>divides</w:t>
      </w:r>
      <w:r w:rsidR="00CF6651" w:rsidRPr="00065676">
        <w:t xml:space="preserve"> the population’s elements into small subgroups(strata) based on the similarity in such a way that the elements within the group are homogenous and heterogeneous among the other subgroups formed (</w:t>
      </w:r>
      <w:r w:rsidR="005970C4">
        <w:t>Thomas</w:t>
      </w:r>
      <w:r w:rsidR="00CF6651" w:rsidRPr="00065676">
        <w:t>, 20</w:t>
      </w:r>
      <w:r w:rsidR="005970C4">
        <w:t>23</w:t>
      </w:r>
      <w:r w:rsidR="00CF6651" w:rsidRPr="00065676">
        <w:t xml:space="preserve">).  In this study, the respondents were the students from the junior high school, senior high school, and college departments. Specifically, through the use of </w:t>
      </w:r>
      <w:proofErr w:type="spellStart"/>
      <w:r w:rsidR="00CF6651" w:rsidRPr="00065676">
        <w:t>Raosoft</w:t>
      </w:r>
      <w:proofErr w:type="spellEnd"/>
      <w:r w:rsidR="00CF6651" w:rsidRPr="00065676">
        <w:t xml:space="preserve">, </w:t>
      </w:r>
      <w:r w:rsidR="0009192D" w:rsidRPr="00065676">
        <w:t>268 students composed the sample size of the basic education</w:t>
      </w:r>
      <w:r w:rsidRPr="00065676">
        <w:t>,</w:t>
      </w:r>
      <w:r w:rsidR="0009192D" w:rsidRPr="00065676">
        <w:t xml:space="preserve"> with a total population of 900, while 317 composed the sample from the 800 college students.</w:t>
      </w:r>
    </w:p>
    <w:p w14:paraId="4190C413" w14:textId="77777777" w:rsidR="00043105" w:rsidRDefault="00043105" w:rsidP="00CF6651">
      <w:pPr>
        <w:pStyle w:val="Body"/>
        <w:spacing w:after="0"/>
        <w:rPr>
          <w:rFonts w:ascii="Arial" w:hAnsi="Arial" w:cs="Arial"/>
        </w:rPr>
      </w:pPr>
    </w:p>
    <w:p w14:paraId="280BEEEC" w14:textId="15A6F9BF" w:rsidR="00043105" w:rsidRPr="00043105" w:rsidRDefault="00043105" w:rsidP="00CF6651">
      <w:pPr>
        <w:pStyle w:val="Body"/>
        <w:spacing w:after="0"/>
        <w:rPr>
          <w:rFonts w:ascii="Arial" w:hAnsi="Arial" w:cs="Arial"/>
          <w:b/>
          <w:bCs/>
        </w:rPr>
      </w:pPr>
      <w:r w:rsidRPr="00043105">
        <w:rPr>
          <w:rFonts w:ascii="Arial" w:hAnsi="Arial" w:cs="Arial"/>
          <w:b/>
          <w:bCs/>
        </w:rPr>
        <w:t>2.3 Data Gathering Technique</w:t>
      </w:r>
    </w:p>
    <w:p w14:paraId="42C9873B" w14:textId="77777777" w:rsidR="00043105" w:rsidRDefault="00043105" w:rsidP="00CF6651">
      <w:pPr>
        <w:pStyle w:val="Body"/>
        <w:spacing w:after="0"/>
        <w:rPr>
          <w:rFonts w:ascii="Arial" w:hAnsi="Arial" w:cs="Arial"/>
        </w:rPr>
      </w:pPr>
    </w:p>
    <w:p w14:paraId="08D93A8B" w14:textId="545CF165" w:rsidR="00043105" w:rsidRPr="00065676" w:rsidRDefault="00043105" w:rsidP="00065676">
      <w:pPr>
        <w:jc w:val="both"/>
      </w:pPr>
      <w:r w:rsidRPr="00065676">
        <w:t>There were adapted and modified questionnaires used in this research. The survey questionnaire plays a crucial role in gathering data and insights across various fields of study as it provides a structured and efficient way to collect information from individuals, enabling researchers to draw meaningful conclusions and recommendations (Neuman, 2014). These were adapted from Buro (2017</w:t>
      </w:r>
      <w:r w:rsidR="003277CF">
        <w:t>)</w:t>
      </w:r>
      <w:r w:rsidRPr="00065676">
        <w:t xml:space="preserve"> and Diaz-Gallegos (1999).</w:t>
      </w:r>
    </w:p>
    <w:p w14:paraId="0C5D1D8E" w14:textId="77777777" w:rsidR="00043105" w:rsidRPr="00065676" w:rsidRDefault="00043105" w:rsidP="00065676">
      <w:pPr>
        <w:jc w:val="both"/>
      </w:pPr>
    </w:p>
    <w:p w14:paraId="6919CE06" w14:textId="4863239B" w:rsidR="00043105" w:rsidRPr="00065676" w:rsidRDefault="00043105" w:rsidP="00065676">
      <w:pPr>
        <w:jc w:val="both"/>
      </w:pPr>
      <w:r w:rsidRPr="00065676">
        <w:t>Finally, these items were consolidated into one survey questionnaire</w:t>
      </w:r>
      <w:r w:rsidR="00797DC2">
        <w:t xml:space="preserve">. </w:t>
      </w:r>
      <w:r w:rsidRPr="00065676">
        <w:t xml:space="preserve"> </w:t>
      </w:r>
      <w:r w:rsidR="00797DC2">
        <w:t xml:space="preserve">This was </w:t>
      </w:r>
      <w:r w:rsidRPr="00065676">
        <w:t>validated</w:t>
      </w:r>
      <w:r w:rsidR="00797DC2">
        <w:t xml:space="preserve"> by experts</w:t>
      </w:r>
      <w:r w:rsidRPr="00065676">
        <w:t xml:space="preserve"> to suit the background of the respondents and the objective of the study</w:t>
      </w:r>
      <w:r w:rsidR="00797DC2">
        <w:t>, acquiring a Cronbach alpha of more than 90%, making it a reliable tool.</w:t>
      </w:r>
      <w:r w:rsidRPr="00065676">
        <w:t xml:space="preserve"> All of them observed a 5-point Likert scale with specific indicators on the current conditions of the respondents.</w:t>
      </w:r>
      <w:r w:rsidR="00797DC2">
        <w:t xml:space="preserve"> </w:t>
      </w:r>
    </w:p>
    <w:p w14:paraId="2A3E00DE" w14:textId="77777777" w:rsidR="00B85666" w:rsidRDefault="00B85666" w:rsidP="00CF6651">
      <w:pPr>
        <w:pStyle w:val="Body"/>
        <w:spacing w:after="0"/>
        <w:rPr>
          <w:rFonts w:ascii="Arial" w:hAnsi="Arial" w:cs="Arial"/>
          <w:bCs/>
        </w:rPr>
      </w:pPr>
    </w:p>
    <w:p w14:paraId="3AF92A00" w14:textId="21A92156" w:rsidR="00A91A8B" w:rsidRDefault="00A91A8B" w:rsidP="00CF6651">
      <w:pPr>
        <w:pStyle w:val="Body"/>
        <w:spacing w:after="0"/>
        <w:rPr>
          <w:rFonts w:ascii="Arial" w:hAnsi="Arial" w:cs="Arial"/>
          <w:b/>
        </w:rPr>
      </w:pPr>
      <w:r>
        <w:rPr>
          <w:rFonts w:ascii="Arial" w:hAnsi="Arial" w:cs="Arial"/>
          <w:b/>
        </w:rPr>
        <w:t>2.4 Data Collection</w:t>
      </w:r>
    </w:p>
    <w:p w14:paraId="2C247165" w14:textId="77777777" w:rsidR="00A91A8B" w:rsidRDefault="00A91A8B" w:rsidP="00CF6651">
      <w:pPr>
        <w:pStyle w:val="Body"/>
        <w:spacing w:after="0"/>
        <w:rPr>
          <w:rFonts w:ascii="Arial" w:hAnsi="Arial" w:cs="Arial"/>
          <w:b/>
        </w:rPr>
      </w:pPr>
    </w:p>
    <w:p w14:paraId="28254DCB" w14:textId="3B877408" w:rsidR="00A91A8B" w:rsidRPr="00772B5F" w:rsidRDefault="004D6994" w:rsidP="00772B5F">
      <w:pPr>
        <w:jc w:val="both"/>
      </w:pPr>
      <w:r w:rsidRPr="00772B5F">
        <w:t>Data collection was conducted through a systematic procedure to ensure accuracy and reliability of the information gathered. The researchers first secured permission from the appropriate authorities, distributed the research instrument to the selected respondents, and provided clear instructions before collecting the completed responses for analysis. Throughout the process, ethical standards and research norms were strictly observed by ensuring voluntary participation, maintaining confidentiality, and using the collected data solely for academic purposes.</w:t>
      </w:r>
    </w:p>
    <w:p w14:paraId="78BBF4A2" w14:textId="77777777" w:rsidR="004D6994" w:rsidRDefault="004D6994" w:rsidP="00CF6651">
      <w:pPr>
        <w:pStyle w:val="Body"/>
        <w:spacing w:after="0"/>
        <w:rPr>
          <w:rFonts w:ascii="Arial" w:hAnsi="Arial" w:cs="Arial"/>
          <w:b/>
        </w:rPr>
      </w:pPr>
    </w:p>
    <w:p w14:paraId="04CE23D7" w14:textId="3D802944" w:rsidR="00B85666" w:rsidRDefault="00B85666" w:rsidP="00CF6651">
      <w:pPr>
        <w:pStyle w:val="Body"/>
        <w:spacing w:after="0"/>
        <w:rPr>
          <w:rFonts w:ascii="Arial" w:hAnsi="Arial" w:cs="Arial"/>
          <w:b/>
        </w:rPr>
      </w:pPr>
      <w:r w:rsidRPr="00B85666">
        <w:rPr>
          <w:rFonts w:ascii="Arial" w:hAnsi="Arial" w:cs="Arial"/>
          <w:b/>
        </w:rPr>
        <w:t>2.</w:t>
      </w:r>
      <w:r w:rsidR="00A91A8B">
        <w:rPr>
          <w:rFonts w:ascii="Arial" w:hAnsi="Arial" w:cs="Arial"/>
          <w:b/>
        </w:rPr>
        <w:t>5</w:t>
      </w:r>
      <w:r w:rsidRPr="00B85666">
        <w:rPr>
          <w:rFonts w:ascii="Arial" w:hAnsi="Arial" w:cs="Arial"/>
          <w:b/>
        </w:rPr>
        <w:t xml:space="preserve"> Data Analysis</w:t>
      </w:r>
    </w:p>
    <w:p w14:paraId="1CEFB08B" w14:textId="77777777" w:rsidR="003C5798" w:rsidRDefault="003C5798" w:rsidP="00CF6651">
      <w:pPr>
        <w:pStyle w:val="Body"/>
        <w:spacing w:after="0"/>
        <w:rPr>
          <w:rFonts w:ascii="Arial" w:hAnsi="Arial" w:cs="Arial"/>
          <w:b/>
        </w:rPr>
      </w:pPr>
    </w:p>
    <w:p w14:paraId="74AC3E89" w14:textId="77777777" w:rsidR="003C5798" w:rsidRDefault="003C5798" w:rsidP="00065676">
      <w:pPr>
        <w:jc w:val="both"/>
      </w:pPr>
      <w:r w:rsidRPr="00065676">
        <w:t>Presented below is the matrix containing the statistical tool corresponding to each of the statement of the problem intended for this study. The matrix also contains the purpose for the use of such statistical tools.</w:t>
      </w:r>
    </w:p>
    <w:p w14:paraId="5D52D521" w14:textId="77777777" w:rsidR="00CE19BE" w:rsidRDefault="00CE19BE" w:rsidP="00065676">
      <w:pPr>
        <w:jc w:val="both"/>
      </w:pPr>
    </w:p>
    <w:p w14:paraId="6EBBDF6A" w14:textId="4B86E535" w:rsidR="00CE19BE" w:rsidRPr="00065676" w:rsidRDefault="00CE19BE" w:rsidP="00065676">
      <w:pPr>
        <w:jc w:val="both"/>
      </w:pPr>
      <w:r>
        <w:t>Table 1:</w:t>
      </w:r>
      <w:r w:rsidR="00D35AE5" w:rsidRPr="00D35AE5">
        <w:t xml:space="preserve"> </w:t>
      </w:r>
      <w:r w:rsidR="00D35AE5">
        <w:t>M</w:t>
      </w:r>
      <w:r w:rsidR="00D35AE5" w:rsidRPr="00065676">
        <w:t>atrix containing the statistical tool</w:t>
      </w:r>
    </w:p>
    <w:p w14:paraId="247BEB84" w14:textId="77777777" w:rsidR="003C5798" w:rsidRDefault="003C5798" w:rsidP="00CF6651">
      <w:pPr>
        <w:pStyle w:val="Body"/>
        <w:spacing w:after="0"/>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2681"/>
        <w:gridCol w:w="2763"/>
      </w:tblGrid>
      <w:tr w:rsidR="003C5798" w:rsidRPr="003C5798" w14:paraId="3383B02B" w14:textId="77777777" w:rsidTr="00727F2E">
        <w:tc>
          <w:tcPr>
            <w:tcW w:w="3116" w:type="dxa"/>
          </w:tcPr>
          <w:p w14:paraId="271EF5AC"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Statement of the Problem</w:t>
            </w:r>
          </w:p>
        </w:tc>
        <w:tc>
          <w:tcPr>
            <w:tcW w:w="3117" w:type="dxa"/>
          </w:tcPr>
          <w:p w14:paraId="69C385D3"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Statistical Tool</w:t>
            </w:r>
          </w:p>
        </w:tc>
        <w:tc>
          <w:tcPr>
            <w:tcW w:w="3117" w:type="dxa"/>
          </w:tcPr>
          <w:p w14:paraId="0CF1CE4A" w14:textId="77777777" w:rsidR="003C5798" w:rsidRPr="003C5798" w:rsidRDefault="003C5798" w:rsidP="009B2BA4">
            <w:pPr>
              <w:jc w:val="center"/>
              <w:rPr>
                <w:rFonts w:ascii="Arial" w:hAnsi="Arial" w:cs="Arial"/>
                <w:b/>
                <w:sz w:val="20"/>
                <w:szCs w:val="20"/>
              </w:rPr>
            </w:pPr>
            <w:r w:rsidRPr="003C5798">
              <w:rPr>
                <w:rFonts w:ascii="Arial" w:hAnsi="Arial" w:cs="Arial"/>
                <w:b/>
                <w:sz w:val="20"/>
                <w:szCs w:val="20"/>
              </w:rPr>
              <w:t>Purpose/Use</w:t>
            </w:r>
          </w:p>
        </w:tc>
      </w:tr>
      <w:tr w:rsidR="003C5798" w:rsidRPr="003C5798" w14:paraId="7460C0AA" w14:textId="77777777" w:rsidTr="00727F2E">
        <w:tc>
          <w:tcPr>
            <w:tcW w:w="3116" w:type="dxa"/>
          </w:tcPr>
          <w:p w14:paraId="5E0A3FCE"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Demographic profile of the respondents</w:t>
            </w:r>
          </w:p>
        </w:tc>
        <w:tc>
          <w:tcPr>
            <w:tcW w:w="3117" w:type="dxa"/>
          </w:tcPr>
          <w:p w14:paraId="4A3EA80A"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Frequency and percentage</w:t>
            </w:r>
          </w:p>
        </w:tc>
        <w:tc>
          <w:tcPr>
            <w:tcW w:w="3117" w:type="dxa"/>
          </w:tcPr>
          <w:p w14:paraId="60C1582E"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 xml:space="preserve">Determine the distribution of the respondents in terms of </w:t>
            </w:r>
            <w:r w:rsidRPr="003C5798">
              <w:rPr>
                <w:rFonts w:ascii="Arial" w:hAnsi="Arial" w:cs="Arial"/>
                <w:bCs/>
                <w:sz w:val="20"/>
                <w:szCs w:val="20"/>
              </w:rPr>
              <w:lastRenderedPageBreak/>
              <w:t>gender, grade level, and year level</w:t>
            </w:r>
          </w:p>
        </w:tc>
      </w:tr>
      <w:tr w:rsidR="003C5798" w:rsidRPr="003C5798" w14:paraId="49F40F84" w14:textId="77777777" w:rsidTr="00727F2E">
        <w:tc>
          <w:tcPr>
            <w:tcW w:w="3116" w:type="dxa"/>
          </w:tcPr>
          <w:p w14:paraId="3ECC1F70" w14:textId="77777777" w:rsidR="003C5798" w:rsidRPr="003C5798" w:rsidRDefault="003C5798" w:rsidP="009B2BA4">
            <w:pPr>
              <w:rPr>
                <w:rFonts w:ascii="Arial" w:hAnsi="Arial" w:cs="Arial"/>
                <w:bCs/>
                <w:sz w:val="20"/>
                <w:szCs w:val="20"/>
              </w:rPr>
            </w:pPr>
            <w:r w:rsidRPr="003C5798">
              <w:rPr>
                <w:rFonts w:ascii="Arial" w:hAnsi="Arial" w:cs="Arial"/>
                <w:bCs/>
                <w:sz w:val="20"/>
                <w:szCs w:val="20"/>
              </w:rPr>
              <w:lastRenderedPageBreak/>
              <w:t xml:space="preserve">Extent of Involvement </w:t>
            </w:r>
          </w:p>
        </w:tc>
        <w:tc>
          <w:tcPr>
            <w:tcW w:w="3117" w:type="dxa"/>
          </w:tcPr>
          <w:p w14:paraId="37DED1E5"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7A271F98"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Determine the extent of involvement of the students in the community extension Programs</w:t>
            </w:r>
          </w:p>
        </w:tc>
      </w:tr>
      <w:tr w:rsidR="003C5798" w:rsidRPr="003C5798" w14:paraId="1A47CA2B" w14:textId="77777777" w:rsidTr="00727F2E">
        <w:tc>
          <w:tcPr>
            <w:tcW w:w="3116" w:type="dxa"/>
          </w:tcPr>
          <w:p w14:paraId="33041A30"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Assessment of the Implementation</w:t>
            </w:r>
          </w:p>
        </w:tc>
        <w:tc>
          <w:tcPr>
            <w:tcW w:w="3117" w:type="dxa"/>
          </w:tcPr>
          <w:p w14:paraId="3F6D781B"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65A58763"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Assess the implementation of the community extension programs</w:t>
            </w:r>
          </w:p>
        </w:tc>
      </w:tr>
      <w:tr w:rsidR="003C5798" w:rsidRPr="003C5798" w14:paraId="50992985" w14:textId="77777777" w:rsidTr="00727F2E">
        <w:tc>
          <w:tcPr>
            <w:tcW w:w="3116" w:type="dxa"/>
          </w:tcPr>
          <w:p w14:paraId="4F2387FF"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Perceived Effectiveness</w:t>
            </w:r>
          </w:p>
        </w:tc>
        <w:tc>
          <w:tcPr>
            <w:tcW w:w="3117" w:type="dxa"/>
          </w:tcPr>
          <w:p w14:paraId="21251A34"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Mean</w:t>
            </w:r>
          </w:p>
        </w:tc>
        <w:tc>
          <w:tcPr>
            <w:tcW w:w="3117" w:type="dxa"/>
          </w:tcPr>
          <w:p w14:paraId="276B0B31" w14:textId="77777777" w:rsidR="003C5798" w:rsidRPr="003C5798" w:rsidRDefault="003C5798" w:rsidP="009B2BA4">
            <w:pPr>
              <w:rPr>
                <w:rFonts w:ascii="Arial" w:hAnsi="Arial" w:cs="Arial"/>
                <w:bCs/>
                <w:sz w:val="20"/>
                <w:szCs w:val="20"/>
              </w:rPr>
            </w:pPr>
            <w:r w:rsidRPr="003C5798">
              <w:rPr>
                <w:rFonts w:ascii="Arial" w:hAnsi="Arial" w:cs="Arial"/>
                <w:bCs/>
                <w:sz w:val="20"/>
                <w:szCs w:val="20"/>
              </w:rPr>
              <w:t>Determine the level of the perceived effect of the community extension programs</w:t>
            </w:r>
          </w:p>
        </w:tc>
      </w:tr>
    </w:tbl>
    <w:p w14:paraId="6C7B5473" w14:textId="77777777" w:rsidR="003C5798" w:rsidRPr="00B85666" w:rsidRDefault="003C5798" w:rsidP="00CF6651">
      <w:pPr>
        <w:pStyle w:val="Body"/>
        <w:spacing w:after="0"/>
        <w:rPr>
          <w:rFonts w:ascii="Arial" w:hAnsi="Arial" w:cs="Arial"/>
          <w:b/>
        </w:rPr>
      </w:pPr>
    </w:p>
    <w:p w14:paraId="40F19CA4" w14:textId="429043EA" w:rsidR="00CF6651" w:rsidRDefault="003C5798" w:rsidP="00065676">
      <w:pPr>
        <w:jc w:val="both"/>
      </w:pPr>
      <w:r w:rsidRPr="00065676">
        <w:t>The matrix containing the scale, descriptive level, and corresponding interpretation, assigned to each variable involved in this study, is presented.</w:t>
      </w:r>
    </w:p>
    <w:p w14:paraId="70B197B6" w14:textId="77777777" w:rsidR="00CE19BE" w:rsidRDefault="00CE19BE" w:rsidP="00065676">
      <w:pPr>
        <w:jc w:val="both"/>
      </w:pPr>
    </w:p>
    <w:p w14:paraId="31E1315E" w14:textId="2774BBE4" w:rsidR="00CE19BE" w:rsidRPr="00065676" w:rsidRDefault="00CE19BE" w:rsidP="00065676">
      <w:pPr>
        <w:jc w:val="both"/>
      </w:pPr>
      <w:r>
        <w:t xml:space="preserve">Table 2: </w:t>
      </w:r>
      <w:r w:rsidR="00D35AE5">
        <w:t>M</w:t>
      </w:r>
      <w:r w:rsidR="00D35AE5" w:rsidRPr="00065676">
        <w:t>atrix containing the scale, descriptive level, and corresponding interpretation</w:t>
      </w:r>
    </w:p>
    <w:p w14:paraId="46BA7341" w14:textId="77777777" w:rsidR="00C65175" w:rsidRDefault="00C65175" w:rsidP="003C5798">
      <w:pPr>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35"/>
        <w:gridCol w:w="1080"/>
        <w:gridCol w:w="1620"/>
        <w:gridCol w:w="1800"/>
        <w:gridCol w:w="1620"/>
        <w:gridCol w:w="1620"/>
      </w:tblGrid>
      <w:tr w:rsidR="00C65175" w:rsidRPr="00C65175" w14:paraId="51215A0C" w14:textId="77777777" w:rsidTr="00727F2E">
        <w:tc>
          <w:tcPr>
            <w:tcW w:w="1435" w:type="dxa"/>
          </w:tcPr>
          <w:p w14:paraId="7ED4F81D"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Scale</w:t>
            </w:r>
          </w:p>
        </w:tc>
        <w:tc>
          <w:tcPr>
            <w:tcW w:w="1080" w:type="dxa"/>
          </w:tcPr>
          <w:p w14:paraId="4B3F7695"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Level</w:t>
            </w:r>
          </w:p>
        </w:tc>
        <w:tc>
          <w:tcPr>
            <w:tcW w:w="1620" w:type="dxa"/>
          </w:tcPr>
          <w:p w14:paraId="5CB50A51"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the Extent of Involvement </w:t>
            </w:r>
          </w:p>
        </w:tc>
        <w:tc>
          <w:tcPr>
            <w:tcW w:w="1800" w:type="dxa"/>
          </w:tcPr>
          <w:p w14:paraId="2859BD9D"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w:t>
            </w:r>
            <w:proofErr w:type="gramStart"/>
            <w:r w:rsidRPr="00C65175">
              <w:rPr>
                <w:rFonts w:ascii="Arial" w:hAnsi="Arial" w:cs="Arial"/>
                <w:b/>
                <w:i/>
                <w:iCs/>
                <w:sz w:val="20"/>
                <w:szCs w:val="20"/>
              </w:rPr>
              <w:t>the  Assessment</w:t>
            </w:r>
            <w:proofErr w:type="gramEnd"/>
            <w:r w:rsidRPr="00C65175">
              <w:rPr>
                <w:rFonts w:ascii="Arial" w:hAnsi="Arial" w:cs="Arial"/>
                <w:b/>
                <w:i/>
                <w:iCs/>
                <w:sz w:val="20"/>
                <w:szCs w:val="20"/>
              </w:rPr>
              <w:t xml:space="preserve"> on the Implementation</w:t>
            </w:r>
          </w:p>
        </w:tc>
        <w:tc>
          <w:tcPr>
            <w:tcW w:w="1620" w:type="dxa"/>
          </w:tcPr>
          <w:p w14:paraId="15CBF100"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Interpretation for the Perceived Effectiveness</w:t>
            </w:r>
          </w:p>
        </w:tc>
        <w:tc>
          <w:tcPr>
            <w:tcW w:w="1620" w:type="dxa"/>
          </w:tcPr>
          <w:p w14:paraId="4BE952FC" w14:textId="77777777" w:rsidR="00C65175" w:rsidRPr="00C65175" w:rsidRDefault="00C65175" w:rsidP="009B2BA4">
            <w:pPr>
              <w:jc w:val="center"/>
              <w:rPr>
                <w:rFonts w:ascii="Arial" w:hAnsi="Arial" w:cs="Arial"/>
                <w:b/>
                <w:i/>
                <w:iCs/>
                <w:sz w:val="20"/>
                <w:szCs w:val="20"/>
              </w:rPr>
            </w:pPr>
            <w:r w:rsidRPr="00C65175">
              <w:rPr>
                <w:rFonts w:ascii="Arial" w:hAnsi="Arial" w:cs="Arial"/>
                <w:b/>
                <w:i/>
                <w:iCs/>
                <w:sz w:val="20"/>
                <w:szCs w:val="20"/>
              </w:rPr>
              <w:t xml:space="preserve">Interpretation for the Perceived Effect </w:t>
            </w:r>
          </w:p>
        </w:tc>
      </w:tr>
      <w:tr w:rsidR="00C65175" w:rsidRPr="00C65175" w14:paraId="2C2EF937" w14:textId="77777777" w:rsidTr="00727F2E">
        <w:tc>
          <w:tcPr>
            <w:tcW w:w="1435" w:type="dxa"/>
          </w:tcPr>
          <w:p w14:paraId="078869A9" w14:textId="77777777" w:rsidR="00C65175" w:rsidRPr="00C65175" w:rsidRDefault="00C65175" w:rsidP="009B2BA4">
            <w:pPr>
              <w:rPr>
                <w:rFonts w:ascii="Arial" w:hAnsi="Arial" w:cs="Arial"/>
                <w:bCs/>
                <w:sz w:val="20"/>
                <w:szCs w:val="20"/>
              </w:rPr>
            </w:pPr>
            <w:r w:rsidRPr="00C65175">
              <w:rPr>
                <w:sz w:val="20"/>
                <w:szCs w:val="20"/>
              </w:rPr>
              <w:t>4.20 – 5.00</w:t>
            </w:r>
          </w:p>
        </w:tc>
        <w:tc>
          <w:tcPr>
            <w:tcW w:w="1080" w:type="dxa"/>
          </w:tcPr>
          <w:p w14:paraId="174A3012" w14:textId="77777777" w:rsidR="00C65175" w:rsidRPr="00C65175" w:rsidRDefault="00C65175" w:rsidP="009B2BA4">
            <w:pPr>
              <w:rPr>
                <w:rFonts w:ascii="Arial" w:hAnsi="Arial" w:cs="Arial"/>
                <w:bCs/>
                <w:sz w:val="20"/>
                <w:szCs w:val="20"/>
              </w:rPr>
            </w:pPr>
            <w:r w:rsidRPr="00C65175">
              <w:rPr>
                <w:sz w:val="20"/>
                <w:szCs w:val="20"/>
              </w:rPr>
              <w:t>Very High</w:t>
            </w:r>
          </w:p>
        </w:tc>
        <w:tc>
          <w:tcPr>
            <w:tcW w:w="1620" w:type="dxa"/>
          </w:tcPr>
          <w:p w14:paraId="1422D472" w14:textId="77777777" w:rsidR="00C65175" w:rsidRPr="00C65175" w:rsidRDefault="00C65175" w:rsidP="009B2BA4">
            <w:pPr>
              <w:rPr>
                <w:rFonts w:ascii="Arial" w:hAnsi="Arial" w:cs="Arial"/>
                <w:bCs/>
                <w:sz w:val="20"/>
                <w:szCs w:val="20"/>
              </w:rPr>
            </w:pPr>
            <w:r w:rsidRPr="00C65175">
              <w:rPr>
                <w:sz w:val="20"/>
                <w:szCs w:val="20"/>
              </w:rPr>
              <w:t xml:space="preserve">Very well involved </w:t>
            </w:r>
          </w:p>
        </w:tc>
        <w:tc>
          <w:tcPr>
            <w:tcW w:w="1800" w:type="dxa"/>
          </w:tcPr>
          <w:p w14:paraId="173CCBD8" w14:textId="77777777" w:rsidR="00C65175" w:rsidRPr="00C65175" w:rsidRDefault="00C65175" w:rsidP="009B2BA4">
            <w:pPr>
              <w:rPr>
                <w:rFonts w:ascii="Arial" w:hAnsi="Arial" w:cs="Arial"/>
                <w:bCs/>
                <w:sz w:val="20"/>
                <w:szCs w:val="20"/>
              </w:rPr>
            </w:pPr>
            <w:r w:rsidRPr="00C65175">
              <w:rPr>
                <w:sz w:val="20"/>
                <w:szCs w:val="20"/>
              </w:rPr>
              <w:t>Very well implemented</w:t>
            </w:r>
          </w:p>
        </w:tc>
        <w:tc>
          <w:tcPr>
            <w:tcW w:w="1620" w:type="dxa"/>
          </w:tcPr>
          <w:p w14:paraId="1264DA50" w14:textId="77777777" w:rsidR="00C65175" w:rsidRPr="00C65175" w:rsidRDefault="00C65175" w:rsidP="009B2BA4">
            <w:pPr>
              <w:rPr>
                <w:rFonts w:ascii="Arial" w:hAnsi="Arial" w:cs="Arial"/>
                <w:bCs/>
                <w:sz w:val="20"/>
                <w:szCs w:val="20"/>
              </w:rPr>
            </w:pPr>
            <w:r w:rsidRPr="00C65175">
              <w:rPr>
                <w:sz w:val="20"/>
                <w:szCs w:val="20"/>
              </w:rPr>
              <w:t xml:space="preserve">Extremely effective </w:t>
            </w:r>
          </w:p>
        </w:tc>
        <w:tc>
          <w:tcPr>
            <w:tcW w:w="1620" w:type="dxa"/>
          </w:tcPr>
          <w:p w14:paraId="4217F56C" w14:textId="77777777" w:rsidR="00C65175" w:rsidRPr="00C65175" w:rsidRDefault="00C65175" w:rsidP="009B2BA4">
            <w:pPr>
              <w:rPr>
                <w:rFonts w:ascii="Arial" w:hAnsi="Arial" w:cs="Arial"/>
                <w:bCs/>
                <w:sz w:val="20"/>
                <w:szCs w:val="20"/>
              </w:rPr>
            </w:pPr>
            <w:r w:rsidRPr="00C65175">
              <w:rPr>
                <w:sz w:val="20"/>
                <w:szCs w:val="20"/>
              </w:rPr>
              <w:t xml:space="preserve">Very high effect </w:t>
            </w:r>
          </w:p>
        </w:tc>
      </w:tr>
      <w:tr w:rsidR="00C65175" w:rsidRPr="00C65175" w14:paraId="19A0E245" w14:textId="77777777" w:rsidTr="00727F2E">
        <w:tc>
          <w:tcPr>
            <w:tcW w:w="1435" w:type="dxa"/>
          </w:tcPr>
          <w:p w14:paraId="211B89AD" w14:textId="77777777" w:rsidR="00C65175" w:rsidRPr="00C65175" w:rsidRDefault="00C65175" w:rsidP="009B2BA4">
            <w:pPr>
              <w:rPr>
                <w:rFonts w:ascii="Arial" w:hAnsi="Arial" w:cs="Arial"/>
                <w:bCs/>
                <w:sz w:val="20"/>
                <w:szCs w:val="20"/>
              </w:rPr>
            </w:pPr>
            <w:r w:rsidRPr="00C65175">
              <w:rPr>
                <w:sz w:val="20"/>
                <w:szCs w:val="20"/>
              </w:rPr>
              <w:t>3.40 – 4.19</w:t>
            </w:r>
          </w:p>
        </w:tc>
        <w:tc>
          <w:tcPr>
            <w:tcW w:w="1080" w:type="dxa"/>
          </w:tcPr>
          <w:p w14:paraId="387D6B65" w14:textId="77777777" w:rsidR="00C65175" w:rsidRPr="00C65175" w:rsidRDefault="00C65175" w:rsidP="009B2BA4">
            <w:pPr>
              <w:rPr>
                <w:rFonts w:ascii="Arial" w:hAnsi="Arial" w:cs="Arial"/>
                <w:bCs/>
                <w:sz w:val="20"/>
                <w:szCs w:val="20"/>
              </w:rPr>
            </w:pPr>
            <w:r w:rsidRPr="00C65175">
              <w:rPr>
                <w:sz w:val="20"/>
                <w:szCs w:val="20"/>
              </w:rPr>
              <w:t>High</w:t>
            </w:r>
          </w:p>
        </w:tc>
        <w:tc>
          <w:tcPr>
            <w:tcW w:w="1620" w:type="dxa"/>
          </w:tcPr>
          <w:p w14:paraId="3E8DC859" w14:textId="77777777" w:rsidR="00C65175" w:rsidRPr="00C65175" w:rsidRDefault="00C65175" w:rsidP="009B2BA4">
            <w:pPr>
              <w:rPr>
                <w:rFonts w:ascii="Arial" w:hAnsi="Arial" w:cs="Arial"/>
                <w:bCs/>
                <w:sz w:val="20"/>
                <w:szCs w:val="20"/>
              </w:rPr>
            </w:pPr>
            <w:r w:rsidRPr="00C65175">
              <w:rPr>
                <w:sz w:val="20"/>
                <w:szCs w:val="20"/>
              </w:rPr>
              <w:t>Well involved</w:t>
            </w:r>
          </w:p>
        </w:tc>
        <w:tc>
          <w:tcPr>
            <w:tcW w:w="1800" w:type="dxa"/>
          </w:tcPr>
          <w:p w14:paraId="604BE32F" w14:textId="77777777" w:rsidR="00C65175" w:rsidRPr="00C65175" w:rsidRDefault="00C65175" w:rsidP="009B2BA4">
            <w:pPr>
              <w:rPr>
                <w:rFonts w:ascii="Arial" w:hAnsi="Arial" w:cs="Arial"/>
                <w:bCs/>
                <w:sz w:val="20"/>
                <w:szCs w:val="20"/>
              </w:rPr>
            </w:pPr>
            <w:r w:rsidRPr="00C65175">
              <w:rPr>
                <w:sz w:val="20"/>
                <w:szCs w:val="20"/>
              </w:rPr>
              <w:t>Well implemented</w:t>
            </w:r>
          </w:p>
        </w:tc>
        <w:tc>
          <w:tcPr>
            <w:tcW w:w="1620" w:type="dxa"/>
          </w:tcPr>
          <w:p w14:paraId="5A576EA5" w14:textId="77777777" w:rsidR="00C65175" w:rsidRPr="00C65175" w:rsidRDefault="00C65175" w:rsidP="009B2BA4">
            <w:pPr>
              <w:rPr>
                <w:rFonts w:ascii="Arial" w:hAnsi="Arial" w:cs="Arial"/>
                <w:bCs/>
                <w:sz w:val="20"/>
                <w:szCs w:val="20"/>
              </w:rPr>
            </w:pPr>
            <w:r w:rsidRPr="00C65175">
              <w:rPr>
                <w:sz w:val="20"/>
                <w:szCs w:val="20"/>
              </w:rPr>
              <w:t>Very effective</w:t>
            </w:r>
          </w:p>
        </w:tc>
        <w:tc>
          <w:tcPr>
            <w:tcW w:w="1620" w:type="dxa"/>
          </w:tcPr>
          <w:p w14:paraId="673C9159" w14:textId="77777777" w:rsidR="00C65175" w:rsidRPr="00C65175" w:rsidRDefault="00C65175" w:rsidP="009B2BA4">
            <w:pPr>
              <w:rPr>
                <w:rFonts w:ascii="Arial" w:hAnsi="Arial" w:cs="Arial"/>
                <w:bCs/>
                <w:sz w:val="20"/>
                <w:szCs w:val="20"/>
              </w:rPr>
            </w:pPr>
            <w:r w:rsidRPr="00C65175">
              <w:rPr>
                <w:sz w:val="20"/>
                <w:szCs w:val="20"/>
              </w:rPr>
              <w:t>High effect</w:t>
            </w:r>
          </w:p>
        </w:tc>
      </w:tr>
      <w:tr w:rsidR="00C65175" w:rsidRPr="00C65175" w14:paraId="2A8CD4DD" w14:textId="77777777" w:rsidTr="00727F2E">
        <w:tc>
          <w:tcPr>
            <w:tcW w:w="1435" w:type="dxa"/>
          </w:tcPr>
          <w:p w14:paraId="4C1529DD" w14:textId="77777777" w:rsidR="00C65175" w:rsidRPr="00C65175" w:rsidRDefault="00C65175" w:rsidP="009B2BA4">
            <w:pPr>
              <w:rPr>
                <w:rFonts w:ascii="Arial" w:hAnsi="Arial" w:cs="Arial"/>
                <w:bCs/>
                <w:sz w:val="20"/>
                <w:szCs w:val="20"/>
              </w:rPr>
            </w:pPr>
            <w:r w:rsidRPr="00C65175">
              <w:rPr>
                <w:sz w:val="20"/>
                <w:szCs w:val="20"/>
              </w:rPr>
              <w:t>2.60 – 3.39</w:t>
            </w:r>
          </w:p>
        </w:tc>
        <w:tc>
          <w:tcPr>
            <w:tcW w:w="1080" w:type="dxa"/>
          </w:tcPr>
          <w:p w14:paraId="62F3D0FC" w14:textId="77777777" w:rsidR="00C65175" w:rsidRPr="00C65175" w:rsidRDefault="00C65175" w:rsidP="009B2BA4">
            <w:pPr>
              <w:rPr>
                <w:rFonts w:ascii="Arial" w:hAnsi="Arial" w:cs="Arial"/>
                <w:bCs/>
                <w:sz w:val="20"/>
                <w:szCs w:val="20"/>
              </w:rPr>
            </w:pPr>
            <w:r w:rsidRPr="00C65175">
              <w:rPr>
                <w:sz w:val="20"/>
                <w:szCs w:val="20"/>
              </w:rPr>
              <w:t>Moderate</w:t>
            </w:r>
          </w:p>
        </w:tc>
        <w:tc>
          <w:tcPr>
            <w:tcW w:w="1620" w:type="dxa"/>
          </w:tcPr>
          <w:p w14:paraId="3EA53B3F" w14:textId="77777777" w:rsidR="00C65175" w:rsidRPr="00C65175" w:rsidRDefault="00C65175" w:rsidP="009B2BA4">
            <w:pPr>
              <w:rPr>
                <w:rFonts w:ascii="Arial" w:hAnsi="Arial" w:cs="Arial"/>
                <w:bCs/>
                <w:sz w:val="20"/>
                <w:szCs w:val="20"/>
              </w:rPr>
            </w:pPr>
            <w:r w:rsidRPr="00C65175">
              <w:rPr>
                <w:sz w:val="20"/>
                <w:szCs w:val="20"/>
              </w:rPr>
              <w:t>Involved</w:t>
            </w:r>
          </w:p>
        </w:tc>
        <w:tc>
          <w:tcPr>
            <w:tcW w:w="1800" w:type="dxa"/>
          </w:tcPr>
          <w:p w14:paraId="63DEC8B6" w14:textId="77777777" w:rsidR="00C65175" w:rsidRPr="00C65175" w:rsidRDefault="00C65175" w:rsidP="009B2BA4">
            <w:pPr>
              <w:rPr>
                <w:rFonts w:ascii="Arial" w:hAnsi="Arial" w:cs="Arial"/>
                <w:bCs/>
                <w:sz w:val="20"/>
                <w:szCs w:val="20"/>
              </w:rPr>
            </w:pPr>
            <w:r w:rsidRPr="00C65175">
              <w:rPr>
                <w:sz w:val="20"/>
                <w:szCs w:val="20"/>
              </w:rPr>
              <w:t>Implemented</w:t>
            </w:r>
          </w:p>
        </w:tc>
        <w:tc>
          <w:tcPr>
            <w:tcW w:w="1620" w:type="dxa"/>
          </w:tcPr>
          <w:p w14:paraId="74C6CC60" w14:textId="77777777" w:rsidR="00C65175" w:rsidRPr="00C65175" w:rsidRDefault="00C65175" w:rsidP="009B2BA4">
            <w:pPr>
              <w:rPr>
                <w:rFonts w:ascii="Arial" w:hAnsi="Arial" w:cs="Arial"/>
                <w:bCs/>
                <w:sz w:val="20"/>
                <w:szCs w:val="20"/>
              </w:rPr>
            </w:pPr>
            <w:r w:rsidRPr="00C65175">
              <w:rPr>
                <w:sz w:val="20"/>
                <w:szCs w:val="20"/>
              </w:rPr>
              <w:t>Effective</w:t>
            </w:r>
          </w:p>
        </w:tc>
        <w:tc>
          <w:tcPr>
            <w:tcW w:w="1620" w:type="dxa"/>
          </w:tcPr>
          <w:p w14:paraId="099B6C0D" w14:textId="77777777" w:rsidR="00C65175" w:rsidRPr="00C65175" w:rsidRDefault="00C65175" w:rsidP="009B2BA4">
            <w:pPr>
              <w:rPr>
                <w:rFonts w:ascii="Arial" w:hAnsi="Arial" w:cs="Arial"/>
                <w:bCs/>
                <w:sz w:val="20"/>
                <w:szCs w:val="20"/>
              </w:rPr>
            </w:pPr>
            <w:r w:rsidRPr="00C65175">
              <w:rPr>
                <w:sz w:val="20"/>
                <w:szCs w:val="20"/>
              </w:rPr>
              <w:t>Moderate effect</w:t>
            </w:r>
          </w:p>
        </w:tc>
      </w:tr>
      <w:tr w:rsidR="00C65175" w:rsidRPr="00C65175" w14:paraId="6B8713A5" w14:textId="77777777" w:rsidTr="00727F2E">
        <w:tc>
          <w:tcPr>
            <w:tcW w:w="1435" w:type="dxa"/>
          </w:tcPr>
          <w:p w14:paraId="77CEE737" w14:textId="77777777" w:rsidR="00C65175" w:rsidRPr="00C65175" w:rsidRDefault="00C65175" w:rsidP="009B2BA4">
            <w:pPr>
              <w:rPr>
                <w:rFonts w:ascii="Arial" w:hAnsi="Arial" w:cs="Arial"/>
                <w:bCs/>
                <w:sz w:val="20"/>
                <w:szCs w:val="20"/>
              </w:rPr>
            </w:pPr>
            <w:r w:rsidRPr="00C65175">
              <w:rPr>
                <w:sz w:val="20"/>
                <w:szCs w:val="20"/>
              </w:rPr>
              <w:t>1.80 – 2.59</w:t>
            </w:r>
          </w:p>
        </w:tc>
        <w:tc>
          <w:tcPr>
            <w:tcW w:w="1080" w:type="dxa"/>
          </w:tcPr>
          <w:p w14:paraId="57892D61" w14:textId="77777777" w:rsidR="00C65175" w:rsidRPr="00C65175" w:rsidRDefault="00C65175" w:rsidP="009B2BA4">
            <w:pPr>
              <w:rPr>
                <w:rFonts w:ascii="Arial" w:hAnsi="Arial" w:cs="Arial"/>
                <w:bCs/>
                <w:sz w:val="20"/>
                <w:szCs w:val="20"/>
              </w:rPr>
            </w:pPr>
            <w:r w:rsidRPr="00C65175">
              <w:rPr>
                <w:sz w:val="20"/>
                <w:szCs w:val="20"/>
              </w:rPr>
              <w:t>Low</w:t>
            </w:r>
          </w:p>
        </w:tc>
        <w:tc>
          <w:tcPr>
            <w:tcW w:w="1620" w:type="dxa"/>
          </w:tcPr>
          <w:p w14:paraId="449EBA94" w14:textId="77777777" w:rsidR="00C65175" w:rsidRPr="00C65175" w:rsidRDefault="00C65175" w:rsidP="009B2BA4">
            <w:pPr>
              <w:rPr>
                <w:rFonts w:ascii="Arial" w:hAnsi="Arial" w:cs="Arial"/>
                <w:bCs/>
                <w:sz w:val="20"/>
                <w:szCs w:val="20"/>
              </w:rPr>
            </w:pPr>
            <w:r w:rsidRPr="00C65175">
              <w:rPr>
                <w:sz w:val="20"/>
                <w:szCs w:val="20"/>
              </w:rPr>
              <w:t xml:space="preserve">Less involved </w:t>
            </w:r>
          </w:p>
        </w:tc>
        <w:tc>
          <w:tcPr>
            <w:tcW w:w="1800" w:type="dxa"/>
          </w:tcPr>
          <w:p w14:paraId="18689F87" w14:textId="77777777" w:rsidR="00C65175" w:rsidRPr="00C65175" w:rsidRDefault="00C65175" w:rsidP="009B2BA4">
            <w:pPr>
              <w:rPr>
                <w:rFonts w:ascii="Arial" w:hAnsi="Arial" w:cs="Arial"/>
                <w:bCs/>
                <w:sz w:val="20"/>
                <w:szCs w:val="20"/>
              </w:rPr>
            </w:pPr>
            <w:r w:rsidRPr="00C65175">
              <w:rPr>
                <w:sz w:val="20"/>
                <w:szCs w:val="20"/>
              </w:rPr>
              <w:t>Less implemented</w:t>
            </w:r>
          </w:p>
        </w:tc>
        <w:tc>
          <w:tcPr>
            <w:tcW w:w="1620" w:type="dxa"/>
          </w:tcPr>
          <w:p w14:paraId="00BCB6C5" w14:textId="77777777" w:rsidR="00C65175" w:rsidRPr="00C65175" w:rsidRDefault="00C65175" w:rsidP="009B2BA4">
            <w:pPr>
              <w:rPr>
                <w:rFonts w:ascii="Arial" w:hAnsi="Arial" w:cs="Arial"/>
                <w:bCs/>
                <w:sz w:val="20"/>
                <w:szCs w:val="20"/>
              </w:rPr>
            </w:pPr>
            <w:r w:rsidRPr="00C65175">
              <w:rPr>
                <w:sz w:val="20"/>
                <w:szCs w:val="20"/>
              </w:rPr>
              <w:t>Slightly effective</w:t>
            </w:r>
          </w:p>
        </w:tc>
        <w:tc>
          <w:tcPr>
            <w:tcW w:w="1620" w:type="dxa"/>
          </w:tcPr>
          <w:p w14:paraId="62BC43EF" w14:textId="77777777" w:rsidR="00C65175" w:rsidRPr="00C65175" w:rsidRDefault="00C65175" w:rsidP="009B2BA4">
            <w:pPr>
              <w:rPr>
                <w:rFonts w:ascii="Arial" w:hAnsi="Arial" w:cs="Arial"/>
                <w:bCs/>
                <w:sz w:val="20"/>
                <w:szCs w:val="20"/>
              </w:rPr>
            </w:pPr>
            <w:r w:rsidRPr="00C65175">
              <w:rPr>
                <w:sz w:val="20"/>
                <w:szCs w:val="20"/>
              </w:rPr>
              <w:t>Low effect</w:t>
            </w:r>
          </w:p>
        </w:tc>
      </w:tr>
      <w:tr w:rsidR="00C65175" w:rsidRPr="00C65175" w14:paraId="1B05FE70" w14:textId="77777777" w:rsidTr="00727F2E">
        <w:tc>
          <w:tcPr>
            <w:tcW w:w="1435" w:type="dxa"/>
          </w:tcPr>
          <w:p w14:paraId="380994DB" w14:textId="77777777" w:rsidR="00C65175" w:rsidRPr="00C65175" w:rsidRDefault="00C65175" w:rsidP="009B2BA4">
            <w:pPr>
              <w:rPr>
                <w:rFonts w:ascii="Arial" w:hAnsi="Arial" w:cs="Arial"/>
                <w:sz w:val="20"/>
                <w:szCs w:val="20"/>
              </w:rPr>
            </w:pPr>
            <w:r w:rsidRPr="00C65175">
              <w:rPr>
                <w:sz w:val="20"/>
                <w:szCs w:val="20"/>
              </w:rPr>
              <w:t>1.00 – 1.79</w:t>
            </w:r>
          </w:p>
        </w:tc>
        <w:tc>
          <w:tcPr>
            <w:tcW w:w="1080" w:type="dxa"/>
          </w:tcPr>
          <w:p w14:paraId="62A06F65" w14:textId="77777777" w:rsidR="00C65175" w:rsidRPr="00C65175" w:rsidRDefault="00C65175" w:rsidP="009B2BA4">
            <w:pPr>
              <w:rPr>
                <w:rFonts w:ascii="Arial" w:hAnsi="Arial" w:cs="Arial"/>
                <w:sz w:val="20"/>
                <w:szCs w:val="20"/>
              </w:rPr>
            </w:pPr>
            <w:r w:rsidRPr="00C65175">
              <w:rPr>
                <w:sz w:val="20"/>
                <w:szCs w:val="20"/>
              </w:rPr>
              <w:t>Very Low</w:t>
            </w:r>
          </w:p>
        </w:tc>
        <w:tc>
          <w:tcPr>
            <w:tcW w:w="1620" w:type="dxa"/>
          </w:tcPr>
          <w:p w14:paraId="3FDE6DBA" w14:textId="77777777" w:rsidR="00C65175" w:rsidRPr="00C65175" w:rsidRDefault="00C65175" w:rsidP="009B2BA4">
            <w:pPr>
              <w:rPr>
                <w:rFonts w:ascii="Arial" w:hAnsi="Arial" w:cs="Arial"/>
                <w:sz w:val="20"/>
                <w:szCs w:val="20"/>
              </w:rPr>
            </w:pPr>
            <w:r w:rsidRPr="00C65175">
              <w:rPr>
                <w:rFonts w:ascii="Arial" w:hAnsi="Arial" w:cs="Arial"/>
                <w:sz w:val="20"/>
                <w:szCs w:val="20"/>
              </w:rPr>
              <w:t>Not involved</w:t>
            </w:r>
          </w:p>
        </w:tc>
        <w:tc>
          <w:tcPr>
            <w:tcW w:w="1800" w:type="dxa"/>
          </w:tcPr>
          <w:p w14:paraId="532451F5" w14:textId="77777777" w:rsidR="00C65175" w:rsidRPr="00C65175" w:rsidRDefault="00C65175" w:rsidP="009B2BA4">
            <w:pPr>
              <w:rPr>
                <w:rFonts w:ascii="Arial" w:hAnsi="Arial" w:cs="Arial"/>
                <w:sz w:val="20"/>
                <w:szCs w:val="20"/>
              </w:rPr>
            </w:pPr>
            <w:r w:rsidRPr="00C65175">
              <w:rPr>
                <w:rFonts w:ascii="Arial" w:hAnsi="Arial" w:cs="Arial"/>
                <w:sz w:val="20"/>
                <w:szCs w:val="20"/>
              </w:rPr>
              <w:t>Not implemented</w:t>
            </w:r>
          </w:p>
        </w:tc>
        <w:tc>
          <w:tcPr>
            <w:tcW w:w="1620" w:type="dxa"/>
          </w:tcPr>
          <w:p w14:paraId="33691898" w14:textId="77777777" w:rsidR="00C65175" w:rsidRPr="00C65175" w:rsidRDefault="00C65175" w:rsidP="009B2BA4">
            <w:pPr>
              <w:rPr>
                <w:rFonts w:ascii="Arial" w:hAnsi="Arial" w:cs="Arial"/>
                <w:sz w:val="20"/>
                <w:szCs w:val="20"/>
              </w:rPr>
            </w:pPr>
            <w:r w:rsidRPr="00C65175">
              <w:rPr>
                <w:sz w:val="20"/>
                <w:szCs w:val="20"/>
              </w:rPr>
              <w:t>Not effective</w:t>
            </w:r>
          </w:p>
        </w:tc>
        <w:tc>
          <w:tcPr>
            <w:tcW w:w="1620" w:type="dxa"/>
          </w:tcPr>
          <w:p w14:paraId="61E14AF8" w14:textId="77777777" w:rsidR="00C65175" w:rsidRPr="00C65175" w:rsidRDefault="00C65175" w:rsidP="009B2BA4">
            <w:pPr>
              <w:rPr>
                <w:rFonts w:ascii="Arial" w:hAnsi="Arial" w:cs="Arial"/>
                <w:sz w:val="20"/>
                <w:szCs w:val="20"/>
              </w:rPr>
            </w:pPr>
            <w:r w:rsidRPr="00C65175">
              <w:rPr>
                <w:sz w:val="20"/>
                <w:szCs w:val="20"/>
              </w:rPr>
              <w:t>Very low effect</w:t>
            </w:r>
          </w:p>
        </w:tc>
      </w:tr>
    </w:tbl>
    <w:p w14:paraId="2F5EAE1E" w14:textId="77777777" w:rsidR="003C5798" w:rsidRPr="00FB3A86" w:rsidRDefault="003C5798" w:rsidP="00441B6F">
      <w:pPr>
        <w:pStyle w:val="Body"/>
        <w:spacing w:after="0"/>
        <w:rPr>
          <w:rFonts w:ascii="Arial" w:hAnsi="Arial" w:cs="Arial"/>
        </w:rPr>
      </w:pPr>
    </w:p>
    <w:p w14:paraId="448D72D5" w14:textId="715A8351"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AA7AF77" w14:textId="77777777" w:rsidR="002F7564" w:rsidRDefault="002F7564" w:rsidP="00441B6F">
      <w:pPr>
        <w:pStyle w:val="Body"/>
        <w:spacing w:after="0"/>
        <w:rPr>
          <w:rFonts w:ascii="Arial" w:hAnsi="Arial" w:cs="Arial"/>
        </w:rPr>
      </w:pPr>
    </w:p>
    <w:p w14:paraId="07B37486" w14:textId="77777777" w:rsidR="002F7564" w:rsidRPr="002F7564" w:rsidRDefault="002F7564" w:rsidP="00441B6F">
      <w:pPr>
        <w:pStyle w:val="Body"/>
        <w:spacing w:after="0"/>
        <w:rPr>
          <w:rFonts w:ascii="Arial" w:hAnsi="Arial" w:cs="Arial"/>
          <w:b/>
          <w:bCs/>
        </w:rPr>
      </w:pPr>
      <w:r w:rsidRPr="002F7564">
        <w:rPr>
          <w:rFonts w:ascii="Arial" w:hAnsi="Arial" w:cs="Arial"/>
          <w:b/>
          <w:bCs/>
        </w:rPr>
        <w:t>3.1 Demographic Profile</w:t>
      </w:r>
    </w:p>
    <w:p w14:paraId="61CE5117" w14:textId="77777777" w:rsidR="002F7564" w:rsidRDefault="002F7564" w:rsidP="00441B6F">
      <w:pPr>
        <w:pStyle w:val="Body"/>
        <w:spacing w:after="0"/>
        <w:rPr>
          <w:rFonts w:ascii="Arial" w:hAnsi="Arial" w:cs="Arial"/>
        </w:rPr>
      </w:pPr>
    </w:p>
    <w:p w14:paraId="7F106195" w14:textId="2EA43395" w:rsidR="002F7564" w:rsidRPr="00065676" w:rsidRDefault="002F7564" w:rsidP="00065676">
      <w:pPr>
        <w:jc w:val="both"/>
      </w:pPr>
      <w:r w:rsidRPr="00065676">
        <w:t xml:space="preserve">The data present the demographic profile of the respondents in terms of gender, grade level, program, and year level. Female students comprised the majority of respondents in both basic education (59.7%) and college (72.9%) departments. Among basic education students, Grade 12 recorded the highest participation in community extension program (CEP) activities (43.7%), while lower grade levels showed smaller participation. In the college department, BSBA students had the highest participation (35%), followed by </w:t>
      </w:r>
      <w:proofErr w:type="spellStart"/>
      <w:r w:rsidRPr="00065676">
        <w:t>BSEd</w:t>
      </w:r>
      <w:proofErr w:type="spellEnd"/>
      <w:r w:rsidRPr="00065676">
        <w:t xml:space="preserve"> and AB programs, while </w:t>
      </w:r>
      <w:proofErr w:type="spellStart"/>
      <w:r w:rsidRPr="00065676">
        <w:t>BPEd</w:t>
      </w:r>
      <w:proofErr w:type="spellEnd"/>
      <w:r w:rsidRPr="00065676">
        <w:t xml:space="preserve"> had the lowest representation. In terms of year level, third-year (37.8%) and fourth-year (36.4%) students demonstrated the highest participation, indicating that students in higher grade and year levels tend to be more involved in CEP activities.</w:t>
      </w:r>
    </w:p>
    <w:p w14:paraId="1F8089B8" w14:textId="77777777" w:rsidR="002F7564" w:rsidRPr="00065676" w:rsidRDefault="002F7564" w:rsidP="00065676">
      <w:pPr>
        <w:jc w:val="both"/>
      </w:pPr>
    </w:p>
    <w:p w14:paraId="33C32BF2" w14:textId="5074B44D" w:rsidR="00383044" w:rsidRDefault="00383044" w:rsidP="00383044">
      <w:pPr>
        <w:pStyle w:val="Body"/>
        <w:spacing w:after="0"/>
        <w:rPr>
          <w:lang w:val="en-PH"/>
        </w:rPr>
      </w:pPr>
      <w:r w:rsidRPr="00383044">
        <w:rPr>
          <w:lang w:val="en-PH"/>
        </w:rPr>
        <w:t>This finding affirms research on service-learning programs, which found that a larger proportion of participants were female students, indicating that women tend to participate more actively in community-based and civic engagement activities in schools (</w:t>
      </w:r>
      <w:proofErr w:type="spellStart"/>
      <w:r w:rsidRPr="00383044">
        <w:rPr>
          <w:lang w:val="en-PH"/>
        </w:rPr>
        <w:t>Mabborang</w:t>
      </w:r>
      <w:proofErr w:type="spellEnd"/>
      <w:r w:rsidRPr="00383044">
        <w:rPr>
          <w:lang w:val="en-PH"/>
        </w:rPr>
        <w:t xml:space="preserve"> et al., 2024). Likewise, this result</w:t>
      </w:r>
      <w:r w:rsidR="006A64DB">
        <w:rPr>
          <w:lang w:val="en-PH"/>
        </w:rPr>
        <w:t xml:space="preserve"> aligns</w:t>
      </w:r>
      <w:r w:rsidRPr="00383044">
        <w:rPr>
          <w:lang w:val="en-PH"/>
        </w:rPr>
        <w:t xml:space="preserve"> with studies on student community service participation also show that students in higher grade levels are more likely to participate in community service activities compared to those in lower grades, suggesting that maturity and academic </w:t>
      </w:r>
      <w:r w:rsidRPr="00383044">
        <w:rPr>
          <w:lang w:val="en-PH"/>
        </w:rPr>
        <w:lastRenderedPageBreak/>
        <w:t>requirements increase engagement in such programs (National Center for Education Statistics, 2021).</w:t>
      </w:r>
    </w:p>
    <w:p w14:paraId="1F782ACF" w14:textId="77777777" w:rsidR="00383044" w:rsidRDefault="00383044" w:rsidP="00383044">
      <w:pPr>
        <w:pStyle w:val="Body"/>
        <w:spacing w:after="0"/>
        <w:rPr>
          <w:lang w:val="en-PH"/>
        </w:rPr>
      </w:pPr>
    </w:p>
    <w:p w14:paraId="392F5678" w14:textId="4951DD5A" w:rsidR="00383044" w:rsidRPr="00383044" w:rsidRDefault="00383044" w:rsidP="00383044">
      <w:pPr>
        <w:pStyle w:val="Body"/>
        <w:spacing w:after="0"/>
        <w:rPr>
          <w:lang w:val="en-PH"/>
        </w:rPr>
      </w:pPr>
      <w:r w:rsidRPr="006A64DB">
        <w:rPr>
          <w:lang w:val="en-PH"/>
        </w:rPr>
        <w:t xml:space="preserve">On the other hand, </w:t>
      </w:r>
      <w:r w:rsidR="006A64DB" w:rsidRPr="006A64DB">
        <w:rPr>
          <w:lang w:val="en-PH"/>
        </w:rPr>
        <w:t xml:space="preserve">this contradicts </w:t>
      </w:r>
      <w:r w:rsidR="006A64DB" w:rsidRPr="006A64DB">
        <w:t xml:space="preserve">an assertion </w:t>
      </w:r>
      <w:r w:rsidR="006A64DB">
        <w:t>in</w:t>
      </w:r>
      <w:r w:rsidR="006A64DB" w:rsidRPr="006A64DB">
        <w:t xml:space="preserve"> a study </w:t>
      </w:r>
      <w:r w:rsidR="006A64DB">
        <w:t>that</w:t>
      </w:r>
      <w:r w:rsidRPr="006A64DB">
        <w:t xml:space="preserve"> found no significant difference between gender and co-curricular involvement, implying that participation in institutional activities can be equally distributed among students regardless of gender (Pat et al., 2025).</w:t>
      </w:r>
    </w:p>
    <w:p w14:paraId="69C5F1B0" w14:textId="127C48D6" w:rsidR="00383044" w:rsidRDefault="00383044" w:rsidP="004E22E0">
      <w:pPr>
        <w:pStyle w:val="Body"/>
        <w:spacing w:after="0"/>
        <w:rPr>
          <w:rFonts w:ascii="Arial" w:hAnsi="Arial" w:cs="Arial"/>
          <w:b/>
          <w:bCs/>
          <w:lang w:val="en-PH"/>
        </w:rPr>
      </w:pPr>
    </w:p>
    <w:p w14:paraId="0F812472" w14:textId="2FD1D1EB" w:rsidR="004E22E0" w:rsidRPr="00C65F89" w:rsidRDefault="00347B96" w:rsidP="004E22E0">
      <w:pPr>
        <w:pStyle w:val="Body"/>
        <w:spacing w:after="0"/>
        <w:rPr>
          <w:rFonts w:ascii="Arial" w:hAnsi="Arial" w:cs="Arial"/>
          <w:b/>
          <w:bCs/>
          <w:lang w:val="en-PH"/>
        </w:rPr>
      </w:pPr>
      <w:r w:rsidRPr="00C65F89">
        <w:rPr>
          <w:rFonts w:ascii="Arial" w:hAnsi="Arial" w:cs="Arial"/>
          <w:b/>
          <w:bCs/>
          <w:lang w:val="en-PH"/>
        </w:rPr>
        <w:t>3.2 Extent of Participation</w:t>
      </w:r>
    </w:p>
    <w:p w14:paraId="66BE983D" w14:textId="77777777" w:rsidR="00347B96" w:rsidRDefault="00347B96" w:rsidP="004E22E0">
      <w:pPr>
        <w:pStyle w:val="Body"/>
        <w:spacing w:after="0"/>
        <w:rPr>
          <w:rFonts w:ascii="Arial" w:hAnsi="Arial" w:cs="Arial"/>
          <w:lang w:val="en-PH"/>
        </w:rPr>
      </w:pPr>
    </w:p>
    <w:p w14:paraId="3A3DEEA0" w14:textId="076C88B5" w:rsidR="00347B96" w:rsidRPr="001D6E4E" w:rsidRDefault="00347B96" w:rsidP="001D6E4E">
      <w:pPr>
        <w:jc w:val="both"/>
      </w:pPr>
      <w:r w:rsidRPr="001D6E4E">
        <w:t xml:space="preserve">The data presents the extent of student involvement in the community extension programs (CEP). Overall, both basic education and college students are generally involved in the activities, with an overall mean of 2.93 for </w:t>
      </w:r>
      <w:proofErr w:type="spellStart"/>
      <w:r w:rsidRPr="001D6E4E">
        <w:t>BEd</w:t>
      </w:r>
      <w:proofErr w:type="spellEnd"/>
      <w:r w:rsidRPr="001D6E4E">
        <w:t xml:space="preserve">, 3.03 for college, and a combined mean of 2.98, indicating satisfactory participation. Basic education students were well involved in activities such as relief operations (3.55) and tree planting (3.95) but less involved in bloodletting (1.96). College students showed higher engagement in capacity building (3.53), clean-up drives (3.66), and tree planting (3.92), but lower participation in bloodletting (2.29), gift giving (2.47), and visits to the home for the elderly (2.11). These results suggest that while participation varies by activity, the school’s community engagement and services office effectively </w:t>
      </w:r>
      <w:proofErr w:type="gramStart"/>
      <w:r w:rsidRPr="001D6E4E">
        <w:t>encourages</w:t>
      </w:r>
      <w:proofErr w:type="gramEnd"/>
      <w:r w:rsidRPr="001D6E4E">
        <w:t xml:space="preserve"> student involvement across most CEP programs.</w:t>
      </w:r>
    </w:p>
    <w:p w14:paraId="3E5F3421" w14:textId="77777777" w:rsidR="00347B96" w:rsidRPr="001D6E4E" w:rsidRDefault="00347B96" w:rsidP="001D6E4E">
      <w:pPr>
        <w:jc w:val="both"/>
      </w:pPr>
    </w:p>
    <w:p w14:paraId="5361D10C" w14:textId="2CE6FA77" w:rsidR="00347B96" w:rsidRPr="001D6E4E" w:rsidRDefault="00347B96" w:rsidP="001D6E4E">
      <w:pPr>
        <w:jc w:val="both"/>
      </w:pPr>
      <w:r w:rsidRPr="001D6E4E">
        <w:t>This current result affirms the study that demonstrates service</w:t>
      </w:r>
      <w:r w:rsidRPr="001D6E4E">
        <w:noBreakHyphen/>
        <w:t>learning and community engagement are associated with students’ awareness of social issues and development of practical skills, indicating that students actively engage in community</w:t>
      </w:r>
      <w:r w:rsidRPr="001D6E4E">
        <w:noBreakHyphen/>
        <w:t>based activities as part of their learning process (Cattaneo et al., 2021)</w:t>
      </w:r>
      <w:r w:rsidR="00693DB3" w:rsidRPr="001D6E4E">
        <w:t>. In contrast, this negates the assertion that students’ active engagement in community</w:t>
      </w:r>
      <w:r w:rsidR="00693DB3" w:rsidRPr="001D6E4E">
        <w:noBreakHyphen/>
        <w:t>related activities may vary widely, with some showing low levels of participation and reluctance to engage visibly in community forums or group activities (</w:t>
      </w:r>
      <w:proofErr w:type="spellStart"/>
      <w:r w:rsidR="00693DB3" w:rsidRPr="001D6E4E">
        <w:t>Sibia</w:t>
      </w:r>
      <w:proofErr w:type="spellEnd"/>
      <w:r w:rsidR="00693DB3" w:rsidRPr="001D6E4E">
        <w:t xml:space="preserve"> et al., 2023).</w:t>
      </w:r>
    </w:p>
    <w:p w14:paraId="10FF6880" w14:textId="77777777" w:rsidR="004E22E0" w:rsidRPr="001D6E4E" w:rsidRDefault="004E22E0" w:rsidP="001D6E4E">
      <w:pPr>
        <w:jc w:val="both"/>
      </w:pPr>
    </w:p>
    <w:p w14:paraId="1DF2E96D" w14:textId="1557F9D0" w:rsidR="002F7564" w:rsidRPr="001D6E4E" w:rsidRDefault="009056CB" w:rsidP="001D6E4E">
      <w:pPr>
        <w:jc w:val="both"/>
        <w:rPr>
          <w:b/>
          <w:bCs/>
        </w:rPr>
      </w:pPr>
      <w:r w:rsidRPr="001D6E4E">
        <w:rPr>
          <w:b/>
          <w:bCs/>
        </w:rPr>
        <w:t>3.3</w:t>
      </w:r>
      <w:r w:rsidR="00C65F89" w:rsidRPr="001D6E4E">
        <w:rPr>
          <w:b/>
          <w:bCs/>
        </w:rPr>
        <w:t xml:space="preserve"> Assessment on the Implementation</w:t>
      </w:r>
    </w:p>
    <w:p w14:paraId="36030360" w14:textId="77777777" w:rsidR="00C65F89" w:rsidRPr="001D6E4E" w:rsidRDefault="00C65F89" w:rsidP="001D6E4E">
      <w:pPr>
        <w:jc w:val="both"/>
      </w:pPr>
    </w:p>
    <w:p w14:paraId="3D264B65" w14:textId="0B1559FB" w:rsidR="00C65F89" w:rsidRPr="001D6E4E" w:rsidRDefault="00C65F89" w:rsidP="001D6E4E">
      <w:pPr>
        <w:jc w:val="both"/>
      </w:pPr>
      <w:r w:rsidRPr="00C65F89">
        <w:rPr>
          <w:lang w:val="en-PH"/>
        </w:rPr>
        <w:t>The table shows students’ assessment of the CEP activities. Basic education students gave an overall mean of 4.09 (High), with individual indicators also rated High: methodology (4.07), location (4.18), logistics (4.09), and schedule (4.03). This indicates that the office is performing well in implementing its programs.</w:t>
      </w:r>
      <w:r w:rsidRPr="001D6E4E">
        <w:t xml:space="preserve"> </w:t>
      </w:r>
      <w:r w:rsidRPr="00C65F89">
        <w:rPr>
          <w:lang w:val="en-PH"/>
        </w:rPr>
        <w:t>College students rated the implementation even higher, with an overall mean of 4.32 (Very High) and all indicators rated Very High: methodology (4.27), location (4.35), logistics (4.33), and schedule (4.31). The combined overall mean of 4.21 reflects strong student agreement that the CEP activities are effectively implemented and well-managed.</w:t>
      </w:r>
    </w:p>
    <w:p w14:paraId="6A4D15B9" w14:textId="77777777" w:rsidR="00C65F89" w:rsidRPr="001D6E4E" w:rsidRDefault="00C65F89" w:rsidP="001D6E4E">
      <w:pPr>
        <w:jc w:val="both"/>
      </w:pPr>
    </w:p>
    <w:p w14:paraId="4EDD0F22" w14:textId="036F2ED8" w:rsidR="00717B48" w:rsidRPr="00717B48" w:rsidRDefault="00C65F89" w:rsidP="001D6E4E">
      <w:pPr>
        <w:jc w:val="both"/>
      </w:pPr>
      <w:r w:rsidRPr="00717B48">
        <w:t>This current result affirms Asio et al. (2021)</w:t>
      </w:r>
      <w:r w:rsidR="00717B48" w:rsidRPr="00717B48">
        <w:t>,</w:t>
      </w:r>
      <w:r w:rsidRPr="00717B48">
        <w:t xml:space="preserve"> who </w:t>
      </w:r>
      <w:r w:rsidRPr="00717B48">
        <w:rPr>
          <w:lang w:val="en-PH"/>
        </w:rPr>
        <w:t>found that most students “highly consider” reasons for participating in community service activities, indicating a high level of positive engagement and perception of extension programs, which aligns with your results showing high and very high student assessment scores.</w:t>
      </w:r>
      <w:r w:rsidR="00717B48" w:rsidRPr="00717B48">
        <w:rPr>
          <w:lang w:val="en-PH"/>
        </w:rPr>
        <w:t xml:space="preserve"> Likewise, this also agrees with the assertion of </w:t>
      </w:r>
      <w:r w:rsidR="00717B48" w:rsidRPr="00717B48">
        <w:t>Lee and Perdana (2023), which revealed that structured community-based learning activities significantly improved students’ perception of community engagement and learning effectiveness, highlighting the importance of well-managed program implementation.</w:t>
      </w:r>
    </w:p>
    <w:p w14:paraId="6B84D655" w14:textId="77777777" w:rsidR="00717B48" w:rsidRDefault="00717B48" w:rsidP="001D6E4E">
      <w:pPr>
        <w:jc w:val="both"/>
      </w:pPr>
    </w:p>
    <w:p w14:paraId="43DC47F5" w14:textId="48D56E61" w:rsidR="00C65F89" w:rsidRPr="001D6E4E" w:rsidRDefault="00C65F89" w:rsidP="001D6E4E">
      <w:pPr>
        <w:jc w:val="both"/>
      </w:pPr>
      <w:r w:rsidRPr="001D6E4E">
        <w:t xml:space="preserve">On the other hand, it contradicts the study of </w:t>
      </w:r>
      <w:proofErr w:type="spellStart"/>
      <w:r w:rsidRPr="001D6E4E">
        <w:t>Shaka</w:t>
      </w:r>
      <w:proofErr w:type="spellEnd"/>
      <w:r w:rsidRPr="001D6E4E">
        <w:t xml:space="preserve"> and </w:t>
      </w:r>
      <w:proofErr w:type="spellStart"/>
      <w:r w:rsidRPr="001D6E4E">
        <w:t>Senbeto</w:t>
      </w:r>
      <w:proofErr w:type="spellEnd"/>
      <w:r w:rsidRPr="001D6E4E">
        <w:t xml:space="preserve"> (2018), which found that although many students report satisfactory involvement in community</w:t>
      </w:r>
      <w:r w:rsidRPr="001D6E4E">
        <w:noBreakHyphen/>
        <w:t>based education, only a minority perceived high competence gains from the experience</w:t>
      </w:r>
      <w:r w:rsidR="00D40413" w:rsidRPr="001D6E4E">
        <w:t>.</w:t>
      </w:r>
    </w:p>
    <w:p w14:paraId="6929BEFE" w14:textId="77777777" w:rsidR="00D40413" w:rsidRPr="001D6E4E" w:rsidRDefault="00D40413" w:rsidP="001D6E4E">
      <w:pPr>
        <w:jc w:val="both"/>
      </w:pPr>
    </w:p>
    <w:p w14:paraId="266D1F79" w14:textId="1BF43734" w:rsidR="00D40413" w:rsidRPr="001D6E4E" w:rsidRDefault="00D40413" w:rsidP="001D6E4E">
      <w:pPr>
        <w:jc w:val="both"/>
        <w:rPr>
          <w:b/>
          <w:bCs/>
        </w:rPr>
      </w:pPr>
      <w:r w:rsidRPr="001D6E4E">
        <w:rPr>
          <w:b/>
          <w:bCs/>
        </w:rPr>
        <w:t>3.4 Perceived Effectiveness</w:t>
      </w:r>
    </w:p>
    <w:p w14:paraId="720D3A17" w14:textId="77777777" w:rsidR="00D40413" w:rsidRPr="001D6E4E" w:rsidRDefault="00D40413" w:rsidP="001D6E4E">
      <w:pPr>
        <w:jc w:val="both"/>
      </w:pPr>
    </w:p>
    <w:p w14:paraId="715E1121" w14:textId="6FA8B7D6" w:rsidR="00D40413" w:rsidRPr="00D40413" w:rsidRDefault="00D40413" w:rsidP="001D6E4E">
      <w:pPr>
        <w:jc w:val="both"/>
        <w:rPr>
          <w:lang w:val="en-PH"/>
        </w:rPr>
      </w:pPr>
      <w:r w:rsidRPr="00D40413">
        <w:rPr>
          <w:lang w:val="en-PH"/>
        </w:rPr>
        <w:lastRenderedPageBreak/>
        <w:t xml:space="preserve">The </w:t>
      </w:r>
      <w:r w:rsidRPr="001D6E4E">
        <w:t xml:space="preserve">result </w:t>
      </w:r>
      <w:r w:rsidRPr="00D40413">
        <w:rPr>
          <w:lang w:val="en-PH"/>
        </w:rPr>
        <w:t>presents students’ perception of the effectiveness of CEP activities. Both basic education and college students generally rated the programs as effective, with an overall mean of 4.13 for each group.</w:t>
      </w:r>
      <w:r w:rsidRPr="001D6E4E">
        <w:t xml:space="preserve"> </w:t>
      </w:r>
      <w:r w:rsidRPr="00D40413">
        <w:rPr>
          <w:lang w:val="en-PH"/>
        </w:rPr>
        <w:t>For basic education students, relief operation (4.91), clean-up drive (4.37), and tree planting (4.75) were rated very effective, while other activities—including feeding program, capacity building, literacy, catechism, orphanage, community pantry, garage sale, bloodletting, gift giving, and visits to the elderly—were rated effective.</w:t>
      </w:r>
    </w:p>
    <w:p w14:paraId="296B6310" w14:textId="77777777" w:rsidR="00D40413" w:rsidRPr="001D6E4E" w:rsidRDefault="00D40413" w:rsidP="001D6E4E">
      <w:pPr>
        <w:jc w:val="both"/>
      </w:pPr>
    </w:p>
    <w:p w14:paraId="3CF3834F" w14:textId="63C220A6" w:rsidR="00D40413" w:rsidRPr="001D6E4E" w:rsidRDefault="00D40413" w:rsidP="001D6E4E">
      <w:pPr>
        <w:jc w:val="both"/>
      </w:pPr>
      <w:r w:rsidRPr="00D40413">
        <w:rPr>
          <w:lang w:val="en-PH"/>
        </w:rPr>
        <w:t>College students also perceived most activities as effective, with feeding program (4.36), capacity building (4.47), relief operation (4.54), clean-up drive (4.68), and tree planting (4.94) rated very effective. The visit to the home for the elderly received the lowest score (3.38), rated moderately effective.</w:t>
      </w:r>
      <w:r w:rsidRPr="001D6E4E">
        <w:t xml:space="preserve"> </w:t>
      </w:r>
      <w:r w:rsidRPr="00D40413">
        <w:rPr>
          <w:lang w:val="en-PH"/>
        </w:rPr>
        <w:t>The combined overall mean of 4.13 highlights that students generally perceive CEP activities as effectively addressing community needs.</w:t>
      </w:r>
    </w:p>
    <w:p w14:paraId="29D3DACD" w14:textId="77777777" w:rsidR="00537D20" w:rsidRPr="001D6E4E" w:rsidRDefault="00537D20" w:rsidP="001D6E4E">
      <w:pPr>
        <w:jc w:val="both"/>
      </w:pPr>
    </w:p>
    <w:p w14:paraId="77A3E8AC" w14:textId="52829220" w:rsidR="00537D20" w:rsidRPr="001D6E4E" w:rsidRDefault="00537D20" w:rsidP="001D6E4E">
      <w:pPr>
        <w:jc w:val="both"/>
      </w:pPr>
      <w:r w:rsidRPr="001D6E4E">
        <w:t xml:space="preserve">This current finding supports Salazar (2020), </w:t>
      </w:r>
      <w:r w:rsidR="00BF1DBC">
        <w:t>who</w:t>
      </w:r>
      <w:r w:rsidRPr="001D6E4E">
        <w:t xml:space="preserve"> showed that beneficiaries rated extension program outputs and impacts as satisfactory, supporting the effectiveness of community extension initiatives.</w:t>
      </w:r>
    </w:p>
    <w:p w14:paraId="17FC1717" w14:textId="77777777" w:rsidR="00522981" w:rsidRPr="001D6E4E" w:rsidRDefault="00522981" w:rsidP="001D6E4E">
      <w:pPr>
        <w:jc w:val="both"/>
      </w:pPr>
    </w:p>
    <w:p w14:paraId="39916332" w14:textId="47F4719F" w:rsidR="001D6E4E" w:rsidRPr="001D6E4E" w:rsidRDefault="00522981" w:rsidP="001D6E4E">
      <w:pPr>
        <w:jc w:val="both"/>
      </w:pPr>
      <w:r w:rsidRPr="001D6E4E">
        <w:t>On the other hand, this contradicts the study</w:t>
      </w:r>
      <w:r w:rsidR="009C0884">
        <w:t xml:space="preserve"> of</w:t>
      </w:r>
      <w:r w:rsidRPr="001D6E4E">
        <w:t xml:space="preserve"> </w:t>
      </w:r>
      <w:r w:rsidR="009C0884" w:rsidRPr="009C0884">
        <w:t>Drewery and Lollar (2024)</w:t>
      </w:r>
      <w:r w:rsidR="009C0884">
        <w:t>, which</w:t>
      </w:r>
      <w:r w:rsidR="009C0884" w:rsidRPr="009C0884">
        <w:t xml:space="preserve"> found that although students recognized the value of service-learning, some reported mixed perceptions of its usefulness depending on the activity design and level of involvement, indicating that community engagement programs do not always yield consistently high effectiveness ratings.</w:t>
      </w:r>
    </w:p>
    <w:p w14:paraId="2BEF2418" w14:textId="77777777" w:rsidR="009C0884" w:rsidRDefault="009C0884" w:rsidP="001D6E4E">
      <w:pPr>
        <w:jc w:val="both"/>
        <w:rPr>
          <w:b/>
          <w:bCs/>
        </w:rPr>
      </w:pPr>
    </w:p>
    <w:p w14:paraId="7AF45BE5" w14:textId="5E66E1BE" w:rsidR="001D6E4E" w:rsidRPr="001D6E4E" w:rsidRDefault="001D6E4E" w:rsidP="001D6E4E">
      <w:pPr>
        <w:jc w:val="both"/>
        <w:rPr>
          <w:b/>
          <w:bCs/>
        </w:rPr>
      </w:pPr>
      <w:r w:rsidRPr="001D6E4E">
        <w:rPr>
          <w:b/>
          <w:bCs/>
        </w:rPr>
        <w:t>3.5 Perceived Effect</w:t>
      </w:r>
    </w:p>
    <w:p w14:paraId="259FAAD7" w14:textId="77777777" w:rsidR="001D6E4E" w:rsidRPr="001D6E4E" w:rsidRDefault="001D6E4E" w:rsidP="001D6E4E">
      <w:pPr>
        <w:jc w:val="both"/>
      </w:pPr>
    </w:p>
    <w:p w14:paraId="1A286D96" w14:textId="77777777" w:rsidR="001D6E4E" w:rsidRPr="001D6E4E" w:rsidRDefault="001D6E4E" w:rsidP="001D6E4E">
      <w:pPr>
        <w:jc w:val="both"/>
      </w:pPr>
      <w:r w:rsidRPr="001D6E4E">
        <w:rPr>
          <w:lang w:val="en-PH"/>
        </w:rPr>
        <w:t>The table shows students’ perceived effects of CEP activities. Basic education students rated the programs as high in all areas: personal skills (3.99), social skills (4.06), and civic responsibility (4.07), with an overall mean of 4.04. This indicates that the activities contributed to their growth in community involvement and social responsibility.</w:t>
      </w:r>
    </w:p>
    <w:p w14:paraId="07111F79" w14:textId="77777777" w:rsidR="001D6E4E" w:rsidRPr="001D6E4E" w:rsidRDefault="001D6E4E" w:rsidP="001D6E4E">
      <w:pPr>
        <w:jc w:val="both"/>
        <w:rPr>
          <w:lang w:val="en-PH"/>
        </w:rPr>
      </w:pPr>
    </w:p>
    <w:p w14:paraId="1C00CF10" w14:textId="77777777" w:rsidR="001D6E4E" w:rsidRPr="001D6E4E" w:rsidRDefault="001D6E4E" w:rsidP="001D6E4E">
      <w:pPr>
        <w:jc w:val="both"/>
      </w:pPr>
      <w:r w:rsidRPr="001D6E4E">
        <w:rPr>
          <w:lang w:val="en-PH"/>
        </w:rPr>
        <w:t>College students reported an even stronger impact, rating all indicators very high: personal skills (4.30), social skills (4.35), and civic responsibility (4.37), with an overall mean of 4.34. The combined overall mean of 4.19 reflects that students from both departments perceive CEP activities as positively affecting their personal, social, and civic development.</w:t>
      </w:r>
    </w:p>
    <w:p w14:paraId="5C04E0FD" w14:textId="77777777" w:rsidR="001D6E4E" w:rsidRPr="001D6E4E" w:rsidRDefault="001D6E4E" w:rsidP="001D6E4E">
      <w:pPr>
        <w:jc w:val="both"/>
        <w:rPr>
          <w:lang w:val="en-PH"/>
        </w:rPr>
      </w:pPr>
    </w:p>
    <w:p w14:paraId="66145BCC" w14:textId="093D10F4" w:rsidR="001D6E4E" w:rsidRDefault="001D6E4E" w:rsidP="001D6E4E">
      <w:pPr>
        <w:jc w:val="both"/>
      </w:pPr>
      <w:r w:rsidRPr="001D6E4E">
        <w:rPr>
          <w:lang w:val="en-PH"/>
        </w:rPr>
        <w:t>Th</w:t>
      </w:r>
      <w:r w:rsidRPr="001D6E4E">
        <w:t>is</w:t>
      </w:r>
      <w:r w:rsidRPr="001D6E4E">
        <w:rPr>
          <w:lang w:val="en-PH"/>
        </w:rPr>
        <w:t xml:space="preserve"> result align</w:t>
      </w:r>
      <w:r w:rsidRPr="001D6E4E">
        <w:t>s</w:t>
      </w:r>
      <w:r w:rsidRPr="001D6E4E">
        <w:rPr>
          <w:lang w:val="en-PH"/>
        </w:rPr>
        <w:t xml:space="preserve"> with previous research showing that CEP activities enhance students’ social responsibility and community engagement (Montalbo et al., 2021).</w:t>
      </w:r>
      <w:r w:rsidR="009C0884">
        <w:rPr>
          <w:lang w:val="en-PH"/>
        </w:rPr>
        <w:t xml:space="preserve"> Furthermore, this also affirms the study of </w:t>
      </w:r>
      <w:proofErr w:type="spellStart"/>
      <w:r w:rsidR="009C0884" w:rsidRPr="009C0884">
        <w:t>Brozmanová</w:t>
      </w:r>
      <w:proofErr w:type="spellEnd"/>
      <w:r w:rsidR="009C0884" w:rsidRPr="009C0884">
        <w:t xml:space="preserve"> </w:t>
      </w:r>
      <w:proofErr w:type="spellStart"/>
      <w:r w:rsidR="009C0884" w:rsidRPr="009C0884">
        <w:t>Gregorová</w:t>
      </w:r>
      <w:proofErr w:type="spellEnd"/>
      <w:r w:rsidR="009C0884" w:rsidRPr="009C0884">
        <w:t xml:space="preserve"> et al. (2024)</w:t>
      </w:r>
      <w:r w:rsidR="009C0884">
        <w:t>, which</w:t>
      </w:r>
      <w:r w:rsidR="009C0884" w:rsidRPr="009C0884">
        <w:t xml:space="preserve"> reported that students involved in service-learning activities demonstrated higher social and civic competencies, motivation, and engagement in school, confirming that community-based programs help strengthen students’ social skills and civic responsibility</w:t>
      </w:r>
      <w:r w:rsidR="009C0884">
        <w:t>.</w:t>
      </w:r>
    </w:p>
    <w:p w14:paraId="13BEFE54" w14:textId="77777777" w:rsidR="009C0884" w:rsidRDefault="009C0884" w:rsidP="001D6E4E">
      <w:pPr>
        <w:jc w:val="both"/>
      </w:pPr>
    </w:p>
    <w:p w14:paraId="18DAE430" w14:textId="2F395FED" w:rsidR="009C0884" w:rsidRPr="009C0884" w:rsidRDefault="009C0884" w:rsidP="009C0884">
      <w:pPr>
        <w:jc w:val="both"/>
        <w:rPr>
          <w:lang w:val="en-PH"/>
        </w:rPr>
      </w:pPr>
      <w:r>
        <w:t xml:space="preserve">On the other hand, this contradicts </w:t>
      </w:r>
      <w:r w:rsidRPr="009C0884">
        <w:rPr>
          <w:bCs/>
          <w:lang w:val="en-PH"/>
        </w:rPr>
        <w:t>Stukas et al. (2023)</w:t>
      </w:r>
      <w:r>
        <w:rPr>
          <w:bCs/>
          <w:lang w:val="en-PH"/>
        </w:rPr>
        <w:t>, who</w:t>
      </w:r>
      <w:r w:rsidRPr="009C0884">
        <w:rPr>
          <w:lang w:val="en-PH"/>
        </w:rPr>
        <w:t xml:space="preserve"> noted that the effectiveness of service-learning programs may vary depending on factors such as program structure, student motivation, and the quality of reflection activities, indicating that not all students experience the same level of personal or civic development from such programs.</w:t>
      </w:r>
    </w:p>
    <w:p w14:paraId="167C23D3" w14:textId="77777777" w:rsidR="001D6E4E" w:rsidRPr="001D6E4E" w:rsidRDefault="001D6E4E" w:rsidP="00D40413">
      <w:pPr>
        <w:jc w:val="both"/>
        <w:rPr>
          <w:b/>
          <w:bCs/>
        </w:rPr>
      </w:pPr>
    </w:p>
    <w:p w14:paraId="1EE89F62" w14:textId="1703090E" w:rsidR="00C0415C" w:rsidRPr="00C0415C" w:rsidRDefault="00C0415C" w:rsidP="00C0415C">
      <w:pPr>
        <w:ind w:left="720" w:hanging="720"/>
        <w:jc w:val="both"/>
        <w:rPr>
          <w:rFonts w:ascii="Arial" w:hAnsi="Arial" w:cs="Arial"/>
          <w:b/>
          <w:bCs/>
        </w:rPr>
      </w:pPr>
      <w:r w:rsidRPr="00C0415C">
        <w:rPr>
          <w:rFonts w:ascii="Arial" w:hAnsi="Arial" w:cs="Arial"/>
          <w:b/>
          <w:bCs/>
        </w:rPr>
        <w:t>Table 1. Demographic Profile of the Students in terms of Gender</w:t>
      </w:r>
    </w:p>
    <w:tbl>
      <w:tblPr>
        <w:tblW w:w="8640" w:type="dxa"/>
        <w:tblInd w:w="85" w:type="dxa"/>
        <w:tblLook w:val="04A0" w:firstRow="1" w:lastRow="0" w:firstColumn="1" w:lastColumn="0" w:noHBand="0" w:noVBand="1"/>
      </w:tblPr>
      <w:tblGrid>
        <w:gridCol w:w="2160"/>
        <w:gridCol w:w="1980"/>
        <w:gridCol w:w="2250"/>
        <w:gridCol w:w="2250"/>
      </w:tblGrid>
      <w:tr w:rsidR="00C0415C" w:rsidRPr="00C0415C" w14:paraId="693758D8" w14:textId="77777777" w:rsidTr="00FD64E6">
        <w:trPr>
          <w:trHeight w:val="310"/>
        </w:trPr>
        <w:tc>
          <w:tcPr>
            <w:tcW w:w="2160" w:type="dxa"/>
            <w:tcBorders>
              <w:top w:val="single" w:sz="4" w:space="0" w:color="auto"/>
              <w:left w:val="single" w:sz="4" w:space="0" w:color="auto"/>
              <w:bottom w:val="single" w:sz="4" w:space="0" w:color="auto"/>
              <w:right w:val="single" w:sz="4" w:space="0" w:color="auto"/>
            </w:tcBorders>
            <w:noWrap/>
            <w:vAlign w:val="bottom"/>
            <w:hideMark/>
          </w:tcPr>
          <w:p w14:paraId="5D3729E6"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Department</w:t>
            </w:r>
          </w:p>
        </w:tc>
        <w:tc>
          <w:tcPr>
            <w:tcW w:w="1980" w:type="dxa"/>
            <w:tcBorders>
              <w:top w:val="single" w:sz="4" w:space="0" w:color="auto"/>
              <w:left w:val="nil"/>
              <w:bottom w:val="single" w:sz="4" w:space="0" w:color="auto"/>
              <w:right w:val="single" w:sz="4" w:space="0" w:color="auto"/>
            </w:tcBorders>
            <w:noWrap/>
            <w:vAlign w:val="bottom"/>
            <w:hideMark/>
          </w:tcPr>
          <w:p w14:paraId="284F3858"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Gender</w:t>
            </w:r>
          </w:p>
        </w:tc>
        <w:tc>
          <w:tcPr>
            <w:tcW w:w="2250" w:type="dxa"/>
            <w:tcBorders>
              <w:top w:val="single" w:sz="4" w:space="0" w:color="auto"/>
              <w:left w:val="nil"/>
              <w:bottom w:val="single" w:sz="4" w:space="0" w:color="auto"/>
              <w:right w:val="single" w:sz="4" w:space="0" w:color="auto"/>
            </w:tcBorders>
            <w:noWrap/>
            <w:vAlign w:val="bottom"/>
            <w:hideMark/>
          </w:tcPr>
          <w:p w14:paraId="02314F01"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250" w:type="dxa"/>
            <w:tcBorders>
              <w:top w:val="single" w:sz="4" w:space="0" w:color="auto"/>
              <w:left w:val="nil"/>
              <w:bottom w:val="single" w:sz="4" w:space="0" w:color="auto"/>
              <w:right w:val="single" w:sz="4" w:space="0" w:color="auto"/>
            </w:tcBorders>
            <w:noWrap/>
            <w:vAlign w:val="bottom"/>
            <w:hideMark/>
          </w:tcPr>
          <w:p w14:paraId="38B09455"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2E2FCF0C" w14:textId="77777777" w:rsidTr="00FD64E6">
        <w:trPr>
          <w:trHeight w:val="310"/>
        </w:trPr>
        <w:tc>
          <w:tcPr>
            <w:tcW w:w="2160" w:type="dxa"/>
            <w:vMerge w:val="restart"/>
            <w:tcBorders>
              <w:top w:val="nil"/>
              <w:left w:val="single" w:sz="4" w:space="0" w:color="auto"/>
              <w:bottom w:val="single" w:sz="4" w:space="0" w:color="auto"/>
              <w:right w:val="single" w:sz="4" w:space="0" w:color="auto"/>
            </w:tcBorders>
            <w:noWrap/>
            <w:vAlign w:val="center"/>
            <w:hideMark/>
          </w:tcPr>
          <w:p w14:paraId="0B5850C1"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Basic Education</w:t>
            </w:r>
          </w:p>
        </w:tc>
        <w:tc>
          <w:tcPr>
            <w:tcW w:w="1980" w:type="dxa"/>
            <w:tcBorders>
              <w:top w:val="nil"/>
              <w:left w:val="nil"/>
              <w:bottom w:val="single" w:sz="4" w:space="0" w:color="auto"/>
              <w:right w:val="single" w:sz="4" w:space="0" w:color="auto"/>
            </w:tcBorders>
            <w:noWrap/>
            <w:vAlign w:val="bottom"/>
            <w:hideMark/>
          </w:tcPr>
          <w:p w14:paraId="561EC05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Male</w:t>
            </w:r>
          </w:p>
        </w:tc>
        <w:tc>
          <w:tcPr>
            <w:tcW w:w="2250" w:type="dxa"/>
            <w:tcBorders>
              <w:top w:val="nil"/>
              <w:left w:val="nil"/>
              <w:bottom w:val="single" w:sz="4" w:space="0" w:color="auto"/>
              <w:right w:val="single" w:sz="4" w:space="0" w:color="auto"/>
            </w:tcBorders>
            <w:noWrap/>
            <w:vAlign w:val="bottom"/>
            <w:hideMark/>
          </w:tcPr>
          <w:p w14:paraId="74C6E88E"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108</w:t>
            </w:r>
          </w:p>
        </w:tc>
        <w:tc>
          <w:tcPr>
            <w:tcW w:w="2250" w:type="dxa"/>
            <w:tcBorders>
              <w:top w:val="nil"/>
              <w:left w:val="nil"/>
              <w:bottom w:val="single" w:sz="4" w:space="0" w:color="auto"/>
              <w:right w:val="single" w:sz="4" w:space="0" w:color="auto"/>
            </w:tcBorders>
            <w:noWrap/>
            <w:vAlign w:val="bottom"/>
            <w:hideMark/>
          </w:tcPr>
          <w:p w14:paraId="0DD48CF2"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40.30%</w:t>
            </w:r>
          </w:p>
        </w:tc>
      </w:tr>
      <w:tr w:rsidR="00C0415C" w:rsidRPr="00C0415C" w14:paraId="57F359E6"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7B26BC7F"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181A5CBC"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Female</w:t>
            </w:r>
          </w:p>
        </w:tc>
        <w:tc>
          <w:tcPr>
            <w:tcW w:w="2250" w:type="dxa"/>
            <w:tcBorders>
              <w:top w:val="nil"/>
              <w:left w:val="nil"/>
              <w:bottom w:val="single" w:sz="4" w:space="0" w:color="auto"/>
              <w:right w:val="single" w:sz="4" w:space="0" w:color="auto"/>
            </w:tcBorders>
            <w:noWrap/>
            <w:vAlign w:val="bottom"/>
            <w:hideMark/>
          </w:tcPr>
          <w:p w14:paraId="466450DE"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160</w:t>
            </w:r>
          </w:p>
        </w:tc>
        <w:tc>
          <w:tcPr>
            <w:tcW w:w="2250" w:type="dxa"/>
            <w:tcBorders>
              <w:top w:val="nil"/>
              <w:left w:val="nil"/>
              <w:bottom w:val="single" w:sz="4" w:space="0" w:color="auto"/>
              <w:right w:val="single" w:sz="4" w:space="0" w:color="auto"/>
            </w:tcBorders>
            <w:noWrap/>
            <w:vAlign w:val="bottom"/>
            <w:hideMark/>
          </w:tcPr>
          <w:p w14:paraId="117F33C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59.70%</w:t>
            </w:r>
          </w:p>
        </w:tc>
      </w:tr>
      <w:tr w:rsidR="00C0415C" w:rsidRPr="00C0415C" w14:paraId="1CB66D6C"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2DCCB442"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212C0A71"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250" w:type="dxa"/>
            <w:tcBorders>
              <w:top w:val="nil"/>
              <w:left w:val="nil"/>
              <w:bottom w:val="single" w:sz="4" w:space="0" w:color="auto"/>
              <w:right w:val="single" w:sz="4" w:space="0" w:color="auto"/>
            </w:tcBorders>
            <w:noWrap/>
            <w:vAlign w:val="bottom"/>
            <w:hideMark/>
          </w:tcPr>
          <w:p w14:paraId="319948F3"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268</w:t>
            </w:r>
          </w:p>
        </w:tc>
        <w:tc>
          <w:tcPr>
            <w:tcW w:w="2250" w:type="dxa"/>
            <w:tcBorders>
              <w:top w:val="nil"/>
              <w:left w:val="nil"/>
              <w:bottom w:val="single" w:sz="4" w:space="0" w:color="auto"/>
              <w:right w:val="single" w:sz="4" w:space="0" w:color="auto"/>
            </w:tcBorders>
            <w:noWrap/>
            <w:vAlign w:val="bottom"/>
            <w:hideMark/>
          </w:tcPr>
          <w:p w14:paraId="60905915"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r w:rsidR="00C0415C" w:rsidRPr="00C0415C" w14:paraId="66C54FF1" w14:textId="77777777" w:rsidTr="00FD64E6">
        <w:trPr>
          <w:trHeight w:val="310"/>
        </w:trPr>
        <w:tc>
          <w:tcPr>
            <w:tcW w:w="2160" w:type="dxa"/>
            <w:vMerge w:val="restart"/>
            <w:tcBorders>
              <w:top w:val="nil"/>
              <w:left w:val="single" w:sz="4" w:space="0" w:color="auto"/>
              <w:bottom w:val="single" w:sz="4" w:space="0" w:color="auto"/>
              <w:right w:val="single" w:sz="4" w:space="0" w:color="auto"/>
            </w:tcBorders>
            <w:noWrap/>
            <w:vAlign w:val="center"/>
            <w:hideMark/>
          </w:tcPr>
          <w:p w14:paraId="1D908634"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lastRenderedPageBreak/>
              <w:t>College</w:t>
            </w:r>
          </w:p>
        </w:tc>
        <w:tc>
          <w:tcPr>
            <w:tcW w:w="1980" w:type="dxa"/>
            <w:tcBorders>
              <w:top w:val="nil"/>
              <w:left w:val="nil"/>
              <w:bottom w:val="single" w:sz="4" w:space="0" w:color="auto"/>
              <w:right w:val="single" w:sz="4" w:space="0" w:color="auto"/>
            </w:tcBorders>
            <w:noWrap/>
            <w:vAlign w:val="bottom"/>
            <w:hideMark/>
          </w:tcPr>
          <w:p w14:paraId="4C7934AF"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 xml:space="preserve">Male </w:t>
            </w:r>
          </w:p>
        </w:tc>
        <w:tc>
          <w:tcPr>
            <w:tcW w:w="2250" w:type="dxa"/>
            <w:tcBorders>
              <w:top w:val="nil"/>
              <w:left w:val="nil"/>
              <w:bottom w:val="single" w:sz="4" w:space="0" w:color="auto"/>
              <w:right w:val="single" w:sz="4" w:space="0" w:color="auto"/>
            </w:tcBorders>
            <w:noWrap/>
            <w:vAlign w:val="bottom"/>
            <w:hideMark/>
          </w:tcPr>
          <w:p w14:paraId="60E6F577"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86</w:t>
            </w:r>
          </w:p>
        </w:tc>
        <w:tc>
          <w:tcPr>
            <w:tcW w:w="2250" w:type="dxa"/>
            <w:tcBorders>
              <w:top w:val="nil"/>
              <w:left w:val="nil"/>
              <w:bottom w:val="single" w:sz="4" w:space="0" w:color="auto"/>
              <w:right w:val="single" w:sz="4" w:space="0" w:color="auto"/>
            </w:tcBorders>
            <w:noWrap/>
            <w:vAlign w:val="bottom"/>
            <w:hideMark/>
          </w:tcPr>
          <w:p w14:paraId="1763B28C"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27.10%</w:t>
            </w:r>
          </w:p>
        </w:tc>
      </w:tr>
      <w:tr w:rsidR="00C0415C" w:rsidRPr="00C0415C" w14:paraId="22A49F1A"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3A98BB66"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105A12A5"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Female</w:t>
            </w:r>
          </w:p>
        </w:tc>
        <w:tc>
          <w:tcPr>
            <w:tcW w:w="2250" w:type="dxa"/>
            <w:tcBorders>
              <w:top w:val="nil"/>
              <w:left w:val="nil"/>
              <w:bottom w:val="single" w:sz="4" w:space="0" w:color="auto"/>
              <w:right w:val="single" w:sz="4" w:space="0" w:color="auto"/>
            </w:tcBorders>
            <w:noWrap/>
            <w:vAlign w:val="bottom"/>
            <w:hideMark/>
          </w:tcPr>
          <w:p w14:paraId="6A8A0E91"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231</w:t>
            </w:r>
          </w:p>
        </w:tc>
        <w:tc>
          <w:tcPr>
            <w:tcW w:w="2250" w:type="dxa"/>
            <w:tcBorders>
              <w:top w:val="nil"/>
              <w:left w:val="nil"/>
              <w:bottom w:val="single" w:sz="4" w:space="0" w:color="auto"/>
              <w:right w:val="single" w:sz="4" w:space="0" w:color="auto"/>
            </w:tcBorders>
            <w:noWrap/>
            <w:vAlign w:val="bottom"/>
            <w:hideMark/>
          </w:tcPr>
          <w:p w14:paraId="4D5DCD95" w14:textId="77777777" w:rsidR="00C0415C" w:rsidRPr="00C0415C" w:rsidRDefault="00C0415C" w:rsidP="00C0415C">
            <w:pPr>
              <w:ind w:left="720" w:hanging="720"/>
              <w:jc w:val="both"/>
              <w:rPr>
                <w:rFonts w:ascii="Arial" w:hAnsi="Arial" w:cs="Arial"/>
                <w:color w:val="000000"/>
                <w:lang w:eastAsia="en-PH"/>
              </w:rPr>
            </w:pPr>
            <w:r w:rsidRPr="00C0415C">
              <w:rPr>
                <w:rFonts w:ascii="Arial" w:hAnsi="Arial" w:cs="Arial"/>
                <w:color w:val="000000"/>
                <w:lang w:eastAsia="en-PH"/>
              </w:rPr>
              <w:t>72.90%</w:t>
            </w:r>
          </w:p>
        </w:tc>
      </w:tr>
      <w:tr w:rsidR="00C0415C" w:rsidRPr="00C0415C" w14:paraId="1D07376D" w14:textId="77777777" w:rsidTr="00FD64E6">
        <w:trPr>
          <w:trHeight w:val="310"/>
        </w:trPr>
        <w:tc>
          <w:tcPr>
            <w:tcW w:w="2160" w:type="dxa"/>
            <w:vMerge/>
            <w:tcBorders>
              <w:top w:val="nil"/>
              <w:left w:val="single" w:sz="4" w:space="0" w:color="auto"/>
              <w:bottom w:val="single" w:sz="4" w:space="0" w:color="auto"/>
              <w:right w:val="single" w:sz="4" w:space="0" w:color="auto"/>
            </w:tcBorders>
            <w:vAlign w:val="center"/>
            <w:hideMark/>
          </w:tcPr>
          <w:p w14:paraId="20787759" w14:textId="77777777" w:rsidR="00C0415C" w:rsidRPr="00C0415C" w:rsidRDefault="00C0415C" w:rsidP="00C0415C">
            <w:pPr>
              <w:ind w:left="720" w:hanging="720"/>
              <w:jc w:val="both"/>
              <w:rPr>
                <w:rFonts w:ascii="Arial" w:hAnsi="Arial" w:cs="Arial"/>
                <w:color w:val="000000"/>
                <w:lang w:eastAsia="en-PH"/>
              </w:rPr>
            </w:pPr>
          </w:p>
        </w:tc>
        <w:tc>
          <w:tcPr>
            <w:tcW w:w="1980" w:type="dxa"/>
            <w:tcBorders>
              <w:top w:val="nil"/>
              <w:left w:val="nil"/>
              <w:bottom w:val="single" w:sz="4" w:space="0" w:color="auto"/>
              <w:right w:val="single" w:sz="4" w:space="0" w:color="auto"/>
            </w:tcBorders>
            <w:noWrap/>
            <w:vAlign w:val="bottom"/>
            <w:hideMark/>
          </w:tcPr>
          <w:p w14:paraId="48874F13"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250" w:type="dxa"/>
            <w:tcBorders>
              <w:top w:val="nil"/>
              <w:left w:val="nil"/>
              <w:bottom w:val="single" w:sz="4" w:space="0" w:color="auto"/>
              <w:right w:val="single" w:sz="4" w:space="0" w:color="auto"/>
            </w:tcBorders>
            <w:noWrap/>
            <w:vAlign w:val="bottom"/>
            <w:hideMark/>
          </w:tcPr>
          <w:p w14:paraId="09F15928"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250" w:type="dxa"/>
            <w:tcBorders>
              <w:top w:val="nil"/>
              <w:left w:val="nil"/>
              <w:bottom w:val="single" w:sz="4" w:space="0" w:color="auto"/>
              <w:right w:val="single" w:sz="4" w:space="0" w:color="auto"/>
            </w:tcBorders>
            <w:noWrap/>
            <w:vAlign w:val="bottom"/>
            <w:hideMark/>
          </w:tcPr>
          <w:p w14:paraId="0AF6116D" w14:textId="77777777" w:rsidR="00C0415C" w:rsidRPr="00C0415C" w:rsidRDefault="00C0415C" w:rsidP="00C0415C">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57A907E5" w14:textId="77777777" w:rsidR="001D6E4E" w:rsidRPr="00C0415C" w:rsidRDefault="001D6E4E" w:rsidP="00C0415C">
      <w:pPr>
        <w:jc w:val="both"/>
        <w:rPr>
          <w:rFonts w:ascii="Arial" w:hAnsi="Arial" w:cs="Arial"/>
        </w:rPr>
      </w:pPr>
    </w:p>
    <w:p w14:paraId="47F92D15" w14:textId="5915D91D" w:rsidR="00C0415C" w:rsidRPr="00C0415C" w:rsidRDefault="00C0415C" w:rsidP="00C0415C">
      <w:pPr>
        <w:ind w:left="720" w:hanging="720"/>
        <w:jc w:val="both"/>
        <w:rPr>
          <w:rFonts w:ascii="Arial" w:hAnsi="Arial" w:cs="Arial"/>
          <w:b/>
          <w:bCs/>
        </w:rPr>
      </w:pPr>
      <w:r w:rsidRPr="00C0415C">
        <w:rPr>
          <w:rFonts w:ascii="Arial" w:hAnsi="Arial" w:cs="Arial"/>
          <w:b/>
          <w:bCs/>
        </w:rPr>
        <w:t>Table 2. Demographic Profile of Basic Education Students in terms of Grade Level</w:t>
      </w:r>
    </w:p>
    <w:tbl>
      <w:tblPr>
        <w:tblW w:w="8730" w:type="dxa"/>
        <w:tblInd w:w="-5" w:type="dxa"/>
        <w:tblLook w:val="04A0" w:firstRow="1" w:lastRow="0" w:firstColumn="1" w:lastColumn="0" w:noHBand="0" w:noVBand="1"/>
      </w:tblPr>
      <w:tblGrid>
        <w:gridCol w:w="2970"/>
        <w:gridCol w:w="2790"/>
        <w:gridCol w:w="2970"/>
      </w:tblGrid>
      <w:tr w:rsidR="00C0415C" w:rsidRPr="00C0415C" w14:paraId="27DF3527"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3D435E17"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Grade Level</w:t>
            </w:r>
          </w:p>
        </w:tc>
        <w:tc>
          <w:tcPr>
            <w:tcW w:w="2790" w:type="dxa"/>
            <w:tcBorders>
              <w:top w:val="single" w:sz="4" w:space="0" w:color="auto"/>
              <w:left w:val="nil"/>
              <w:bottom w:val="single" w:sz="4" w:space="0" w:color="auto"/>
              <w:right w:val="single" w:sz="4" w:space="0" w:color="auto"/>
            </w:tcBorders>
            <w:noWrap/>
            <w:vAlign w:val="bottom"/>
            <w:hideMark/>
          </w:tcPr>
          <w:p w14:paraId="5C7D5B91"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970" w:type="dxa"/>
            <w:tcBorders>
              <w:top w:val="single" w:sz="4" w:space="0" w:color="auto"/>
              <w:left w:val="nil"/>
              <w:bottom w:val="single" w:sz="4" w:space="0" w:color="auto"/>
              <w:right w:val="single" w:sz="4" w:space="0" w:color="auto"/>
            </w:tcBorders>
            <w:noWrap/>
            <w:vAlign w:val="bottom"/>
            <w:hideMark/>
          </w:tcPr>
          <w:p w14:paraId="502EA0E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1A5B207C" w14:textId="77777777" w:rsidTr="00FD64E6">
        <w:trPr>
          <w:trHeight w:val="250"/>
        </w:trPr>
        <w:tc>
          <w:tcPr>
            <w:tcW w:w="2970" w:type="dxa"/>
            <w:tcBorders>
              <w:top w:val="nil"/>
              <w:left w:val="single" w:sz="4" w:space="0" w:color="auto"/>
              <w:bottom w:val="single" w:sz="4" w:space="0" w:color="auto"/>
              <w:right w:val="single" w:sz="4" w:space="0" w:color="auto"/>
            </w:tcBorders>
            <w:noWrap/>
            <w:vAlign w:val="bottom"/>
            <w:hideMark/>
          </w:tcPr>
          <w:p w14:paraId="3906E95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7</w:t>
            </w:r>
          </w:p>
        </w:tc>
        <w:tc>
          <w:tcPr>
            <w:tcW w:w="2790" w:type="dxa"/>
            <w:tcBorders>
              <w:top w:val="nil"/>
              <w:left w:val="nil"/>
              <w:bottom w:val="single" w:sz="4" w:space="0" w:color="auto"/>
              <w:right w:val="single" w:sz="4" w:space="0" w:color="auto"/>
            </w:tcBorders>
            <w:noWrap/>
            <w:vAlign w:val="bottom"/>
            <w:hideMark/>
          </w:tcPr>
          <w:p w14:paraId="59329615"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w:t>
            </w:r>
          </w:p>
        </w:tc>
        <w:tc>
          <w:tcPr>
            <w:tcW w:w="2970" w:type="dxa"/>
            <w:tcBorders>
              <w:top w:val="nil"/>
              <w:left w:val="nil"/>
              <w:bottom w:val="single" w:sz="4" w:space="0" w:color="auto"/>
              <w:right w:val="single" w:sz="4" w:space="0" w:color="auto"/>
            </w:tcBorders>
            <w:noWrap/>
            <w:vAlign w:val="bottom"/>
            <w:hideMark/>
          </w:tcPr>
          <w:p w14:paraId="04B4778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2.60%</w:t>
            </w:r>
          </w:p>
        </w:tc>
      </w:tr>
      <w:tr w:rsidR="00C0415C" w:rsidRPr="00C0415C" w14:paraId="2C99977E" w14:textId="77777777" w:rsidTr="00FD64E6">
        <w:trPr>
          <w:trHeight w:val="250"/>
        </w:trPr>
        <w:tc>
          <w:tcPr>
            <w:tcW w:w="2970" w:type="dxa"/>
            <w:tcBorders>
              <w:top w:val="nil"/>
              <w:left w:val="single" w:sz="4" w:space="0" w:color="auto"/>
              <w:bottom w:val="single" w:sz="4" w:space="0" w:color="auto"/>
              <w:right w:val="single" w:sz="4" w:space="0" w:color="auto"/>
            </w:tcBorders>
            <w:noWrap/>
            <w:vAlign w:val="bottom"/>
            <w:hideMark/>
          </w:tcPr>
          <w:p w14:paraId="34F9FAB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8</w:t>
            </w:r>
          </w:p>
        </w:tc>
        <w:tc>
          <w:tcPr>
            <w:tcW w:w="2790" w:type="dxa"/>
            <w:tcBorders>
              <w:top w:val="nil"/>
              <w:left w:val="nil"/>
              <w:bottom w:val="single" w:sz="4" w:space="0" w:color="auto"/>
              <w:right w:val="single" w:sz="4" w:space="0" w:color="auto"/>
            </w:tcBorders>
            <w:noWrap/>
            <w:vAlign w:val="bottom"/>
            <w:hideMark/>
          </w:tcPr>
          <w:p w14:paraId="7514AEEC"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w:t>
            </w:r>
          </w:p>
        </w:tc>
        <w:tc>
          <w:tcPr>
            <w:tcW w:w="2970" w:type="dxa"/>
            <w:tcBorders>
              <w:top w:val="nil"/>
              <w:left w:val="nil"/>
              <w:bottom w:val="single" w:sz="4" w:space="0" w:color="auto"/>
              <w:right w:val="single" w:sz="4" w:space="0" w:color="auto"/>
            </w:tcBorders>
            <w:noWrap/>
            <w:vAlign w:val="bottom"/>
            <w:hideMark/>
          </w:tcPr>
          <w:p w14:paraId="35878F8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3.40%</w:t>
            </w:r>
          </w:p>
        </w:tc>
      </w:tr>
      <w:tr w:rsidR="00C0415C" w:rsidRPr="00C0415C" w14:paraId="4A12BEB6"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B557CC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9</w:t>
            </w:r>
          </w:p>
        </w:tc>
        <w:tc>
          <w:tcPr>
            <w:tcW w:w="2790" w:type="dxa"/>
            <w:tcBorders>
              <w:top w:val="nil"/>
              <w:left w:val="nil"/>
              <w:bottom w:val="single" w:sz="4" w:space="0" w:color="auto"/>
              <w:right w:val="single" w:sz="4" w:space="0" w:color="auto"/>
            </w:tcBorders>
            <w:noWrap/>
            <w:vAlign w:val="bottom"/>
            <w:hideMark/>
          </w:tcPr>
          <w:p w14:paraId="39A0235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44</w:t>
            </w:r>
          </w:p>
        </w:tc>
        <w:tc>
          <w:tcPr>
            <w:tcW w:w="2970" w:type="dxa"/>
            <w:tcBorders>
              <w:top w:val="nil"/>
              <w:left w:val="nil"/>
              <w:bottom w:val="single" w:sz="4" w:space="0" w:color="auto"/>
              <w:right w:val="single" w:sz="4" w:space="0" w:color="auto"/>
            </w:tcBorders>
            <w:noWrap/>
            <w:vAlign w:val="bottom"/>
            <w:hideMark/>
          </w:tcPr>
          <w:p w14:paraId="4F7802D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16.40%</w:t>
            </w:r>
          </w:p>
        </w:tc>
      </w:tr>
      <w:tr w:rsidR="00C0415C" w:rsidRPr="00C0415C" w14:paraId="4CCFF0D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C2B319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10</w:t>
            </w:r>
          </w:p>
        </w:tc>
        <w:tc>
          <w:tcPr>
            <w:tcW w:w="2790" w:type="dxa"/>
            <w:tcBorders>
              <w:top w:val="nil"/>
              <w:left w:val="nil"/>
              <w:bottom w:val="single" w:sz="4" w:space="0" w:color="auto"/>
              <w:right w:val="single" w:sz="4" w:space="0" w:color="auto"/>
            </w:tcBorders>
            <w:noWrap/>
            <w:vAlign w:val="bottom"/>
            <w:hideMark/>
          </w:tcPr>
          <w:p w14:paraId="301985A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72</w:t>
            </w:r>
          </w:p>
        </w:tc>
        <w:tc>
          <w:tcPr>
            <w:tcW w:w="2970" w:type="dxa"/>
            <w:tcBorders>
              <w:top w:val="nil"/>
              <w:left w:val="nil"/>
              <w:bottom w:val="single" w:sz="4" w:space="0" w:color="auto"/>
              <w:right w:val="single" w:sz="4" w:space="0" w:color="auto"/>
            </w:tcBorders>
            <w:noWrap/>
            <w:vAlign w:val="bottom"/>
            <w:hideMark/>
          </w:tcPr>
          <w:p w14:paraId="5E28584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26.90%</w:t>
            </w:r>
          </w:p>
        </w:tc>
      </w:tr>
      <w:tr w:rsidR="00C0415C" w:rsidRPr="00C0415C" w14:paraId="142E9896"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605644E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11</w:t>
            </w:r>
          </w:p>
        </w:tc>
        <w:tc>
          <w:tcPr>
            <w:tcW w:w="2790" w:type="dxa"/>
            <w:tcBorders>
              <w:top w:val="nil"/>
              <w:left w:val="nil"/>
              <w:bottom w:val="single" w:sz="4" w:space="0" w:color="auto"/>
              <w:right w:val="single" w:sz="4" w:space="0" w:color="auto"/>
            </w:tcBorders>
            <w:noWrap/>
            <w:vAlign w:val="bottom"/>
            <w:hideMark/>
          </w:tcPr>
          <w:p w14:paraId="689E8751"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19</w:t>
            </w:r>
          </w:p>
        </w:tc>
        <w:tc>
          <w:tcPr>
            <w:tcW w:w="2970" w:type="dxa"/>
            <w:tcBorders>
              <w:top w:val="nil"/>
              <w:left w:val="nil"/>
              <w:bottom w:val="single" w:sz="4" w:space="0" w:color="auto"/>
              <w:right w:val="single" w:sz="4" w:space="0" w:color="auto"/>
            </w:tcBorders>
            <w:noWrap/>
            <w:vAlign w:val="bottom"/>
            <w:hideMark/>
          </w:tcPr>
          <w:p w14:paraId="24BA251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7.10%</w:t>
            </w:r>
          </w:p>
        </w:tc>
      </w:tr>
      <w:tr w:rsidR="00C0415C" w:rsidRPr="00C0415C" w14:paraId="3FAA2AF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5AA07E2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Grade 12</w:t>
            </w:r>
          </w:p>
        </w:tc>
        <w:tc>
          <w:tcPr>
            <w:tcW w:w="2790" w:type="dxa"/>
            <w:tcBorders>
              <w:top w:val="nil"/>
              <w:left w:val="nil"/>
              <w:bottom w:val="single" w:sz="4" w:space="0" w:color="auto"/>
              <w:right w:val="single" w:sz="4" w:space="0" w:color="auto"/>
            </w:tcBorders>
            <w:noWrap/>
            <w:vAlign w:val="bottom"/>
            <w:hideMark/>
          </w:tcPr>
          <w:p w14:paraId="5A1522FE"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117</w:t>
            </w:r>
          </w:p>
        </w:tc>
        <w:tc>
          <w:tcPr>
            <w:tcW w:w="2970" w:type="dxa"/>
            <w:tcBorders>
              <w:top w:val="nil"/>
              <w:left w:val="nil"/>
              <w:bottom w:val="single" w:sz="4" w:space="0" w:color="auto"/>
              <w:right w:val="single" w:sz="4" w:space="0" w:color="auto"/>
            </w:tcBorders>
            <w:noWrap/>
            <w:vAlign w:val="bottom"/>
            <w:hideMark/>
          </w:tcPr>
          <w:p w14:paraId="77EC4F46"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43.70%</w:t>
            </w:r>
          </w:p>
        </w:tc>
      </w:tr>
      <w:tr w:rsidR="00C0415C" w:rsidRPr="00C0415C" w14:paraId="34A950DB"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7E3E126C"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790" w:type="dxa"/>
            <w:tcBorders>
              <w:top w:val="nil"/>
              <w:left w:val="nil"/>
              <w:bottom w:val="single" w:sz="4" w:space="0" w:color="auto"/>
              <w:right w:val="single" w:sz="4" w:space="0" w:color="auto"/>
            </w:tcBorders>
            <w:noWrap/>
            <w:vAlign w:val="bottom"/>
            <w:hideMark/>
          </w:tcPr>
          <w:p w14:paraId="2E55C64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268</w:t>
            </w:r>
          </w:p>
        </w:tc>
        <w:tc>
          <w:tcPr>
            <w:tcW w:w="2970" w:type="dxa"/>
            <w:tcBorders>
              <w:top w:val="nil"/>
              <w:left w:val="nil"/>
              <w:bottom w:val="single" w:sz="4" w:space="0" w:color="auto"/>
              <w:right w:val="single" w:sz="4" w:space="0" w:color="auto"/>
            </w:tcBorders>
            <w:noWrap/>
            <w:vAlign w:val="bottom"/>
            <w:hideMark/>
          </w:tcPr>
          <w:p w14:paraId="2BA35965"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411E1B05" w14:textId="77777777" w:rsidR="001D6E4E" w:rsidRPr="00D40413" w:rsidRDefault="001D6E4E" w:rsidP="00D40413">
      <w:pPr>
        <w:jc w:val="both"/>
        <w:rPr>
          <w:lang w:val="en-PH"/>
        </w:rPr>
      </w:pPr>
    </w:p>
    <w:p w14:paraId="760E2E88" w14:textId="0C2EEB58" w:rsidR="00C0415C" w:rsidRPr="00C0415C" w:rsidRDefault="00C0415C" w:rsidP="00C0415C">
      <w:pPr>
        <w:ind w:left="720" w:hanging="720"/>
        <w:jc w:val="both"/>
        <w:rPr>
          <w:rFonts w:ascii="Arial" w:hAnsi="Arial" w:cs="Arial"/>
          <w:b/>
          <w:bCs/>
        </w:rPr>
      </w:pPr>
      <w:r w:rsidRPr="00C0415C">
        <w:rPr>
          <w:rFonts w:ascii="Arial" w:hAnsi="Arial" w:cs="Arial"/>
          <w:b/>
          <w:bCs/>
        </w:rPr>
        <w:t xml:space="preserve">Table </w:t>
      </w:r>
      <w:r>
        <w:rPr>
          <w:rFonts w:ascii="Arial" w:hAnsi="Arial" w:cs="Arial"/>
          <w:b/>
          <w:bCs/>
        </w:rPr>
        <w:t>3</w:t>
      </w:r>
      <w:r w:rsidRPr="00C0415C">
        <w:rPr>
          <w:rFonts w:ascii="Arial" w:hAnsi="Arial" w:cs="Arial"/>
          <w:b/>
          <w:bCs/>
        </w:rPr>
        <w:t>. Demographic Profile of College Students in terms of Program</w:t>
      </w:r>
    </w:p>
    <w:tbl>
      <w:tblPr>
        <w:tblW w:w="8730" w:type="dxa"/>
        <w:tblInd w:w="-5" w:type="dxa"/>
        <w:tblLook w:val="04A0" w:firstRow="1" w:lastRow="0" w:firstColumn="1" w:lastColumn="0" w:noHBand="0" w:noVBand="1"/>
      </w:tblPr>
      <w:tblGrid>
        <w:gridCol w:w="2970"/>
        <w:gridCol w:w="2790"/>
        <w:gridCol w:w="2970"/>
      </w:tblGrid>
      <w:tr w:rsidR="00C0415C" w:rsidRPr="00C0415C" w14:paraId="5BE22A78"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191C057B"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Program</w:t>
            </w:r>
          </w:p>
        </w:tc>
        <w:tc>
          <w:tcPr>
            <w:tcW w:w="2790" w:type="dxa"/>
            <w:tcBorders>
              <w:top w:val="single" w:sz="4" w:space="0" w:color="auto"/>
              <w:left w:val="nil"/>
              <w:bottom w:val="single" w:sz="4" w:space="0" w:color="auto"/>
              <w:right w:val="single" w:sz="4" w:space="0" w:color="auto"/>
            </w:tcBorders>
            <w:noWrap/>
            <w:vAlign w:val="bottom"/>
            <w:hideMark/>
          </w:tcPr>
          <w:p w14:paraId="630AECB7"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970" w:type="dxa"/>
            <w:tcBorders>
              <w:top w:val="single" w:sz="4" w:space="0" w:color="auto"/>
              <w:left w:val="nil"/>
              <w:bottom w:val="single" w:sz="4" w:space="0" w:color="auto"/>
              <w:right w:val="single" w:sz="4" w:space="0" w:color="auto"/>
            </w:tcBorders>
            <w:noWrap/>
            <w:vAlign w:val="bottom"/>
            <w:hideMark/>
          </w:tcPr>
          <w:p w14:paraId="352808B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64CA89F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0E8411F7"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BEEd</w:t>
            </w:r>
            <w:proofErr w:type="spellEnd"/>
          </w:p>
        </w:tc>
        <w:tc>
          <w:tcPr>
            <w:tcW w:w="2790" w:type="dxa"/>
            <w:tcBorders>
              <w:top w:val="nil"/>
              <w:left w:val="nil"/>
              <w:bottom w:val="single" w:sz="4" w:space="0" w:color="auto"/>
              <w:right w:val="single" w:sz="4" w:space="0" w:color="auto"/>
            </w:tcBorders>
            <w:noWrap/>
            <w:vAlign w:val="bottom"/>
            <w:hideMark/>
          </w:tcPr>
          <w:p w14:paraId="7BB1F86F"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12</w:t>
            </w:r>
          </w:p>
        </w:tc>
        <w:tc>
          <w:tcPr>
            <w:tcW w:w="2970" w:type="dxa"/>
            <w:tcBorders>
              <w:top w:val="nil"/>
              <w:left w:val="nil"/>
              <w:bottom w:val="single" w:sz="4" w:space="0" w:color="auto"/>
              <w:right w:val="single" w:sz="4" w:space="0" w:color="auto"/>
            </w:tcBorders>
            <w:noWrap/>
            <w:vAlign w:val="bottom"/>
            <w:hideMark/>
          </w:tcPr>
          <w:p w14:paraId="7594B401"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3.8%</w:t>
            </w:r>
          </w:p>
        </w:tc>
      </w:tr>
      <w:tr w:rsidR="00C0415C" w:rsidRPr="00C0415C" w14:paraId="68555B53"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91BAF75"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BSEd</w:t>
            </w:r>
            <w:proofErr w:type="spellEnd"/>
          </w:p>
        </w:tc>
        <w:tc>
          <w:tcPr>
            <w:tcW w:w="2790" w:type="dxa"/>
            <w:tcBorders>
              <w:top w:val="nil"/>
              <w:left w:val="nil"/>
              <w:bottom w:val="single" w:sz="4" w:space="0" w:color="auto"/>
              <w:right w:val="single" w:sz="4" w:space="0" w:color="auto"/>
            </w:tcBorders>
            <w:noWrap/>
            <w:vAlign w:val="bottom"/>
            <w:hideMark/>
          </w:tcPr>
          <w:p w14:paraId="4626F67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97</w:t>
            </w:r>
          </w:p>
        </w:tc>
        <w:tc>
          <w:tcPr>
            <w:tcW w:w="2970" w:type="dxa"/>
            <w:tcBorders>
              <w:top w:val="nil"/>
              <w:left w:val="nil"/>
              <w:bottom w:val="single" w:sz="4" w:space="0" w:color="auto"/>
              <w:right w:val="single" w:sz="4" w:space="0" w:color="auto"/>
            </w:tcBorders>
            <w:noWrap/>
            <w:vAlign w:val="bottom"/>
            <w:hideMark/>
          </w:tcPr>
          <w:p w14:paraId="5FCA20B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30.6%</w:t>
            </w:r>
          </w:p>
        </w:tc>
      </w:tr>
      <w:tr w:rsidR="00C0415C" w:rsidRPr="00C0415C" w14:paraId="79E7C02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2D9D795D" w14:textId="77777777" w:rsidR="00C0415C" w:rsidRPr="00C0415C" w:rsidRDefault="00C0415C" w:rsidP="00FD64E6">
            <w:pPr>
              <w:ind w:left="720" w:hanging="720"/>
              <w:jc w:val="both"/>
              <w:rPr>
                <w:rFonts w:ascii="Arial" w:hAnsi="Arial" w:cs="Arial"/>
                <w:color w:val="000000"/>
                <w:lang w:eastAsia="en-PH"/>
              </w:rPr>
            </w:pPr>
            <w:proofErr w:type="spellStart"/>
            <w:r w:rsidRPr="00C0415C">
              <w:rPr>
                <w:rFonts w:ascii="Arial" w:hAnsi="Arial" w:cs="Arial"/>
                <w:color w:val="000000"/>
                <w:lang w:eastAsia="en-PH"/>
              </w:rPr>
              <w:t>BPEd</w:t>
            </w:r>
            <w:proofErr w:type="spellEnd"/>
          </w:p>
        </w:tc>
        <w:tc>
          <w:tcPr>
            <w:tcW w:w="2790" w:type="dxa"/>
            <w:tcBorders>
              <w:top w:val="nil"/>
              <w:left w:val="nil"/>
              <w:bottom w:val="single" w:sz="4" w:space="0" w:color="auto"/>
              <w:right w:val="single" w:sz="4" w:space="0" w:color="auto"/>
            </w:tcBorders>
            <w:noWrap/>
            <w:vAlign w:val="bottom"/>
            <w:hideMark/>
          </w:tcPr>
          <w:p w14:paraId="0D45A214"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w:t>
            </w:r>
          </w:p>
        </w:tc>
        <w:tc>
          <w:tcPr>
            <w:tcW w:w="2970" w:type="dxa"/>
            <w:tcBorders>
              <w:top w:val="nil"/>
              <w:left w:val="nil"/>
              <w:bottom w:val="single" w:sz="4" w:space="0" w:color="auto"/>
              <w:right w:val="single" w:sz="4" w:space="0" w:color="auto"/>
            </w:tcBorders>
            <w:noWrap/>
            <w:vAlign w:val="bottom"/>
            <w:hideMark/>
          </w:tcPr>
          <w:p w14:paraId="4367A31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1.3%</w:t>
            </w:r>
          </w:p>
        </w:tc>
      </w:tr>
      <w:tr w:rsidR="00C0415C" w:rsidRPr="00C0415C" w14:paraId="6C0914E9"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AC3977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AB</w:t>
            </w:r>
          </w:p>
        </w:tc>
        <w:tc>
          <w:tcPr>
            <w:tcW w:w="2790" w:type="dxa"/>
            <w:tcBorders>
              <w:top w:val="nil"/>
              <w:left w:val="nil"/>
              <w:bottom w:val="single" w:sz="4" w:space="0" w:color="auto"/>
              <w:right w:val="single" w:sz="4" w:space="0" w:color="auto"/>
            </w:tcBorders>
            <w:noWrap/>
            <w:vAlign w:val="bottom"/>
            <w:hideMark/>
          </w:tcPr>
          <w:p w14:paraId="4C96C7CF"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93</w:t>
            </w:r>
          </w:p>
        </w:tc>
        <w:tc>
          <w:tcPr>
            <w:tcW w:w="2970" w:type="dxa"/>
            <w:tcBorders>
              <w:top w:val="nil"/>
              <w:left w:val="nil"/>
              <w:bottom w:val="single" w:sz="4" w:space="0" w:color="auto"/>
              <w:right w:val="single" w:sz="4" w:space="0" w:color="auto"/>
            </w:tcBorders>
            <w:noWrap/>
            <w:vAlign w:val="bottom"/>
            <w:hideMark/>
          </w:tcPr>
          <w:p w14:paraId="4F7C3BA5"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29.3%</w:t>
            </w:r>
          </w:p>
        </w:tc>
      </w:tr>
      <w:tr w:rsidR="00C0415C" w:rsidRPr="00C0415C" w14:paraId="34D9A347"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3374250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BSBA</w:t>
            </w:r>
          </w:p>
        </w:tc>
        <w:tc>
          <w:tcPr>
            <w:tcW w:w="2790" w:type="dxa"/>
            <w:tcBorders>
              <w:top w:val="nil"/>
              <w:left w:val="nil"/>
              <w:bottom w:val="single" w:sz="4" w:space="0" w:color="auto"/>
              <w:right w:val="single" w:sz="4" w:space="0" w:color="auto"/>
            </w:tcBorders>
            <w:noWrap/>
            <w:vAlign w:val="bottom"/>
            <w:hideMark/>
          </w:tcPr>
          <w:p w14:paraId="09BD7D7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111</w:t>
            </w:r>
          </w:p>
        </w:tc>
        <w:tc>
          <w:tcPr>
            <w:tcW w:w="2970" w:type="dxa"/>
            <w:tcBorders>
              <w:top w:val="nil"/>
              <w:left w:val="nil"/>
              <w:bottom w:val="single" w:sz="4" w:space="0" w:color="auto"/>
              <w:right w:val="single" w:sz="4" w:space="0" w:color="auto"/>
            </w:tcBorders>
            <w:noWrap/>
            <w:vAlign w:val="bottom"/>
            <w:hideMark/>
          </w:tcPr>
          <w:p w14:paraId="45825A9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35%</w:t>
            </w:r>
          </w:p>
        </w:tc>
      </w:tr>
      <w:tr w:rsidR="00C0415C" w:rsidRPr="00C0415C" w14:paraId="31677F48"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C59A786"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790" w:type="dxa"/>
            <w:tcBorders>
              <w:top w:val="nil"/>
              <w:left w:val="nil"/>
              <w:bottom w:val="single" w:sz="4" w:space="0" w:color="auto"/>
              <w:right w:val="single" w:sz="4" w:space="0" w:color="auto"/>
            </w:tcBorders>
            <w:noWrap/>
            <w:vAlign w:val="bottom"/>
            <w:hideMark/>
          </w:tcPr>
          <w:p w14:paraId="367C7328"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970" w:type="dxa"/>
            <w:tcBorders>
              <w:top w:val="nil"/>
              <w:left w:val="nil"/>
              <w:bottom w:val="single" w:sz="4" w:space="0" w:color="auto"/>
              <w:right w:val="single" w:sz="4" w:space="0" w:color="auto"/>
            </w:tcBorders>
            <w:noWrap/>
            <w:vAlign w:val="bottom"/>
            <w:hideMark/>
          </w:tcPr>
          <w:p w14:paraId="5F5A973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2D8327BB" w14:textId="77777777" w:rsidR="00D40413" w:rsidRDefault="00D40413" w:rsidP="00C65F89">
      <w:pPr>
        <w:jc w:val="both"/>
      </w:pPr>
    </w:p>
    <w:p w14:paraId="1300DBD3" w14:textId="2093F298" w:rsidR="00C0415C" w:rsidRPr="00C0415C" w:rsidRDefault="00C0415C" w:rsidP="00C0415C">
      <w:pPr>
        <w:ind w:left="720" w:hanging="720"/>
        <w:jc w:val="both"/>
        <w:rPr>
          <w:rFonts w:ascii="Arial" w:hAnsi="Arial" w:cs="Arial"/>
          <w:b/>
          <w:bCs/>
        </w:rPr>
      </w:pPr>
      <w:r w:rsidRPr="00C0415C">
        <w:rPr>
          <w:rFonts w:ascii="Arial" w:hAnsi="Arial" w:cs="Arial"/>
          <w:b/>
          <w:bCs/>
        </w:rPr>
        <w:t xml:space="preserve">Table </w:t>
      </w:r>
      <w:r w:rsidR="0032066F">
        <w:rPr>
          <w:rFonts w:ascii="Arial" w:hAnsi="Arial" w:cs="Arial"/>
          <w:b/>
          <w:bCs/>
        </w:rPr>
        <w:t>4</w:t>
      </w:r>
      <w:r w:rsidRPr="00C0415C">
        <w:rPr>
          <w:rFonts w:ascii="Arial" w:hAnsi="Arial" w:cs="Arial"/>
          <w:b/>
          <w:bCs/>
        </w:rPr>
        <w:t>. Demographic Profile of College Students in terms of Year Level</w:t>
      </w:r>
    </w:p>
    <w:tbl>
      <w:tblPr>
        <w:tblW w:w="8730" w:type="dxa"/>
        <w:tblInd w:w="-5" w:type="dxa"/>
        <w:tblLook w:val="04A0" w:firstRow="1" w:lastRow="0" w:firstColumn="1" w:lastColumn="0" w:noHBand="0" w:noVBand="1"/>
      </w:tblPr>
      <w:tblGrid>
        <w:gridCol w:w="2970"/>
        <w:gridCol w:w="2880"/>
        <w:gridCol w:w="2880"/>
      </w:tblGrid>
      <w:tr w:rsidR="00C0415C" w:rsidRPr="00C0415C" w14:paraId="0191591A" w14:textId="77777777" w:rsidTr="00FD64E6">
        <w:trPr>
          <w:trHeight w:val="310"/>
        </w:trPr>
        <w:tc>
          <w:tcPr>
            <w:tcW w:w="2970" w:type="dxa"/>
            <w:tcBorders>
              <w:top w:val="single" w:sz="4" w:space="0" w:color="auto"/>
              <w:left w:val="single" w:sz="4" w:space="0" w:color="auto"/>
              <w:bottom w:val="single" w:sz="4" w:space="0" w:color="auto"/>
              <w:right w:val="single" w:sz="4" w:space="0" w:color="auto"/>
            </w:tcBorders>
            <w:noWrap/>
            <w:vAlign w:val="bottom"/>
            <w:hideMark/>
          </w:tcPr>
          <w:p w14:paraId="22FDF2D0"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Year Level</w:t>
            </w:r>
          </w:p>
        </w:tc>
        <w:tc>
          <w:tcPr>
            <w:tcW w:w="2880" w:type="dxa"/>
            <w:tcBorders>
              <w:top w:val="single" w:sz="4" w:space="0" w:color="auto"/>
              <w:left w:val="nil"/>
              <w:bottom w:val="single" w:sz="4" w:space="0" w:color="auto"/>
              <w:right w:val="single" w:sz="4" w:space="0" w:color="auto"/>
            </w:tcBorders>
            <w:noWrap/>
            <w:vAlign w:val="bottom"/>
            <w:hideMark/>
          </w:tcPr>
          <w:p w14:paraId="0358E225"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Frequency</w:t>
            </w:r>
          </w:p>
        </w:tc>
        <w:tc>
          <w:tcPr>
            <w:tcW w:w="2880" w:type="dxa"/>
            <w:tcBorders>
              <w:top w:val="single" w:sz="4" w:space="0" w:color="auto"/>
              <w:left w:val="nil"/>
              <w:bottom w:val="single" w:sz="4" w:space="0" w:color="auto"/>
              <w:right w:val="single" w:sz="4" w:space="0" w:color="auto"/>
            </w:tcBorders>
            <w:noWrap/>
            <w:vAlign w:val="bottom"/>
            <w:hideMark/>
          </w:tcPr>
          <w:p w14:paraId="03E84AFC"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Percentage</w:t>
            </w:r>
          </w:p>
        </w:tc>
      </w:tr>
      <w:tr w:rsidR="00C0415C" w:rsidRPr="00C0415C" w14:paraId="1EE80A2E"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013ECB9"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First Year</w:t>
            </w:r>
          </w:p>
        </w:tc>
        <w:tc>
          <w:tcPr>
            <w:tcW w:w="2880" w:type="dxa"/>
            <w:tcBorders>
              <w:top w:val="nil"/>
              <w:left w:val="nil"/>
              <w:bottom w:val="single" w:sz="4" w:space="0" w:color="auto"/>
              <w:right w:val="single" w:sz="4" w:space="0" w:color="auto"/>
            </w:tcBorders>
            <w:noWrap/>
            <w:vAlign w:val="bottom"/>
            <w:hideMark/>
          </w:tcPr>
          <w:p w14:paraId="576D4A7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47</w:t>
            </w:r>
          </w:p>
        </w:tc>
        <w:tc>
          <w:tcPr>
            <w:tcW w:w="2880" w:type="dxa"/>
            <w:tcBorders>
              <w:top w:val="nil"/>
              <w:left w:val="nil"/>
              <w:bottom w:val="single" w:sz="4" w:space="0" w:color="auto"/>
              <w:right w:val="single" w:sz="4" w:space="0" w:color="auto"/>
            </w:tcBorders>
            <w:noWrap/>
            <w:vAlign w:val="bottom"/>
            <w:hideMark/>
          </w:tcPr>
          <w:p w14:paraId="16CF0463"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14.90%</w:t>
            </w:r>
          </w:p>
        </w:tc>
      </w:tr>
      <w:tr w:rsidR="00C0415C" w:rsidRPr="00C0415C" w14:paraId="1821B3AF"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46DB53BD"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Second Year</w:t>
            </w:r>
          </w:p>
        </w:tc>
        <w:tc>
          <w:tcPr>
            <w:tcW w:w="2880" w:type="dxa"/>
            <w:tcBorders>
              <w:top w:val="nil"/>
              <w:left w:val="nil"/>
              <w:bottom w:val="single" w:sz="4" w:space="0" w:color="auto"/>
              <w:right w:val="single" w:sz="4" w:space="0" w:color="auto"/>
            </w:tcBorders>
            <w:noWrap/>
            <w:vAlign w:val="bottom"/>
            <w:hideMark/>
          </w:tcPr>
          <w:p w14:paraId="6728490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37</w:t>
            </w:r>
          </w:p>
        </w:tc>
        <w:tc>
          <w:tcPr>
            <w:tcW w:w="2880" w:type="dxa"/>
            <w:tcBorders>
              <w:top w:val="nil"/>
              <w:left w:val="nil"/>
              <w:bottom w:val="single" w:sz="4" w:space="0" w:color="auto"/>
              <w:right w:val="single" w:sz="4" w:space="0" w:color="auto"/>
            </w:tcBorders>
            <w:noWrap/>
            <w:vAlign w:val="bottom"/>
            <w:hideMark/>
          </w:tcPr>
          <w:p w14:paraId="0F85B948"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11.40%</w:t>
            </w:r>
          </w:p>
        </w:tc>
      </w:tr>
      <w:tr w:rsidR="00C0415C" w:rsidRPr="00C0415C" w14:paraId="14C21A20"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5FF700B6"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Third Year</w:t>
            </w:r>
          </w:p>
        </w:tc>
        <w:tc>
          <w:tcPr>
            <w:tcW w:w="2880" w:type="dxa"/>
            <w:tcBorders>
              <w:top w:val="nil"/>
              <w:left w:val="nil"/>
              <w:bottom w:val="single" w:sz="4" w:space="0" w:color="auto"/>
              <w:right w:val="single" w:sz="4" w:space="0" w:color="auto"/>
            </w:tcBorders>
            <w:noWrap/>
            <w:vAlign w:val="bottom"/>
            <w:hideMark/>
          </w:tcPr>
          <w:p w14:paraId="21E3328A"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118</w:t>
            </w:r>
          </w:p>
        </w:tc>
        <w:tc>
          <w:tcPr>
            <w:tcW w:w="2880" w:type="dxa"/>
            <w:tcBorders>
              <w:top w:val="nil"/>
              <w:left w:val="nil"/>
              <w:bottom w:val="single" w:sz="4" w:space="0" w:color="auto"/>
              <w:right w:val="single" w:sz="4" w:space="0" w:color="auto"/>
            </w:tcBorders>
            <w:noWrap/>
            <w:vAlign w:val="bottom"/>
            <w:hideMark/>
          </w:tcPr>
          <w:p w14:paraId="2416AB9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37.80%</w:t>
            </w:r>
          </w:p>
        </w:tc>
      </w:tr>
      <w:tr w:rsidR="00C0415C" w:rsidRPr="00C0415C" w14:paraId="175E3D5A"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7570F5A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Fourth Year</w:t>
            </w:r>
          </w:p>
        </w:tc>
        <w:tc>
          <w:tcPr>
            <w:tcW w:w="2880" w:type="dxa"/>
            <w:tcBorders>
              <w:top w:val="nil"/>
              <w:left w:val="nil"/>
              <w:bottom w:val="single" w:sz="4" w:space="0" w:color="auto"/>
              <w:right w:val="single" w:sz="4" w:space="0" w:color="auto"/>
            </w:tcBorders>
            <w:noWrap/>
            <w:vAlign w:val="bottom"/>
            <w:hideMark/>
          </w:tcPr>
          <w:p w14:paraId="098D9C3B"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115</w:t>
            </w:r>
          </w:p>
        </w:tc>
        <w:tc>
          <w:tcPr>
            <w:tcW w:w="2880" w:type="dxa"/>
            <w:tcBorders>
              <w:top w:val="nil"/>
              <w:left w:val="nil"/>
              <w:bottom w:val="single" w:sz="4" w:space="0" w:color="auto"/>
              <w:right w:val="single" w:sz="4" w:space="0" w:color="auto"/>
            </w:tcBorders>
            <w:noWrap/>
            <w:vAlign w:val="bottom"/>
            <w:hideMark/>
          </w:tcPr>
          <w:p w14:paraId="18AF47B2" w14:textId="77777777" w:rsidR="00C0415C" w:rsidRPr="00C0415C" w:rsidRDefault="00C0415C" w:rsidP="00FD64E6">
            <w:pPr>
              <w:ind w:left="720" w:hanging="720"/>
              <w:jc w:val="both"/>
              <w:rPr>
                <w:rFonts w:ascii="Arial" w:hAnsi="Arial" w:cs="Arial"/>
                <w:color w:val="000000"/>
                <w:lang w:eastAsia="en-PH"/>
              </w:rPr>
            </w:pPr>
            <w:r w:rsidRPr="00C0415C">
              <w:rPr>
                <w:rFonts w:ascii="Arial" w:hAnsi="Arial" w:cs="Arial"/>
                <w:color w:val="000000"/>
                <w:lang w:eastAsia="en-PH"/>
              </w:rPr>
              <w:t>36.40%</w:t>
            </w:r>
          </w:p>
        </w:tc>
      </w:tr>
      <w:tr w:rsidR="00C0415C" w:rsidRPr="00C0415C" w14:paraId="38BD71C1" w14:textId="77777777" w:rsidTr="00FD64E6">
        <w:trPr>
          <w:trHeight w:val="310"/>
        </w:trPr>
        <w:tc>
          <w:tcPr>
            <w:tcW w:w="2970" w:type="dxa"/>
            <w:tcBorders>
              <w:top w:val="nil"/>
              <w:left w:val="single" w:sz="4" w:space="0" w:color="auto"/>
              <w:bottom w:val="single" w:sz="4" w:space="0" w:color="auto"/>
              <w:right w:val="single" w:sz="4" w:space="0" w:color="auto"/>
            </w:tcBorders>
            <w:noWrap/>
            <w:vAlign w:val="bottom"/>
            <w:hideMark/>
          </w:tcPr>
          <w:p w14:paraId="15645654"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Total</w:t>
            </w:r>
          </w:p>
        </w:tc>
        <w:tc>
          <w:tcPr>
            <w:tcW w:w="2880" w:type="dxa"/>
            <w:tcBorders>
              <w:top w:val="nil"/>
              <w:left w:val="nil"/>
              <w:bottom w:val="single" w:sz="4" w:space="0" w:color="auto"/>
              <w:right w:val="single" w:sz="4" w:space="0" w:color="auto"/>
            </w:tcBorders>
            <w:noWrap/>
            <w:vAlign w:val="bottom"/>
            <w:hideMark/>
          </w:tcPr>
          <w:p w14:paraId="45508392"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317</w:t>
            </w:r>
          </w:p>
        </w:tc>
        <w:tc>
          <w:tcPr>
            <w:tcW w:w="2880" w:type="dxa"/>
            <w:tcBorders>
              <w:top w:val="nil"/>
              <w:left w:val="nil"/>
              <w:bottom w:val="single" w:sz="4" w:space="0" w:color="auto"/>
              <w:right w:val="single" w:sz="4" w:space="0" w:color="auto"/>
            </w:tcBorders>
            <w:noWrap/>
            <w:vAlign w:val="bottom"/>
            <w:hideMark/>
          </w:tcPr>
          <w:p w14:paraId="3CD45493" w14:textId="77777777" w:rsidR="00C0415C" w:rsidRPr="00C0415C" w:rsidRDefault="00C0415C" w:rsidP="00FD64E6">
            <w:pPr>
              <w:ind w:left="720" w:hanging="720"/>
              <w:jc w:val="both"/>
              <w:rPr>
                <w:rFonts w:ascii="Arial" w:hAnsi="Arial" w:cs="Arial"/>
                <w:b/>
                <w:bCs/>
                <w:color w:val="000000"/>
                <w:lang w:eastAsia="en-PH"/>
              </w:rPr>
            </w:pPr>
            <w:r w:rsidRPr="00C0415C">
              <w:rPr>
                <w:rFonts w:ascii="Arial" w:hAnsi="Arial" w:cs="Arial"/>
                <w:b/>
                <w:bCs/>
                <w:color w:val="000000"/>
                <w:lang w:eastAsia="en-PH"/>
              </w:rPr>
              <w:t>100%</w:t>
            </w:r>
          </w:p>
        </w:tc>
      </w:tr>
    </w:tbl>
    <w:p w14:paraId="498EF23B" w14:textId="77777777" w:rsidR="00D40413" w:rsidRDefault="00D40413" w:rsidP="00C65F89">
      <w:pPr>
        <w:jc w:val="both"/>
        <w:rPr>
          <w:lang w:val="en-PH"/>
        </w:rPr>
      </w:pPr>
    </w:p>
    <w:p w14:paraId="217FCEDE" w14:textId="1A054A7B" w:rsidR="0032066F" w:rsidRPr="0032066F" w:rsidRDefault="0032066F" w:rsidP="0032066F">
      <w:pPr>
        <w:ind w:left="720" w:hanging="720"/>
        <w:jc w:val="both"/>
        <w:rPr>
          <w:rFonts w:ascii="Arial" w:hAnsi="Arial" w:cs="Arial"/>
          <w:b/>
          <w:bCs/>
        </w:rPr>
      </w:pPr>
      <w:r w:rsidRPr="0032066F">
        <w:rPr>
          <w:rFonts w:ascii="Arial" w:hAnsi="Arial" w:cs="Arial"/>
          <w:b/>
          <w:bCs/>
        </w:rPr>
        <w:t>Table 5. Extent of Involvement of the Students in the Community Extension Programs</w:t>
      </w:r>
    </w:p>
    <w:tbl>
      <w:tblPr>
        <w:tblW w:w="9000" w:type="dxa"/>
        <w:tblLook w:val="04A0" w:firstRow="1" w:lastRow="0" w:firstColumn="1" w:lastColumn="0" w:noHBand="0" w:noVBand="1"/>
      </w:tblPr>
      <w:tblGrid>
        <w:gridCol w:w="2700"/>
        <w:gridCol w:w="1990"/>
        <w:gridCol w:w="1790"/>
        <w:gridCol w:w="990"/>
        <w:gridCol w:w="1681"/>
      </w:tblGrid>
      <w:tr w:rsidR="0032066F" w:rsidRPr="0032066F" w14:paraId="3FFD6ACF" w14:textId="77777777" w:rsidTr="00FD64E6">
        <w:trPr>
          <w:trHeight w:val="320"/>
        </w:trPr>
        <w:tc>
          <w:tcPr>
            <w:tcW w:w="2700" w:type="dxa"/>
            <w:tcBorders>
              <w:top w:val="nil"/>
              <w:left w:val="nil"/>
              <w:bottom w:val="nil"/>
              <w:right w:val="nil"/>
            </w:tcBorders>
            <w:noWrap/>
            <w:vAlign w:val="bottom"/>
            <w:hideMark/>
          </w:tcPr>
          <w:p w14:paraId="3F2FE2CE" w14:textId="77777777" w:rsidR="0032066F" w:rsidRPr="0032066F" w:rsidRDefault="0032066F" w:rsidP="00FD64E6">
            <w:pPr>
              <w:jc w:val="center"/>
              <w:rPr>
                <w:rFonts w:ascii="Arial" w:hAnsi="Arial" w:cs="Arial"/>
                <w:b/>
                <w:bCs/>
                <w:color w:val="000000"/>
                <w:lang w:eastAsia="en-PH"/>
              </w:rPr>
            </w:pPr>
            <w:r w:rsidRPr="0032066F">
              <w:rPr>
                <w:rFonts w:ascii="Arial" w:hAnsi="Arial" w:cs="Arial"/>
                <w:b/>
                <w:bCs/>
                <w:color w:val="000000"/>
                <w:lang w:eastAsia="en-PH"/>
              </w:rPr>
              <w:t>Community Extension Programs</w:t>
            </w:r>
          </w:p>
        </w:tc>
        <w:tc>
          <w:tcPr>
            <w:tcW w:w="1990" w:type="dxa"/>
            <w:tcBorders>
              <w:top w:val="nil"/>
              <w:left w:val="nil"/>
              <w:bottom w:val="nil"/>
              <w:right w:val="nil"/>
            </w:tcBorders>
            <w:noWrap/>
            <w:vAlign w:val="bottom"/>
            <w:hideMark/>
          </w:tcPr>
          <w:p w14:paraId="2B1CCF9B" w14:textId="77777777" w:rsidR="0032066F" w:rsidRPr="0032066F" w:rsidRDefault="0032066F" w:rsidP="00FD64E6">
            <w:pPr>
              <w:ind w:left="720" w:hanging="720"/>
              <w:rPr>
                <w:rFonts w:ascii="Arial" w:hAnsi="Arial" w:cs="Arial"/>
                <w:b/>
                <w:bCs/>
                <w:color w:val="000000"/>
                <w:lang w:eastAsia="en-PH"/>
              </w:rPr>
            </w:pPr>
            <w:r w:rsidRPr="0032066F">
              <w:rPr>
                <w:rFonts w:ascii="Arial" w:hAnsi="Arial" w:cs="Arial"/>
                <w:b/>
                <w:bCs/>
                <w:color w:val="000000"/>
                <w:lang w:eastAsia="en-PH"/>
              </w:rPr>
              <w:t>Basic Education</w:t>
            </w:r>
          </w:p>
        </w:tc>
        <w:tc>
          <w:tcPr>
            <w:tcW w:w="1790" w:type="dxa"/>
            <w:tcBorders>
              <w:top w:val="nil"/>
              <w:left w:val="nil"/>
              <w:bottom w:val="nil"/>
              <w:right w:val="nil"/>
            </w:tcBorders>
            <w:noWrap/>
            <w:vAlign w:val="bottom"/>
            <w:hideMark/>
          </w:tcPr>
          <w:p w14:paraId="0B552DD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c>
          <w:tcPr>
            <w:tcW w:w="990" w:type="dxa"/>
            <w:tcBorders>
              <w:top w:val="nil"/>
              <w:left w:val="nil"/>
              <w:bottom w:val="nil"/>
              <w:right w:val="nil"/>
            </w:tcBorders>
            <w:noWrap/>
            <w:vAlign w:val="bottom"/>
            <w:hideMark/>
          </w:tcPr>
          <w:p w14:paraId="5DCBBA30"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College</w:t>
            </w:r>
          </w:p>
        </w:tc>
        <w:tc>
          <w:tcPr>
            <w:tcW w:w="1530" w:type="dxa"/>
            <w:tcBorders>
              <w:top w:val="nil"/>
              <w:left w:val="nil"/>
              <w:bottom w:val="nil"/>
              <w:right w:val="nil"/>
            </w:tcBorders>
            <w:noWrap/>
            <w:vAlign w:val="bottom"/>
            <w:hideMark/>
          </w:tcPr>
          <w:p w14:paraId="6BB2A8AA"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r>
      <w:tr w:rsidR="0032066F" w:rsidRPr="0032066F" w14:paraId="7953CFC2" w14:textId="77777777" w:rsidTr="00FD64E6">
        <w:trPr>
          <w:trHeight w:val="310"/>
        </w:trPr>
        <w:tc>
          <w:tcPr>
            <w:tcW w:w="2700" w:type="dxa"/>
            <w:tcBorders>
              <w:top w:val="single" w:sz="8" w:space="0" w:color="auto"/>
              <w:left w:val="single" w:sz="8" w:space="0" w:color="auto"/>
              <w:bottom w:val="nil"/>
              <w:right w:val="nil"/>
            </w:tcBorders>
            <w:noWrap/>
            <w:vAlign w:val="bottom"/>
            <w:hideMark/>
          </w:tcPr>
          <w:p w14:paraId="77F7542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Feeding Program</w:t>
            </w:r>
          </w:p>
        </w:tc>
        <w:tc>
          <w:tcPr>
            <w:tcW w:w="1990" w:type="dxa"/>
            <w:tcBorders>
              <w:top w:val="single" w:sz="8" w:space="0" w:color="auto"/>
              <w:left w:val="nil"/>
              <w:bottom w:val="nil"/>
              <w:right w:val="nil"/>
            </w:tcBorders>
            <w:noWrap/>
            <w:vAlign w:val="bottom"/>
            <w:hideMark/>
          </w:tcPr>
          <w:p w14:paraId="6664248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2.75</w:t>
            </w:r>
          </w:p>
        </w:tc>
        <w:tc>
          <w:tcPr>
            <w:tcW w:w="1790" w:type="dxa"/>
            <w:tcBorders>
              <w:top w:val="single" w:sz="8" w:space="0" w:color="auto"/>
              <w:left w:val="nil"/>
              <w:bottom w:val="nil"/>
              <w:right w:val="nil"/>
            </w:tcBorders>
            <w:noWrap/>
            <w:vAlign w:val="bottom"/>
            <w:hideMark/>
          </w:tcPr>
          <w:p w14:paraId="2ADAFAA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single" w:sz="8" w:space="0" w:color="auto"/>
              <w:left w:val="nil"/>
              <w:bottom w:val="nil"/>
              <w:right w:val="nil"/>
            </w:tcBorders>
            <w:noWrap/>
            <w:vAlign w:val="bottom"/>
            <w:hideMark/>
          </w:tcPr>
          <w:p w14:paraId="2DCFCDA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3.17</w:t>
            </w:r>
          </w:p>
        </w:tc>
        <w:tc>
          <w:tcPr>
            <w:tcW w:w="1530" w:type="dxa"/>
            <w:tcBorders>
              <w:top w:val="single" w:sz="8" w:space="0" w:color="auto"/>
              <w:left w:val="nil"/>
              <w:bottom w:val="nil"/>
              <w:right w:val="single" w:sz="8" w:space="0" w:color="auto"/>
            </w:tcBorders>
            <w:noWrap/>
            <w:vAlign w:val="bottom"/>
            <w:hideMark/>
          </w:tcPr>
          <w:p w14:paraId="1811AE2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1ACDC58C" w14:textId="77777777" w:rsidTr="00FD64E6">
        <w:trPr>
          <w:trHeight w:val="310"/>
        </w:trPr>
        <w:tc>
          <w:tcPr>
            <w:tcW w:w="2700" w:type="dxa"/>
            <w:tcBorders>
              <w:top w:val="nil"/>
              <w:left w:val="single" w:sz="8" w:space="0" w:color="auto"/>
              <w:bottom w:val="nil"/>
              <w:right w:val="nil"/>
            </w:tcBorders>
            <w:noWrap/>
            <w:vAlign w:val="bottom"/>
            <w:hideMark/>
          </w:tcPr>
          <w:p w14:paraId="1F56366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 xml:space="preserve">Capacity Building </w:t>
            </w:r>
          </w:p>
        </w:tc>
        <w:tc>
          <w:tcPr>
            <w:tcW w:w="1990" w:type="dxa"/>
            <w:tcBorders>
              <w:top w:val="nil"/>
              <w:left w:val="nil"/>
              <w:bottom w:val="nil"/>
              <w:right w:val="nil"/>
            </w:tcBorders>
            <w:noWrap/>
            <w:vAlign w:val="bottom"/>
            <w:hideMark/>
          </w:tcPr>
          <w:p w14:paraId="4971905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3.11</w:t>
            </w:r>
          </w:p>
        </w:tc>
        <w:tc>
          <w:tcPr>
            <w:tcW w:w="1790" w:type="dxa"/>
            <w:tcBorders>
              <w:top w:val="nil"/>
              <w:left w:val="nil"/>
              <w:bottom w:val="nil"/>
              <w:right w:val="nil"/>
            </w:tcBorders>
            <w:noWrap/>
            <w:vAlign w:val="bottom"/>
            <w:hideMark/>
          </w:tcPr>
          <w:p w14:paraId="24BB36A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3D2D088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3.53</w:t>
            </w:r>
          </w:p>
        </w:tc>
        <w:tc>
          <w:tcPr>
            <w:tcW w:w="1530" w:type="dxa"/>
            <w:tcBorders>
              <w:top w:val="nil"/>
              <w:left w:val="nil"/>
              <w:bottom w:val="nil"/>
              <w:right w:val="single" w:sz="8" w:space="0" w:color="auto"/>
            </w:tcBorders>
            <w:noWrap/>
            <w:vAlign w:val="bottom"/>
            <w:hideMark/>
          </w:tcPr>
          <w:p w14:paraId="03ACE4A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77637BC8" w14:textId="77777777" w:rsidTr="00FD64E6">
        <w:trPr>
          <w:trHeight w:val="310"/>
        </w:trPr>
        <w:tc>
          <w:tcPr>
            <w:tcW w:w="2700" w:type="dxa"/>
            <w:tcBorders>
              <w:top w:val="nil"/>
              <w:left w:val="single" w:sz="8" w:space="0" w:color="auto"/>
              <w:bottom w:val="nil"/>
              <w:right w:val="nil"/>
            </w:tcBorders>
            <w:noWrap/>
            <w:vAlign w:val="bottom"/>
            <w:hideMark/>
          </w:tcPr>
          <w:p w14:paraId="632059A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Literacy Program</w:t>
            </w:r>
          </w:p>
        </w:tc>
        <w:tc>
          <w:tcPr>
            <w:tcW w:w="1990" w:type="dxa"/>
            <w:tcBorders>
              <w:top w:val="nil"/>
              <w:left w:val="nil"/>
              <w:bottom w:val="nil"/>
              <w:right w:val="nil"/>
            </w:tcBorders>
            <w:noWrap/>
            <w:vAlign w:val="bottom"/>
            <w:hideMark/>
          </w:tcPr>
          <w:p w14:paraId="6B1B8A8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2.68</w:t>
            </w:r>
          </w:p>
        </w:tc>
        <w:tc>
          <w:tcPr>
            <w:tcW w:w="1790" w:type="dxa"/>
            <w:tcBorders>
              <w:top w:val="nil"/>
              <w:left w:val="nil"/>
              <w:bottom w:val="nil"/>
              <w:right w:val="nil"/>
            </w:tcBorders>
            <w:noWrap/>
            <w:vAlign w:val="bottom"/>
            <w:hideMark/>
          </w:tcPr>
          <w:p w14:paraId="1A9DF50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38CD9F7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3.10</w:t>
            </w:r>
          </w:p>
        </w:tc>
        <w:tc>
          <w:tcPr>
            <w:tcW w:w="1530" w:type="dxa"/>
            <w:tcBorders>
              <w:top w:val="nil"/>
              <w:left w:val="nil"/>
              <w:bottom w:val="nil"/>
              <w:right w:val="single" w:sz="8" w:space="0" w:color="auto"/>
            </w:tcBorders>
            <w:noWrap/>
            <w:vAlign w:val="bottom"/>
            <w:hideMark/>
          </w:tcPr>
          <w:p w14:paraId="436AE86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55783B24" w14:textId="77777777" w:rsidTr="00FD64E6">
        <w:trPr>
          <w:trHeight w:val="310"/>
        </w:trPr>
        <w:tc>
          <w:tcPr>
            <w:tcW w:w="2700" w:type="dxa"/>
            <w:tcBorders>
              <w:top w:val="nil"/>
              <w:left w:val="single" w:sz="8" w:space="0" w:color="auto"/>
              <w:bottom w:val="nil"/>
              <w:right w:val="nil"/>
            </w:tcBorders>
            <w:noWrap/>
            <w:vAlign w:val="bottom"/>
            <w:hideMark/>
          </w:tcPr>
          <w:p w14:paraId="3E908DD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Catechism (MRYE)</w:t>
            </w:r>
          </w:p>
        </w:tc>
        <w:tc>
          <w:tcPr>
            <w:tcW w:w="1990" w:type="dxa"/>
            <w:tcBorders>
              <w:top w:val="nil"/>
              <w:left w:val="nil"/>
              <w:bottom w:val="nil"/>
              <w:right w:val="nil"/>
            </w:tcBorders>
            <w:noWrap/>
            <w:vAlign w:val="bottom"/>
            <w:hideMark/>
          </w:tcPr>
          <w:p w14:paraId="4A9F0178"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2.78</w:t>
            </w:r>
          </w:p>
        </w:tc>
        <w:tc>
          <w:tcPr>
            <w:tcW w:w="1790" w:type="dxa"/>
            <w:tcBorders>
              <w:top w:val="nil"/>
              <w:left w:val="nil"/>
              <w:bottom w:val="nil"/>
              <w:right w:val="nil"/>
            </w:tcBorders>
            <w:noWrap/>
            <w:vAlign w:val="bottom"/>
            <w:hideMark/>
          </w:tcPr>
          <w:p w14:paraId="51083C8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4407AC8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3.28</w:t>
            </w:r>
          </w:p>
        </w:tc>
        <w:tc>
          <w:tcPr>
            <w:tcW w:w="1530" w:type="dxa"/>
            <w:tcBorders>
              <w:top w:val="nil"/>
              <w:left w:val="nil"/>
              <w:bottom w:val="nil"/>
              <w:right w:val="single" w:sz="8" w:space="0" w:color="auto"/>
            </w:tcBorders>
            <w:noWrap/>
            <w:vAlign w:val="bottom"/>
            <w:hideMark/>
          </w:tcPr>
          <w:p w14:paraId="7572F04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229C023F" w14:textId="77777777" w:rsidTr="00FD64E6">
        <w:trPr>
          <w:trHeight w:val="310"/>
        </w:trPr>
        <w:tc>
          <w:tcPr>
            <w:tcW w:w="2700" w:type="dxa"/>
            <w:tcBorders>
              <w:top w:val="nil"/>
              <w:left w:val="single" w:sz="8" w:space="0" w:color="auto"/>
              <w:bottom w:val="nil"/>
              <w:right w:val="nil"/>
            </w:tcBorders>
            <w:noWrap/>
            <w:vAlign w:val="bottom"/>
            <w:hideMark/>
          </w:tcPr>
          <w:p w14:paraId="0081B73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Relief Operation</w:t>
            </w:r>
          </w:p>
        </w:tc>
        <w:tc>
          <w:tcPr>
            <w:tcW w:w="1990" w:type="dxa"/>
            <w:tcBorders>
              <w:top w:val="nil"/>
              <w:left w:val="nil"/>
              <w:bottom w:val="nil"/>
              <w:right w:val="nil"/>
            </w:tcBorders>
            <w:noWrap/>
            <w:vAlign w:val="bottom"/>
            <w:hideMark/>
          </w:tcPr>
          <w:p w14:paraId="0B5E520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3.55</w:t>
            </w:r>
          </w:p>
        </w:tc>
        <w:tc>
          <w:tcPr>
            <w:tcW w:w="1790" w:type="dxa"/>
            <w:tcBorders>
              <w:top w:val="nil"/>
              <w:left w:val="nil"/>
              <w:bottom w:val="nil"/>
              <w:right w:val="nil"/>
            </w:tcBorders>
            <w:noWrap/>
            <w:vAlign w:val="bottom"/>
            <w:hideMark/>
          </w:tcPr>
          <w:p w14:paraId="3C7CE3D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c>
          <w:tcPr>
            <w:tcW w:w="990" w:type="dxa"/>
            <w:tcBorders>
              <w:top w:val="nil"/>
              <w:left w:val="nil"/>
              <w:bottom w:val="nil"/>
              <w:right w:val="nil"/>
            </w:tcBorders>
            <w:noWrap/>
            <w:vAlign w:val="bottom"/>
            <w:hideMark/>
          </w:tcPr>
          <w:p w14:paraId="1E3D1DD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3.41</w:t>
            </w:r>
          </w:p>
        </w:tc>
        <w:tc>
          <w:tcPr>
            <w:tcW w:w="1530" w:type="dxa"/>
            <w:tcBorders>
              <w:top w:val="nil"/>
              <w:left w:val="nil"/>
              <w:bottom w:val="nil"/>
              <w:right w:val="single" w:sz="8" w:space="0" w:color="auto"/>
            </w:tcBorders>
            <w:noWrap/>
            <w:vAlign w:val="bottom"/>
            <w:hideMark/>
          </w:tcPr>
          <w:p w14:paraId="29AE666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58270E29" w14:textId="77777777" w:rsidTr="00FD64E6">
        <w:trPr>
          <w:trHeight w:val="310"/>
        </w:trPr>
        <w:tc>
          <w:tcPr>
            <w:tcW w:w="2700" w:type="dxa"/>
            <w:tcBorders>
              <w:top w:val="nil"/>
              <w:left w:val="single" w:sz="8" w:space="0" w:color="auto"/>
              <w:bottom w:val="nil"/>
              <w:right w:val="nil"/>
            </w:tcBorders>
            <w:noWrap/>
            <w:vAlign w:val="bottom"/>
            <w:hideMark/>
          </w:tcPr>
          <w:p w14:paraId="560EE98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Orphanage</w:t>
            </w:r>
          </w:p>
        </w:tc>
        <w:tc>
          <w:tcPr>
            <w:tcW w:w="1990" w:type="dxa"/>
            <w:tcBorders>
              <w:top w:val="nil"/>
              <w:left w:val="nil"/>
              <w:bottom w:val="nil"/>
              <w:right w:val="nil"/>
            </w:tcBorders>
            <w:noWrap/>
            <w:vAlign w:val="bottom"/>
            <w:hideMark/>
          </w:tcPr>
          <w:p w14:paraId="1521B43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2.52</w:t>
            </w:r>
          </w:p>
        </w:tc>
        <w:tc>
          <w:tcPr>
            <w:tcW w:w="1790" w:type="dxa"/>
            <w:tcBorders>
              <w:top w:val="nil"/>
              <w:left w:val="nil"/>
              <w:bottom w:val="nil"/>
              <w:right w:val="nil"/>
            </w:tcBorders>
            <w:noWrap/>
            <w:vAlign w:val="bottom"/>
            <w:hideMark/>
          </w:tcPr>
          <w:p w14:paraId="490A6E9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c>
          <w:tcPr>
            <w:tcW w:w="990" w:type="dxa"/>
            <w:tcBorders>
              <w:top w:val="nil"/>
              <w:left w:val="nil"/>
              <w:bottom w:val="nil"/>
              <w:right w:val="nil"/>
            </w:tcBorders>
            <w:noWrap/>
            <w:vAlign w:val="bottom"/>
            <w:hideMark/>
          </w:tcPr>
          <w:p w14:paraId="3041E9A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2.47</w:t>
            </w:r>
          </w:p>
        </w:tc>
        <w:tc>
          <w:tcPr>
            <w:tcW w:w="1530" w:type="dxa"/>
            <w:tcBorders>
              <w:top w:val="nil"/>
              <w:left w:val="nil"/>
              <w:bottom w:val="nil"/>
              <w:right w:val="single" w:sz="8" w:space="0" w:color="auto"/>
            </w:tcBorders>
            <w:noWrap/>
            <w:vAlign w:val="bottom"/>
            <w:hideMark/>
          </w:tcPr>
          <w:p w14:paraId="6BAC9D9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22DA8574" w14:textId="77777777" w:rsidTr="00FD64E6">
        <w:trPr>
          <w:trHeight w:val="310"/>
        </w:trPr>
        <w:tc>
          <w:tcPr>
            <w:tcW w:w="2700" w:type="dxa"/>
            <w:tcBorders>
              <w:top w:val="nil"/>
              <w:left w:val="single" w:sz="8" w:space="0" w:color="auto"/>
              <w:bottom w:val="nil"/>
              <w:right w:val="nil"/>
            </w:tcBorders>
            <w:noWrap/>
            <w:vAlign w:val="bottom"/>
            <w:hideMark/>
          </w:tcPr>
          <w:p w14:paraId="6D57266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Community Pantry</w:t>
            </w:r>
          </w:p>
        </w:tc>
        <w:tc>
          <w:tcPr>
            <w:tcW w:w="1990" w:type="dxa"/>
            <w:tcBorders>
              <w:top w:val="nil"/>
              <w:left w:val="nil"/>
              <w:bottom w:val="nil"/>
              <w:right w:val="nil"/>
            </w:tcBorders>
            <w:noWrap/>
            <w:vAlign w:val="bottom"/>
            <w:hideMark/>
          </w:tcPr>
          <w:p w14:paraId="4369A37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2.78</w:t>
            </w:r>
          </w:p>
        </w:tc>
        <w:tc>
          <w:tcPr>
            <w:tcW w:w="1790" w:type="dxa"/>
            <w:tcBorders>
              <w:top w:val="nil"/>
              <w:left w:val="nil"/>
              <w:bottom w:val="nil"/>
              <w:right w:val="nil"/>
            </w:tcBorders>
            <w:noWrap/>
            <w:vAlign w:val="bottom"/>
            <w:hideMark/>
          </w:tcPr>
          <w:p w14:paraId="46B03ED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726732D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2.93</w:t>
            </w:r>
          </w:p>
        </w:tc>
        <w:tc>
          <w:tcPr>
            <w:tcW w:w="1530" w:type="dxa"/>
            <w:tcBorders>
              <w:top w:val="nil"/>
              <w:left w:val="nil"/>
              <w:bottom w:val="nil"/>
              <w:right w:val="single" w:sz="8" w:space="0" w:color="auto"/>
            </w:tcBorders>
            <w:noWrap/>
            <w:vAlign w:val="bottom"/>
            <w:hideMark/>
          </w:tcPr>
          <w:p w14:paraId="7C173F0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4C7BB06A" w14:textId="77777777" w:rsidTr="00FD64E6">
        <w:trPr>
          <w:trHeight w:val="310"/>
        </w:trPr>
        <w:tc>
          <w:tcPr>
            <w:tcW w:w="2700" w:type="dxa"/>
            <w:tcBorders>
              <w:top w:val="nil"/>
              <w:left w:val="single" w:sz="8" w:space="0" w:color="auto"/>
              <w:bottom w:val="nil"/>
              <w:right w:val="nil"/>
            </w:tcBorders>
            <w:noWrap/>
            <w:vAlign w:val="bottom"/>
            <w:hideMark/>
          </w:tcPr>
          <w:p w14:paraId="343E81B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lastRenderedPageBreak/>
              <w:t>Clean Up Drive</w:t>
            </w:r>
          </w:p>
        </w:tc>
        <w:tc>
          <w:tcPr>
            <w:tcW w:w="1990" w:type="dxa"/>
            <w:tcBorders>
              <w:top w:val="nil"/>
              <w:left w:val="nil"/>
              <w:bottom w:val="nil"/>
              <w:right w:val="nil"/>
            </w:tcBorders>
            <w:noWrap/>
            <w:vAlign w:val="bottom"/>
            <w:hideMark/>
          </w:tcPr>
          <w:p w14:paraId="5D041E4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3.16</w:t>
            </w:r>
          </w:p>
        </w:tc>
        <w:tc>
          <w:tcPr>
            <w:tcW w:w="1790" w:type="dxa"/>
            <w:tcBorders>
              <w:top w:val="nil"/>
              <w:left w:val="nil"/>
              <w:bottom w:val="nil"/>
              <w:right w:val="nil"/>
            </w:tcBorders>
            <w:noWrap/>
            <w:vAlign w:val="bottom"/>
            <w:hideMark/>
          </w:tcPr>
          <w:p w14:paraId="0209815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41B4161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3.66</w:t>
            </w:r>
          </w:p>
        </w:tc>
        <w:tc>
          <w:tcPr>
            <w:tcW w:w="1530" w:type="dxa"/>
            <w:tcBorders>
              <w:top w:val="nil"/>
              <w:left w:val="nil"/>
              <w:bottom w:val="nil"/>
              <w:right w:val="single" w:sz="8" w:space="0" w:color="auto"/>
            </w:tcBorders>
            <w:noWrap/>
            <w:vAlign w:val="bottom"/>
            <w:hideMark/>
          </w:tcPr>
          <w:p w14:paraId="34C0334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00C16E9C" w14:textId="77777777" w:rsidTr="00FD64E6">
        <w:trPr>
          <w:trHeight w:val="310"/>
        </w:trPr>
        <w:tc>
          <w:tcPr>
            <w:tcW w:w="2700" w:type="dxa"/>
            <w:tcBorders>
              <w:top w:val="nil"/>
              <w:left w:val="single" w:sz="8" w:space="0" w:color="auto"/>
              <w:bottom w:val="nil"/>
              <w:right w:val="nil"/>
            </w:tcBorders>
            <w:noWrap/>
            <w:vAlign w:val="bottom"/>
            <w:hideMark/>
          </w:tcPr>
          <w:p w14:paraId="402B9DE3" w14:textId="77777777" w:rsidR="0032066F" w:rsidRPr="0032066F" w:rsidRDefault="0032066F" w:rsidP="00FD64E6">
            <w:pPr>
              <w:rPr>
                <w:rFonts w:ascii="Arial" w:hAnsi="Arial" w:cs="Arial"/>
                <w:color w:val="000000"/>
                <w:lang w:eastAsia="en-PH"/>
              </w:rPr>
            </w:pPr>
            <w:r w:rsidRPr="0032066F">
              <w:rPr>
                <w:rFonts w:ascii="Arial" w:hAnsi="Arial" w:cs="Arial"/>
                <w:color w:val="000000"/>
                <w:lang w:eastAsia="en-PH"/>
              </w:rPr>
              <w:t>Garage Sale/Fund Raising</w:t>
            </w:r>
          </w:p>
        </w:tc>
        <w:tc>
          <w:tcPr>
            <w:tcW w:w="1990" w:type="dxa"/>
            <w:tcBorders>
              <w:top w:val="nil"/>
              <w:left w:val="nil"/>
              <w:bottom w:val="nil"/>
              <w:right w:val="nil"/>
            </w:tcBorders>
            <w:noWrap/>
            <w:vAlign w:val="bottom"/>
            <w:hideMark/>
          </w:tcPr>
          <w:p w14:paraId="6454DCF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3.18</w:t>
            </w:r>
          </w:p>
        </w:tc>
        <w:tc>
          <w:tcPr>
            <w:tcW w:w="1790" w:type="dxa"/>
            <w:tcBorders>
              <w:top w:val="nil"/>
              <w:left w:val="nil"/>
              <w:bottom w:val="nil"/>
              <w:right w:val="nil"/>
            </w:tcBorders>
            <w:noWrap/>
            <w:vAlign w:val="bottom"/>
            <w:hideMark/>
          </w:tcPr>
          <w:p w14:paraId="26ADBED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727FAA3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3.11</w:t>
            </w:r>
          </w:p>
        </w:tc>
        <w:tc>
          <w:tcPr>
            <w:tcW w:w="1530" w:type="dxa"/>
            <w:tcBorders>
              <w:top w:val="nil"/>
              <w:left w:val="nil"/>
              <w:bottom w:val="nil"/>
              <w:right w:val="single" w:sz="8" w:space="0" w:color="auto"/>
            </w:tcBorders>
            <w:noWrap/>
            <w:vAlign w:val="bottom"/>
            <w:hideMark/>
          </w:tcPr>
          <w:p w14:paraId="26B1742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r>
      <w:tr w:rsidR="0032066F" w:rsidRPr="0032066F" w14:paraId="0AF55B4A" w14:textId="77777777" w:rsidTr="00FD64E6">
        <w:trPr>
          <w:trHeight w:val="310"/>
        </w:trPr>
        <w:tc>
          <w:tcPr>
            <w:tcW w:w="2700" w:type="dxa"/>
            <w:tcBorders>
              <w:top w:val="nil"/>
              <w:left w:val="single" w:sz="8" w:space="0" w:color="auto"/>
              <w:bottom w:val="nil"/>
              <w:right w:val="nil"/>
            </w:tcBorders>
            <w:noWrap/>
            <w:vAlign w:val="bottom"/>
            <w:hideMark/>
          </w:tcPr>
          <w:p w14:paraId="17BD0ED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Tree Planting</w:t>
            </w:r>
          </w:p>
        </w:tc>
        <w:tc>
          <w:tcPr>
            <w:tcW w:w="1990" w:type="dxa"/>
            <w:tcBorders>
              <w:top w:val="nil"/>
              <w:left w:val="nil"/>
              <w:bottom w:val="nil"/>
              <w:right w:val="nil"/>
            </w:tcBorders>
            <w:noWrap/>
            <w:vAlign w:val="bottom"/>
            <w:hideMark/>
          </w:tcPr>
          <w:p w14:paraId="4AF03D5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3.95</w:t>
            </w:r>
          </w:p>
        </w:tc>
        <w:tc>
          <w:tcPr>
            <w:tcW w:w="1790" w:type="dxa"/>
            <w:tcBorders>
              <w:top w:val="nil"/>
              <w:left w:val="nil"/>
              <w:bottom w:val="nil"/>
              <w:right w:val="nil"/>
            </w:tcBorders>
            <w:noWrap/>
            <w:vAlign w:val="bottom"/>
            <w:hideMark/>
          </w:tcPr>
          <w:p w14:paraId="7D6DAD5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c>
          <w:tcPr>
            <w:tcW w:w="990" w:type="dxa"/>
            <w:tcBorders>
              <w:top w:val="nil"/>
              <w:left w:val="nil"/>
              <w:bottom w:val="nil"/>
              <w:right w:val="nil"/>
            </w:tcBorders>
            <w:noWrap/>
            <w:vAlign w:val="bottom"/>
            <w:hideMark/>
          </w:tcPr>
          <w:p w14:paraId="739F173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3.92</w:t>
            </w:r>
          </w:p>
        </w:tc>
        <w:tc>
          <w:tcPr>
            <w:tcW w:w="1530" w:type="dxa"/>
            <w:tcBorders>
              <w:top w:val="nil"/>
              <w:left w:val="nil"/>
              <w:bottom w:val="nil"/>
              <w:right w:val="single" w:sz="8" w:space="0" w:color="auto"/>
            </w:tcBorders>
            <w:noWrap/>
            <w:vAlign w:val="bottom"/>
            <w:hideMark/>
          </w:tcPr>
          <w:p w14:paraId="394AF06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Well Involved</w:t>
            </w:r>
          </w:p>
        </w:tc>
      </w:tr>
      <w:tr w:rsidR="0032066F" w:rsidRPr="0032066F" w14:paraId="35A03E6B" w14:textId="77777777" w:rsidTr="00FD64E6">
        <w:trPr>
          <w:trHeight w:val="310"/>
        </w:trPr>
        <w:tc>
          <w:tcPr>
            <w:tcW w:w="2700" w:type="dxa"/>
            <w:tcBorders>
              <w:top w:val="nil"/>
              <w:left w:val="single" w:sz="8" w:space="0" w:color="auto"/>
              <w:bottom w:val="nil"/>
              <w:right w:val="nil"/>
            </w:tcBorders>
            <w:noWrap/>
            <w:vAlign w:val="bottom"/>
            <w:hideMark/>
          </w:tcPr>
          <w:p w14:paraId="01BBDE6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Blood Letting</w:t>
            </w:r>
          </w:p>
        </w:tc>
        <w:tc>
          <w:tcPr>
            <w:tcW w:w="1990" w:type="dxa"/>
            <w:tcBorders>
              <w:top w:val="nil"/>
              <w:left w:val="nil"/>
              <w:bottom w:val="nil"/>
              <w:right w:val="nil"/>
            </w:tcBorders>
            <w:noWrap/>
            <w:vAlign w:val="bottom"/>
            <w:hideMark/>
          </w:tcPr>
          <w:p w14:paraId="1F4F076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1.96</w:t>
            </w:r>
          </w:p>
        </w:tc>
        <w:tc>
          <w:tcPr>
            <w:tcW w:w="1790" w:type="dxa"/>
            <w:tcBorders>
              <w:top w:val="nil"/>
              <w:left w:val="nil"/>
              <w:bottom w:val="nil"/>
              <w:right w:val="nil"/>
            </w:tcBorders>
            <w:noWrap/>
            <w:vAlign w:val="bottom"/>
            <w:hideMark/>
          </w:tcPr>
          <w:p w14:paraId="35DCD8C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c>
          <w:tcPr>
            <w:tcW w:w="990" w:type="dxa"/>
            <w:tcBorders>
              <w:top w:val="nil"/>
              <w:left w:val="nil"/>
              <w:bottom w:val="nil"/>
              <w:right w:val="nil"/>
            </w:tcBorders>
            <w:noWrap/>
            <w:vAlign w:val="bottom"/>
            <w:hideMark/>
          </w:tcPr>
          <w:p w14:paraId="74756EF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2.29</w:t>
            </w:r>
          </w:p>
        </w:tc>
        <w:tc>
          <w:tcPr>
            <w:tcW w:w="1530" w:type="dxa"/>
            <w:tcBorders>
              <w:top w:val="nil"/>
              <w:left w:val="nil"/>
              <w:bottom w:val="nil"/>
              <w:right w:val="single" w:sz="8" w:space="0" w:color="auto"/>
            </w:tcBorders>
            <w:noWrap/>
            <w:vAlign w:val="bottom"/>
            <w:hideMark/>
          </w:tcPr>
          <w:p w14:paraId="582F9CD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3DA18DF0" w14:textId="77777777" w:rsidTr="00FD64E6">
        <w:trPr>
          <w:trHeight w:val="310"/>
        </w:trPr>
        <w:tc>
          <w:tcPr>
            <w:tcW w:w="2700" w:type="dxa"/>
            <w:tcBorders>
              <w:top w:val="nil"/>
              <w:left w:val="single" w:sz="8" w:space="0" w:color="auto"/>
              <w:bottom w:val="nil"/>
              <w:right w:val="nil"/>
            </w:tcBorders>
            <w:noWrap/>
            <w:vAlign w:val="bottom"/>
            <w:hideMark/>
          </w:tcPr>
          <w:p w14:paraId="5F875AB2" w14:textId="77777777" w:rsidR="0032066F" w:rsidRPr="0032066F" w:rsidRDefault="0032066F" w:rsidP="00FD64E6">
            <w:pPr>
              <w:ind w:left="-20" w:firstLine="20"/>
              <w:rPr>
                <w:rFonts w:ascii="Arial" w:hAnsi="Arial" w:cs="Arial"/>
                <w:color w:val="000000"/>
                <w:lang w:eastAsia="en-PH"/>
              </w:rPr>
            </w:pPr>
            <w:r w:rsidRPr="0032066F">
              <w:rPr>
                <w:rFonts w:ascii="Arial" w:hAnsi="Arial" w:cs="Arial"/>
                <w:color w:val="000000"/>
                <w:lang w:eastAsia="en-PH"/>
              </w:rPr>
              <w:t>Gift Giving to Public Schools</w:t>
            </w:r>
          </w:p>
        </w:tc>
        <w:tc>
          <w:tcPr>
            <w:tcW w:w="1990" w:type="dxa"/>
            <w:tcBorders>
              <w:top w:val="nil"/>
              <w:left w:val="nil"/>
              <w:bottom w:val="nil"/>
              <w:right w:val="nil"/>
            </w:tcBorders>
            <w:noWrap/>
            <w:vAlign w:val="bottom"/>
            <w:hideMark/>
          </w:tcPr>
          <w:p w14:paraId="66AF57F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2.94</w:t>
            </w:r>
          </w:p>
        </w:tc>
        <w:tc>
          <w:tcPr>
            <w:tcW w:w="1790" w:type="dxa"/>
            <w:tcBorders>
              <w:top w:val="nil"/>
              <w:left w:val="nil"/>
              <w:bottom w:val="nil"/>
              <w:right w:val="nil"/>
            </w:tcBorders>
            <w:noWrap/>
            <w:vAlign w:val="bottom"/>
            <w:hideMark/>
          </w:tcPr>
          <w:p w14:paraId="6FCEC837"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nil"/>
              <w:right w:val="nil"/>
            </w:tcBorders>
            <w:noWrap/>
            <w:vAlign w:val="bottom"/>
            <w:hideMark/>
          </w:tcPr>
          <w:p w14:paraId="6AE3E13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2.47</w:t>
            </w:r>
          </w:p>
        </w:tc>
        <w:tc>
          <w:tcPr>
            <w:tcW w:w="1530" w:type="dxa"/>
            <w:tcBorders>
              <w:top w:val="nil"/>
              <w:left w:val="nil"/>
              <w:bottom w:val="nil"/>
              <w:right w:val="single" w:sz="8" w:space="0" w:color="auto"/>
            </w:tcBorders>
            <w:noWrap/>
            <w:vAlign w:val="bottom"/>
            <w:hideMark/>
          </w:tcPr>
          <w:p w14:paraId="4344B35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2A706E59" w14:textId="77777777" w:rsidTr="00FD64E6">
        <w:trPr>
          <w:trHeight w:val="320"/>
        </w:trPr>
        <w:tc>
          <w:tcPr>
            <w:tcW w:w="2700" w:type="dxa"/>
            <w:tcBorders>
              <w:top w:val="nil"/>
              <w:left w:val="single" w:sz="8" w:space="0" w:color="auto"/>
              <w:bottom w:val="single" w:sz="8" w:space="0" w:color="auto"/>
              <w:right w:val="nil"/>
            </w:tcBorders>
            <w:noWrap/>
            <w:vAlign w:val="bottom"/>
            <w:hideMark/>
          </w:tcPr>
          <w:p w14:paraId="79CF0EE5" w14:textId="77777777" w:rsidR="0032066F" w:rsidRPr="0032066F" w:rsidRDefault="0032066F" w:rsidP="00FD64E6">
            <w:pPr>
              <w:rPr>
                <w:rFonts w:ascii="Arial" w:hAnsi="Arial" w:cs="Arial"/>
                <w:color w:val="000000"/>
                <w:lang w:eastAsia="en-PH"/>
              </w:rPr>
            </w:pPr>
            <w:r w:rsidRPr="0032066F">
              <w:rPr>
                <w:rFonts w:ascii="Arial" w:hAnsi="Arial" w:cs="Arial"/>
                <w:color w:val="000000"/>
                <w:lang w:eastAsia="en-PH"/>
              </w:rPr>
              <w:t>Visit to the Home for Elderly</w:t>
            </w:r>
          </w:p>
        </w:tc>
        <w:tc>
          <w:tcPr>
            <w:tcW w:w="1990" w:type="dxa"/>
            <w:tcBorders>
              <w:top w:val="nil"/>
              <w:left w:val="nil"/>
              <w:bottom w:val="single" w:sz="8" w:space="0" w:color="auto"/>
              <w:right w:val="nil"/>
            </w:tcBorders>
            <w:noWrap/>
            <w:vAlign w:val="bottom"/>
            <w:hideMark/>
          </w:tcPr>
          <w:p w14:paraId="177B57D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2.77</w:t>
            </w:r>
          </w:p>
        </w:tc>
        <w:tc>
          <w:tcPr>
            <w:tcW w:w="1790" w:type="dxa"/>
            <w:tcBorders>
              <w:top w:val="nil"/>
              <w:left w:val="nil"/>
              <w:bottom w:val="single" w:sz="8" w:space="0" w:color="auto"/>
              <w:right w:val="nil"/>
            </w:tcBorders>
            <w:noWrap/>
            <w:vAlign w:val="bottom"/>
            <w:hideMark/>
          </w:tcPr>
          <w:p w14:paraId="71E47A5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Involved</w:t>
            </w:r>
          </w:p>
        </w:tc>
        <w:tc>
          <w:tcPr>
            <w:tcW w:w="990" w:type="dxa"/>
            <w:tcBorders>
              <w:top w:val="nil"/>
              <w:left w:val="nil"/>
              <w:bottom w:val="single" w:sz="8" w:space="0" w:color="auto"/>
              <w:right w:val="nil"/>
            </w:tcBorders>
            <w:noWrap/>
            <w:vAlign w:val="bottom"/>
            <w:hideMark/>
          </w:tcPr>
          <w:p w14:paraId="653622C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2.11</w:t>
            </w:r>
          </w:p>
        </w:tc>
        <w:tc>
          <w:tcPr>
            <w:tcW w:w="1530" w:type="dxa"/>
            <w:tcBorders>
              <w:top w:val="nil"/>
              <w:left w:val="nil"/>
              <w:bottom w:val="single" w:sz="8" w:space="0" w:color="auto"/>
              <w:right w:val="single" w:sz="8" w:space="0" w:color="auto"/>
            </w:tcBorders>
            <w:noWrap/>
            <w:vAlign w:val="bottom"/>
            <w:hideMark/>
          </w:tcPr>
          <w:p w14:paraId="68E1687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Less Involved</w:t>
            </w:r>
          </w:p>
        </w:tc>
      </w:tr>
      <w:tr w:rsidR="0032066F" w:rsidRPr="0032066F" w14:paraId="18A0674F" w14:textId="77777777" w:rsidTr="00FD64E6">
        <w:trPr>
          <w:trHeight w:val="310"/>
        </w:trPr>
        <w:tc>
          <w:tcPr>
            <w:tcW w:w="2700" w:type="dxa"/>
            <w:tcBorders>
              <w:top w:val="nil"/>
              <w:left w:val="nil"/>
              <w:bottom w:val="nil"/>
              <w:right w:val="nil"/>
            </w:tcBorders>
            <w:noWrap/>
            <w:vAlign w:val="bottom"/>
            <w:hideMark/>
          </w:tcPr>
          <w:p w14:paraId="3646281F"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Overall Mean</w:t>
            </w:r>
          </w:p>
        </w:tc>
        <w:tc>
          <w:tcPr>
            <w:tcW w:w="1990" w:type="dxa"/>
            <w:tcBorders>
              <w:top w:val="nil"/>
              <w:left w:val="nil"/>
              <w:bottom w:val="nil"/>
              <w:right w:val="nil"/>
            </w:tcBorders>
            <w:noWrap/>
            <w:vAlign w:val="bottom"/>
            <w:hideMark/>
          </w:tcPr>
          <w:p w14:paraId="3C7DF44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2.93</w:t>
            </w:r>
          </w:p>
        </w:tc>
        <w:tc>
          <w:tcPr>
            <w:tcW w:w="1790" w:type="dxa"/>
            <w:tcBorders>
              <w:top w:val="nil"/>
              <w:left w:val="nil"/>
              <w:bottom w:val="nil"/>
              <w:right w:val="nil"/>
            </w:tcBorders>
            <w:noWrap/>
            <w:vAlign w:val="bottom"/>
            <w:hideMark/>
          </w:tcPr>
          <w:p w14:paraId="4711C294"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c>
          <w:tcPr>
            <w:tcW w:w="990" w:type="dxa"/>
            <w:tcBorders>
              <w:top w:val="nil"/>
              <w:left w:val="nil"/>
              <w:bottom w:val="nil"/>
              <w:right w:val="nil"/>
            </w:tcBorders>
            <w:noWrap/>
            <w:vAlign w:val="bottom"/>
            <w:hideMark/>
          </w:tcPr>
          <w:p w14:paraId="0F627FBC"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3.03</w:t>
            </w:r>
          </w:p>
        </w:tc>
        <w:tc>
          <w:tcPr>
            <w:tcW w:w="1530" w:type="dxa"/>
            <w:tcBorders>
              <w:top w:val="nil"/>
              <w:left w:val="nil"/>
              <w:bottom w:val="nil"/>
              <w:right w:val="nil"/>
            </w:tcBorders>
            <w:noWrap/>
            <w:vAlign w:val="bottom"/>
            <w:hideMark/>
          </w:tcPr>
          <w:p w14:paraId="50CB0C36"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r>
      <w:tr w:rsidR="0032066F" w:rsidRPr="0032066F" w14:paraId="2B299DF6" w14:textId="77777777" w:rsidTr="00FD64E6">
        <w:trPr>
          <w:trHeight w:val="310"/>
        </w:trPr>
        <w:tc>
          <w:tcPr>
            <w:tcW w:w="2700" w:type="dxa"/>
            <w:tcBorders>
              <w:top w:val="nil"/>
              <w:left w:val="nil"/>
              <w:bottom w:val="nil"/>
              <w:right w:val="nil"/>
            </w:tcBorders>
            <w:noWrap/>
            <w:vAlign w:val="bottom"/>
          </w:tcPr>
          <w:p w14:paraId="5CA8068F" w14:textId="77777777" w:rsidR="0032066F" w:rsidRPr="0032066F" w:rsidRDefault="0032066F" w:rsidP="00FD64E6">
            <w:pPr>
              <w:rPr>
                <w:rFonts w:ascii="Arial" w:hAnsi="Arial" w:cs="Arial"/>
                <w:b/>
                <w:bCs/>
                <w:color w:val="000000"/>
                <w:lang w:eastAsia="en-PH"/>
              </w:rPr>
            </w:pPr>
            <w:r w:rsidRPr="0032066F">
              <w:rPr>
                <w:rFonts w:ascii="Arial" w:hAnsi="Arial" w:cs="Arial"/>
                <w:b/>
                <w:bCs/>
                <w:color w:val="000000"/>
                <w:lang w:eastAsia="en-PH"/>
              </w:rPr>
              <w:t>Combined Overall Mean</w:t>
            </w:r>
          </w:p>
        </w:tc>
        <w:tc>
          <w:tcPr>
            <w:tcW w:w="1990" w:type="dxa"/>
            <w:tcBorders>
              <w:top w:val="nil"/>
              <w:left w:val="nil"/>
              <w:bottom w:val="nil"/>
              <w:right w:val="nil"/>
            </w:tcBorders>
            <w:noWrap/>
            <w:vAlign w:val="bottom"/>
          </w:tcPr>
          <w:p w14:paraId="35107304"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2.98</w:t>
            </w:r>
          </w:p>
        </w:tc>
        <w:tc>
          <w:tcPr>
            <w:tcW w:w="1790" w:type="dxa"/>
            <w:tcBorders>
              <w:top w:val="nil"/>
              <w:left w:val="nil"/>
              <w:bottom w:val="nil"/>
              <w:right w:val="nil"/>
            </w:tcBorders>
            <w:noWrap/>
            <w:vAlign w:val="bottom"/>
          </w:tcPr>
          <w:p w14:paraId="53193CD7"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Involved</w:t>
            </w:r>
          </w:p>
        </w:tc>
        <w:tc>
          <w:tcPr>
            <w:tcW w:w="990" w:type="dxa"/>
            <w:tcBorders>
              <w:top w:val="nil"/>
              <w:left w:val="nil"/>
              <w:bottom w:val="nil"/>
              <w:right w:val="nil"/>
            </w:tcBorders>
            <w:noWrap/>
            <w:vAlign w:val="bottom"/>
          </w:tcPr>
          <w:p w14:paraId="0A3FDC86" w14:textId="77777777" w:rsidR="0032066F" w:rsidRPr="0032066F" w:rsidRDefault="0032066F" w:rsidP="00FD64E6">
            <w:pPr>
              <w:ind w:left="720" w:hanging="720"/>
              <w:jc w:val="both"/>
              <w:rPr>
                <w:rFonts w:ascii="Arial" w:hAnsi="Arial" w:cs="Arial"/>
                <w:b/>
                <w:bCs/>
                <w:color w:val="000000"/>
                <w:lang w:eastAsia="en-PH"/>
              </w:rPr>
            </w:pPr>
          </w:p>
        </w:tc>
        <w:tc>
          <w:tcPr>
            <w:tcW w:w="1530" w:type="dxa"/>
            <w:tcBorders>
              <w:top w:val="nil"/>
              <w:left w:val="nil"/>
              <w:bottom w:val="nil"/>
              <w:right w:val="nil"/>
            </w:tcBorders>
            <w:noWrap/>
            <w:vAlign w:val="bottom"/>
          </w:tcPr>
          <w:p w14:paraId="4EFBC10B" w14:textId="77777777" w:rsidR="0032066F" w:rsidRPr="0032066F" w:rsidRDefault="0032066F" w:rsidP="00FD64E6">
            <w:pPr>
              <w:ind w:left="720" w:hanging="720"/>
              <w:jc w:val="both"/>
              <w:rPr>
                <w:rFonts w:ascii="Arial" w:hAnsi="Arial" w:cs="Arial"/>
                <w:b/>
                <w:bCs/>
                <w:color w:val="000000"/>
                <w:lang w:eastAsia="en-PH"/>
              </w:rPr>
            </w:pPr>
          </w:p>
        </w:tc>
      </w:tr>
    </w:tbl>
    <w:p w14:paraId="2C284C3C" w14:textId="77777777" w:rsidR="0032066F" w:rsidRPr="0032066F" w:rsidRDefault="0032066F" w:rsidP="00C65F89">
      <w:pPr>
        <w:jc w:val="both"/>
        <w:rPr>
          <w:b/>
          <w:bCs/>
          <w:lang w:val="en-PH"/>
        </w:rPr>
      </w:pPr>
    </w:p>
    <w:p w14:paraId="5508B805" w14:textId="504303CD" w:rsidR="0032066F" w:rsidRPr="0032066F" w:rsidRDefault="0032066F" w:rsidP="0032066F">
      <w:pPr>
        <w:ind w:left="720" w:hanging="720"/>
        <w:jc w:val="both"/>
        <w:rPr>
          <w:rFonts w:ascii="Arial" w:hAnsi="Arial" w:cs="Arial"/>
          <w:b/>
          <w:bCs/>
        </w:rPr>
      </w:pPr>
      <w:r w:rsidRPr="0032066F">
        <w:rPr>
          <w:rFonts w:ascii="Arial" w:hAnsi="Arial" w:cs="Arial"/>
          <w:b/>
          <w:bCs/>
        </w:rPr>
        <w:t xml:space="preserve">Table </w:t>
      </w:r>
      <w:r>
        <w:rPr>
          <w:rFonts w:ascii="Arial" w:hAnsi="Arial" w:cs="Arial"/>
          <w:b/>
          <w:bCs/>
        </w:rPr>
        <w:t>6</w:t>
      </w:r>
      <w:r w:rsidRPr="0032066F">
        <w:rPr>
          <w:rFonts w:ascii="Arial" w:hAnsi="Arial" w:cs="Arial"/>
          <w:b/>
          <w:bCs/>
        </w:rPr>
        <w:t>. Assessment on the Implementation of the Community Extension Programs</w:t>
      </w:r>
    </w:p>
    <w:tbl>
      <w:tblPr>
        <w:tblW w:w="8740" w:type="dxa"/>
        <w:tblLook w:val="04A0" w:firstRow="1" w:lastRow="0" w:firstColumn="1" w:lastColumn="0" w:noHBand="0" w:noVBand="1"/>
      </w:tblPr>
      <w:tblGrid>
        <w:gridCol w:w="1800"/>
        <w:gridCol w:w="1990"/>
        <w:gridCol w:w="1710"/>
        <w:gridCol w:w="990"/>
        <w:gridCol w:w="2250"/>
      </w:tblGrid>
      <w:tr w:rsidR="0032066F" w:rsidRPr="0032066F" w14:paraId="631DDE95" w14:textId="77777777" w:rsidTr="00FD64E6">
        <w:trPr>
          <w:trHeight w:val="320"/>
        </w:trPr>
        <w:tc>
          <w:tcPr>
            <w:tcW w:w="1800" w:type="dxa"/>
            <w:tcBorders>
              <w:top w:val="nil"/>
              <w:left w:val="nil"/>
              <w:bottom w:val="nil"/>
              <w:right w:val="nil"/>
            </w:tcBorders>
            <w:noWrap/>
            <w:vAlign w:val="bottom"/>
            <w:hideMark/>
          </w:tcPr>
          <w:p w14:paraId="4A886CA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Indicator</w:t>
            </w:r>
          </w:p>
        </w:tc>
        <w:tc>
          <w:tcPr>
            <w:tcW w:w="1990" w:type="dxa"/>
            <w:tcBorders>
              <w:top w:val="nil"/>
              <w:left w:val="nil"/>
              <w:bottom w:val="nil"/>
              <w:right w:val="nil"/>
            </w:tcBorders>
            <w:noWrap/>
            <w:vAlign w:val="bottom"/>
            <w:hideMark/>
          </w:tcPr>
          <w:p w14:paraId="6EBC745E"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Basic Education</w:t>
            </w:r>
          </w:p>
        </w:tc>
        <w:tc>
          <w:tcPr>
            <w:tcW w:w="1710" w:type="dxa"/>
            <w:tcBorders>
              <w:top w:val="nil"/>
              <w:left w:val="nil"/>
              <w:bottom w:val="nil"/>
              <w:right w:val="nil"/>
            </w:tcBorders>
            <w:noWrap/>
            <w:vAlign w:val="bottom"/>
            <w:hideMark/>
          </w:tcPr>
          <w:p w14:paraId="4EC91B1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c>
          <w:tcPr>
            <w:tcW w:w="990" w:type="dxa"/>
            <w:tcBorders>
              <w:top w:val="nil"/>
              <w:left w:val="nil"/>
              <w:bottom w:val="nil"/>
              <w:right w:val="nil"/>
            </w:tcBorders>
            <w:noWrap/>
            <w:vAlign w:val="bottom"/>
            <w:hideMark/>
          </w:tcPr>
          <w:p w14:paraId="1421B673"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College</w:t>
            </w:r>
          </w:p>
        </w:tc>
        <w:tc>
          <w:tcPr>
            <w:tcW w:w="2250" w:type="dxa"/>
            <w:tcBorders>
              <w:top w:val="nil"/>
              <w:left w:val="nil"/>
              <w:bottom w:val="nil"/>
              <w:right w:val="nil"/>
            </w:tcBorders>
            <w:noWrap/>
            <w:vAlign w:val="bottom"/>
            <w:hideMark/>
          </w:tcPr>
          <w:p w14:paraId="6C6112DF"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Interpretation</w:t>
            </w:r>
          </w:p>
        </w:tc>
      </w:tr>
      <w:tr w:rsidR="0032066F" w:rsidRPr="0032066F" w14:paraId="007B3EE2" w14:textId="77777777" w:rsidTr="00FD64E6">
        <w:trPr>
          <w:trHeight w:val="310"/>
        </w:trPr>
        <w:tc>
          <w:tcPr>
            <w:tcW w:w="1800" w:type="dxa"/>
            <w:tcBorders>
              <w:top w:val="single" w:sz="8" w:space="0" w:color="auto"/>
              <w:left w:val="single" w:sz="8" w:space="0" w:color="auto"/>
              <w:bottom w:val="single" w:sz="4" w:space="0" w:color="auto"/>
              <w:right w:val="single" w:sz="4" w:space="0" w:color="auto"/>
            </w:tcBorders>
            <w:noWrap/>
            <w:vAlign w:val="bottom"/>
            <w:hideMark/>
          </w:tcPr>
          <w:p w14:paraId="0BF0F7C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Methodology</w:t>
            </w:r>
          </w:p>
        </w:tc>
        <w:tc>
          <w:tcPr>
            <w:tcW w:w="1990" w:type="dxa"/>
            <w:tcBorders>
              <w:top w:val="single" w:sz="8" w:space="0" w:color="auto"/>
              <w:left w:val="nil"/>
              <w:bottom w:val="single" w:sz="4" w:space="0" w:color="auto"/>
              <w:right w:val="single" w:sz="4" w:space="0" w:color="auto"/>
            </w:tcBorders>
            <w:noWrap/>
            <w:vAlign w:val="bottom"/>
            <w:hideMark/>
          </w:tcPr>
          <w:p w14:paraId="365EA4F3"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4.07</w:t>
            </w:r>
          </w:p>
        </w:tc>
        <w:tc>
          <w:tcPr>
            <w:tcW w:w="1710" w:type="dxa"/>
            <w:tcBorders>
              <w:top w:val="single" w:sz="8" w:space="0" w:color="auto"/>
              <w:left w:val="nil"/>
              <w:bottom w:val="single" w:sz="4" w:space="0" w:color="auto"/>
              <w:right w:val="single" w:sz="4" w:space="0" w:color="auto"/>
            </w:tcBorders>
            <w:noWrap/>
            <w:vAlign w:val="bottom"/>
            <w:hideMark/>
          </w:tcPr>
          <w:p w14:paraId="67EACA5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single" w:sz="8" w:space="0" w:color="auto"/>
              <w:left w:val="nil"/>
              <w:bottom w:val="single" w:sz="4" w:space="0" w:color="auto"/>
              <w:right w:val="single" w:sz="4" w:space="0" w:color="auto"/>
            </w:tcBorders>
            <w:noWrap/>
            <w:vAlign w:val="bottom"/>
            <w:hideMark/>
          </w:tcPr>
          <w:p w14:paraId="3560E05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4.27</w:t>
            </w:r>
          </w:p>
        </w:tc>
        <w:tc>
          <w:tcPr>
            <w:tcW w:w="2250" w:type="dxa"/>
            <w:tcBorders>
              <w:top w:val="single" w:sz="8" w:space="0" w:color="auto"/>
              <w:left w:val="nil"/>
              <w:bottom w:val="single" w:sz="4" w:space="0" w:color="auto"/>
              <w:right w:val="single" w:sz="8" w:space="0" w:color="auto"/>
            </w:tcBorders>
            <w:noWrap/>
            <w:vAlign w:val="bottom"/>
            <w:hideMark/>
          </w:tcPr>
          <w:p w14:paraId="608C468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5FE6071F" w14:textId="77777777" w:rsidTr="00FD64E6">
        <w:trPr>
          <w:trHeight w:val="310"/>
        </w:trPr>
        <w:tc>
          <w:tcPr>
            <w:tcW w:w="1800" w:type="dxa"/>
            <w:tcBorders>
              <w:top w:val="nil"/>
              <w:left w:val="single" w:sz="8" w:space="0" w:color="auto"/>
              <w:bottom w:val="single" w:sz="4" w:space="0" w:color="auto"/>
              <w:right w:val="single" w:sz="4" w:space="0" w:color="auto"/>
            </w:tcBorders>
            <w:noWrap/>
            <w:vAlign w:val="bottom"/>
            <w:hideMark/>
          </w:tcPr>
          <w:p w14:paraId="1328054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Location</w:t>
            </w:r>
          </w:p>
        </w:tc>
        <w:tc>
          <w:tcPr>
            <w:tcW w:w="1990" w:type="dxa"/>
            <w:tcBorders>
              <w:top w:val="nil"/>
              <w:left w:val="nil"/>
              <w:bottom w:val="single" w:sz="4" w:space="0" w:color="auto"/>
              <w:right w:val="single" w:sz="4" w:space="0" w:color="auto"/>
            </w:tcBorders>
            <w:noWrap/>
            <w:vAlign w:val="bottom"/>
            <w:hideMark/>
          </w:tcPr>
          <w:p w14:paraId="015FFA00"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4.18</w:t>
            </w:r>
          </w:p>
        </w:tc>
        <w:tc>
          <w:tcPr>
            <w:tcW w:w="1710" w:type="dxa"/>
            <w:tcBorders>
              <w:top w:val="nil"/>
              <w:left w:val="nil"/>
              <w:bottom w:val="single" w:sz="4" w:space="0" w:color="auto"/>
              <w:right w:val="single" w:sz="4" w:space="0" w:color="auto"/>
            </w:tcBorders>
            <w:noWrap/>
            <w:vAlign w:val="bottom"/>
            <w:hideMark/>
          </w:tcPr>
          <w:p w14:paraId="5A067241"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4" w:space="0" w:color="auto"/>
              <w:right w:val="single" w:sz="4" w:space="0" w:color="auto"/>
            </w:tcBorders>
            <w:noWrap/>
            <w:vAlign w:val="bottom"/>
            <w:hideMark/>
          </w:tcPr>
          <w:p w14:paraId="445A1C2A"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4.35</w:t>
            </w:r>
          </w:p>
        </w:tc>
        <w:tc>
          <w:tcPr>
            <w:tcW w:w="2250" w:type="dxa"/>
            <w:tcBorders>
              <w:top w:val="nil"/>
              <w:left w:val="nil"/>
              <w:bottom w:val="single" w:sz="4" w:space="0" w:color="auto"/>
              <w:right w:val="single" w:sz="8" w:space="0" w:color="auto"/>
            </w:tcBorders>
            <w:noWrap/>
            <w:vAlign w:val="bottom"/>
            <w:hideMark/>
          </w:tcPr>
          <w:p w14:paraId="4FF75E35"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187AA0F3" w14:textId="77777777" w:rsidTr="00FD64E6">
        <w:trPr>
          <w:trHeight w:val="310"/>
        </w:trPr>
        <w:tc>
          <w:tcPr>
            <w:tcW w:w="1800" w:type="dxa"/>
            <w:tcBorders>
              <w:top w:val="nil"/>
              <w:left w:val="single" w:sz="8" w:space="0" w:color="auto"/>
              <w:bottom w:val="single" w:sz="4" w:space="0" w:color="auto"/>
              <w:right w:val="single" w:sz="4" w:space="0" w:color="auto"/>
            </w:tcBorders>
            <w:noWrap/>
            <w:vAlign w:val="bottom"/>
            <w:hideMark/>
          </w:tcPr>
          <w:p w14:paraId="16AC115F"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Logistics</w:t>
            </w:r>
          </w:p>
        </w:tc>
        <w:tc>
          <w:tcPr>
            <w:tcW w:w="1990" w:type="dxa"/>
            <w:tcBorders>
              <w:top w:val="nil"/>
              <w:left w:val="nil"/>
              <w:bottom w:val="single" w:sz="4" w:space="0" w:color="auto"/>
              <w:right w:val="single" w:sz="4" w:space="0" w:color="auto"/>
            </w:tcBorders>
            <w:noWrap/>
            <w:vAlign w:val="bottom"/>
            <w:hideMark/>
          </w:tcPr>
          <w:p w14:paraId="62232C92"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4.09</w:t>
            </w:r>
          </w:p>
        </w:tc>
        <w:tc>
          <w:tcPr>
            <w:tcW w:w="1710" w:type="dxa"/>
            <w:tcBorders>
              <w:top w:val="nil"/>
              <w:left w:val="nil"/>
              <w:bottom w:val="single" w:sz="4" w:space="0" w:color="auto"/>
              <w:right w:val="single" w:sz="4" w:space="0" w:color="auto"/>
            </w:tcBorders>
            <w:noWrap/>
            <w:vAlign w:val="bottom"/>
            <w:hideMark/>
          </w:tcPr>
          <w:p w14:paraId="7A71CCAE"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4" w:space="0" w:color="auto"/>
              <w:right w:val="single" w:sz="4" w:space="0" w:color="auto"/>
            </w:tcBorders>
            <w:noWrap/>
            <w:vAlign w:val="bottom"/>
            <w:hideMark/>
          </w:tcPr>
          <w:p w14:paraId="7AC621C6"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4.33</w:t>
            </w:r>
          </w:p>
        </w:tc>
        <w:tc>
          <w:tcPr>
            <w:tcW w:w="2250" w:type="dxa"/>
            <w:tcBorders>
              <w:top w:val="nil"/>
              <w:left w:val="nil"/>
              <w:bottom w:val="single" w:sz="4" w:space="0" w:color="auto"/>
              <w:right w:val="single" w:sz="8" w:space="0" w:color="auto"/>
            </w:tcBorders>
            <w:noWrap/>
            <w:vAlign w:val="bottom"/>
            <w:hideMark/>
          </w:tcPr>
          <w:p w14:paraId="1E0A9ECB"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22A313F7" w14:textId="77777777" w:rsidTr="00FD64E6">
        <w:trPr>
          <w:trHeight w:val="320"/>
        </w:trPr>
        <w:tc>
          <w:tcPr>
            <w:tcW w:w="1800" w:type="dxa"/>
            <w:tcBorders>
              <w:top w:val="nil"/>
              <w:left w:val="single" w:sz="8" w:space="0" w:color="auto"/>
              <w:bottom w:val="single" w:sz="8" w:space="0" w:color="auto"/>
              <w:right w:val="single" w:sz="4" w:space="0" w:color="auto"/>
            </w:tcBorders>
            <w:noWrap/>
            <w:vAlign w:val="bottom"/>
            <w:hideMark/>
          </w:tcPr>
          <w:p w14:paraId="337D3D88"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Schedule</w:t>
            </w:r>
          </w:p>
        </w:tc>
        <w:tc>
          <w:tcPr>
            <w:tcW w:w="1990" w:type="dxa"/>
            <w:tcBorders>
              <w:top w:val="nil"/>
              <w:left w:val="nil"/>
              <w:bottom w:val="single" w:sz="8" w:space="0" w:color="auto"/>
              <w:right w:val="single" w:sz="4" w:space="0" w:color="auto"/>
            </w:tcBorders>
            <w:noWrap/>
            <w:vAlign w:val="bottom"/>
            <w:hideMark/>
          </w:tcPr>
          <w:p w14:paraId="66AE472C"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4.03</w:t>
            </w:r>
          </w:p>
        </w:tc>
        <w:tc>
          <w:tcPr>
            <w:tcW w:w="1710" w:type="dxa"/>
            <w:tcBorders>
              <w:top w:val="nil"/>
              <w:left w:val="nil"/>
              <w:bottom w:val="single" w:sz="8" w:space="0" w:color="auto"/>
              <w:right w:val="single" w:sz="4" w:space="0" w:color="auto"/>
            </w:tcBorders>
            <w:noWrap/>
            <w:vAlign w:val="bottom"/>
            <w:hideMark/>
          </w:tcPr>
          <w:p w14:paraId="46ED48BD"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High</w:t>
            </w:r>
          </w:p>
        </w:tc>
        <w:tc>
          <w:tcPr>
            <w:tcW w:w="990" w:type="dxa"/>
            <w:tcBorders>
              <w:top w:val="nil"/>
              <w:left w:val="nil"/>
              <w:bottom w:val="single" w:sz="8" w:space="0" w:color="auto"/>
              <w:right w:val="single" w:sz="4" w:space="0" w:color="auto"/>
            </w:tcBorders>
            <w:noWrap/>
            <w:vAlign w:val="bottom"/>
            <w:hideMark/>
          </w:tcPr>
          <w:p w14:paraId="180C47C4"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4.31</w:t>
            </w:r>
          </w:p>
        </w:tc>
        <w:tc>
          <w:tcPr>
            <w:tcW w:w="2250" w:type="dxa"/>
            <w:tcBorders>
              <w:top w:val="nil"/>
              <w:left w:val="nil"/>
              <w:bottom w:val="single" w:sz="8" w:space="0" w:color="auto"/>
              <w:right w:val="single" w:sz="8" w:space="0" w:color="auto"/>
            </w:tcBorders>
            <w:noWrap/>
            <w:vAlign w:val="bottom"/>
            <w:hideMark/>
          </w:tcPr>
          <w:p w14:paraId="2A29DA29" w14:textId="77777777" w:rsidR="0032066F" w:rsidRPr="0032066F" w:rsidRDefault="0032066F" w:rsidP="00FD64E6">
            <w:pPr>
              <w:ind w:left="720" w:hanging="720"/>
              <w:jc w:val="both"/>
              <w:rPr>
                <w:rFonts w:ascii="Arial" w:hAnsi="Arial" w:cs="Arial"/>
                <w:color w:val="000000"/>
                <w:lang w:eastAsia="en-PH"/>
              </w:rPr>
            </w:pPr>
            <w:r w:rsidRPr="0032066F">
              <w:rPr>
                <w:rFonts w:ascii="Arial" w:hAnsi="Arial" w:cs="Arial"/>
                <w:color w:val="000000"/>
                <w:lang w:eastAsia="en-PH"/>
              </w:rPr>
              <w:t>Very High</w:t>
            </w:r>
          </w:p>
        </w:tc>
      </w:tr>
      <w:tr w:rsidR="0032066F" w:rsidRPr="0032066F" w14:paraId="27E74F4C" w14:textId="77777777" w:rsidTr="00FD64E6">
        <w:trPr>
          <w:trHeight w:val="310"/>
        </w:trPr>
        <w:tc>
          <w:tcPr>
            <w:tcW w:w="1800" w:type="dxa"/>
            <w:tcBorders>
              <w:top w:val="nil"/>
              <w:left w:val="single" w:sz="4" w:space="0" w:color="auto"/>
              <w:bottom w:val="nil"/>
              <w:right w:val="single" w:sz="4" w:space="0" w:color="auto"/>
            </w:tcBorders>
            <w:noWrap/>
            <w:vAlign w:val="bottom"/>
            <w:hideMark/>
          </w:tcPr>
          <w:p w14:paraId="65419FA1"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Overall Mean</w:t>
            </w:r>
          </w:p>
        </w:tc>
        <w:tc>
          <w:tcPr>
            <w:tcW w:w="1990" w:type="dxa"/>
            <w:tcBorders>
              <w:top w:val="nil"/>
              <w:left w:val="nil"/>
              <w:bottom w:val="nil"/>
              <w:right w:val="single" w:sz="4" w:space="0" w:color="auto"/>
            </w:tcBorders>
            <w:noWrap/>
            <w:vAlign w:val="bottom"/>
            <w:hideMark/>
          </w:tcPr>
          <w:p w14:paraId="2195C679"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4.09</w:t>
            </w:r>
          </w:p>
        </w:tc>
        <w:tc>
          <w:tcPr>
            <w:tcW w:w="1710" w:type="dxa"/>
            <w:tcBorders>
              <w:top w:val="nil"/>
              <w:left w:val="nil"/>
              <w:bottom w:val="nil"/>
              <w:right w:val="single" w:sz="4" w:space="0" w:color="auto"/>
            </w:tcBorders>
            <w:noWrap/>
            <w:vAlign w:val="bottom"/>
            <w:hideMark/>
          </w:tcPr>
          <w:p w14:paraId="09EBC16A"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High</w:t>
            </w:r>
          </w:p>
        </w:tc>
        <w:tc>
          <w:tcPr>
            <w:tcW w:w="990" w:type="dxa"/>
            <w:tcBorders>
              <w:top w:val="nil"/>
              <w:left w:val="nil"/>
              <w:bottom w:val="nil"/>
              <w:right w:val="single" w:sz="4" w:space="0" w:color="auto"/>
            </w:tcBorders>
            <w:noWrap/>
            <w:vAlign w:val="bottom"/>
            <w:hideMark/>
          </w:tcPr>
          <w:p w14:paraId="3467AE7D"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4.32</w:t>
            </w:r>
          </w:p>
        </w:tc>
        <w:tc>
          <w:tcPr>
            <w:tcW w:w="2250" w:type="dxa"/>
            <w:tcBorders>
              <w:top w:val="nil"/>
              <w:left w:val="nil"/>
              <w:bottom w:val="nil"/>
              <w:right w:val="single" w:sz="4" w:space="0" w:color="auto"/>
            </w:tcBorders>
            <w:noWrap/>
            <w:vAlign w:val="bottom"/>
            <w:hideMark/>
          </w:tcPr>
          <w:p w14:paraId="089DC6FB"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Very High</w:t>
            </w:r>
          </w:p>
        </w:tc>
      </w:tr>
      <w:tr w:rsidR="0032066F" w:rsidRPr="0032066F" w14:paraId="6D696950" w14:textId="77777777" w:rsidTr="00FD64E6">
        <w:trPr>
          <w:trHeight w:val="310"/>
        </w:trPr>
        <w:tc>
          <w:tcPr>
            <w:tcW w:w="1800" w:type="dxa"/>
            <w:tcBorders>
              <w:top w:val="nil"/>
              <w:left w:val="single" w:sz="4" w:space="0" w:color="auto"/>
              <w:bottom w:val="single" w:sz="4" w:space="0" w:color="auto"/>
              <w:right w:val="single" w:sz="4" w:space="0" w:color="auto"/>
            </w:tcBorders>
            <w:noWrap/>
            <w:vAlign w:val="bottom"/>
          </w:tcPr>
          <w:p w14:paraId="6FD9CE5A" w14:textId="77777777" w:rsidR="0032066F" w:rsidRPr="0032066F" w:rsidRDefault="0032066F" w:rsidP="00FD64E6">
            <w:pPr>
              <w:rPr>
                <w:rFonts w:ascii="Arial" w:hAnsi="Arial" w:cs="Arial"/>
                <w:b/>
                <w:bCs/>
                <w:color w:val="000000"/>
                <w:lang w:eastAsia="en-PH"/>
              </w:rPr>
            </w:pPr>
            <w:r w:rsidRPr="0032066F">
              <w:rPr>
                <w:rFonts w:ascii="Arial" w:hAnsi="Arial" w:cs="Arial"/>
                <w:b/>
                <w:bCs/>
                <w:color w:val="000000"/>
                <w:lang w:eastAsia="en-PH"/>
              </w:rPr>
              <w:t>Combined Overall Mean</w:t>
            </w:r>
          </w:p>
        </w:tc>
        <w:tc>
          <w:tcPr>
            <w:tcW w:w="1990" w:type="dxa"/>
            <w:tcBorders>
              <w:top w:val="nil"/>
              <w:left w:val="nil"/>
              <w:bottom w:val="single" w:sz="4" w:space="0" w:color="auto"/>
              <w:right w:val="single" w:sz="4" w:space="0" w:color="auto"/>
            </w:tcBorders>
            <w:noWrap/>
            <w:vAlign w:val="bottom"/>
          </w:tcPr>
          <w:p w14:paraId="11CE584C"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4.21</w:t>
            </w:r>
          </w:p>
        </w:tc>
        <w:tc>
          <w:tcPr>
            <w:tcW w:w="1710" w:type="dxa"/>
            <w:tcBorders>
              <w:top w:val="nil"/>
              <w:left w:val="nil"/>
              <w:bottom w:val="single" w:sz="4" w:space="0" w:color="auto"/>
              <w:right w:val="single" w:sz="4" w:space="0" w:color="auto"/>
            </w:tcBorders>
            <w:noWrap/>
            <w:vAlign w:val="bottom"/>
          </w:tcPr>
          <w:p w14:paraId="341E09FE" w14:textId="77777777" w:rsidR="0032066F" w:rsidRPr="0032066F" w:rsidRDefault="0032066F" w:rsidP="00FD64E6">
            <w:pPr>
              <w:ind w:left="720" w:hanging="720"/>
              <w:jc w:val="both"/>
              <w:rPr>
                <w:rFonts w:ascii="Arial" w:hAnsi="Arial" w:cs="Arial"/>
                <w:b/>
                <w:bCs/>
                <w:color w:val="000000"/>
                <w:lang w:eastAsia="en-PH"/>
              </w:rPr>
            </w:pPr>
            <w:r w:rsidRPr="0032066F">
              <w:rPr>
                <w:rFonts w:ascii="Arial" w:hAnsi="Arial" w:cs="Arial"/>
                <w:b/>
                <w:bCs/>
                <w:color w:val="000000"/>
                <w:lang w:eastAsia="en-PH"/>
              </w:rPr>
              <w:t xml:space="preserve">Very High </w:t>
            </w:r>
          </w:p>
        </w:tc>
        <w:tc>
          <w:tcPr>
            <w:tcW w:w="990" w:type="dxa"/>
            <w:tcBorders>
              <w:top w:val="nil"/>
              <w:left w:val="nil"/>
              <w:bottom w:val="single" w:sz="4" w:space="0" w:color="auto"/>
              <w:right w:val="single" w:sz="4" w:space="0" w:color="auto"/>
            </w:tcBorders>
            <w:noWrap/>
            <w:vAlign w:val="bottom"/>
          </w:tcPr>
          <w:p w14:paraId="7F721974" w14:textId="77777777" w:rsidR="0032066F" w:rsidRPr="0032066F" w:rsidRDefault="0032066F" w:rsidP="00FD64E6">
            <w:pPr>
              <w:ind w:left="720" w:hanging="720"/>
              <w:jc w:val="both"/>
              <w:rPr>
                <w:rFonts w:ascii="Arial" w:hAnsi="Arial" w:cs="Arial"/>
                <w:b/>
                <w:bCs/>
                <w:color w:val="000000"/>
                <w:lang w:eastAsia="en-PH"/>
              </w:rPr>
            </w:pPr>
          </w:p>
        </w:tc>
        <w:tc>
          <w:tcPr>
            <w:tcW w:w="2250" w:type="dxa"/>
            <w:tcBorders>
              <w:top w:val="nil"/>
              <w:left w:val="nil"/>
              <w:bottom w:val="single" w:sz="4" w:space="0" w:color="auto"/>
              <w:right w:val="single" w:sz="4" w:space="0" w:color="auto"/>
            </w:tcBorders>
            <w:noWrap/>
            <w:vAlign w:val="bottom"/>
          </w:tcPr>
          <w:p w14:paraId="57478295" w14:textId="77777777" w:rsidR="0032066F" w:rsidRPr="0032066F" w:rsidRDefault="0032066F" w:rsidP="00FD64E6">
            <w:pPr>
              <w:ind w:left="720" w:hanging="720"/>
              <w:jc w:val="both"/>
              <w:rPr>
                <w:rFonts w:ascii="Arial" w:hAnsi="Arial" w:cs="Arial"/>
                <w:b/>
                <w:bCs/>
                <w:color w:val="000000"/>
                <w:lang w:eastAsia="en-PH"/>
              </w:rPr>
            </w:pPr>
          </w:p>
        </w:tc>
      </w:tr>
    </w:tbl>
    <w:p w14:paraId="08707A9D" w14:textId="77777777" w:rsidR="00790ADA" w:rsidRPr="001301D8" w:rsidRDefault="00790ADA" w:rsidP="00441B6F">
      <w:pPr>
        <w:pStyle w:val="Body"/>
        <w:spacing w:after="0"/>
        <w:rPr>
          <w:rFonts w:ascii="Arial" w:hAnsi="Arial" w:cs="Arial"/>
        </w:rPr>
      </w:pPr>
    </w:p>
    <w:p w14:paraId="19922C8E" w14:textId="42461F4B" w:rsidR="001301D8" w:rsidRPr="001301D8" w:rsidRDefault="001301D8" w:rsidP="001301D8">
      <w:pPr>
        <w:ind w:left="720" w:hanging="720"/>
        <w:jc w:val="both"/>
        <w:rPr>
          <w:rFonts w:ascii="Arial" w:hAnsi="Arial" w:cs="Arial"/>
          <w:b/>
          <w:bCs/>
        </w:rPr>
      </w:pPr>
      <w:r w:rsidRPr="001301D8">
        <w:rPr>
          <w:rFonts w:ascii="Arial" w:hAnsi="Arial" w:cs="Arial"/>
          <w:b/>
          <w:bCs/>
        </w:rPr>
        <w:t>Table 7. Perceived Effectiveness of the Community Extension Programs</w:t>
      </w:r>
    </w:p>
    <w:tbl>
      <w:tblPr>
        <w:tblW w:w="8839" w:type="dxa"/>
        <w:tblInd w:w="90" w:type="dxa"/>
        <w:tblLook w:val="04A0" w:firstRow="1" w:lastRow="0" w:firstColumn="1" w:lastColumn="0" w:noHBand="0" w:noVBand="1"/>
      </w:tblPr>
      <w:tblGrid>
        <w:gridCol w:w="2418"/>
        <w:gridCol w:w="1327"/>
        <w:gridCol w:w="2015"/>
        <w:gridCol w:w="1280"/>
        <w:gridCol w:w="1799"/>
      </w:tblGrid>
      <w:tr w:rsidR="001301D8" w:rsidRPr="001301D8" w14:paraId="559FD737" w14:textId="77777777" w:rsidTr="00FD64E6">
        <w:trPr>
          <w:trHeight w:val="316"/>
        </w:trPr>
        <w:tc>
          <w:tcPr>
            <w:tcW w:w="2418" w:type="dxa"/>
            <w:tcBorders>
              <w:top w:val="nil"/>
              <w:left w:val="nil"/>
              <w:bottom w:val="nil"/>
              <w:right w:val="nil"/>
            </w:tcBorders>
            <w:noWrap/>
            <w:vAlign w:val="bottom"/>
            <w:hideMark/>
          </w:tcPr>
          <w:p w14:paraId="17C4005B" w14:textId="77777777" w:rsidR="001301D8" w:rsidRPr="001301D8" w:rsidRDefault="001301D8" w:rsidP="00FD64E6">
            <w:pPr>
              <w:jc w:val="center"/>
              <w:rPr>
                <w:rFonts w:ascii="Arial" w:hAnsi="Arial" w:cs="Arial"/>
                <w:b/>
                <w:bCs/>
                <w:color w:val="000000"/>
                <w:lang w:eastAsia="en-PH"/>
              </w:rPr>
            </w:pPr>
            <w:r w:rsidRPr="001301D8">
              <w:rPr>
                <w:rFonts w:ascii="Arial" w:hAnsi="Arial" w:cs="Arial"/>
                <w:b/>
                <w:bCs/>
                <w:color w:val="000000"/>
                <w:lang w:eastAsia="en-PH"/>
              </w:rPr>
              <w:t>Community Extension Programs</w:t>
            </w:r>
          </w:p>
        </w:tc>
        <w:tc>
          <w:tcPr>
            <w:tcW w:w="1327" w:type="dxa"/>
            <w:tcBorders>
              <w:top w:val="nil"/>
              <w:left w:val="nil"/>
              <w:bottom w:val="nil"/>
              <w:right w:val="nil"/>
            </w:tcBorders>
            <w:noWrap/>
            <w:vAlign w:val="bottom"/>
            <w:hideMark/>
          </w:tcPr>
          <w:p w14:paraId="554E6272" w14:textId="77777777" w:rsidR="001301D8" w:rsidRPr="001301D8" w:rsidRDefault="001301D8" w:rsidP="00FD64E6">
            <w:pPr>
              <w:jc w:val="center"/>
              <w:rPr>
                <w:rFonts w:ascii="Arial" w:hAnsi="Arial" w:cs="Arial"/>
                <w:b/>
                <w:bCs/>
                <w:color w:val="000000"/>
                <w:lang w:eastAsia="en-PH"/>
              </w:rPr>
            </w:pPr>
            <w:r w:rsidRPr="001301D8">
              <w:rPr>
                <w:rFonts w:ascii="Arial" w:hAnsi="Arial" w:cs="Arial"/>
                <w:b/>
                <w:bCs/>
                <w:color w:val="000000"/>
                <w:lang w:eastAsia="en-PH"/>
              </w:rPr>
              <w:t>Basic Education</w:t>
            </w:r>
          </w:p>
        </w:tc>
        <w:tc>
          <w:tcPr>
            <w:tcW w:w="2015" w:type="dxa"/>
            <w:tcBorders>
              <w:top w:val="nil"/>
              <w:left w:val="nil"/>
              <w:bottom w:val="nil"/>
              <w:right w:val="nil"/>
            </w:tcBorders>
            <w:noWrap/>
            <w:vAlign w:val="bottom"/>
            <w:hideMark/>
          </w:tcPr>
          <w:p w14:paraId="3B23A2E1" w14:textId="77777777" w:rsidR="001301D8" w:rsidRPr="001301D8" w:rsidRDefault="001301D8" w:rsidP="00FD64E6">
            <w:pPr>
              <w:ind w:left="720" w:hanging="720"/>
              <w:jc w:val="center"/>
              <w:rPr>
                <w:rFonts w:ascii="Arial" w:hAnsi="Arial" w:cs="Arial"/>
                <w:b/>
                <w:bCs/>
                <w:color w:val="000000"/>
                <w:lang w:eastAsia="en-PH"/>
              </w:rPr>
            </w:pPr>
            <w:r w:rsidRPr="001301D8">
              <w:rPr>
                <w:rFonts w:ascii="Arial" w:hAnsi="Arial" w:cs="Arial"/>
                <w:b/>
                <w:bCs/>
                <w:color w:val="000000"/>
                <w:lang w:eastAsia="en-PH"/>
              </w:rPr>
              <w:t>Interpretation</w:t>
            </w:r>
          </w:p>
        </w:tc>
        <w:tc>
          <w:tcPr>
            <w:tcW w:w="1280" w:type="dxa"/>
            <w:tcBorders>
              <w:top w:val="nil"/>
              <w:left w:val="nil"/>
              <w:bottom w:val="nil"/>
              <w:right w:val="nil"/>
            </w:tcBorders>
            <w:noWrap/>
            <w:vAlign w:val="bottom"/>
            <w:hideMark/>
          </w:tcPr>
          <w:p w14:paraId="612C680E" w14:textId="77777777" w:rsidR="001301D8" w:rsidRPr="001301D8" w:rsidRDefault="001301D8" w:rsidP="00FD64E6">
            <w:pPr>
              <w:rPr>
                <w:rFonts w:ascii="Arial" w:hAnsi="Arial" w:cs="Arial"/>
                <w:b/>
                <w:bCs/>
                <w:color w:val="000000"/>
                <w:lang w:eastAsia="en-PH"/>
              </w:rPr>
            </w:pPr>
            <w:r w:rsidRPr="001301D8">
              <w:rPr>
                <w:rFonts w:ascii="Arial" w:hAnsi="Arial" w:cs="Arial"/>
                <w:b/>
                <w:bCs/>
                <w:color w:val="000000"/>
                <w:lang w:eastAsia="en-PH"/>
              </w:rPr>
              <w:t>College</w:t>
            </w:r>
          </w:p>
        </w:tc>
        <w:tc>
          <w:tcPr>
            <w:tcW w:w="1799" w:type="dxa"/>
            <w:tcBorders>
              <w:top w:val="nil"/>
              <w:left w:val="nil"/>
              <w:bottom w:val="nil"/>
              <w:right w:val="nil"/>
            </w:tcBorders>
            <w:noWrap/>
            <w:vAlign w:val="bottom"/>
            <w:hideMark/>
          </w:tcPr>
          <w:p w14:paraId="7FA0C483" w14:textId="77777777" w:rsidR="001301D8" w:rsidRPr="001301D8" w:rsidRDefault="001301D8" w:rsidP="00FD64E6">
            <w:pPr>
              <w:ind w:left="720" w:hanging="720"/>
              <w:jc w:val="center"/>
              <w:rPr>
                <w:rFonts w:ascii="Arial" w:hAnsi="Arial" w:cs="Arial"/>
                <w:b/>
                <w:bCs/>
                <w:color w:val="000000"/>
                <w:lang w:eastAsia="en-PH"/>
              </w:rPr>
            </w:pPr>
            <w:r w:rsidRPr="001301D8">
              <w:rPr>
                <w:rFonts w:ascii="Arial" w:hAnsi="Arial" w:cs="Arial"/>
                <w:b/>
                <w:bCs/>
                <w:color w:val="000000"/>
                <w:lang w:eastAsia="en-PH"/>
              </w:rPr>
              <w:t>Interpretation</w:t>
            </w:r>
          </w:p>
        </w:tc>
      </w:tr>
      <w:tr w:rsidR="001301D8" w:rsidRPr="001301D8" w14:paraId="768A4239" w14:textId="77777777" w:rsidTr="00FD64E6">
        <w:trPr>
          <w:trHeight w:val="306"/>
        </w:trPr>
        <w:tc>
          <w:tcPr>
            <w:tcW w:w="2418" w:type="dxa"/>
            <w:tcBorders>
              <w:top w:val="single" w:sz="8" w:space="0" w:color="auto"/>
              <w:left w:val="single" w:sz="8" w:space="0" w:color="auto"/>
              <w:bottom w:val="nil"/>
              <w:right w:val="nil"/>
            </w:tcBorders>
            <w:noWrap/>
            <w:vAlign w:val="bottom"/>
            <w:hideMark/>
          </w:tcPr>
          <w:p w14:paraId="70103C1C"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Feeding Program</w:t>
            </w:r>
          </w:p>
        </w:tc>
        <w:tc>
          <w:tcPr>
            <w:tcW w:w="1327" w:type="dxa"/>
            <w:tcBorders>
              <w:top w:val="single" w:sz="8" w:space="0" w:color="auto"/>
              <w:left w:val="nil"/>
              <w:bottom w:val="nil"/>
              <w:right w:val="nil"/>
            </w:tcBorders>
            <w:noWrap/>
            <w:vAlign w:val="bottom"/>
            <w:hideMark/>
          </w:tcPr>
          <w:p w14:paraId="39DEE3E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4.23</w:t>
            </w:r>
          </w:p>
        </w:tc>
        <w:tc>
          <w:tcPr>
            <w:tcW w:w="2015" w:type="dxa"/>
            <w:tcBorders>
              <w:top w:val="single" w:sz="8" w:space="0" w:color="auto"/>
              <w:left w:val="nil"/>
              <w:bottom w:val="nil"/>
              <w:right w:val="nil"/>
            </w:tcBorders>
            <w:noWrap/>
            <w:vAlign w:val="bottom"/>
            <w:hideMark/>
          </w:tcPr>
          <w:p w14:paraId="36DAC85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single" w:sz="8" w:space="0" w:color="auto"/>
              <w:left w:val="nil"/>
              <w:bottom w:val="nil"/>
              <w:right w:val="nil"/>
            </w:tcBorders>
            <w:noWrap/>
            <w:vAlign w:val="bottom"/>
            <w:hideMark/>
          </w:tcPr>
          <w:p w14:paraId="0244E29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4.36</w:t>
            </w:r>
          </w:p>
        </w:tc>
        <w:tc>
          <w:tcPr>
            <w:tcW w:w="1799" w:type="dxa"/>
            <w:tcBorders>
              <w:top w:val="single" w:sz="8" w:space="0" w:color="auto"/>
              <w:left w:val="nil"/>
              <w:bottom w:val="nil"/>
              <w:right w:val="single" w:sz="8" w:space="0" w:color="auto"/>
            </w:tcBorders>
            <w:noWrap/>
            <w:vAlign w:val="bottom"/>
            <w:hideMark/>
          </w:tcPr>
          <w:p w14:paraId="27B56FA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075C8903" w14:textId="77777777" w:rsidTr="00FD64E6">
        <w:trPr>
          <w:trHeight w:val="306"/>
        </w:trPr>
        <w:tc>
          <w:tcPr>
            <w:tcW w:w="2418" w:type="dxa"/>
            <w:tcBorders>
              <w:top w:val="nil"/>
              <w:left w:val="single" w:sz="8" w:space="0" w:color="auto"/>
              <w:bottom w:val="nil"/>
              <w:right w:val="nil"/>
            </w:tcBorders>
            <w:noWrap/>
            <w:vAlign w:val="bottom"/>
            <w:hideMark/>
          </w:tcPr>
          <w:p w14:paraId="311B77A6"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 xml:space="preserve">Capacity Building </w:t>
            </w:r>
          </w:p>
        </w:tc>
        <w:tc>
          <w:tcPr>
            <w:tcW w:w="1327" w:type="dxa"/>
            <w:tcBorders>
              <w:top w:val="nil"/>
              <w:left w:val="nil"/>
              <w:bottom w:val="nil"/>
              <w:right w:val="nil"/>
            </w:tcBorders>
            <w:noWrap/>
            <w:vAlign w:val="bottom"/>
            <w:hideMark/>
          </w:tcPr>
          <w:p w14:paraId="05C9E75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4.23</w:t>
            </w:r>
          </w:p>
        </w:tc>
        <w:tc>
          <w:tcPr>
            <w:tcW w:w="2015" w:type="dxa"/>
            <w:tcBorders>
              <w:top w:val="nil"/>
              <w:left w:val="nil"/>
              <w:bottom w:val="nil"/>
              <w:right w:val="nil"/>
            </w:tcBorders>
            <w:noWrap/>
            <w:vAlign w:val="bottom"/>
            <w:hideMark/>
          </w:tcPr>
          <w:p w14:paraId="2DBD75E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58613C0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4.47</w:t>
            </w:r>
          </w:p>
        </w:tc>
        <w:tc>
          <w:tcPr>
            <w:tcW w:w="1799" w:type="dxa"/>
            <w:tcBorders>
              <w:top w:val="nil"/>
              <w:left w:val="nil"/>
              <w:bottom w:val="nil"/>
              <w:right w:val="single" w:sz="8" w:space="0" w:color="auto"/>
            </w:tcBorders>
            <w:noWrap/>
            <w:vAlign w:val="bottom"/>
            <w:hideMark/>
          </w:tcPr>
          <w:p w14:paraId="2549480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443AFCE2" w14:textId="77777777" w:rsidTr="00FD64E6">
        <w:trPr>
          <w:trHeight w:val="306"/>
        </w:trPr>
        <w:tc>
          <w:tcPr>
            <w:tcW w:w="2418" w:type="dxa"/>
            <w:tcBorders>
              <w:top w:val="nil"/>
              <w:left w:val="single" w:sz="8" w:space="0" w:color="auto"/>
              <w:bottom w:val="nil"/>
              <w:right w:val="nil"/>
            </w:tcBorders>
            <w:noWrap/>
            <w:vAlign w:val="bottom"/>
            <w:hideMark/>
          </w:tcPr>
          <w:p w14:paraId="0400FD7A"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Literacy Program</w:t>
            </w:r>
          </w:p>
        </w:tc>
        <w:tc>
          <w:tcPr>
            <w:tcW w:w="1327" w:type="dxa"/>
            <w:tcBorders>
              <w:top w:val="nil"/>
              <w:left w:val="nil"/>
              <w:bottom w:val="nil"/>
              <w:right w:val="nil"/>
            </w:tcBorders>
            <w:noWrap/>
            <w:vAlign w:val="bottom"/>
            <w:hideMark/>
          </w:tcPr>
          <w:p w14:paraId="3508EC71"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3.92</w:t>
            </w:r>
          </w:p>
        </w:tc>
        <w:tc>
          <w:tcPr>
            <w:tcW w:w="2015" w:type="dxa"/>
            <w:tcBorders>
              <w:top w:val="nil"/>
              <w:left w:val="nil"/>
              <w:bottom w:val="nil"/>
              <w:right w:val="nil"/>
            </w:tcBorders>
            <w:noWrap/>
            <w:vAlign w:val="bottom"/>
            <w:hideMark/>
          </w:tcPr>
          <w:p w14:paraId="32636A9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2AFCFDE5"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4.07</w:t>
            </w:r>
          </w:p>
        </w:tc>
        <w:tc>
          <w:tcPr>
            <w:tcW w:w="1799" w:type="dxa"/>
            <w:tcBorders>
              <w:top w:val="nil"/>
              <w:left w:val="nil"/>
              <w:bottom w:val="nil"/>
              <w:right w:val="single" w:sz="8" w:space="0" w:color="auto"/>
            </w:tcBorders>
            <w:noWrap/>
            <w:vAlign w:val="bottom"/>
            <w:hideMark/>
          </w:tcPr>
          <w:p w14:paraId="46A5084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5A0F1D01" w14:textId="77777777" w:rsidTr="00FD64E6">
        <w:trPr>
          <w:trHeight w:val="306"/>
        </w:trPr>
        <w:tc>
          <w:tcPr>
            <w:tcW w:w="2418" w:type="dxa"/>
            <w:tcBorders>
              <w:top w:val="nil"/>
              <w:left w:val="single" w:sz="8" w:space="0" w:color="auto"/>
              <w:bottom w:val="nil"/>
              <w:right w:val="nil"/>
            </w:tcBorders>
            <w:noWrap/>
            <w:vAlign w:val="bottom"/>
            <w:hideMark/>
          </w:tcPr>
          <w:p w14:paraId="26043E53"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Catechism (MRYE)</w:t>
            </w:r>
          </w:p>
        </w:tc>
        <w:tc>
          <w:tcPr>
            <w:tcW w:w="1327" w:type="dxa"/>
            <w:tcBorders>
              <w:top w:val="nil"/>
              <w:left w:val="nil"/>
              <w:bottom w:val="nil"/>
              <w:right w:val="nil"/>
            </w:tcBorders>
            <w:noWrap/>
            <w:vAlign w:val="bottom"/>
            <w:hideMark/>
          </w:tcPr>
          <w:p w14:paraId="0BD7AFE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4.03</w:t>
            </w:r>
          </w:p>
        </w:tc>
        <w:tc>
          <w:tcPr>
            <w:tcW w:w="2015" w:type="dxa"/>
            <w:tcBorders>
              <w:top w:val="nil"/>
              <w:left w:val="nil"/>
              <w:bottom w:val="nil"/>
              <w:right w:val="nil"/>
            </w:tcBorders>
            <w:noWrap/>
            <w:vAlign w:val="bottom"/>
            <w:hideMark/>
          </w:tcPr>
          <w:p w14:paraId="6C84CC4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3D9E581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4.18</w:t>
            </w:r>
          </w:p>
        </w:tc>
        <w:tc>
          <w:tcPr>
            <w:tcW w:w="1799" w:type="dxa"/>
            <w:tcBorders>
              <w:top w:val="nil"/>
              <w:left w:val="nil"/>
              <w:bottom w:val="nil"/>
              <w:right w:val="single" w:sz="8" w:space="0" w:color="auto"/>
            </w:tcBorders>
            <w:noWrap/>
            <w:vAlign w:val="bottom"/>
            <w:hideMark/>
          </w:tcPr>
          <w:p w14:paraId="7EA6A4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649C924F" w14:textId="77777777" w:rsidTr="00FD64E6">
        <w:trPr>
          <w:trHeight w:val="306"/>
        </w:trPr>
        <w:tc>
          <w:tcPr>
            <w:tcW w:w="2418" w:type="dxa"/>
            <w:tcBorders>
              <w:top w:val="nil"/>
              <w:left w:val="single" w:sz="8" w:space="0" w:color="auto"/>
              <w:bottom w:val="nil"/>
              <w:right w:val="nil"/>
            </w:tcBorders>
            <w:noWrap/>
            <w:vAlign w:val="bottom"/>
            <w:hideMark/>
          </w:tcPr>
          <w:p w14:paraId="10D89917"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Relief Operation</w:t>
            </w:r>
          </w:p>
        </w:tc>
        <w:tc>
          <w:tcPr>
            <w:tcW w:w="1327" w:type="dxa"/>
            <w:tcBorders>
              <w:top w:val="nil"/>
              <w:left w:val="nil"/>
              <w:bottom w:val="nil"/>
              <w:right w:val="nil"/>
            </w:tcBorders>
            <w:noWrap/>
            <w:vAlign w:val="bottom"/>
            <w:hideMark/>
          </w:tcPr>
          <w:p w14:paraId="6075C625"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4.91</w:t>
            </w:r>
          </w:p>
        </w:tc>
        <w:tc>
          <w:tcPr>
            <w:tcW w:w="2015" w:type="dxa"/>
            <w:tcBorders>
              <w:top w:val="nil"/>
              <w:left w:val="nil"/>
              <w:bottom w:val="nil"/>
              <w:right w:val="nil"/>
            </w:tcBorders>
            <w:noWrap/>
            <w:vAlign w:val="bottom"/>
            <w:hideMark/>
          </w:tcPr>
          <w:p w14:paraId="213F5B8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16A6F49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4.54</w:t>
            </w:r>
          </w:p>
        </w:tc>
        <w:tc>
          <w:tcPr>
            <w:tcW w:w="1799" w:type="dxa"/>
            <w:tcBorders>
              <w:top w:val="nil"/>
              <w:left w:val="nil"/>
              <w:bottom w:val="nil"/>
              <w:right w:val="single" w:sz="8" w:space="0" w:color="auto"/>
            </w:tcBorders>
            <w:noWrap/>
            <w:vAlign w:val="bottom"/>
            <w:hideMark/>
          </w:tcPr>
          <w:p w14:paraId="1E029861"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7E069B20" w14:textId="77777777" w:rsidTr="00FD64E6">
        <w:trPr>
          <w:trHeight w:val="306"/>
        </w:trPr>
        <w:tc>
          <w:tcPr>
            <w:tcW w:w="2418" w:type="dxa"/>
            <w:tcBorders>
              <w:top w:val="nil"/>
              <w:left w:val="single" w:sz="8" w:space="0" w:color="auto"/>
              <w:bottom w:val="nil"/>
              <w:right w:val="nil"/>
            </w:tcBorders>
            <w:noWrap/>
            <w:vAlign w:val="bottom"/>
            <w:hideMark/>
          </w:tcPr>
          <w:p w14:paraId="65A5CF11"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Orphanage</w:t>
            </w:r>
          </w:p>
        </w:tc>
        <w:tc>
          <w:tcPr>
            <w:tcW w:w="1327" w:type="dxa"/>
            <w:tcBorders>
              <w:top w:val="nil"/>
              <w:left w:val="nil"/>
              <w:bottom w:val="nil"/>
              <w:right w:val="nil"/>
            </w:tcBorders>
            <w:noWrap/>
            <w:vAlign w:val="bottom"/>
            <w:hideMark/>
          </w:tcPr>
          <w:p w14:paraId="2505AE5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3.84</w:t>
            </w:r>
          </w:p>
        </w:tc>
        <w:tc>
          <w:tcPr>
            <w:tcW w:w="2015" w:type="dxa"/>
            <w:tcBorders>
              <w:top w:val="nil"/>
              <w:left w:val="nil"/>
              <w:bottom w:val="nil"/>
              <w:right w:val="nil"/>
            </w:tcBorders>
            <w:noWrap/>
            <w:vAlign w:val="bottom"/>
            <w:hideMark/>
          </w:tcPr>
          <w:p w14:paraId="65FF3B4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0B9187DB"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3.65</w:t>
            </w:r>
          </w:p>
        </w:tc>
        <w:tc>
          <w:tcPr>
            <w:tcW w:w="1799" w:type="dxa"/>
            <w:tcBorders>
              <w:top w:val="nil"/>
              <w:left w:val="nil"/>
              <w:bottom w:val="nil"/>
              <w:right w:val="single" w:sz="8" w:space="0" w:color="auto"/>
            </w:tcBorders>
            <w:noWrap/>
            <w:vAlign w:val="bottom"/>
            <w:hideMark/>
          </w:tcPr>
          <w:p w14:paraId="6915A27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D58C799" w14:textId="77777777" w:rsidTr="00FD64E6">
        <w:trPr>
          <w:trHeight w:val="306"/>
        </w:trPr>
        <w:tc>
          <w:tcPr>
            <w:tcW w:w="2418" w:type="dxa"/>
            <w:tcBorders>
              <w:top w:val="nil"/>
              <w:left w:val="single" w:sz="8" w:space="0" w:color="auto"/>
              <w:bottom w:val="nil"/>
              <w:right w:val="nil"/>
            </w:tcBorders>
            <w:noWrap/>
            <w:vAlign w:val="bottom"/>
            <w:hideMark/>
          </w:tcPr>
          <w:p w14:paraId="5E7A0A0B"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Community Pantry</w:t>
            </w:r>
          </w:p>
        </w:tc>
        <w:tc>
          <w:tcPr>
            <w:tcW w:w="1327" w:type="dxa"/>
            <w:tcBorders>
              <w:top w:val="nil"/>
              <w:left w:val="nil"/>
              <w:bottom w:val="nil"/>
              <w:right w:val="nil"/>
            </w:tcBorders>
            <w:noWrap/>
            <w:vAlign w:val="bottom"/>
            <w:hideMark/>
          </w:tcPr>
          <w:p w14:paraId="0AE025B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4.10</w:t>
            </w:r>
          </w:p>
        </w:tc>
        <w:tc>
          <w:tcPr>
            <w:tcW w:w="2015" w:type="dxa"/>
            <w:tcBorders>
              <w:top w:val="nil"/>
              <w:left w:val="nil"/>
              <w:bottom w:val="nil"/>
              <w:right w:val="nil"/>
            </w:tcBorders>
            <w:noWrap/>
            <w:vAlign w:val="bottom"/>
            <w:hideMark/>
          </w:tcPr>
          <w:p w14:paraId="541459B0"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2BC19E3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4.01</w:t>
            </w:r>
          </w:p>
        </w:tc>
        <w:tc>
          <w:tcPr>
            <w:tcW w:w="1799" w:type="dxa"/>
            <w:tcBorders>
              <w:top w:val="nil"/>
              <w:left w:val="nil"/>
              <w:bottom w:val="nil"/>
              <w:right w:val="single" w:sz="8" w:space="0" w:color="auto"/>
            </w:tcBorders>
            <w:noWrap/>
            <w:vAlign w:val="bottom"/>
            <w:hideMark/>
          </w:tcPr>
          <w:p w14:paraId="3DDF5F5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1A2D61EF" w14:textId="77777777" w:rsidTr="00FD64E6">
        <w:trPr>
          <w:trHeight w:val="306"/>
        </w:trPr>
        <w:tc>
          <w:tcPr>
            <w:tcW w:w="2418" w:type="dxa"/>
            <w:tcBorders>
              <w:top w:val="nil"/>
              <w:left w:val="single" w:sz="8" w:space="0" w:color="auto"/>
              <w:bottom w:val="nil"/>
              <w:right w:val="nil"/>
            </w:tcBorders>
            <w:noWrap/>
            <w:vAlign w:val="bottom"/>
            <w:hideMark/>
          </w:tcPr>
          <w:p w14:paraId="11EE0743"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Clean Up Drive</w:t>
            </w:r>
          </w:p>
        </w:tc>
        <w:tc>
          <w:tcPr>
            <w:tcW w:w="1327" w:type="dxa"/>
            <w:tcBorders>
              <w:top w:val="nil"/>
              <w:left w:val="nil"/>
              <w:bottom w:val="nil"/>
              <w:right w:val="nil"/>
            </w:tcBorders>
            <w:noWrap/>
            <w:vAlign w:val="bottom"/>
            <w:hideMark/>
          </w:tcPr>
          <w:p w14:paraId="73993E2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4.37</w:t>
            </w:r>
          </w:p>
        </w:tc>
        <w:tc>
          <w:tcPr>
            <w:tcW w:w="2015" w:type="dxa"/>
            <w:tcBorders>
              <w:top w:val="nil"/>
              <w:left w:val="nil"/>
              <w:bottom w:val="nil"/>
              <w:right w:val="nil"/>
            </w:tcBorders>
            <w:noWrap/>
            <w:vAlign w:val="bottom"/>
            <w:hideMark/>
          </w:tcPr>
          <w:p w14:paraId="58F31DF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01D14980"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4.68</w:t>
            </w:r>
          </w:p>
        </w:tc>
        <w:tc>
          <w:tcPr>
            <w:tcW w:w="1799" w:type="dxa"/>
            <w:tcBorders>
              <w:top w:val="nil"/>
              <w:left w:val="nil"/>
              <w:bottom w:val="nil"/>
              <w:right w:val="single" w:sz="8" w:space="0" w:color="auto"/>
            </w:tcBorders>
            <w:noWrap/>
            <w:vAlign w:val="bottom"/>
            <w:hideMark/>
          </w:tcPr>
          <w:p w14:paraId="54FD72E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7DDF68F6" w14:textId="77777777" w:rsidTr="00FD64E6">
        <w:trPr>
          <w:trHeight w:val="306"/>
        </w:trPr>
        <w:tc>
          <w:tcPr>
            <w:tcW w:w="2418" w:type="dxa"/>
            <w:tcBorders>
              <w:top w:val="nil"/>
              <w:left w:val="single" w:sz="8" w:space="0" w:color="auto"/>
              <w:bottom w:val="nil"/>
              <w:right w:val="nil"/>
            </w:tcBorders>
            <w:noWrap/>
            <w:vAlign w:val="bottom"/>
            <w:hideMark/>
          </w:tcPr>
          <w:p w14:paraId="5A12D4C8" w14:textId="77777777" w:rsidR="001301D8" w:rsidRPr="001301D8" w:rsidRDefault="001301D8" w:rsidP="00FD64E6">
            <w:pPr>
              <w:ind w:left="-20" w:firstLine="20"/>
              <w:rPr>
                <w:rFonts w:ascii="Arial" w:hAnsi="Arial" w:cs="Arial"/>
                <w:color w:val="000000"/>
                <w:lang w:eastAsia="en-PH"/>
              </w:rPr>
            </w:pPr>
            <w:r w:rsidRPr="001301D8">
              <w:rPr>
                <w:rFonts w:ascii="Arial" w:hAnsi="Arial" w:cs="Arial"/>
                <w:color w:val="000000"/>
                <w:lang w:eastAsia="en-PH"/>
              </w:rPr>
              <w:t>Garage Sale/Fund Raising</w:t>
            </w:r>
          </w:p>
        </w:tc>
        <w:tc>
          <w:tcPr>
            <w:tcW w:w="1327" w:type="dxa"/>
            <w:tcBorders>
              <w:top w:val="nil"/>
              <w:left w:val="nil"/>
              <w:bottom w:val="nil"/>
              <w:right w:val="nil"/>
            </w:tcBorders>
            <w:noWrap/>
            <w:vAlign w:val="bottom"/>
            <w:hideMark/>
          </w:tcPr>
          <w:p w14:paraId="1F79D70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4.06</w:t>
            </w:r>
          </w:p>
        </w:tc>
        <w:tc>
          <w:tcPr>
            <w:tcW w:w="2015" w:type="dxa"/>
            <w:tcBorders>
              <w:top w:val="nil"/>
              <w:left w:val="nil"/>
              <w:bottom w:val="nil"/>
              <w:right w:val="nil"/>
            </w:tcBorders>
            <w:noWrap/>
            <w:vAlign w:val="bottom"/>
            <w:hideMark/>
          </w:tcPr>
          <w:p w14:paraId="203AB6E8"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07879ED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4.06</w:t>
            </w:r>
          </w:p>
        </w:tc>
        <w:tc>
          <w:tcPr>
            <w:tcW w:w="1799" w:type="dxa"/>
            <w:tcBorders>
              <w:top w:val="nil"/>
              <w:left w:val="nil"/>
              <w:bottom w:val="nil"/>
              <w:right w:val="single" w:sz="8" w:space="0" w:color="auto"/>
            </w:tcBorders>
            <w:noWrap/>
            <w:vAlign w:val="bottom"/>
            <w:hideMark/>
          </w:tcPr>
          <w:p w14:paraId="78E4D57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DBFEE5B" w14:textId="77777777" w:rsidTr="00FD64E6">
        <w:trPr>
          <w:trHeight w:val="306"/>
        </w:trPr>
        <w:tc>
          <w:tcPr>
            <w:tcW w:w="2418" w:type="dxa"/>
            <w:tcBorders>
              <w:top w:val="nil"/>
              <w:left w:val="single" w:sz="8" w:space="0" w:color="auto"/>
              <w:bottom w:val="nil"/>
              <w:right w:val="nil"/>
            </w:tcBorders>
            <w:noWrap/>
            <w:vAlign w:val="bottom"/>
            <w:hideMark/>
          </w:tcPr>
          <w:p w14:paraId="7ECAA112"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Tree Planting</w:t>
            </w:r>
          </w:p>
        </w:tc>
        <w:tc>
          <w:tcPr>
            <w:tcW w:w="1327" w:type="dxa"/>
            <w:tcBorders>
              <w:top w:val="nil"/>
              <w:left w:val="nil"/>
              <w:bottom w:val="nil"/>
              <w:right w:val="nil"/>
            </w:tcBorders>
            <w:noWrap/>
            <w:vAlign w:val="bottom"/>
            <w:hideMark/>
          </w:tcPr>
          <w:p w14:paraId="3E922B8C"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4.75</w:t>
            </w:r>
          </w:p>
        </w:tc>
        <w:tc>
          <w:tcPr>
            <w:tcW w:w="2015" w:type="dxa"/>
            <w:tcBorders>
              <w:top w:val="nil"/>
              <w:left w:val="nil"/>
              <w:bottom w:val="nil"/>
              <w:right w:val="nil"/>
            </w:tcBorders>
            <w:noWrap/>
            <w:vAlign w:val="bottom"/>
            <w:hideMark/>
          </w:tcPr>
          <w:p w14:paraId="089D6504"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c>
          <w:tcPr>
            <w:tcW w:w="1280" w:type="dxa"/>
            <w:tcBorders>
              <w:top w:val="nil"/>
              <w:left w:val="nil"/>
              <w:bottom w:val="nil"/>
              <w:right w:val="nil"/>
            </w:tcBorders>
            <w:noWrap/>
            <w:vAlign w:val="bottom"/>
            <w:hideMark/>
          </w:tcPr>
          <w:p w14:paraId="1939050D"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4.94</w:t>
            </w:r>
          </w:p>
        </w:tc>
        <w:tc>
          <w:tcPr>
            <w:tcW w:w="1799" w:type="dxa"/>
            <w:tcBorders>
              <w:top w:val="nil"/>
              <w:left w:val="nil"/>
              <w:bottom w:val="nil"/>
              <w:right w:val="single" w:sz="8" w:space="0" w:color="auto"/>
            </w:tcBorders>
            <w:noWrap/>
            <w:vAlign w:val="bottom"/>
            <w:hideMark/>
          </w:tcPr>
          <w:p w14:paraId="3B8378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Very Effective</w:t>
            </w:r>
          </w:p>
        </w:tc>
      </w:tr>
      <w:tr w:rsidR="001301D8" w:rsidRPr="001301D8" w14:paraId="055A8DE7" w14:textId="77777777" w:rsidTr="00FD64E6">
        <w:trPr>
          <w:trHeight w:val="306"/>
        </w:trPr>
        <w:tc>
          <w:tcPr>
            <w:tcW w:w="2418" w:type="dxa"/>
            <w:tcBorders>
              <w:top w:val="nil"/>
              <w:left w:val="single" w:sz="8" w:space="0" w:color="auto"/>
              <w:bottom w:val="nil"/>
              <w:right w:val="nil"/>
            </w:tcBorders>
            <w:noWrap/>
            <w:vAlign w:val="bottom"/>
            <w:hideMark/>
          </w:tcPr>
          <w:p w14:paraId="0727E484" w14:textId="77777777" w:rsidR="001301D8" w:rsidRPr="001301D8" w:rsidRDefault="001301D8" w:rsidP="00FD64E6">
            <w:pPr>
              <w:ind w:left="720" w:hanging="720"/>
              <w:rPr>
                <w:rFonts w:ascii="Arial" w:hAnsi="Arial" w:cs="Arial"/>
                <w:color w:val="000000"/>
                <w:lang w:eastAsia="en-PH"/>
              </w:rPr>
            </w:pPr>
            <w:r w:rsidRPr="001301D8">
              <w:rPr>
                <w:rFonts w:ascii="Arial" w:hAnsi="Arial" w:cs="Arial"/>
                <w:color w:val="000000"/>
                <w:lang w:eastAsia="en-PH"/>
              </w:rPr>
              <w:t>Blood Letting</w:t>
            </w:r>
          </w:p>
        </w:tc>
        <w:tc>
          <w:tcPr>
            <w:tcW w:w="1327" w:type="dxa"/>
            <w:tcBorders>
              <w:top w:val="nil"/>
              <w:left w:val="nil"/>
              <w:bottom w:val="nil"/>
              <w:right w:val="nil"/>
            </w:tcBorders>
            <w:noWrap/>
            <w:vAlign w:val="bottom"/>
            <w:hideMark/>
          </w:tcPr>
          <w:p w14:paraId="20764C0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3.49</w:t>
            </w:r>
          </w:p>
        </w:tc>
        <w:tc>
          <w:tcPr>
            <w:tcW w:w="2015" w:type="dxa"/>
            <w:tcBorders>
              <w:top w:val="nil"/>
              <w:left w:val="nil"/>
              <w:bottom w:val="nil"/>
              <w:right w:val="nil"/>
            </w:tcBorders>
            <w:noWrap/>
            <w:vAlign w:val="bottom"/>
            <w:hideMark/>
          </w:tcPr>
          <w:p w14:paraId="7550A67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320E832A"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3.68</w:t>
            </w:r>
          </w:p>
        </w:tc>
        <w:tc>
          <w:tcPr>
            <w:tcW w:w="1799" w:type="dxa"/>
            <w:tcBorders>
              <w:top w:val="nil"/>
              <w:left w:val="nil"/>
              <w:bottom w:val="nil"/>
              <w:right w:val="single" w:sz="8" w:space="0" w:color="auto"/>
            </w:tcBorders>
            <w:noWrap/>
            <w:vAlign w:val="bottom"/>
            <w:hideMark/>
          </w:tcPr>
          <w:p w14:paraId="71CA9F9F"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793DC9E5" w14:textId="77777777" w:rsidTr="00FD64E6">
        <w:trPr>
          <w:trHeight w:val="306"/>
        </w:trPr>
        <w:tc>
          <w:tcPr>
            <w:tcW w:w="2418" w:type="dxa"/>
            <w:tcBorders>
              <w:top w:val="nil"/>
              <w:left w:val="single" w:sz="8" w:space="0" w:color="auto"/>
              <w:bottom w:val="nil"/>
              <w:right w:val="nil"/>
            </w:tcBorders>
            <w:noWrap/>
            <w:vAlign w:val="bottom"/>
            <w:hideMark/>
          </w:tcPr>
          <w:p w14:paraId="7E028332" w14:textId="77777777" w:rsidR="001301D8" w:rsidRPr="001301D8" w:rsidRDefault="001301D8" w:rsidP="00FD64E6">
            <w:pPr>
              <w:rPr>
                <w:rFonts w:ascii="Arial" w:hAnsi="Arial" w:cs="Arial"/>
                <w:color w:val="000000"/>
                <w:lang w:eastAsia="en-PH"/>
              </w:rPr>
            </w:pPr>
            <w:r w:rsidRPr="001301D8">
              <w:rPr>
                <w:rFonts w:ascii="Arial" w:hAnsi="Arial" w:cs="Arial"/>
                <w:color w:val="000000"/>
                <w:lang w:eastAsia="en-PH"/>
              </w:rPr>
              <w:t>Gift Giving to Public Schools</w:t>
            </w:r>
          </w:p>
        </w:tc>
        <w:tc>
          <w:tcPr>
            <w:tcW w:w="1327" w:type="dxa"/>
            <w:tcBorders>
              <w:top w:val="nil"/>
              <w:left w:val="nil"/>
              <w:bottom w:val="nil"/>
              <w:right w:val="nil"/>
            </w:tcBorders>
            <w:noWrap/>
            <w:vAlign w:val="bottom"/>
            <w:hideMark/>
          </w:tcPr>
          <w:p w14:paraId="417022C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3.95</w:t>
            </w:r>
          </w:p>
        </w:tc>
        <w:tc>
          <w:tcPr>
            <w:tcW w:w="2015" w:type="dxa"/>
            <w:tcBorders>
              <w:top w:val="nil"/>
              <w:left w:val="nil"/>
              <w:bottom w:val="nil"/>
              <w:right w:val="nil"/>
            </w:tcBorders>
            <w:noWrap/>
            <w:vAlign w:val="bottom"/>
            <w:hideMark/>
          </w:tcPr>
          <w:p w14:paraId="05F311D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nil"/>
              <w:right w:val="nil"/>
            </w:tcBorders>
            <w:noWrap/>
            <w:vAlign w:val="bottom"/>
            <w:hideMark/>
          </w:tcPr>
          <w:p w14:paraId="58FF83D9"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3.72</w:t>
            </w:r>
          </w:p>
        </w:tc>
        <w:tc>
          <w:tcPr>
            <w:tcW w:w="1799" w:type="dxa"/>
            <w:tcBorders>
              <w:top w:val="nil"/>
              <w:left w:val="nil"/>
              <w:bottom w:val="nil"/>
              <w:right w:val="single" w:sz="8" w:space="0" w:color="auto"/>
            </w:tcBorders>
            <w:noWrap/>
            <w:vAlign w:val="bottom"/>
            <w:hideMark/>
          </w:tcPr>
          <w:p w14:paraId="5D71FE83"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r>
      <w:tr w:rsidR="001301D8" w:rsidRPr="001301D8" w14:paraId="30F6D4AF" w14:textId="77777777" w:rsidTr="00FD64E6">
        <w:trPr>
          <w:trHeight w:val="316"/>
        </w:trPr>
        <w:tc>
          <w:tcPr>
            <w:tcW w:w="2418" w:type="dxa"/>
            <w:tcBorders>
              <w:top w:val="nil"/>
              <w:left w:val="single" w:sz="8" w:space="0" w:color="auto"/>
              <w:bottom w:val="single" w:sz="8" w:space="0" w:color="auto"/>
              <w:right w:val="nil"/>
            </w:tcBorders>
            <w:noWrap/>
            <w:vAlign w:val="bottom"/>
            <w:hideMark/>
          </w:tcPr>
          <w:p w14:paraId="52773C05" w14:textId="77777777" w:rsidR="001301D8" w:rsidRPr="001301D8" w:rsidRDefault="001301D8" w:rsidP="00FD64E6">
            <w:pPr>
              <w:rPr>
                <w:rFonts w:ascii="Arial" w:hAnsi="Arial" w:cs="Arial"/>
                <w:color w:val="000000"/>
                <w:lang w:eastAsia="en-PH"/>
              </w:rPr>
            </w:pPr>
            <w:r w:rsidRPr="001301D8">
              <w:rPr>
                <w:rFonts w:ascii="Arial" w:hAnsi="Arial" w:cs="Arial"/>
                <w:color w:val="000000"/>
                <w:lang w:eastAsia="en-PH"/>
              </w:rPr>
              <w:t>Visit to the Home for Elderly</w:t>
            </w:r>
          </w:p>
        </w:tc>
        <w:tc>
          <w:tcPr>
            <w:tcW w:w="1327" w:type="dxa"/>
            <w:tcBorders>
              <w:top w:val="nil"/>
              <w:left w:val="nil"/>
              <w:bottom w:val="single" w:sz="8" w:space="0" w:color="auto"/>
              <w:right w:val="nil"/>
            </w:tcBorders>
            <w:noWrap/>
            <w:vAlign w:val="bottom"/>
            <w:hideMark/>
          </w:tcPr>
          <w:p w14:paraId="43465FF6"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3.78</w:t>
            </w:r>
          </w:p>
        </w:tc>
        <w:tc>
          <w:tcPr>
            <w:tcW w:w="2015" w:type="dxa"/>
            <w:tcBorders>
              <w:top w:val="nil"/>
              <w:left w:val="nil"/>
              <w:bottom w:val="single" w:sz="8" w:space="0" w:color="auto"/>
              <w:right w:val="nil"/>
            </w:tcBorders>
            <w:noWrap/>
            <w:vAlign w:val="bottom"/>
            <w:hideMark/>
          </w:tcPr>
          <w:p w14:paraId="7DDC3987"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Effective</w:t>
            </w:r>
          </w:p>
        </w:tc>
        <w:tc>
          <w:tcPr>
            <w:tcW w:w="1280" w:type="dxa"/>
            <w:tcBorders>
              <w:top w:val="nil"/>
              <w:left w:val="nil"/>
              <w:bottom w:val="single" w:sz="8" w:space="0" w:color="auto"/>
              <w:right w:val="nil"/>
            </w:tcBorders>
            <w:noWrap/>
            <w:vAlign w:val="bottom"/>
            <w:hideMark/>
          </w:tcPr>
          <w:p w14:paraId="0497F618" w14:textId="77777777" w:rsidR="001301D8" w:rsidRPr="001301D8" w:rsidRDefault="001301D8" w:rsidP="00FD64E6">
            <w:pPr>
              <w:ind w:left="720" w:hanging="720"/>
              <w:jc w:val="both"/>
              <w:rPr>
                <w:rFonts w:ascii="Arial" w:hAnsi="Arial" w:cs="Arial"/>
                <w:color w:val="000000"/>
                <w:lang w:eastAsia="en-PH"/>
              </w:rPr>
            </w:pPr>
            <w:r w:rsidRPr="001301D8">
              <w:rPr>
                <w:rFonts w:ascii="Arial" w:hAnsi="Arial" w:cs="Arial"/>
                <w:color w:val="000000"/>
                <w:lang w:eastAsia="en-PH"/>
              </w:rPr>
              <w:t>3.38</w:t>
            </w:r>
          </w:p>
        </w:tc>
        <w:tc>
          <w:tcPr>
            <w:tcW w:w="1799" w:type="dxa"/>
            <w:tcBorders>
              <w:top w:val="nil"/>
              <w:left w:val="nil"/>
              <w:bottom w:val="single" w:sz="8" w:space="0" w:color="auto"/>
              <w:right w:val="single" w:sz="8" w:space="0" w:color="auto"/>
            </w:tcBorders>
            <w:noWrap/>
            <w:vAlign w:val="bottom"/>
            <w:hideMark/>
          </w:tcPr>
          <w:p w14:paraId="54C8A88C" w14:textId="77777777" w:rsidR="001301D8" w:rsidRPr="001301D8" w:rsidRDefault="001301D8" w:rsidP="00FD64E6">
            <w:pPr>
              <w:jc w:val="both"/>
              <w:rPr>
                <w:rFonts w:ascii="Arial" w:hAnsi="Arial" w:cs="Arial"/>
                <w:color w:val="000000"/>
                <w:lang w:eastAsia="en-PH"/>
              </w:rPr>
            </w:pPr>
            <w:r w:rsidRPr="001301D8">
              <w:rPr>
                <w:rFonts w:ascii="Arial" w:hAnsi="Arial" w:cs="Arial"/>
                <w:color w:val="000000"/>
                <w:lang w:eastAsia="en-PH"/>
              </w:rPr>
              <w:t>Moderately Effective</w:t>
            </w:r>
          </w:p>
        </w:tc>
      </w:tr>
      <w:tr w:rsidR="001301D8" w:rsidRPr="001301D8" w14:paraId="6292B533" w14:textId="77777777" w:rsidTr="00FD64E6">
        <w:trPr>
          <w:trHeight w:val="306"/>
        </w:trPr>
        <w:tc>
          <w:tcPr>
            <w:tcW w:w="2418" w:type="dxa"/>
            <w:tcBorders>
              <w:top w:val="nil"/>
              <w:left w:val="nil"/>
              <w:bottom w:val="nil"/>
              <w:right w:val="nil"/>
            </w:tcBorders>
            <w:noWrap/>
            <w:vAlign w:val="bottom"/>
            <w:hideMark/>
          </w:tcPr>
          <w:p w14:paraId="0849FE8A"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Overall Mean</w:t>
            </w:r>
          </w:p>
        </w:tc>
        <w:tc>
          <w:tcPr>
            <w:tcW w:w="1327" w:type="dxa"/>
            <w:tcBorders>
              <w:top w:val="nil"/>
              <w:left w:val="nil"/>
              <w:bottom w:val="nil"/>
              <w:right w:val="nil"/>
            </w:tcBorders>
            <w:noWrap/>
            <w:vAlign w:val="bottom"/>
            <w:hideMark/>
          </w:tcPr>
          <w:p w14:paraId="19B6BA1E"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2015" w:type="dxa"/>
            <w:tcBorders>
              <w:top w:val="nil"/>
              <w:left w:val="nil"/>
              <w:bottom w:val="nil"/>
              <w:right w:val="nil"/>
            </w:tcBorders>
            <w:noWrap/>
            <w:vAlign w:val="bottom"/>
            <w:hideMark/>
          </w:tcPr>
          <w:p w14:paraId="120EDD67"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c>
          <w:tcPr>
            <w:tcW w:w="1280" w:type="dxa"/>
            <w:tcBorders>
              <w:top w:val="nil"/>
              <w:left w:val="nil"/>
              <w:bottom w:val="nil"/>
              <w:right w:val="nil"/>
            </w:tcBorders>
            <w:noWrap/>
            <w:vAlign w:val="bottom"/>
            <w:hideMark/>
          </w:tcPr>
          <w:p w14:paraId="5F507D5A"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1799" w:type="dxa"/>
            <w:tcBorders>
              <w:top w:val="nil"/>
              <w:left w:val="nil"/>
              <w:bottom w:val="nil"/>
              <w:right w:val="nil"/>
            </w:tcBorders>
            <w:noWrap/>
            <w:vAlign w:val="bottom"/>
            <w:hideMark/>
          </w:tcPr>
          <w:p w14:paraId="2DE5C3BB"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r>
      <w:tr w:rsidR="001301D8" w:rsidRPr="001301D8" w14:paraId="24D1FE57" w14:textId="77777777" w:rsidTr="00FD64E6">
        <w:trPr>
          <w:trHeight w:val="306"/>
        </w:trPr>
        <w:tc>
          <w:tcPr>
            <w:tcW w:w="2418" w:type="dxa"/>
            <w:tcBorders>
              <w:top w:val="nil"/>
              <w:left w:val="nil"/>
              <w:bottom w:val="nil"/>
              <w:right w:val="nil"/>
            </w:tcBorders>
            <w:noWrap/>
            <w:vAlign w:val="bottom"/>
          </w:tcPr>
          <w:p w14:paraId="313E3E52" w14:textId="77777777" w:rsidR="001301D8" w:rsidRPr="001301D8" w:rsidRDefault="001301D8" w:rsidP="00FD64E6">
            <w:pPr>
              <w:rPr>
                <w:rFonts w:ascii="Arial" w:hAnsi="Arial" w:cs="Arial"/>
                <w:b/>
                <w:bCs/>
                <w:color w:val="000000"/>
                <w:lang w:eastAsia="en-PH"/>
              </w:rPr>
            </w:pPr>
            <w:r w:rsidRPr="001301D8">
              <w:rPr>
                <w:rFonts w:ascii="Arial" w:hAnsi="Arial" w:cs="Arial"/>
                <w:b/>
                <w:bCs/>
                <w:color w:val="000000"/>
                <w:lang w:eastAsia="en-PH"/>
              </w:rPr>
              <w:t>Combined Overall Mean</w:t>
            </w:r>
          </w:p>
        </w:tc>
        <w:tc>
          <w:tcPr>
            <w:tcW w:w="1327" w:type="dxa"/>
            <w:tcBorders>
              <w:top w:val="nil"/>
              <w:left w:val="nil"/>
              <w:bottom w:val="nil"/>
              <w:right w:val="nil"/>
            </w:tcBorders>
            <w:noWrap/>
            <w:vAlign w:val="bottom"/>
          </w:tcPr>
          <w:p w14:paraId="3BE98CA2"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4.13</w:t>
            </w:r>
          </w:p>
        </w:tc>
        <w:tc>
          <w:tcPr>
            <w:tcW w:w="2015" w:type="dxa"/>
            <w:tcBorders>
              <w:top w:val="nil"/>
              <w:left w:val="nil"/>
              <w:bottom w:val="nil"/>
              <w:right w:val="nil"/>
            </w:tcBorders>
            <w:noWrap/>
            <w:vAlign w:val="bottom"/>
          </w:tcPr>
          <w:p w14:paraId="09C4E936" w14:textId="77777777" w:rsidR="001301D8" w:rsidRPr="001301D8" w:rsidRDefault="001301D8" w:rsidP="00FD64E6">
            <w:pPr>
              <w:ind w:left="720" w:hanging="720"/>
              <w:jc w:val="both"/>
              <w:rPr>
                <w:rFonts w:ascii="Arial" w:hAnsi="Arial" w:cs="Arial"/>
                <w:b/>
                <w:bCs/>
                <w:color w:val="000000"/>
                <w:lang w:eastAsia="en-PH"/>
              </w:rPr>
            </w:pPr>
            <w:r w:rsidRPr="001301D8">
              <w:rPr>
                <w:rFonts w:ascii="Arial" w:hAnsi="Arial" w:cs="Arial"/>
                <w:b/>
                <w:bCs/>
                <w:color w:val="000000"/>
                <w:lang w:eastAsia="en-PH"/>
              </w:rPr>
              <w:t>Effective</w:t>
            </w:r>
          </w:p>
        </w:tc>
        <w:tc>
          <w:tcPr>
            <w:tcW w:w="1280" w:type="dxa"/>
            <w:tcBorders>
              <w:top w:val="nil"/>
              <w:left w:val="nil"/>
              <w:bottom w:val="nil"/>
              <w:right w:val="nil"/>
            </w:tcBorders>
            <w:noWrap/>
            <w:vAlign w:val="bottom"/>
          </w:tcPr>
          <w:p w14:paraId="62338598" w14:textId="77777777" w:rsidR="001301D8" w:rsidRPr="001301D8" w:rsidRDefault="001301D8" w:rsidP="00FD64E6">
            <w:pPr>
              <w:ind w:left="720" w:hanging="720"/>
              <w:jc w:val="both"/>
              <w:rPr>
                <w:rFonts w:ascii="Arial" w:hAnsi="Arial" w:cs="Arial"/>
                <w:b/>
                <w:bCs/>
                <w:color w:val="000000"/>
                <w:lang w:eastAsia="en-PH"/>
              </w:rPr>
            </w:pPr>
          </w:p>
        </w:tc>
        <w:tc>
          <w:tcPr>
            <w:tcW w:w="1799" w:type="dxa"/>
            <w:tcBorders>
              <w:top w:val="nil"/>
              <w:left w:val="nil"/>
              <w:bottom w:val="nil"/>
              <w:right w:val="nil"/>
            </w:tcBorders>
            <w:noWrap/>
            <w:vAlign w:val="bottom"/>
          </w:tcPr>
          <w:p w14:paraId="6D991546" w14:textId="77777777" w:rsidR="001301D8" w:rsidRPr="001301D8" w:rsidRDefault="001301D8" w:rsidP="00FD64E6">
            <w:pPr>
              <w:ind w:left="720" w:hanging="720"/>
              <w:jc w:val="both"/>
              <w:rPr>
                <w:rFonts w:ascii="Arial" w:hAnsi="Arial" w:cs="Arial"/>
                <w:b/>
                <w:bCs/>
                <w:color w:val="000000"/>
                <w:lang w:eastAsia="en-PH"/>
              </w:rPr>
            </w:pPr>
          </w:p>
        </w:tc>
      </w:tr>
    </w:tbl>
    <w:p w14:paraId="7B57A7E5" w14:textId="77777777" w:rsidR="001301D8" w:rsidRDefault="001301D8" w:rsidP="00441B6F">
      <w:pPr>
        <w:pStyle w:val="Body"/>
        <w:spacing w:after="0"/>
        <w:rPr>
          <w:rFonts w:ascii="Arial" w:hAnsi="Arial" w:cs="Arial"/>
        </w:rPr>
      </w:pPr>
    </w:p>
    <w:p w14:paraId="6E8D1C20" w14:textId="166FB3C1" w:rsidR="005D56AB" w:rsidRPr="005D56AB" w:rsidRDefault="005D56AB" w:rsidP="005D56AB">
      <w:pPr>
        <w:rPr>
          <w:rFonts w:ascii="Arial" w:hAnsi="Arial" w:cs="Arial"/>
          <w:b/>
          <w:bCs/>
        </w:rPr>
      </w:pPr>
      <w:r w:rsidRPr="005D56AB">
        <w:rPr>
          <w:rFonts w:ascii="Arial" w:hAnsi="Arial" w:cs="Arial"/>
          <w:b/>
          <w:bCs/>
        </w:rPr>
        <w:t>Table 8. Level of the Perceived Effect of the Community Extension Programs</w:t>
      </w:r>
    </w:p>
    <w:tbl>
      <w:tblPr>
        <w:tblW w:w="8929" w:type="dxa"/>
        <w:tblLook w:val="04A0" w:firstRow="1" w:lastRow="0" w:firstColumn="1" w:lastColumn="0" w:noHBand="0" w:noVBand="1"/>
      </w:tblPr>
      <w:tblGrid>
        <w:gridCol w:w="2855"/>
        <w:gridCol w:w="1903"/>
        <w:gridCol w:w="1553"/>
        <w:gridCol w:w="939"/>
        <w:gridCol w:w="1779"/>
      </w:tblGrid>
      <w:tr w:rsidR="005D56AB" w:rsidRPr="005D56AB" w14:paraId="1FCD627E" w14:textId="77777777" w:rsidTr="00FD64E6">
        <w:trPr>
          <w:trHeight w:val="320"/>
        </w:trPr>
        <w:tc>
          <w:tcPr>
            <w:tcW w:w="2855" w:type="dxa"/>
            <w:tcBorders>
              <w:top w:val="nil"/>
              <w:left w:val="nil"/>
              <w:bottom w:val="nil"/>
              <w:right w:val="nil"/>
            </w:tcBorders>
            <w:noWrap/>
            <w:vAlign w:val="bottom"/>
            <w:hideMark/>
          </w:tcPr>
          <w:p w14:paraId="367CF25C"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lastRenderedPageBreak/>
              <w:t>Indicator</w:t>
            </w:r>
          </w:p>
        </w:tc>
        <w:tc>
          <w:tcPr>
            <w:tcW w:w="1833" w:type="dxa"/>
            <w:tcBorders>
              <w:top w:val="nil"/>
              <w:left w:val="nil"/>
              <w:bottom w:val="nil"/>
              <w:right w:val="nil"/>
            </w:tcBorders>
            <w:noWrap/>
            <w:vAlign w:val="bottom"/>
            <w:hideMark/>
          </w:tcPr>
          <w:p w14:paraId="726A7B46"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Basic Education</w:t>
            </w:r>
          </w:p>
        </w:tc>
        <w:tc>
          <w:tcPr>
            <w:tcW w:w="1553" w:type="dxa"/>
            <w:tcBorders>
              <w:top w:val="nil"/>
              <w:left w:val="nil"/>
              <w:bottom w:val="nil"/>
              <w:right w:val="nil"/>
            </w:tcBorders>
            <w:noWrap/>
            <w:vAlign w:val="bottom"/>
            <w:hideMark/>
          </w:tcPr>
          <w:p w14:paraId="7A08340C"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Interpretation</w:t>
            </w:r>
          </w:p>
        </w:tc>
        <w:tc>
          <w:tcPr>
            <w:tcW w:w="909" w:type="dxa"/>
            <w:tcBorders>
              <w:top w:val="nil"/>
              <w:left w:val="nil"/>
              <w:bottom w:val="nil"/>
              <w:right w:val="nil"/>
            </w:tcBorders>
            <w:noWrap/>
            <w:vAlign w:val="bottom"/>
            <w:hideMark/>
          </w:tcPr>
          <w:p w14:paraId="27C1A7DF"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College</w:t>
            </w:r>
          </w:p>
        </w:tc>
        <w:tc>
          <w:tcPr>
            <w:tcW w:w="1779" w:type="dxa"/>
            <w:tcBorders>
              <w:top w:val="nil"/>
              <w:left w:val="nil"/>
              <w:bottom w:val="nil"/>
              <w:right w:val="nil"/>
            </w:tcBorders>
            <w:noWrap/>
            <w:vAlign w:val="bottom"/>
            <w:hideMark/>
          </w:tcPr>
          <w:p w14:paraId="4B51E510"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Interpretation</w:t>
            </w:r>
          </w:p>
        </w:tc>
      </w:tr>
      <w:tr w:rsidR="005D56AB" w:rsidRPr="005D56AB" w14:paraId="6EDBDB6F" w14:textId="77777777" w:rsidTr="00FD64E6">
        <w:trPr>
          <w:trHeight w:val="310"/>
        </w:trPr>
        <w:tc>
          <w:tcPr>
            <w:tcW w:w="2855" w:type="dxa"/>
            <w:tcBorders>
              <w:top w:val="single" w:sz="8" w:space="0" w:color="auto"/>
              <w:left w:val="single" w:sz="8" w:space="0" w:color="auto"/>
              <w:bottom w:val="nil"/>
              <w:right w:val="nil"/>
            </w:tcBorders>
            <w:noWrap/>
            <w:vAlign w:val="bottom"/>
            <w:hideMark/>
          </w:tcPr>
          <w:p w14:paraId="254840C9"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Personal Skill</w:t>
            </w:r>
          </w:p>
        </w:tc>
        <w:tc>
          <w:tcPr>
            <w:tcW w:w="1833" w:type="dxa"/>
            <w:tcBorders>
              <w:top w:val="single" w:sz="8" w:space="0" w:color="auto"/>
              <w:left w:val="nil"/>
              <w:bottom w:val="nil"/>
              <w:right w:val="nil"/>
            </w:tcBorders>
            <w:noWrap/>
            <w:vAlign w:val="bottom"/>
            <w:hideMark/>
          </w:tcPr>
          <w:p w14:paraId="5FEA1DA8"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3.99</w:t>
            </w:r>
          </w:p>
        </w:tc>
        <w:tc>
          <w:tcPr>
            <w:tcW w:w="1553" w:type="dxa"/>
            <w:tcBorders>
              <w:top w:val="single" w:sz="8" w:space="0" w:color="auto"/>
              <w:left w:val="nil"/>
              <w:bottom w:val="nil"/>
              <w:right w:val="nil"/>
            </w:tcBorders>
            <w:noWrap/>
            <w:vAlign w:val="bottom"/>
            <w:hideMark/>
          </w:tcPr>
          <w:p w14:paraId="3380B08A"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single" w:sz="8" w:space="0" w:color="auto"/>
              <w:left w:val="nil"/>
              <w:bottom w:val="nil"/>
              <w:right w:val="nil"/>
            </w:tcBorders>
            <w:noWrap/>
            <w:vAlign w:val="bottom"/>
            <w:hideMark/>
          </w:tcPr>
          <w:p w14:paraId="6B01774C"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4.30</w:t>
            </w:r>
          </w:p>
        </w:tc>
        <w:tc>
          <w:tcPr>
            <w:tcW w:w="1779" w:type="dxa"/>
            <w:tcBorders>
              <w:top w:val="single" w:sz="8" w:space="0" w:color="auto"/>
              <w:left w:val="nil"/>
              <w:bottom w:val="nil"/>
              <w:right w:val="single" w:sz="8" w:space="0" w:color="auto"/>
            </w:tcBorders>
            <w:noWrap/>
            <w:vAlign w:val="bottom"/>
            <w:hideMark/>
          </w:tcPr>
          <w:p w14:paraId="324A7E4B"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392FBFE" w14:textId="77777777" w:rsidTr="00FD64E6">
        <w:trPr>
          <w:trHeight w:val="310"/>
        </w:trPr>
        <w:tc>
          <w:tcPr>
            <w:tcW w:w="2855" w:type="dxa"/>
            <w:tcBorders>
              <w:top w:val="nil"/>
              <w:left w:val="single" w:sz="8" w:space="0" w:color="auto"/>
              <w:bottom w:val="nil"/>
              <w:right w:val="nil"/>
            </w:tcBorders>
            <w:noWrap/>
            <w:vAlign w:val="bottom"/>
            <w:hideMark/>
          </w:tcPr>
          <w:p w14:paraId="037E2983"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Social Skills</w:t>
            </w:r>
          </w:p>
        </w:tc>
        <w:tc>
          <w:tcPr>
            <w:tcW w:w="1833" w:type="dxa"/>
            <w:tcBorders>
              <w:top w:val="nil"/>
              <w:left w:val="nil"/>
              <w:bottom w:val="nil"/>
              <w:right w:val="nil"/>
            </w:tcBorders>
            <w:noWrap/>
            <w:vAlign w:val="bottom"/>
            <w:hideMark/>
          </w:tcPr>
          <w:p w14:paraId="1A0B478E"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4.06</w:t>
            </w:r>
          </w:p>
        </w:tc>
        <w:tc>
          <w:tcPr>
            <w:tcW w:w="1553" w:type="dxa"/>
            <w:tcBorders>
              <w:top w:val="nil"/>
              <w:left w:val="nil"/>
              <w:bottom w:val="nil"/>
              <w:right w:val="nil"/>
            </w:tcBorders>
            <w:noWrap/>
            <w:vAlign w:val="bottom"/>
            <w:hideMark/>
          </w:tcPr>
          <w:p w14:paraId="3DC4D892"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nil"/>
              <w:left w:val="nil"/>
              <w:bottom w:val="nil"/>
              <w:right w:val="nil"/>
            </w:tcBorders>
            <w:noWrap/>
            <w:vAlign w:val="bottom"/>
            <w:hideMark/>
          </w:tcPr>
          <w:p w14:paraId="43B5258A"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4.35</w:t>
            </w:r>
          </w:p>
        </w:tc>
        <w:tc>
          <w:tcPr>
            <w:tcW w:w="1779" w:type="dxa"/>
            <w:tcBorders>
              <w:top w:val="nil"/>
              <w:left w:val="nil"/>
              <w:bottom w:val="nil"/>
              <w:right w:val="single" w:sz="8" w:space="0" w:color="auto"/>
            </w:tcBorders>
            <w:noWrap/>
            <w:vAlign w:val="bottom"/>
            <w:hideMark/>
          </w:tcPr>
          <w:p w14:paraId="176E0A6F"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1D36285" w14:textId="77777777" w:rsidTr="00FD64E6">
        <w:trPr>
          <w:trHeight w:val="320"/>
        </w:trPr>
        <w:tc>
          <w:tcPr>
            <w:tcW w:w="2855" w:type="dxa"/>
            <w:tcBorders>
              <w:top w:val="nil"/>
              <w:left w:val="single" w:sz="8" w:space="0" w:color="auto"/>
              <w:bottom w:val="single" w:sz="8" w:space="0" w:color="auto"/>
              <w:right w:val="nil"/>
            </w:tcBorders>
            <w:noWrap/>
            <w:vAlign w:val="bottom"/>
            <w:hideMark/>
          </w:tcPr>
          <w:p w14:paraId="68DA3DE6"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Civic Responsibility</w:t>
            </w:r>
          </w:p>
        </w:tc>
        <w:tc>
          <w:tcPr>
            <w:tcW w:w="1833" w:type="dxa"/>
            <w:tcBorders>
              <w:top w:val="nil"/>
              <w:left w:val="nil"/>
              <w:bottom w:val="single" w:sz="8" w:space="0" w:color="auto"/>
              <w:right w:val="nil"/>
            </w:tcBorders>
            <w:noWrap/>
            <w:vAlign w:val="bottom"/>
            <w:hideMark/>
          </w:tcPr>
          <w:p w14:paraId="17859FDC"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4.07</w:t>
            </w:r>
          </w:p>
        </w:tc>
        <w:tc>
          <w:tcPr>
            <w:tcW w:w="1553" w:type="dxa"/>
            <w:tcBorders>
              <w:top w:val="nil"/>
              <w:left w:val="nil"/>
              <w:bottom w:val="single" w:sz="8" w:space="0" w:color="auto"/>
              <w:right w:val="nil"/>
            </w:tcBorders>
            <w:noWrap/>
            <w:vAlign w:val="bottom"/>
            <w:hideMark/>
          </w:tcPr>
          <w:p w14:paraId="7C5285B2"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High</w:t>
            </w:r>
          </w:p>
        </w:tc>
        <w:tc>
          <w:tcPr>
            <w:tcW w:w="909" w:type="dxa"/>
            <w:tcBorders>
              <w:top w:val="nil"/>
              <w:left w:val="nil"/>
              <w:bottom w:val="single" w:sz="8" w:space="0" w:color="auto"/>
              <w:right w:val="nil"/>
            </w:tcBorders>
            <w:noWrap/>
            <w:vAlign w:val="bottom"/>
            <w:hideMark/>
          </w:tcPr>
          <w:p w14:paraId="04E00883" w14:textId="77777777" w:rsidR="005D56AB" w:rsidRPr="005D56AB" w:rsidRDefault="005D56AB" w:rsidP="00FD64E6">
            <w:pPr>
              <w:ind w:left="720" w:hanging="720"/>
              <w:jc w:val="center"/>
              <w:rPr>
                <w:rFonts w:ascii="Arial" w:hAnsi="Arial" w:cs="Arial"/>
                <w:color w:val="000000"/>
                <w:lang w:eastAsia="en-PH"/>
              </w:rPr>
            </w:pPr>
            <w:r w:rsidRPr="005D56AB">
              <w:rPr>
                <w:rFonts w:ascii="Arial" w:hAnsi="Arial" w:cs="Arial"/>
                <w:color w:val="000000"/>
                <w:lang w:eastAsia="en-PH"/>
              </w:rPr>
              <w:t>4.37</w:t>
            </w:r>
          </w:p>
        </w:tc>
        <w:tc>
          <w:tcPr>
            <w:tcW w:w="1779" w:type="dxa"/>
            <w:tcBorders>
              <w:top w:val="nil"/>
              <w:left w:val="nil"/>
              <w:bottom w:val="single" w:sz="8" w:space="0" w:color="auto"/>
              <w:right w:val="single" w:sz="8" w:space="0" w:color="auto"/>
            </w:tcBorders>
            <w:noWrap/>
            <w:vAlign w:val="bottom"/>
            <w:hideMark/>
          </w:tcPr>
          <w:p w14:paraId="21B32D08" w14:textId="77777777" w:rsidR="005D56AB" w:rsidRPr="005D56AB" w:rsidRDefault="005D56AB" w:rsidP="00FD64E6">
            <w:pPr>
              <w:ind w:left="720" w:hanging="720"/>
              <w:rPr>
                <w:rFonts w:ascii="Arial" w:hAnsi="Arial" w:cs="Arial"/>
                <w:color w:val="000000"/>
                <w:lang w:eastAsia="en-PH"/>
              </w:rPr>
            </w:pPr>
            <w:r w:rsidRPr="005D56AB">
              <w:rPr>
                <w:rFonts w:ascii="Arial" w:hAnsi="Arial" w:cs="Arial"/>
                <w:color w:val="000000"/>
                <w:lang w:eastAsia="en-PH"/>
              </w:rPr>
              <w:t>Very High</w:t>
            </w:r>
          </w:p>
        </w:tc>
      </w:tr>
      <w:tr w:rsidR="005D56AB" w:rsidRPr="005D56AB" w14:paraId="76859891" w14:textId="77777777" w:rsidTr="00FD64E6">
        <w:trPr>
          <w:trHeight w:val="310"/>
        </w:trPr>
        <w:tc>
          <w:tcPr>
            <w:tcW w:w="2855" w:type="dxa"/>
            <w:tcBorders>
              <w:top w:val="nil"/>
              <w:left w:val="nil"/>
              <w:bottom w:val="nil"/>
              <w:right w:val="nil"/>
            </w:tcBorders>
            <w:noWrap/>
            <w:vAlign w:val="bottom"/>
            <w:hideMark/>
          </w:tcPr>
          <w:p w14:paraId="5577879E"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Overall Mean</w:t>
            </w:r>
          </w:p>
        </w:tc>
        <w:tc>
          <w:tcPr>
            <w:tcW w:w="1833" w:type="dxa"/>
            <w:tcBorders>
              <w:top w:val="nil"/>
              <w:left w:val="nil"/>
              <w:bottom w:val="nil"/>
              <w:right w:val="nil"/>
            </w:tcBorders>
            <w:noWrap/>
            <w:vAlign w:val="bottom"/>
            <w:hideMark/>
          </w:tcPr>
          <w:p w14:paraId="659AA99D"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4.04</w:t>
            </w:r>
          </w:p>
        </w:tc>
        <w:tc>
          <w:tcPr>
            <w:tcW w:w="1553" w:type="dxa"/>
            <w:tcBorders>
              <w:top w:val="nil"/>
              <w:left w:val="nil"/>
              <w:bottom w:val="nil"/>
              <w:right w:val="nil"/>
            </w:tcBorders>
            <w:noWrap/>
            <w:vAlign w:val="bottom"/>
            <w:hideMark/>
          </w:tcPr>
          <w:p w14:paraId="7969D77B" w14:textId="77777777" w:rsidR="005D56AB" w:rsidRPr="005D56AB" w:rsidRDefault="005D56AB" w:rsidP="00FD64E6">
            <w:pPr>
              <w:ind w:left="720" w:hanging="720"/>
              <w:rPr>
                <w:rFonts w:ascii="Arial" w:hAnsi="Arial" w:cs="Arial"/>
                <w:b/>
                <w:bCs/>
                <w:color w:val="000000"/>
                <w:lang w:eastAsia="en-PH"/>
              </w:rPr>
            </w:pPr>
            <w:r w:rsidRPr="005D56AB">
              <w:rPr>
                <w:rFonts w:ascii="Arial" w:hAnsi="Arial" w:cs="Arial"/>
                <w:b/>
                <w:bCs/>
                <w:color w:val="000000"/>
                <w:lang w:eastAsia="en-PH"/>
              </w:rPr>
              <w:t xml:space="preserve">High </w:t>
            </w:r>
          </w:p>
        </w:tc>
        <w:tc>
          <w:tcPr>
            <w:tcW w:w="909" w:type="dxa"/>
            <w:tcBorders>
              <w:top w:val="nil"/>
              <w:left w:val="nil"/>
              <w:bottom w:val="nil"/>
              <w:right w:val="nil"/>
            </w:tcBorders>
            <w:noWrap/>
            <w:vAlign w:val="bottom"/>
            <w:hideMark/>
          </w:tcPr>
          <w:p w14:paraId="6C7C75A7" w14:textId="77777777" w:rsidR="005D56AB" w:rsidRPr="005D56AB" w:rsidRDefault="005D56AB" w:rsidP="00FD64E6">
            <w:pPr>
              <w:ind w:left="720" w:hanging="720"/>
              <w:jc w:val="center"/>
              <w:rPr>
                <w:rFonts w:ascii="Arial" w:hAnsi="Arial" w:cs="Arial"/>
                <w:b/>
                <w:bCs/>
                <w:color w:val="000000"/>
                <w:lang w:eastAsia="en-PH"/>
              </w:rPr>
            </w:pPr>
            <w:r w:rsidRPr="005D56AB">
              <w:rPr>
                <w:rFonts w:ascii="Arial" w:hAnsi="Arial" w:cs="Arial"/>
                <w:b/>
                <w:bCs/>
                <w:color w:val="000000"/>
                <w:lang w:eastAsia="en-PH"/>
              </w:rPr>
              <w:t>4.34</w:t>
            </w:r>
          </w:p>
        </w:tc>
        <w:tc>
          <w:tcPr>
            <w:tcW w:w="1779" w:type="dxa"/>
            <w:tcBorders>
              <w:top w:val="nil"/>
              <w:left w:val="nil"/>
              <w:bottom w:val="nil"/>
              <w:right w:val="nil"/>
            </w:tcBorders>
            <w:noWrap/>
            <w:vAlign w:val="bottom"/>
            <w:hideMark/>
          </w:tcPr>
          <w:p w14:paraId="7DBA7E20" w14:textId="77777777" w:rsidR="005D56AB" w:rsidRPr="005D56AB" w:rsidRDefault="005D56AB" w:rsidP="00FD64E6">
            <w:pPr>
              <w:ind w:left="720" w:hanging="720"/>
              <w:rPr>
                <w:rFonts w:ascii="Arial" w:hAnsi="Arial" w:cs="Arial"/>
                <w:b/>
                <w:bCs/>
                <w:color w:val="000000"/>
                <w:lang w:eastAsia="en-PH"/>
              </w:rPr>
            </w:pPr>
            <w:r w:rsidRPr="005D56AB">
              <w:rPr>
                <w:rFonts w:ascii="Arial" w:hAnsi="Arial" w:cs="Arial"/>
                <w:b/>
                <w:bCs/>
                <w:color w:val="000000"/>
                <w:lang w:eastAsia="en-PH"/>
              </w:rPr>
              <w:t>Very High</w:t>
            </w:r>
          </w:p>
        </w:tc>
      </w:tr>
      <w:tr w:rsidR="005D56AB" w:rsidRPr="005D56AB" w14:paraId="101D7E68" w14:textId="77777777" w:rsidTr="00FD64E6">
        <w:trPr>
          <w:trHeight w:val="310"/>
        </w:trPr>
        <w:tc>
          <w:tcPr>
            <w:tcW w:w="2855" w:type="dxa"/>
            <w:tcBorders>
              <w:top w:val="nil"/>
              <w:left w:val="nil"/>
              <w:bottom w:val="nil"/>
              <w:right w:val="nil"/>
            </w:tcBorders>
            <w:noWrap/>
            <w:vAlign w:val="bottom"/>
          </w:tcPr>
          <w:p w14:paraId="7E3AF81F"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Combined Overall Mean</w:t>
            </w:r>
          </w:p>
        </w:tc>
        <w:tc>
          <w:tcPr>
            <w:tcW w:w="1833" w:type="dxa"/>
            <w:tcBorders>
              <w:top w:val="nil"/>
              <w:left w:val="nil"/>
              <w:bottom w:val="nil"/>
              <w:right w:val="nil"/>
            </w:tcBorders>
            <w:noWrap/>
            <w:vAlign w:val="bottom"/>
          </w:tcPr>
          <w:p w14:paraId="374DAA6F" w14:textId="77777777" w:rsidR="005D56AB" w:rsidRPr="005D56AB" w:rsidRDefault="005D56AB" w:rsidP="00FD64E6">
            <w:pPr>
              <w:jc w:val="center"/>
              <w:rPr>
                <w:rFonts w:ascii="Arial" w:hAnsi="Arial" w:cs="Arial"/>
                <w:b/>
                <w:bCs/>
                <w:color w:val="000000"/>
                <w:lang w:eastAsia="en-PH"/>
              </w:rPr>
            </w:pPr>
            <w:r w:rsidRPr="005D56AB">
              <w:rPr>
                <w:rFonts w:ascii="Arial" w:hAnsi="Arial" w:cs="Arial"/>
                <w:b/>
                <w:bCs/>
                <w:color w:val="000000"/>
                <w:lang w:eastAsia="en-PH"/>
              </w:rPr>
              <w:t>4.19</w:t>
            </w:r>
          </w:p>
        </w:tc>
        <w:tc>
          <w:tcPr>
            <w:tcW w:w="1553" w:type="dxa"/>
            <w:tcBorders>
              <w:top w:val="nil"/>
              <w:left w:val="nil"/>
              <w:bottom w:val="nil"/>
              <w:right w:val="nil"/>
            </w:tcBorders>
            <w:noWrap/>
            <w:vAlign w:val="bottom"/>
          </w:tcPr>
          <w:p w14:paraId="399030D4" w14:textId="77777777" w:rsidR="005D56AB" w:rsidRPr="005D56AB" w:rsidRDefault="005D56AB" w:rsidP="00FD64E6">
            <w:pPr>
              <w:rPr>
                <w:rFonts w:ascii="Arial" w:hAnsi="Arial" w:cs="Arial"/>
                <w:b/>
                <w:bCs/>
                <w:color w:val="000000"/>
                <w:lang w:eastAsia="en-PH"/>
              </w:rPr>
            </w:pPr>
            <w:r w:rsidRPr="005D56AB">
              <w:rPr>
                <w:rFonts w:ascii="Arial" w:hAnsi="Arial" w:cs="Arial"/>
                <w:b/>
                <w:bCs/>
                <w:color w:val="000000"/>
                <w:lang w:eastAsia="en-PH"/>
              </w:rPr>
              <w:t>High</w:t>
            </w:r>
          </w:p>
        </w:tc>
        <w:tc>
          <w:tcPr>
            <w:tcW w:w="909" w:type="dxa"/>
            <w:tcBorders>
              <w:top w:val="nil"/>
              <w:left w:val="nil"/>
              <w:bottom w:val="nil"/>
              <w:right w:val="nil"/>
            </w:tcBorders>
            <w:noWrap/>
            <w:vAlign w:val="bottom"/>
          </w:tcPr>
          <w:p w14:paraId="6BADF9F3" w14:textId="77777777" w:rsidR="005D56AB" w:rsidRPr="005D56AB" w:rsidRDefault="005D56AB" w:rsidP="00FD64E6">
            <w:pPr>
              <w:rPr>
                <w:rFonts w:ascii="Arial" w:hAnsi="Arial" w:cs="Arial"/>
                <w:b/>
                <w:bCs/>
                <w:color w:val="000000"/>
                <w:lang w:eastAsia="en-PH"/>
              </w:rPr>
            </w:pPr>
          </w:p>
        </w:tc>
        <w:tc>
          <w:tcPr>
            <w:tcW w:w="1779" w:type="dxa"/>
            <w:tcBorders>
              <w:top w:val="nil"/>
              <w:left w:val="nil"/>
              <w:bottom w:val="nil"/>
              <w:right w:val="nil"/>
            </w:tcBorders>
            <w:noWrap/>
            <w:vAlign w:val="bottom"/>
          </w:tcPr>
          <w:p w14:paraId="0C5ABD51" w14:textId="77777777" w:rsidR="005D56AB" w:rsidRPr="005D56AB" w:rsidRDefault="005D56AB" w:rsidP="00FD64E6">
            <w:pPr>
              <w:rPr>
                <w:rFonts w:ascii="Arial" w:hAnsi="Arial" w:cs="Arial"/>
                <w:b/>
                <w:bCs/>
                <w:color w:val="000000"/>
                <w:lang w:eastAsia="en-PH"/>
              </w:rPr>
            </w:pPr>
          </w:p>
        </w:tc>
      </w:tr>
    </w:tbl>
    <w:p w14:paraId="5BD78336" w14:textId="77777777" w:rsidR="001301D8" w:rsidRPr="00FB3A86" w:rsidRDefault="001301D8" w:rsidP="00441B6F">
      <w:pPr>
        <w:pStyle w:val="Body"/>
        <w:spacing w:after="0"/>
        <w:rPr>
          <w:rFonts w:ascii="Arial" w:hAnsi="Arial" w:cs="Arial"/>
        </w:rPr>
      </w:pPr>
    </w:p>
    <w:p w14:paraId="5E1C868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761599D" w14:textId="77777777" w:rsidR="00790ADA" w:rsidRPr="00FB3A86" w:rsidRDefault="00790ADA" w:rsidP="00441B6F">
      <w:pPr>
        <w:pStyle w:val="ConcHead"/>
        <w:spacing w:after="0"/>
        <w:jc w:val="both"/>
        <w:rPr>
          <w:rFonts w:ascii="Arial" w:hAnsi="Arial" w:cs="Arial"/>
        </w:rPr>
      </w:pPr>
    </w:p>
    <w:p w14:paraId="66A241EF" w14:textId="0DA5869C" w:rsidR="00790ADA" w:rsidRDefault="008433DF" w:rsidP="008433DF">
      <w:pPr>
        <w:jc w:val="both"/>
        <w:rPr>
          <w:rFonts w:ascii="Arial" w:hAnsi="Arial" w:cs="Arial"/>
        </w:rPr>
      </w:pPr>
      <w:r w:rsidRPr="008433DF">
        <w:rPr>
          <w:rFonts w:ascii="Arial" w:hAnsi="Arial" w:cs="Arial"/>
        </w:rPr>
        <w:t>The Community Extension and Services Office (CESO) has effectively implemented its programs, engaging students across departments, with highest participation from senior college and high school students. Most activities, especially tree planting and clean-up drives, received strong involvement, while a few, like orphanage visits and bloodletting, saw lower participation. Students rated the programs as effective, noting positive impacts on personal skills, social skills, and civic responsibility. Overall, CESO has successfully addressed community needs through well-organized initiatives in skills training, health education, and environmental programs.</w:t>
      </w:r>
    </w:p>
    <w:p w14:paraId="2229BDE2" w14:textId="36663BDA" w:rsidR="003740F6" w:rsidRDefault="003740F6" w:rsidP="008433DF">
      <w:pPr>
        <w:jc w:val="both"/>
        <w:rPr>
          <w:rFonts w:ascii="Arial" w:hAnsi="Arial" w:cs="Arial"/>
        </w:rPr>
      </w:pPr>
    </w:p>
    <w:p w14:paraId="0B12EF3E" w14:textId="77777777" w:rsidR="003740F6" w:rsidRDefault="003740F6" w:rsidP="008433DF">
      <w:pPr>
        <w:jc w:val="both"/>
        <w:rPr>
          <w:rFonts w:ascii="Arial" w:hAnsi="Arial" w:cs="Arial"/>
        </w:rPr>
      </w:pPr>
    </w:p>
    <w:p w14:paraId="3EAB9BFA" w14:textId="588B8FC6" w:rsidR="001A6E19" w:rsidRDefault="001A6E19" w:rsidP="008433DF">
      <w:pPr>
        <w:jc w:val="both"/>
      </w:pPr>
    </w:p>
    <w:p w14:paraId="6B1C767B" w14:textId="77777777" w:rsidR="001A6E19" w:rsidRPr="001A6E19" w:rsidRDefault="001A6E19" w:rsidP="001A6E19">
      <w:pPr>
        <w:rPr>
          <w:rFonts w:ascii="Times New Roman" w:eastAsia="Calibri" w:hAnsi="Times New Roman"/>
          <w:kern w:val="2"/>
          <w:sz w:val="22"/>
          <w:szCs w:val="22"/>
          <w:highlight w:val="yellow"/>
        </w:rPr>
      </w:pPr>
      <w:bookmarkStart w:id="0" w:name="_Hlk198031404"/>
      <w:bookmarkStart w:id="1" w:name="_Hlk219125673"/>
      <w:r w:rsidRPr="001A6E19">
        <w:rPr>
          <w:rFonts w:ascii="Times New Roman" w:eastAsia="Calibri" w:hAnsi="Times New Roman"/>
          <w:kern w:val="2"/>
          <w:sz w:val="22"/>
          <w:szCs w:val="22"/>
          <w:highlight w:val="yellow"/>
        </w:rPr>
        <w:t>Disclaimer (Artificial intelligence)</w:t>
      </w:r>
    </w:p>
    <w:p w14:paraId="3DFA3D27" w14:textId="77777777" w:rsidR="001A6E19" w:rsidRPr="001A6E19" w:rsidRDefault="001A6E19" w:rsidP="001A6E19">
      <w:pPr>
        <w:rPr>
          <w:rFonts w:ascii="Times New Roman" w:eastAsia="Calibri" w:hAnsi="Times New Roman"/>
          <w:kern w:val="2"/>
          <w:sz w:val="22"/>
          <w:szCs w:val="22"/>
          <w:highlight w:val="yellow"/>
        </w:rPr>
      </w:pPr>
    </w:p>
    <w:p w14:paraId="4408CD5F" w14:textId="77777777" w:rsidR="001A6E19" w:rsidRPr="001A6E19" w:rsidRDefault="001A6E19" w:rsidP="001A6E19">
      <w:pPr>
        <w:rPr>
          <w:rFonts w:ascii="Times New Roman" w:eastAsia="Calibri" w:hAnsi="Times New Roman"/>
          <w:kern w:val="2"/>
          <w:sz w:val="22"/>
          <w:szCs w:val="22"/>
          <w:highlight w:val="yellow"/>
        </w:rPr>
      </w:pPr>
      <w:r w:rsidRPr="001A6E19">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p w14:paraId="70B8829E" w14:textId="77777777" w:rsidR="00FB7C6E" w:rsidRDefault="00FB7C6E" w:rsidP="00441B6F">
      <w:pPr>
        <w:pStyle w:val="ReferHead"/>
        <w:spacing w:after="0"/>
        <w:jc w:val="both"/>
        <w:rPr>
          <w:rFonts w:ascii="Arial" w:hAnsi="Arial" w:cs="Arial"/>
        </w:rPr>
      </w:pPr>
    </w:p>
    <w:p w14:paraId="6459722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67D0D52" w14:textId="77777777" w:rsidR="00790ADA" w:rsidRPr="00FB3A86" w:rsidRDefault="00790ADA" w:rsidP="00441B6F">
      <w:pPr>
        <w:pStyle w:val="ReferHead"/>
        <w:spacing w:after="0"/>
        <w:jc w:val="both"/>
        <w:rPr>
          <w:rFonts w:ascii="Arial" w:hAnsi="Arial" w:cs="Arial"/>
        </w:rPr>
      </w:pPr>
    </w:p>
    <w:p w14:paraId="1AA97E15" w14:textId="77777777" w:rsidR="007A562A" w:rsidRPr="007A562A" w:rsidRDefault="007A562A" w:rsidP="007A562A">
      <w:pPr>
        <w:ind w:left="630" w:hanging="630"/>
        <w:rPr>
          <w:rFonts w:ascii="Arial" w:hAnsi="Arial" w:cs="Arial"/>
          <w:color w:val="000000" w:themeColor="text1"/>
        </w:rPr>
      </w:pPr>
      <w:proofErr w:type="spellStart"/>
      <w:r w:rsidRPr="007A562A">
        <w:rPr>
          <w:rFonts w:ascii="Arial" w:hAnsi="Arial" w:cs="Arial"/>
          <w:color w:val="000000" w:themeColor="text1"/>
        </w:rPr>
        <w:t>Asio</w:t>
      </w:r>
      <w:proofErr w:type="spellEnd"/>
      <w:r w:rsidRPr="007A562A">
        <w:rPr>
          <w:rFonts w:ascii="Arial" w:hAnsi="Arial" w:cs="Arial"/>
          <w:color w:val="000000" w:themeColor="text1"/>
        </w:rPr>
        <w:t xml:space="preserve">, J. M. R., Sardina, D. P., &amp; </w:t>
      </w:r>
      <w:proofErr w:type="spellStart"/>
      <w:r w:rsidRPr="007A562A">
        <w:rPr>
          <w:rFonts w:ascii="Arial" w:hAnsi="Arial" w:cs="Arial"/>
          <w:color w:val="000000" w:themeColor="text1"/>
        </w:rPr>
        <w:t>Olaguir</w:t>
      </w:r>
      <w:proofErr w:type="spellEnd"/>
      <w:r w:rsidRPr="007A562A">
        <w:rPr>
          <w:rFonts w:ascii="Arial" w:hAnsi="Arial" w:cs="Arial"/>
          <w:color w:val="000000" w:themeColor="text1"/>
        </w:rPr>
        <w:t xml:space="preserve">, J. A. O. (2021). Students’ community service involvement and its implications for community extension programs. </w:t>
      </w:r>
      <w:r w:rsidRPr="007A562A">
        <w:rPr>
          <w:rFonts w:ascii="Arial" w:hAnsi="Arial" w:cs="Arial"/>
          <w:i/>
          <w:iCs/>
          <w:color w:val="000000" w:themeColor="text1"/>
        </w:rPr>
        <w:t>International Journal of Research in Education and Science</w:t>
      </w:r>
      <w:r w:rsidRPr="007A562A">
        <w:rPr>
          <w:rFonts w:ascii="Arial" w:hAnsi="Arial" w:cs="Arial"/>
          <w:color w:val="000000" w:themeColor="text1"/>
        </w:rPr>
        <w:t>, 7(4), 1123–1136.</w:t>
      </w:r>
    </w:p>
    <w:p w14:paraId="7356B55B" w14:textId="77777777" w:rsidR="007A562A" w:rsidRPr="007A562A" w:rsidRDefault="007A562A" w:rsidP="007A562A">
      <w:pPr>
        <w:ind w:left="630" w:hanging="630"/>
        <w:rPr>
          <w:rFonts w:ascii="Arial" w:hAnsi="Arial" w:cs="Arial"/>
          <w:color w:val="000000" w:themeColor="text1"/>
          <w:lang w:val="en-PH"/>
        </w:rPr>
      </w:pPr>
    </w:p>
    <w:p w14:paraId="60785A12" w14:textId="77777777" w:rsidR="007A562A" w:rsidRPr="007757FE" w:rsidRDefault="007A562A" w:rsidP="007A562A">
      <w:pPr>
        <w:ind w:left="630" w:hanging="630"/>
        <w:rPr>
          <w:rFonts w:ascii="Arial" w:hAnsi="Arial" w:cs="Arial"/>
          <w:color w:val="000000" w:themeColor="text1"/>
          <w:lang w:val="en-PH"/>
        </w:rPr>
      </w:pPr>
      <w:r w:rsidRPr="007757FE">
        <w:rPr>
          <w:rFonts w:ascii="Arial" w:hAnsi="Arial" w:cs="Arial"/>
          <w:color w:val="000000" w:themeColor="text1"/>
          <w:lang w:val="en-PH"/>
        </w:rPr>
        <w:t xml:space="preserve">Belete, Y. (2024). The link between students’ community engagement activities and their academic achievement. </w:t>
      </w:r>
      <w:proofErr w:type="spellStart"/>
      <w:r w:rsidRPr="007757FE">
        <w:rPr>
          <w:rFonts w:ascii="Arial" w:hAnsi="Arial" w:cs="Arial"/>
          <w:i/>
          <w:iCs/>
          <w:color w:val="000000" w:themeColor="text1"/>
          <w:lang w:val="en-PH"/>
        </w:rPr>
        <w:t>Educatione</w:t>
      </w:r>
      <w:proofErr w:type="spellEnd"/>
      <w:r w:rsidRPr="007757FE">
        <w:rPr>
          <w:rFonts w:ascii="Arial" w:hAnsi="Arial" w:cs="Arial"/>
          <w:i/>
          <w:iCs/>
          <w:color w:val="000000" w:themeColor="text1"/>
          <w:lang w:val="en-PH"/>
        </w:rPr>
        <w:t>, 3</w:t>
      </w:r>
      <w:r w:rsidRPr="007757FE">
        <w:rPr>
          <w:rFonts w:ascii="Arial" w:hAnsi="Arial" w:cs="Arial"/>
          <w:color w:val="000000" w:themeColor="text1"/>
          <w:lang w:val="en-PH"/>
        </w:rPr>
        <w:t>(1), 61–84. https://doi.org/10.58650/educatione.1358541</w:t>
      </w:r>
    </w:p>
    <w:p w14:paraId="042441AE" w14:textId="77777777" w:rsidR="007A562A" w:rsidRPr="007A562A" w:rsidRDefault="007A562A" w:rsidP="007A562A">
      <w:pPr>
        <w:ind w:left="630" w:hanging="630"/>
        <w:rPr>
          <w:rFonts w:ascii="Arial" w:hAnsi="Arial" w:cs="Arial"/>
          <w:color w:val="000000" w:themeColor="text1"/>
          <w:lang w:val="en-PH"/>
        </w:rPr>
      </w:pPr>
    </w:p>
    <w:p w14:paraId="7DF85B37" w14:textId="77777777" w:rsidR="007A562A" w:rsidRPr="007757FE" w:rsidRDefault="007A562A" w:rsidP="007A562A">
      <w:pPr>
        <w:ind w:left="630" w:hanging="630"/>
        <w:rPr>
          <w:rFonts w:ascii="Arial" w:hAnsi="Arial" w:cs="Arial"/>
          <w:color w:val="000000" w:themeColor="text1"/>
          <w:lang w:val="en-PH"/>
        </w:rPr>
      </w:pPr>
      <w:r w:rsidRPr="007757FE">
        <w:rPr>
          <w:rFonts w:ascii="Arial" w:hAnsi="Arial" w:cs="Arial"/>
          <w:color w:val="000000" w:themeColor="text1"/>
          <w:lang w:val="en-PH"/>
        </w:rPr>
        <w:t xml:space="preserve">Borhan, L., Azman, A. W., &amp; Mat Ghani, G. (2024). Students’ perception of implementation of compulsory community engagement via service learning in a Malaysian university. </w:t>
      </w:r>
      <w:r w:rsidRPr="007757FE">
        <w:rPr>
          <w:rFonts w:ascii="Arial" w:hAnsi="Arial" w:cs="Arial"/>
          <w:i/>
          <w:iCs/>
          <w:color w:val="000000" w:themeColor="text1"/>
          <w:lang w:val="en-PH"/>
        </w:rPr>
        <w:t>International Journal of Research and Innovation in Social Science, 8</w:t>
      </w:r>
      <w:r w:rsidRPr="007757FE">
        <w:rPr>
          <w:rFonts w:ascii="Arial" w:hAnsi="Arial" w:cs="Arial"/>
          <w:color w:val="000000" w:themeColor="text1"/>
          <w:lang w:val="en-PH"/>
        </w:rPr>
        <w:t>(8), 1873–1879.</w:t>
      </w:r>
    </w:p>
    <w:p w14:paraId="3BD05739" w14:textId="77777777" w:rsidR="007A562A" w:rsidRPr="007A562A" w:rsidRDefault="007A562A" w:rsidP="007A562A">
      <w:pPr>
        <w:pStyle w:val="NoSpacing"/>
        <w:ind w:left="630" w:hanging="630"/>
        <w:rPr>
          <w:rFonts w:ascii="Arial" w:hAnsi="Arial" w:cs="Arial"/>
          <w:color w:val="000000" w:themeColor="text1"/>
          <w:sz w:val="20"/>
          <w:szCs w:val="20"/>
        </w:rPr>
      </w:pPr>
    </w:p>
    <w:p w14:paraId="42AF047E" w14:textId="77777777" w:rsidR="007A562A" w:rsidRPr="007A562A" w:rsidRDefault="007A562A" w:rsidP="007A562A">
      <w:pPr>
        <w:pStyle w:val="NoSpacing"/>
        <w:ind w:left="630" w:hanging="630"/>
        <w:rPr>
          <w:rFonts w:ascii="Arial" w:hAnsi="Arial" w:cs="Arial"/>
          <w:color w:val="000000" w:themeColor="text1"/>
          <w:sz w:val="20"/>
          <w:szCs w:val="20"/>
        </w:rPr>
      </w:pPr>
      <w:r w:rsidRPr="007A562A">
        <w:rPr>
          <w:rFonts w:ascii="Arial" w:hAnsi="Arial" w:cs="Arial"/>
          <w:color w:val="000000" w:themeColor="text1"/>
          <w:sz w:val="20"/>
          <w:szCs w:val="20"/>
        </w:rPr>
        <w:t xml:space="preserve">Boru, N. (2017).  The effects of service learning and volunteerism activities on university students in Turkey. </w:t>
      </w:r>
      <w:r w:rsidRPr="007A562A">
        <w:rPr>
          <w:rFonts w:ascii="Arial" w:hAnsi="Arial" w:cs="Arial"/>
          <w:i/>
          <w:color w:val="000000" w:themeColor="text1"/>
          <w:sz w:val="20"/>
          <w:szCs w:val="20"/>
        </w:rPr>
        <w:t xml:space="preserve">Journal of Education and Training Studies, </w:t>
      </w:r>
      <w:r w:rsidRPr="007A562A">
        <w:rPr>
          <w:rFonts w:ascii="Arial" w:hAnsi="Arial" w:cs="Arial"/>
          <w:color w:val="000000" w:themeColor="text1"/>
          <w:sz w:val="20"/>
          <w:szCs w:val="20"/>
        </w:rPr>
        <w:t xml:space="preserve">5(6). </w:t>
      </w:r>
      <w:hyperlink r:id="rId14" w:history="1">
        <w:r w:rsidRPr="007A562A">
          <w:rPr>
            <w:rStyle w:val="Hyperlink"/>
            <w:rFonts w:ascii="Arial" w:hAnsi="Arial" w:cs="Arial"/>
            <w:color w:val="000000" w:themeColor="text1"/>
            <w:sz w:val="20"/>
            <w:szCs w:val="20"/>
            <w:u w:val="none"/>
          </w:rPr>
          <w:t>https://doi.org/</w:t>
        </w:r>
      </w:hyperlink>
      <w:r w:rsidRPr="007A562A">
        <w:rPr>
          <w:rFonts w:ascii="Arial" w:hAnsi="Arial" w:cs="Arial"/>
          <w:color w:val="000000" w:themeColor="text1"/>
          <w:sz w:val="20"/>
          <w:szCs w:val="20"/>
        </w:rPr>
        <w:t xml:space="preserve"> 10.11114/</w:t>
      </w:r>
      <w:proofErr w:type="gramStart"/>
      <w:r w:rsidRPr="007A562A">
        <w:rPr>
          <w:rFonts w:ascii="Arial" w:hAnsi="Arial" w:cs="Arial"/>
          <w:color w:val="000000" w:themeColor="text1"/>
          <w:sz w:val="20"/>
          <w:szCs w:val="20"/>
        </w:rPr>
        <w:t>jests.v</w:t>
      </w:r>
      <w:proofErr w:type="gramEnd"/>
      <w:r w:rsidRPr="007A562A">
        <w:rPr>
          <w:rFonts w:ascii="Arial" w:hAnsi="Arial" w:cs="Arial"/>
          <w:color w:val="000000" w:themeColor="text1"/>
          <w:sz w:val="20"/>
          <w:szCs w:val="20"/>
        </w:rPr>
        <w:t>5i6.2405</w:t>
      </w:r>
    </w:p>
    <w:p w14:paraId="4F4C26FF" w14:textId="77777777" w:rsidR="007A562A" w:rsidRPr="007A562A" w:rsidRDefault="007A562A" w:rsidP="007A562A">
      <w:pPr>
        <w:rPr>
          <w:rFonts w:ascii="Arial" w:hAnsi="Arial" w:cs="Arial"/>
          <w:color w:val="000000" w:themeColor="text1"/>
        </w:rPr>
      </w:pPr>
    </w:p>
    <w:p w14:paraId="3780DA95" w14:textId="77777777" w:rsidR="007A562A" w:rsidRPr="007A562A" w:rsidRDefault="007A562A" w:rsidP="007A562A">
      <w:pPr>
        <w:ind w:left="630" w:hanging="630"/>
        <w:rPr>
          <w:rFonts w:ascii="Arial" w:hAnsi="Arial" w:cs="Arial"/>
          <w:color w:val="000000" w:themeColor="text1"/>
        </w:rPr>
      </w:pPr>
      <w:proofErr w:type="spellStart"/>
      <w:r w:rsidRPr="007A562A">
        <w:rPr>
          <w:rFonts w:ascii="Arial" w:hAnsi="Arial" w:cs="Arial"/>
          <w:color w:val="000000" w:themeColor="text1"/>
        </w:rPr>
        <w:t>Brozmanová</w:t>
      </w:r>
      <w:proofErr w:type="spellEnd"/>
      <w:r w:rsidRPr="007A562A">
        <w:rPr>
          <w:rFonts w:ascii="Arial" w:hAnsi="Arial" w:cs="Arial"/>
          <w:color w:val="000000" w:themeColor="text1"/>
        </w:rPr>
        <w:t xml:space="preserve"> </w:t>
      </w:r>
      <w:proofErr w:type="spellStart"/>
      <w:r w:rsidRPr="007A562A">
        <w:rPr>
          <w:rFonts w:ascii="Arial" w:hAnsi="Arial" w:cs="Arial"/>
          <w:color w:val="000000" w:themeColor="text1"/>
        </w:rPr>
        <w:t>Gregorová</w:t>
      </w:r>
      <w:proofErr w:type="spellEnd"/>
      <w:r w:rsidRPr="007A562A">
        <w:rPr>
          <w:rFonts w:ascii="Arial" w:hAnsi="Arial" w:cs="Arial"/>
          <w:color w:val="000000" w:themeColor="text1"/>
        </w:rPr>
        <w:t xml:space="preserve">, A., </w:t>
      </w:r>
      <w:proofErr w:type="spellStart"/>
      <w:r w:rsidRPr="007A562A">
        <w:rPr>
          <w:rFonts w:ascii="Arial" w:hAnsi="Arial" w:cs="Arial"/>
          <w:color w:val="000000" w:themeColor="text1"/>
        </w:rPr>
        <w:t>Heinzova</w:t>
      </w:r>
      <w:proofErr w:type="spellEnd"/>
      <w:r w:rsidRPr="007A562A">
        <w:rPr>
          <w:rFonts w:ascii="Arial" w:hAnsi="Arial" w:cs="Arial"/>
          <w:color w:val="000000" w:themeColor="text1"/>
        </w:rPr>
        <w:t xml:space="preserve">, Z., Subasi Singh, S., &amp; Laven, R. (2024). The impact of service-learning on secondary school students’ social and civic competencies, and engagement and motivation in school. </w:t>
      </w:r>
      <w:r w:rsidRPr="007A562A">
        <w:rPr>
          <w:rFonts w:ascii="Arial" w:hAnsi="Arial" w:cs="Arial"/>
          <w:i/>
          <w:iCs/>
          <w:color w:val="000000" w:themeColor="text1"/>
        </w:rPr>
        <w:t>International Journal of Research on Service-Learning and Community Engagement, 12</w:t>
      </w:r>
      <w:r w:rsidRPr="007A562A">
        <w:rPr>
          <w:rFonts w:ascii="Arial" w:hAnsi="Arial" w:cs="Arial"/>
          <w:color w:val="000000" w:themeColor="text1"/>
        </w:rPr>
        <w:t xml:space="preserve">(1). </w:t>
      </w:r>
      <w:hyperlink r:id="rId15" w:history="1">
        <w:r w:rsidRPr="007A562A">
          <w:rPr>
            <w:rStyle w:val="Hyperlink"/>
            <w:rFonts w:ascii="Arial" w:hAnsi="Arial" w:cs="Arial"/>
            <w:color w:val="000000" w:themeColor="text1"/>
            <w:u w:val="none"/>
          </w:rPr>
          <w:t>https://doi.org/10.37333/001c.127553</w:t>
        </w:r>
      </w:hyperlink>
    </w:p>
    <w:p w14:paraId="654E46B7" w14:textId="77777777" w:rsidR="007A562A" w:rsidRPr="007A562A" w:rsidRDefault="007A562A" w:rsidP="007A562A">
      <w:pPr>
        <w:ind w:left="630" w:hanging="630"/>
        <w:rPr>
          <w:rFonts w:ascii="Arial" w:hAnsi="Arial" w:cs="Arial"/>
          <w:color w:val="000000" w:themeColor="text1"/>
        </w:rPr>
      </w:pPr>
    </w:p>
    <w:p w14:paraId="06FBCA5A" w14:textId="77777777" w:rsidR="007A562A" w:rsidRPr="007A562A" w:rsidRDefault="007A562A" w:rsidP="007A562A">
      <w:pPr>
        <w:ind w:left="630" w:hanging="630"/>
        <w:rPr>
          <w:rFonts w:ascii="Arial" w:hAnsi="Arial" w:cs="Arial"/>
          <w:color w:val="000000" w:themeColor="text1"/>
        </w:rPr>
      </w:pPr>
      <w:r w:rsidRPr="007A562A">
        <w:rPr>
          <w:rFonts w:ascii="Arial" w:hAnsi="Arial" w:cs="Arial"/>
          <w:color w:val="000000" w:themeColor="text1"/>
        </w:rPr>
        <w:lastRenderedPageBreak/>
        <w:t xml:space="preserve">Cattaneo, M. A., Ryan, K., &amp; Hall, J. (2021). Community engaged learning and educational outcomes in higher education. </w:t>
      </w:r>
      <w:r w:rsidRPr="007A562A">
        <w:rPr>
          <w:rFonts w:ascii="Arial" w:hAnsi="Arial" w:cs="Arial"/>
          <w:i/>
          <w:iCs/>
          <w:color w:val="000000" w:themeColor="text1"/>
        </w:rPr>
        <w:t>Frontiers in Education.</w:t>
      </w:r>
      <w:r w:rsidRPr="007A562A">
        <w:rPr>
          <w:rFonts w:ascii="Arial" w:hAnsi="Arial" w:cs="Arial"/>
          <w:color w:val="000000" w:themeColor="text1"/>
        </w:rPr>
        <w:t xml:space="preserve"> </w:t>
      </w:r>
    </w:p>
    <w:p w14:paraId="048E9971" w14:textId="77777777" w:rsidR="007A562A" w:rsidRPr="007A562A" w:rsidRDefault="007A562A" w:rsidP="007A562A">
      <w:pPr>
        <w:pStyle w:val="NoSpacing"/>
        <w:ind w:left="630" w:hanging="630"/>
        <w:rPr>
          <w:rFonts w:ascii="Arial" w:hAnsi="Arial" w:cs="Arial"/>
          <w:color w:val="000000" w:themeColor="text1"/>
          <w:sz w:val="20"/>
          <w:szCs w:val="20"/>
        </w:rPr>
      </w:pPr>
    </w:p>
    <w:p w14:paraId="6DA1471C" w14:textId="77777777" w:rsidR="007A562A" w:rsidRPr="007A562A" w:rsidRDefault="007A562A" w:rsidP="007A562A">
      <w:pPr>
        <w:pStyle w:val="NoSpacing"/>
        <w:ind w:left="630" w:hanging="630"/>
        <w:rPr>
          <w:rFonts w:ascii="Arial" w:hAnsi="Arial" w:cs="Arial"/>
          <w:color w:val="000000" w:themeColor="text1"/>
          <w:sz w:val="20"/>
          <w:szCs w:val="20"/>
        </w:rPr>
      </w:pPr>
      <w:r w:rsidRPr="007A562A">
        <w:rPr>
          <w:rFonts w:ascii="Arial" w:hAnsi="Arial" w:cs="Arial"/>
          <w:color w:val="000000" w:themeColor="text1"/>
          <w:sz w:val="20"/>
          <w:szCs w:val="20"/>
        </w:rPr>
        <w:t xml:space="preserve">Creswell, J. W., &amp; Creswell, J. D. (2022). </w:t>
      </w:r>
      <w:r w:rsidRPr="007A562A">
        <w:rPr>
          <w:rFonts w:ascii="Arial" w:hAnsi="Arial" w:cs="Arial"/>
          <w:i/>
          <w:iCs/>
          <w:color w:val="000000" w:themeColor="text1"/>
          <w:sz w:val="20"/>
          <w:szCs w:val="20"/>
        </w:rPr>
        <w:t>Research design: Qualitative, quantitative, and mixed methods approaches</w:t>
      </w:r>
      <w:r w:rsidRPr="007A562A">
        <w:rPr>
          <w:rFonts w:ascii="Arial" w:hAnsi="Arial" w:cs="Arial"/>
          <w:color w:val="000000" w:themeColor="text1"/>
          <w:sz w:val="20"/>
          <w:szCs w:val="20"/>
        </w:rPr>
        <w:t xml:space="preserve"> (6th ed.). SAGE Publications.</w:t>
      </w:r>
    </w:p>
    <w:p w14:paraId="5F31ECD0" w14:textId="77777777" w:rsidR="007A562A" w:rsidRPr="007A562A" w:rsidRDefault="007A562A" w:rsidP="007A562A">
      <w:pPr>
        <w:pStyle w:val="NoSpacing"/>
        <w:ind w:left="630" w:hanging="630"/>
        <w:rPr>
          <w:rFonts w:ascii="Arial" w:hAnsi="Arial" w:cs="Arial"/>
          <w:color w:val="000000" w:themeColor="text1"/>
          <w:sz w:val="20"/>
          <w:szCs w:val="20"/>
        </w:rPr>
      </w:pPr>
    </w:p>
    <w:p w14:paraId="1956DA48" w14:textId="77777777" w:rsidR="007A562A" w:rsidRPr="007A562A" w:rsidRDefault="007A562A" w:rsidP="007A562A">
      <w:pPr>
        <w:pStyle w:val="NoSpacing"/>
        <w:ind w:left="630" w:hanging="630"/>
        <w:rPr>
          <w:rFonts w:ascii="Arial" w:hAnsi="Arial" w:cs="Arial"/>
          <w:color w:val="000000" w:themeColor="text1"/>
          <w:sz w:val="20"/>
          <w:szCs w:val="20"/>
        </w:rPr>
      </w:pPr>
      <w:r w:rsidRPr="007A562A">
        <w:rPr>
          <w:rFonts w:ascii="Arial" w:hAnsi="Arial" w:cs="Arial"/>
          <w:color w:val="000000" w:themeColor="text1"/>
          <w:sz w:val="20"/>
          <w:szCs w:val="20"/>
        </w:rPr>
        <w:t xml:space="preserve">Diaz-Gallegos, D. (1999). </w:t>
      </w:r>
      <w:r w:rsidRPr="007A562A">
        <w:rPr>
          <w:rFonts w:ascii="Arial" w:hAnsi="Arial" w:cs="Arial"/>
          <w:i/>
          <w:iCs/>
          <w:color w:val="000000" w:themeColor="text1"/>
          <w:sz w:val="20"/>
          <w:szCs w:val="20"/>
        </w:rPr>
        <w:t>The higher education service-learning surveys. Learning from each other, serving together.</w:t>
      </w:r>
      <w:r w:rsidRPr="007A562A">
        <w:rPr>
          <w:rFonts w:ascii="Arial" w:hAnsi="Arial" w:cs="Arial"/>
          <w:color w:val="000000" w:themeColor="text1"/>
          <w:sz w:val="20"/>
          <w:szCs w:val="20"/>
        </w:rPr>
        <w:t xml:space="preserve"> </w:t>
      </w:r>
      <w:hyperlink r:id="rId16" w:history="1">
        <w:r w:rsidRPr="007A562A">
          <w:rPr>
            <w:rStyle w:val="Hyperlink"/>
            <w:rFonts w:ascii="Arial" w:hAnsi="Arial" w:cs="Arial"/>
            <w:color w:val="000000" w:themeColor="text1"/>
            <w:sz w:val="20"/>
            <w:szCs w:val="20"/>
            <w:u w:val="none"/>
          </w:rPr>
          <w:t>http://gse.berkeley.edu/research/slc/</w:t>
        </w:r>
      </w:hyperlink>
      <w:r w:rsidRPr="007A562A">
        <w:rPr>
          <w:rFonts w:ascii="Arial" w:hAnsi="Arial" w:cs="Arial"/>
          <w:color w:val="000000" w:themeColor="text1"/>
          <w:sz w:val="20"/>
          <w:szCs w:val="20"/>
        </w:rPr>
        <w:t xml:space="preserve"> evaluation.html</w:t>
      </w:r>
    </w:p>
    <w:p w14:paraId="3400B328" w14:textId="77777777" w:rsidR="007A562A" w:rsidRPr="007A562A" w:rsidRDefault="007A562A" w:rsidP="007A562A">
      <w:pPr>
        <w:ind w:left="630" w:hanging="630"/>
        <w:rPr>
          <w:rFonts w:ascii="Arial" w:hAnsi="Arial" w:cs="Arial"/>
          <w:color w:val="000000" w:themeColor="text1"/>
        </w:rPr>
      </w:pPr>
    </w:p>
    <w:p w14:paraId="19E5C573" w14:textId="77777777" w:rsidR="007A562A" w:rsidRPr="007A562A" w:rsidRDefault="007A562A" w:rsidP="007A562A">
      <w:pPr>
        <w:ind w:left="630" w:hanging="630"/>
        <w:rPr>
          <w:rFonts w:ascii="Arial" w:hAnsi="Arial" w:cs="Arial"/>
          <w:color w:val="000000" w:themeColor="text1"/>
        </w:rPr>
      </w:pPr>
      <w:r w:rsidRPr="007A562A">
        <w:rPr>
          <w:rFonts w:ascii="Arial" w:hAnsi="Arial" w:cs="Arial"/>
          <w:color w:val="000000" w:themeColor="text1"/>
        </w:rPr>
        <w:t xml:space="preserve">Drewery, M. L., &amp; Lollar, J. (2024). Undergraduates’ perceptions of the value of service-learning. </w:t>
      </w:r>
      <w:r w:rsidRPr="007A562A">
        <w:rPr>
          <w:rFonts w:ascii="Arial" w:hAnsi="Arial" w:cs="Arial"/>
          <w:i/>
          <w:iCs/>
          <w:color w:val="000000" w:themeColor="text1"/>
        </w:rPr>
        <w:t>Frontiers in Education, 9</w:t>
      </w:r>
      <w:r w:rsidRPr="007A562A">
        <w:rPr>
          <w:rFonts w:ascii="Arial" w:hAnsi="Arial" w:cs="Arial"/>
          <w:color w:val="000000" w:themeColor="text1"/>
        </w:rPr>
        <w:t xml:space="preserve">, 1330456. </w:t>
      </w:r>
      <w:hyperlink r:id="rId17" w:history="1">
        <w:r w:rsidRPr="007A562A">
          <w:rPr>
            <w:rStyle w:val="Hyperlink"/>
            <w:rFonts w:ascii="Arial" w:hAnsi="Arial" w:cs="Arial"/>
            <w:color w:val="000000" w:themeColor="text1"/>
            <w:u w:val="none"/>
          </w:rPr>
          <w:t>https://doi.org/10.3389/feduc.2024.1330456</w:t>
        </w:r>
      </w:hyperlink>
    </w:p>
    <w:p w14:paraId="1ED47DEF" w14:textId="77777777" w:rsidR="007A562A" w:rsidRPr="007A562A" w:rsidRDefault="007A562A" w:rsidP="007A562A">
      <w:pPr>
        <w:rPr>
          <w:rFonts w:ascii="Arial" w:hAnsi="Arial" w:cs="Arial"/>
          <w:color w:val="000000" w:themeColor="text1"/>
        </w:rPr>
      </w:pPr>
    </w:p>
    <w:p w14:paraId="58EFF34B" w14:textId="77777777" w:rsidR="007A562A" w:rsidRPr="007A562A" w:rsidRDefault="007A562A" w:rsidP="007A562A">
      <w:pPr>
        <w:ind w:left="630" w:hanging="630"/>
        <w:rPr>
          <w:rFonts w:ascii="Arial" w:hAnsi="Arial" w:cs="Arial"/>
          <w:i/>
          <w:iCs/>
          <w:color w:val="000000" w:themeColor="text1"/>
        </w:rPr>
      </w:pPr>
      <w:r w:rsidRPr="007A562A">
        <w:rPr>
          <w:rFonts w:ascii="Arial" w:hAnsi="Arial" w:cs="Arial"/>
          <w:color w:val="000000" w:themeColor="text1"/>
        </w:rPr>
        <w:t xml:space="preserve">Lee, W. E., &amp; Perdana, A. (2023). Effects of experiential service learning in improving community engagement perception, sustainability awareness, and data analytics competency. </w:t>
      </w:r>
      <w:r w:rsidRPr="007A562A">
        <w:rPr>
          <w:rFonts w:ascii="Arial" w:hAnsi="Arial" w:cs="Arial"/>
          <w:i/>
          <w:iCs/>
          <w:color w:val="000000" w:themeColor="text1"/>
        </w:rPr>
        <w:t>Journal of Accounting Education, 62</w:t>
      </w:r>
      <w:r w:rsidRPr="007A562A">
        <w:rPr>
          <w:rFonts w:ascii="Arial" w:hAnsi="Arial" w:cs="Arial"/>
          <w:color w:val="000000" w:themeColor="text1"/>
        </w:rPr>
        <w:t xml:space="preserve">, 100830. </w:t>
      </w:r>
      <w:hyperlink r:id="rId18" w:history="1">
        <w:r w:rsidRPr="007A562A">
          <w:rPr>
            <w:rStyle w:val="Hyperlink"/>
            <w:rFonts w:ascii="Arial" w:hAnsi="Arial" w:cs="Arial"/>
            <w:color w:val="000000" w:themeColor="text1"/>
            <w:u w:val="none"/>
          </w:rPr>
          <w:t>https://doi.org/10.1016/j.jaccedu.2023.100830</w:t>
        </w:r>
      </w:hyperlink>
    </w:p>
    <w:p w14:paraId="08556A4D" w14:textId="77777777" w:rsidR="007A562A" w:rsidRPr="007A562A" w:rsidRDefault="007A562A" w:rsidP="007A562A">
      <w:pPr>
        <w:rPr>
          <w:rFonts w:ascii="Arial" w:hAnsi="Arial" w:cs="Arial"/>
          <w:color w:val="000000" w:themeColor="text1"/>
        </w:rPr>
      </w:pPr>
    </w:p>
    <w:p w14:paraId="4FDBCE95" w14:textId="77777777" w:rsidR="007A562A" w:rsidRPr="00552D63" w:rsidRDefault="007A562A" w:rsidP="007A562A">
      <w:pPr>
        <w:ind w:left="630" w:hanging="630"/>
        <w:rPr>
          <w:rFonts w:ascii="Arial" w:hAnsi="Arial" w:cs="Arial"/>
          <w:color w:val="000000" w:themeColor="text1"/>
        </w:rPr>
      </w:pPr>
      <w:proofErr w:type="spellStart"/>
      <w:r w:rsidRPr="00552D63">
        <w:rPr>
          <w:rFonts w:ascii="Arial" w:hAnsi="Arial" w:cs="Arial"/>
          <w:color w:val="000000" w:themeColor="text1"/>
        </w:rPr>
        <w:t>Mabborang</w:t>
      </w:r>
      <w:proofErr w:type="spellEnd"/>
      <w:r w:rsidRPr="00552D63">
        <w:rPr>
          <w:rFonts w:ascii="Arial" w:hAnsi="Arial" w:cs="Arial"/>
          <w:color w:val="000000" w:themeColor="text1"/>
        </w:rPr>
        <w:t xml:space="preserve">, J. M., Dumlao, D., &amp; </w:t>
      </w:r>
      <w:proofErr w:type="spellStart"/>
      <w:r w:rsidRPr="00552D63">
        <w:rPr>
          <w:rFonts w:ascii="Arial" w:hAnsi="Arial" w:cs="Arial"/>
          <w:color w:val="000000" w:themeColor="text1"/>
        </w:rPr>
        <w:t>Cusap</w:t>
      </w:r>
      <w:proofErr w:type="spellEnd"/>
      <w:r w:rsidRPr="00552D63">
        <w:rPr>
          <w:rFonts w:ascii="Arial" w:hAnsi="Arial" w:cs="Arial"/>
          <w:color w:val="000000" w:themeColor="text1"/>
        </w:rPr>
        <w:t xml:space="preserve">, K. W. (2024). Effect of service-learning program on students’ outcomes. </w:t>
      </w:r>
      <w:r w:rsidRPr="00552D63">
        <w:rPr>
          <w:rFonts w:ascii="Arial" w:hAnsi="Arial" w:cs="Arial"/>
          <w:i/>
          <w:iCs/>
          <w:color w:val="000000" w:themeColor="text1"/>
        </w:rPr>
        <w:t>International Journal of Research and Innovation in Social Science</w:t>
      </w:r>
      <w:r w:rsidRPr="00552D63">
        <w:rPr>
          <w:rFonts w:ascii="Arial" w:hAnsi="Arial" w:cs="Arial"/>
          <w:color w:val="000000" w:themeColor="text1"/>
        </w:rPr>
        <w:t xml:space="preserve">, </w:t>
      </w:r>
      <w:r w:rsidRPr="00552D63">
        <w:rPr>
          <w:rFonts w:ascii="Arial" w:hAnsi="Arial" w:cs="Arial"/>
          <w:i/>
          <w:iCs/>
          <w:color w:val="000000" w:themeColor="text1"/>
        </w:rPr>
        <w:t>8</w:t>
      </w:r>
      <w:r w:rsidRPr="00552D63">
        <w:rPr>
          <w:rFonts w:ascii="Arial" w:hAnsi="Arial" w:cs="Arial"/>
          <w:color w:val="000000" w:themeColor="text1"/>
        </w:rPr>
        <w:t>(8), 2580–2589. https://doi.org/10.47772/IJRISS.2024.8080197</w:t>
      </w:r>
    </w:p>
    <w:p w14:paraId="3E911653" w14:textId="77777777" w:rsidR="007A562A" w:rsidRPr="007A562A" w:rsidRDefault="007A562A" w:rsidP="007A562A">
      <w:pPr>
        <w:jc w:val="both"/>
        <w:rPr>
          <w:rFonts w:ascii="Arial" w:hAnsi="Arial" w:cs="Arial"/>
          <w:color w:val="000000" w:themeColor="text1"/>
        </w:rPr>
      </w:pPr>
    </w:p>
    <w:p w14:paraId="5F125314" w14:textId="77777777" w:rsidR="007A562A" w:rsidRPr="007A562A" w:rsidRDefault="007A562A" w:rsidP="007A562A">
      <w:pPr>
        <w:ind w:left="630" w:hanging="630"/>
        <w:jc w:val="both"/>
        <w:rPr>
          <w:rFonts w:ascii="Arial" w:hAnsi="Arial" w:cs="Arial"/>
          <w:color w:val="000000" w:themeColor="text1"/>
        </w:rPr>
      </w:pPr>
      <w:r w:rsidRPr="007A562A">
        <w:rPr>
          <w:rFonts w:ascii="Arial" w:hAnsi="Arial" w:cs="Arial"/>
          <w:color w:val="000000" w:themeColor="text1"/>
        </w:rPr>
        <w:t xml:space="preserve">Montalbo, I., Alejandro, B., Baylan, S., Lacea, R., Pepito, G. &amp; </w:t>
      </w:r>
      <w:proofErr w:type="spellStart"/>
      <w:r w:rsidRPr="007A562A">
        <w:rPr>
          <w:rFonts w:ascii="Arial" w:hAnsi="Arial" w:cs="Arial"/>
          <w:color w:val="000000" w:themeColor="text1"/>
        </w:rPr>
        <w:t>Villarante</w:t>
      </w:r>
      <w:proofErr w:type="spellEnd"/>
      <w:r w:rsidRPr="007A562A">
        <w:rPr>
          <w:rFonts w:ascii="Arial" w:hAnsi="Arial" w:cs="Arial"/>
          <w:color w:val="000000" w:themeColor="text1"/>
        </w:rPr>
        <w:t xml:space="preserve">, G. (2021). Sustaining women empowerment community extension project: A tri-focal partnership model. </w:t>
      </w:r>
      <w:r w:rsidRPr="007A562A">
        <w:rPr>
          <w:rFonts w:ascii="Arial" w:hAnsi="Arial" w:cs="Arial"/>
          <w:i/>
          <w:iCs/>
          <w:color w:val="000000" w:themeColor="text1"/>
        </w:rPr>
        <w:t>Asian Journal of University Education, 17</w:t>
      </w:r>
      <w:r w:rsidRPr="007A562A">
        <w:rPr>
          <w:rFonts w:ascii="Arial" w:hAnsi="Arial" w:cs="Arial"/>
          <w:color w:val="000000" w:themeColor="text1"/>
        </w:rPr>
        <w:t>(3). https:/doi.org/10.24191/ajue.v17i3.14565</w:t>
      </w:r>
    </w:p>
    <w:p w14:paraId="5D0A19CE" w14:textId="77777777" w:rsidR="007A562A" w:rsidRPr="007A562A" w:rsidRDefault="007A562A" w:rsidP="007A562A">
      <w:pPr>
        <w:ind w:left="630" w:hanging="630"/>
        <w:rPr>
          <w:rFonts w:ascii="Arial" w:hAnsi="Arial" w:cs="Arial"/>
          <w:color w:val="000000" w:themeColor="text1"/>
          <w:lang w:val="en-PH"/>
        </w:rPr>
      </w:pPr>
    </w:p>
    <w:p w14:paraId="678CD11F" w14:textId="77777777" w:rsidR="007A562A" w:rsidRPr="007757FE" w:rsidRDefault="007A562A" w:rsidP="007A562A">
      <w:pPr>
        <w:ind w:left="630" w:hanging="630"/>
        <w:rPr>
          <w:rFonts w:ascii="Arial" w:hAnsi="Arial" w:cs="Arial"/>
          <w:color w:val="000000" w:themeColor="text1"/>
          <w:lang w:val="en-PH"/>
        </w:rPr>
      </w:pPr>
      <w:r w:rsidRPr="007757FE">
        <w:rPr>
          <w:rFonts w:ascii="Arial" w:hAnsi="Arial" w:cs="Arial"/>
          <w:color w:val="000000" w:themeColor="text1"/>
          <w:lang w:val="en-PH"/>
        </w:rPr>
        <w:t xml:space="preserve">Mori, G. (2024). Community service learning: Volunteering tendencies of freshmen and sophomores in a higher educational institution. </w:t>
      </w:r>
      <w:r w:rsidRPr="007757FE">
        <w:rPr>
          <w:rFonts w:ascii="Arial" w:hAnsi="Arial" w:cs="Arial"/>
          <w:i/>
          <w:iCs/>
          <w:color w:val="000000" w:themeColor="text1"/>
          <w:lang w:val="en-PH"/>
        </w:rPr>
        <w:t>Asian Journal of Community Services, 4</w:t>
      </w:r>
      <w:r w:rsidRPr="007757FE">
        <w:rPr>
          <w:rFonts w:ascii="Arial" w:hAnsi="Arial" w:cs="Arial"/>
          <w:color w:val="000000" w:themeColor="text1"/>
          <w:lang w:val="en-PH"/>
        </w:rPr>
        <w:t>(2). https://doi.org/10.55927/ajcs.v4i2.26</w:t>
      </w:r>
    </w:p>
    <w:p w14:paraId="203F7193" w14:textId="77777777" w:rsidR="007A562A" w:rsidRPr="007A562A" w:rsidRDefault="007A562A" w:rsidP="007A562A">
      <w:pPr>
        <w:ind w:left="630" w:hanging="630"/>
        <w:rPr>
          <w:rFonts w:ascii="Arial" w:hAnsi="Arial" w:cs="Arial"/>
          <w:color w:val="000000" w:themeColor="text1"/>
        </w:rPr>
      </w:pPr>
    </w:p>
    <w:p w14:paraId="3CF4C9AD" w14:textId="77777777" w:rsidR="007A562A" w:rsidRPr="00552D63" w:rsidRDefault="007A562A" w:rsidP="007A562A">
      <w:pPr>
        <w:ind w:left="630" w:hanging="630"/>
        <w:rPr>
          <w:rFonts w:ascii="Arial" w:hAnsi="Arial" w:cs="Arial"/>
          <w:color w:val="000000" w:themeColor="text1"/>
        </w:rPr>
      </w:pPr>
      <w:r w:rsidRPr="00552D63">
        <w:rPr>
          <w:rFonts w:ascii="Arial" w:hAnsi="Arial" w:cs="Arial"/>
          <w:color w:val="000000" w:themeColor="text1"/>
        </w:rPr>
        <w:t xml:space="preserve">National Center for Education Statistics. (2021). </w:t>
      </w:r>
      <w:r w:rsidRPr="00552D63">
        <w:rPr>
          <w:rFonts w:ascii="Arial" w:hAnsi="Arial" w:cs="Arial"/>
          <w:i/>
          <w:iCs/>
          <w:color w:val="000000" w:themeColor="text1"/>
        </w:rPr>
        <w:t>Student participation in community service activity</w:t>
      </w:r>
      <w:r w:rsidRPr="00552D63">
        <w:rPr>
          <w:rFonts w:ascii="Arial" w:hAnsi="Arial" w:cs="Arial"/>
          <w:color w:val="000000" w:themeColor="text1"/>
        </w:rPr>
        <w:t xml:space="preserve">. U.S. Department of Education. </w:t>
      </w:r>
      <w:hyperlink r:id="rId19" w:tgtFrame="_new" w:history="1">
        <w:r w:rsidRPr="00552D63">
          <w:rPr>
            <w:rStyle w:val="Hyperlink"/>
            <w:rFonts w:ascii="Arial" w:hAnsi="Arial" w:cs="Arial"/>
            <w:color w:val="000000" w:themeColor="text1"/>
            <w:u w:val="none"/>
          </w:rPr>
          <w:t>https://nces.ed.gov/pubs97/web/97331-2.asp</w:t>
        </w:r>
      </w:hyperlink>
    </w:p>
    <w:p w14:paraId="15E9D14F" w14:textId="77777777" w:rsidR="007A562A" w:rsidRPr="007A562A" w:rsidRDefault="007A562A" w:rsidP="007A562A">
      <w:pPr>
        <w:pStyle w:val="NoSpacing"/>
        <w:ind w:left="630" w:hanging="630"/>
        <w:rPr>
          <w:rFonts w:ascii="Arial" w:hAnsi="Arial" w:cs="Arial"/>
          <w:color w:val="000000" w:themeColor="text1"/>
          <w:sz w:val="20"/>
          <w:szCs w:val="20"/>
        </w:rPr>
      </w:pPr>
    </w:p>
    <w:p w14:paraId="460F86E9" w14:textId="77777777" w:rsidR="007A562A" w:rsidRPr="007A562A" w:rsidRDefault="007A562A" w:rsidP="007A562A">
      <w:pPr>
        <w:pStyle w:val="NoSpacing"/>
        <w:ind w:left="630" w:hanging="630"/>
        <w:rPr>
          <w:rFonts w:ascii="Arial" w:hAnsi="Arial" w:cs="Arial"/>
          <w:color w:val="000000" w:themeColor="text1"/>
          <w:sz w:val="20"/>
          <w:szCs w:val="20"/>
        </w:rPr>
      </w:pPr>
      <w:r w:rsidRPr="007A562A">
        <w:rPr>
          <w:rFonts w:ascii="Arial" w:hAnsi="Arial" w:cs="Arial"/>
          <w:color w:val="000000" w:themeColor="text1"/>
          <w:sz w:val="20"/>
          <w:szCs w:val="20"/>
        </w:rPr>
        <w:t xml:space="preserve">Neuman, W. L. (2014). </w:t>
      </w:r>
      <w:r w:rsidRPr="007A562A">
        <w:rPr>
          <w:rFonts w:ascii="Arial" w:hAnsi="Arial" w:cs="Arial"/>
          <w:i/>
          <w:iCs/>
          <w:color w:val="000000" w:themeColor="text1"/>
          <w:sz w:val="20"/>
          <w:szCs w:val="20"/>
        </w:rPr>
        <w:t>Social research methods: Qualitative and quantitative approaches</w:t>
      </w:r>
      <w:r w:rsidRPr="007A562A">
        <w:rPr>
          <w:rFonts w:ascii="Arial" w:hAnsi="Arial" w:cs="Arial"/>
          <w:color w:val="000000" w:themeColor="text1"/>
          <w:sz w:val="20"/>
          <w:szCs w:val="20"/>
        </w:rPr>
        <w:t xml:space="preserve"> (7th ed.). Pearson Education Limited. </w:t>
      </w:r>
    </w:p>
    <w:p w14:paraId="5CB76FDC" w14:textId="77777777" w:rsidR="007A562A" w:rsidRPr="007A562A" w:rsidRDefault="007A562A" w:rsidP="007A562A">
      <w:pPr>
        <w:ind w:left="630" w:hanging="630"/>
        <w:rPr>
          <w:rFonts w:ascii="Arial" w:hAnsi="Arial" w:cs="Arial"/>
          <w:color w:val="000000" w:themeColor="text1"/>
        </w:rPr>
      </w:pPr>
    </w:p>
    <w:p w14:paraId="044B3540" w14:textId="77777777" w:rsidR="007A562A" w:rsidRPr="007A562A" w:rsidRDefault="007A562A" w:rsidP="007A562A">
      <w:pPr>
        <w:ind w:left="630" w:hanging="630"/>
        <w:rPr>
          <w:rFonts w:ascii="Arial" w:hAnsi="Arial" w:cs="Arial"/>
          <w:color w:val="000000" w:themeColor="text1"/>
        </w:rPr>
      </w:pPr>
      <w:r w:rsidRPr="007A562A">
        <w:rPr>
          <w:rFonts w:ascii="Arial" w:hAnsi="Arial" w:cs="Arial"/>
          <w:color w:val="000000" w:themeColor="text1"/>
        </w:rPr>
        <w:t xml:space="preserve">Pat, J. D., </w:t>
      </w:r>
      <w:proofErr w:type="spellStart"/>
      <w:r w:rsidRPr="007A562A">
        <w:rPr>
          <w:rFonts w:ascii="Arial" w:hAnsi="Arial" w:cs="Arial"/>
          <w:color w:val="000000" w:themeColor="text1"/>
        </w:rPr>
        <w:t>Tahanlangit</w:t>
      </w:r>
      <w:proofErr w:type="spellEnd"/>
      <w:r w:rsidRPr="007A562A">
        <w:rPr>
          <w:rFonts w:ascii="Arial" w:hAnsi="Arial" w:cs="Arial"/>
          <w:color w:val="000000" w:themeColor="text1"/>
        </w:rPr>
        <w:t xml:space="preserve">, V. R., </w:t>
      </w:r>
      <w:proofErr w:type="spellStart"/>
      <w:r w:rsidRPr="007A562A">
        <w:rPr>
          <w:rFonts w:ascii="Arial" w:hAnsi="Arial" w:cs="Arial"/>
          <w:color w:val="000000" w:themeColor="text1"/>
        </w:rPr>
        <w:t>Macalos</w:t>
      </w:r>
      <w:proofErr w:type="spellEnd"/>
      <w:r w:rsidRPr="007A562A">
        <w:rPr>
          <w:rFonts w:ascii="Arial" w:hAnsi="Arial" w:cs="Arial"/>
          <w:color w:val="000000" w:themeColor="text1"/>
        </w:rPr>
        <w:t xml:space="preserve">, J. C., Balio, M. M., &amp; </w:t>
      </w:r>
      <w:proofErr w:type="spellStart"/>
      <w:r w:rsidRPr="007A562A">
        <w:rPr>
          <w:rFonts w:ascii="Arial" w:hAnsi="Arial" w:cs="Arial"/>
          <w:color w:val="000000" w:themeColor="text1"/>
        </w:rPr>
        <w:t>Naldoza</w:t>
      </w:r>
      <w:proofErr w:type="spellEnd"/>
      <w:r w:rsidRPr="007A562A">
        <w:rPr>
          <w:rFonts w:ascii="Arial" w:hAnsi="Arial" w:cs="Arial"/>
          <w:color w:val="000000" w:themeColor="text1"/>
        </w:rPr>
        <w:t xml:space="preserve">, L. A. (2025). Gender differences in co-curricular involvement and academic performance. </w:t>
      </w:r>
      <w:r w:rsidRPr="007A562A">
        <w:rPr>
          <w:rFonts w:ascii="Arial" w:hAnsi="Arial" w:cs="Arial"/>
          <w:i/>
          <w:iCs/>
          <w:color w:val="000000" w:themeColor="text1"/>
        </w:rPr>
        <w:t>International Journal of Research and Innovation in Social Science</w:t>
      </w:r>
      <w:r w:rsidRPr="007A562A">
        <w:rPr>
          <w:rFonts w:ascii="Arial" w:hAnsi="Arial" w:cs="Arial"/>
          <w:color w:val="000000" w:themeColor="text1"/>
        </w:rPr>
        <w:t xml:space="preserve">. </w:t>
      </w:r>
      <w:hyperlink r:id="rId20" w:history="1">
        <w:r w:rsidRPr="007A562A">
          <w:rPr>
            <w:rStyle w:val="Hyperlink"/>
            <w:rFonts w:ascii="Arial" w:hAnsi="Arial" w:cs="Arial"/>
            <w:color w:val="000000" w:themeColor="text1"/>
            <w:u w:val="none"/>
          </w:rPr>
          <w:t>https://doi.org/10.47772/IJRISS.2025.903SEDU0241</w:t>
        </w:r>
      </w:hyperlink>
    </w:p>
    <w:p w14:paraId="728051B7" w14:textId="77777777" w:rsidR="007A562A" w:rsidRDefault="007A562A" w:rsidP="007A562A">
      <w:pPr>
        <w:ind w:left="630" w:hanging="630"/>
        <w:jc w:val="both"/>
        <w:rPr>
          <w:rFonts w:ascii="Arial" w:hAnsi="Arial" w:cs="Arial"/>
          <w:color w:val="000000" w:themeColor="text1"/>
        </w:rPr>
      </w:pPr>
    </w:p>
    <w:p w14:paraId="5446820F" w14:textId="47CBDA3E" w:rsidR="007A562A" w:rsidRPr="007A562A" w:rsidRDefault="007A562A" w:rsidP="007A562A">
      <w:pPr>
        <w:ind w:left="630" w:hanging="630"/>
        <w:jc w:val="both"/>
        <w:rPr>
          <w:rFonts w:ascii="Arial" w:hAnsi="Arial" w:cs="Arial"/>
          <w:color w:val="000000" w:themeColor="text1"/>
        </w:rPr>
      </w:pPr>
      <w:r w:rsidRPr="007A562A">
        <w:rPr>
          <w:rFonts w:ascii="Arial" w:hAnsi="Arial" w:cs="Arial"/>
          <w:color w:val="000000" w:themeColor="text1"/>
        </w:rPr>
        <w:t xml:space="preserve">Salazar, T. (2020). An impact of the community extension programs in a state college in the Philippines. </w:t>
      </w:r>
      <w:r w:rsidRPr="007A562A">
        <w:rPr>
          <w:rFonts w:ascii="Arial" w:hAnsi="Arial" w:cs="Arial"/>
          <w:i/>
          <w:iCs/>
          <w:color w:val="000000" w:themeColor="text1"/>
        </w:rPr>
        <w:t>International Journal of Education and Sciences, 29</w:t>
      </w:r>
      <w:r w:rsidRPr="007A562A">
        <w:rPr>
          <w:rFonts w:ascii="Arial" w:hAnsi="Arial" w:cs="Arial"/>
          <w:color w:val="000000" w:themeColor="text1"/>
        </w:rPr>
        <w:t>(1-3), 16-23. Doi: 10.31901/235666322.2020/29.1-3,1129</w:t>
      </w:r>
    </w:p>
    <w:p w14:paraId="2FF860ED" w14:textId="77777777" w:rsidR="007A562A" w:rsidRPr="007A562A" w:rsidRDefault="007A562A" w:rsidP="007A562A">
      <w:pPr>
        <w:ind w:left="630" w:hanging="630"/>
        <w:rPr>
          <w:rFonts w:ascii="Arial" w:hAnsi="Arial" w:cs="Arial"/>
          <w:color w:val="000000" w:themeColor="text1"/>
          <w:lang w:val="en-PH"/>
        </w:rPr>
      </w:pPr>
    </w:p>
    <w:p w14:paraId="66AB3804" w14:textId="77777777" w:rsidR="007A562A" w:rsidRPr="007757FE" w:rsidRDefault="007A562A" w:rsidP="007A562A">
      <w:pPr>
        <w:ind w:left="630" w:hanging="630"/>
        <w:rPr>
          <w:rFonts w:ascii="Arial" w:hAnsi="Arial" w:cs="Arial"/>
          <w:color w:val="000000" w:themeColor="text1"/>
          <w:lang w:val="en-PH"/>
        </w:rPr>
      </w:pPr>
      <w:r w:rsidRPr="007757FE">
        <w:rPr>
          <w:rFonts w:ascii="Arial" w:hAnsi="Arial" w:cs="Arial"/>
          <w:color w:val="000000" w:themeColor="text1"/>
          <w:lang w:val="en-PH"/>
        </w:rPr>
        <w:t xml:space="preserve">Sayeed, S., Saiem, B. A., Sany, A., Sharmin, S., &amp; Islam, A. B. M. A. A. (2025). </w:t>
      </w:r>
      <w:proofErr w:type="spellStart"/>
      <w:r w:rsidRPr="007757FE">
        <w:rPr>
          <w:rFonts w:ascii="Arial" w:hAnsi="Arial" w:cs="Arial"/>
          <w:color w:val="000000" w:themeColor="text1"/>
          <w:lang w:val="en-PH"/>
        </w:rPr>
        <w:t>CollaClassroom</w:t>
      </w:r>
      <w:proofErr w:type="spellEnd"/>
      <w:r w:rsidRPr="007757FE">
        <w:rPr>
          <w:rFonts w:ascii="Arial" w:hAnsi="Arial" w:cs="Arial"/>
          <w:color w:val="000000" w:themeColor="text1"/>
          <w:lang w:val="en-PH"/>
        </w:rPr>
        <w:t xml:space="preserve">: An AI-augmented collaborative learning platform with LLM support in the context of Bangladeshi university students. </w:t>
      </w:r>
      <w:proofErr w:type="spellStart"/>
      <w:r w:rsidRPr="007757FE">
        <w:rPr>
          <w:rFonts w:ascii="Arial" w:hAnsi="Arial" w:cs="Arial"/>
          <w:i/>
          <w:iCs/>
          <w:color w:val="000000" w:themeColor="text1"/>
          <w:lang w:val="en-PH"/>
        </w:rPr>
        <w:t>arXiv</w:t>
      </w:r>
      <w:proofErr w:type="spellEnd"/>
      <w:r w:rsidRPr="007757FE">
        <w:rPr>
          <w:rFonts w:ascii="Arial" w:hAnsi="Arial" w:cs="Arial"/>
          <w:color w:val="000000" w:themeColor="text1"/>
          <w:lang w:val="en-PH"/>
        </w:rPr>
        <w:t>.</w:t>
      </w:r>
    </w:p>
    <w:p w14:paraId="5190DC13" w14:textId="77777777" w:rsidR="007A562A" w:rsidRPr="007A562A" w:rsidRDefault="007A562A" w:rsidP="007A562A">
      <w:pPr>
        <w:ind w:left="630" w:hanging="630"/>
        <w:rPr>
          <w:rFonts w:ascii="Arial" w:hAnsi="Arial" w:cs="Arial"/>
          <w:color w:val="000000" w:themeColor="text1"/>
        </w:rPr>
      </w:pPr>
    </w:p>
    <w:p w14:paraId="3D57B0F3" w14:textId="77777777" w:rsidR="007A562A" w:rsidRPr="007A562A" w:rsidRDefault="007A562A" w:rsidP="007A562A">
      <w:pPr>
        <w:ind w:left="630" w:hanging="630"/>
        <w:rPr>
          <w:rFonts w:ascii="Arial" w:hAnsi="Arial" w:cs="Arial"/>
          <w:color w:val="000000" w:themeColor="text1"/>
        </w:rPr>
      </w:pPr>
      <w:r w:rsidRPr="007A562A">
        <w:rPr>
          <w:rFonts w:ascii="Arial" w:hAnsi="Arial" w:cs="Arial"/>
          <w:color w:val="000000" w:themeColor="text1"/>
        </w:rPr>
        <w:t xml:space="preserve">Shaka, M. F., &amp; </w:t>
      </w:r>
      <w:proofErr w:type="spellStart"/>
      <w:r w:rsidRPr="007A562A">
        <w:rPr>
          <w:rFonts w:ascii="Arial" w:hAnsi="Arial" w:cs="Arial"/>
          <w:color w:val="000000" w:themeColor="text1"/>
        </w:rPr>
        <w:t>Senbeto</w:t>
      </w:r>
      <w:proofErr w:type="spellEnd"/>
      <w:r w:rsidRPr="007A562A">
        <w:rPr>
          <w:rFonts w:ascii="Arial" w:hAnsi="Arial" w:cs="Arial"/>
          <w:color w:val="000000" w:themeColor="text1"/>
        </w:rPr>
        <w:t>, G. A. (2018). Assessment of students’ attitude and level of community involvement in community</w:t>
      </w:r>
      <w:r w:rsidRPr="007A562A">
        <w:rPr>
          <w:rFonts w:ascii="Arial" w:hAnsi="Arial" w:cs="Arial"/>
          <w:color w:val="000000" w:themeColor="text1"/>
        </w:rPr>
        <w:noBreakHyphen/>
        <w:t xml:space="preserve">based education at training sites in Gedeo zone, South Ethiopia. </w:t>
      </w:r>
      <w:r w:rsidRPr="007A562A">
        <w:rPr>
          <w:rFonts w:ascii="Arial" w:hAnsi="Arial" w:cs="Arial"/>
          <w:i/>
          <w:iCs/>
          <w:color w:val="000000" w:themeColor="text1"/>
        </w:rPr>
        <w:t>BMC Research Notes</w:t>
      </w:r>
      <w:r w:rsidRPr="007A562A">
        <w:rPr>
          <w:rFonts w:ascii="Arial" w:hAnsi="Arial" w:cs="Arial"/>
          <w:color w:val="000000" w:themeColor="text1"/>
        </w:rPr>
        <w:t xml:space="preserve">. </w:t>
      </w:r>
      <w:hyperlink r:id="rId21" w:history="1">
        <w:r w:rsidRPr="007A562A">
          <w:rPr>
            <w:rStyle w:val="Hyperlink"/>
            <w:rFonts w:ascii="Arial" w:hAnsi="Arial" w:cs="Arial"/>
            <w:color w:val="000000" w:themeColor="text1"/>
            <w:u w:val="none"/>
          </w:rPr>
          <w:t>https://doi.org/10.1186/s13104</w:t>
        </w:r>
        <w:r w:rsidRPr="007A562A">
          <w:rPr>
            <w:rStyle w:val="Hyperlink"/>
            <w:rFonts w:ascii="Arial" w:hAnsi="Arial" w:cs="Arial"/>
            <w:color w:val="000000" w:themeColor="text1"/>
            <w:u w:val="none"/>
          </w:rPr>
          <w:noBreakHyphen/>
          <w:t>018</w:t>
        </w:r>
        <w:r w:rsidRPr="007A562A">
          <w:rPr>
            <w:rStyle w:val="Hyperlink"/>
            <w:rFonts w:ascii="Arial" w:hAnsi="Arial" w:cs="Arial"/>
            <w:color w:val="000000" w:themeColor="text1"/>
            <w:u w:val="none"/>
          </w:rPr>
          <w:noBreakHyphen/>
          <w:t>3940</w:t>
        </w:r>
        <w:r w:rsidRPr="007A562A">
          <w:rPr>
            <w:rStyle w:val="Hyperlink"/>
            <w:rFonts w:ascii="Arial" w:hAnsi="Arial" w:cs="Arial"/>
            <w:color w:val="000000" w:themeColor="text1"/>
            <w:u w:val="none"/>
          </w:rPr>
          <w:noBreakHyphen/>
          <w:t>2</w:t>
        </w:r>
      </w:hyperlink>
    </w:p>
    <w:p w14:paraId="682C3144" w14:textId="77777777" w:rsidR="007A562A" w:rsidRPr="007A562A" w:rsidRDefault="007A562A" w:rsidP="007A562A">
      <w:pPr>
        <w:ind w:left="630" w:hanging="630"/>
        <w:rPr>
          <w:rFonts w:ascii="Arial" w:hAnsi="Arial" w:cs="Arial"/>
          <w:color w:val="000000" w:themeColor="text1"/>
        </w:rPr>
      </w:pPr>
    </w:p>
    <w:p w14:paraId="026AF97D" w14:textId="77777777" w:rsidR="007A562A" w:rsidRPr="007A562A" w:rsidRDefault="007A562A" w:rsidP="007A562A">
      <w:pPr>
        <w:ind w:left="630" w:hanging="630"/>
        <w:rPr>
          <w:rFonts w:ascii="Arial" w:hAnsi="Arial" w:cs="Arial"/>
          <w:color w:val="000000" w:themeColor="text1"/>
        </w:rPr>
      </w:pPr>
      <w:proofErr w:type="spellStart"/>
      <w:r w:rsidRPr="007A562A">
        <w:rPr>
          <w:rFonts w:ascii="Arial" w:hAnsi="Arial" w:cs="Arial"/>
          <w:color w:val="000000" w:themeColor="text1"/>
        </w:rPr>
        <w:t>Sibia</w:t>
      </w:r>
      <w:proofErr w:type="spellEnd"/>
      <w:r w:rsidRPr="007A562A">
        <w:rPr>
          <w:rFonts w:ascii="Arial" w:hAnsi="Arial" w:cs="Arial"/>
          <w:color w:val="000000" w:themeColor="text1"/>
        </w:rPr>
        <w:t xml:space="preserve">, N., Zavaleta Bernuy, A., Williams, J. J., </w:t>
      </w:r>
      <w:proofErr w:type="spellStart"/>
      <w:r w:rsidRPr="007A562A">
        <w:rPr>
          <w:rFonts w:ascii="Arial" w:hAnsi="Arial" w:cs="Arial"/>
          <w:color w:val="000000" w:themeColor="text1"/>
        </w:rPr>
        <w:t>Liut</w:t>
      </w:r>
      <w:proofErr w:type="spellEnd"/>
      <w:r w:rsidRPr="007A562A">
        <w:rPr>
          <w:rFonts w:ascii="Arial" w:hAnsi="Arial" w:cs="Arial"/>
          <w:color w:val="000000" w:themeColor="text1"/>
        </w:rPr>
        <w:t xml:space="preserve">, M., &amp; Petersen, A. (2023). </w:t>
      </w:r>
      <w:r w:rsidRPr="007A562A">
        <w:rPr>
          <w:rFonts w:ascii="Arial" w:hAnsi="Arial" w:cs="Arial"/>
          <w:i/>
          <w:iCs/>
          <w:color w:val="000000" w:themeColor="text1"/>
        </w:rPr>
        <w:t>Student usage of Q&amp;A forums: Signs of discomfort?</w:t>
      </w:r>
      <w:r w:rsidRPr="007A562A">
        <w:rPr>
          <w:rFonts w:ascii="Arial" w:hAnsi="Arial" w:cs="Arial"/>
          <w:color w:val="000000" w:themeColor="text1"/>
        </w:rPr>
        <w:t xml:space="preserve"> </w:t>
      </w:r>
      <w:proofErr w:type="spellStart"/>
      <w:r w:rsidRPr="007A562A">
        <w:rPr>
          <w:rFonts w:ascii="Arial" w:hAnsi="Arial" w:cs="Arial"/>
          <w:color w:val="000000" w:themeColor="text1"/>
        </w:rPr>
        <w:t>arXiv</w:t>
      </w:r>
      <w:proofErr w:type="spellEnd"/>
      <w:r w:rsidRPr="007A562A">
        <w:rPr>
          <w:rFonts w:ascii="Arial" w:hAnsi="Arial" w:cs="Arial"/>
          <w:color w:val="000000" w:themeColor="text1"/>
        </w:rPr>
        <w:t xml:space="preserve">. </w:t>
      </w:r>
      <w:hyperlink r:id="rId22" w:tgtFrame="_new" w:history="1">
        <w:r w:rsidRPr="007A562A">
          <w:rPr>
            <w:rStyle w:val="Hyperlink"/>
            <w:rFonts w:ascii="Arial" w:hAnsi="Arial" w:cs="Arial"/>
            <w:color w:val="000000" w:themeColor="text1"/>
            <w:u w:val="none"/>
          </w:rPr>
          <w:t>https://arxiv.org/abs/2305.18717</w:t>
        </w:r>
      </w:hyperlink>
      <w:r w:rsidRPr="007A562A">
        <w:rPr>
          <w:rFonts w:ascii="Arial" w:hAnsi="Arial" w:cs="Arial"/>
          <w:color w:val="000000" w:themeColor="text1"/>
        </w:rPr>
        <w:t xml:space="preserve"> </w:t>
      </w:r>
    </w:p>
    <w:p w14:paraId="5CF1E695" w14:textId="77777777" w:rsidR="007A562A" w:rsidRPr="007A562A" w:rsidRDefault="007A562A" w:rsidP="007A562A">
      <w:pPr>
        <w:rPr>
          <w:rFonts w:ascii="Arial" w:hAnsi="Arial" w:cs="Arial"/>
          <w:color w:val="000000" w:themeColor="text1"/>
          <w:lang w:val="en-PH"/>
        </w:rPr>
      </w:pPr>
    </w:p>
    <w:p w14:paraId="4727C87C" w14:textId="77777777" w:rsidR="007A562A" w:rsidRPr="007757FE" w:rsidRDefault="007A562A" w:rsidP="007A562A">
      <w:pPr>
        <w:ind w:left="630" w:hanging="630"/>
        <w:rPr>
          <w:rFonts w:ascii="Arial" w:hAnsi="Arial" w:cs="Arial"/>
          <w:color w:val="000000" w:themeColor="text1"/>
          <w:lang w:val="en-PH"/>
        </w:rPr>
      </w:pPr>
      <w:proofErr w:type="spellStart"/>
      <w:r w:rsidRPr="007757FE">
        <w:rPr>
          <w:rFonts w:ascii="Arial" w:hAnsi="Arial" w:cs="Arial"/>
          <w:color w:val="000000" w:themeColor="text1"/>
          <w:lang w:val="en-PH"/>
        </w:rPr>
        <w:t>Siripipatthanakul</w:t>
      </w:r>
      <w:proofErr w:type="spellEnd"/>
      <w:r w:rsidRPr="007757FE">
        <w:rPr>
          <w:rFonts w:ascii="Arial" w:hAnsi="Arial" w:cs="Arial"/>
          <w:color w:val="000000" w:themeColor="text1"/>
          <w:lang w:val="en-PH"/>
        </w:rPr>
        <w:t xml:space="preserve">, S., </w:t>
      </w:r>
      <w:proofErr w:type="spellStart"/>
      <w:r w:rsidRPr="007757FE">
        <w:rPr>
          <w:rFonts w:ascii="Arial" w:hAnsi="Arial" w:cs="Arial"/>
          <w:color w:val="000000" w:themeColor="text1"/>
          <w:lang w:val="en-PH"/>
        </w:rPr>
        <w:t>Siripipattanakul</w:t>
      </w:r>
      <w:proofErr w:type="spellEnd"/>
      <w:r w:rsidRPr="007757FE">
        <w:rPr>
          <w:rFonts w:ascii="Arial" w:hAnsi="Arial" w:cs="Arial"/>
          <w:color w:val="000000" w:themeColor="text1"/>
          <w:lang w:val="en-PH"/>
        </w:rPr>
        <w:t xml:space="preserve">, S., </w:t>
      </w:r>
      <w:proofErr w:type="spellStart"/>
      <w:r w:rsidRPr="007757FE">
        <w:rPr>
          <w:rFonts w:ascii="Arial" w:hAnsi="Arial" w:cs="Arial"/>
          <w:color w:val="000000" w:themeColor="text1"/>
          <w:lang w:val="en-PH"/>
        </w:rPr>
        <w:t>Phuangsuwan</w:t>
      </w:r>
      <w:proofErr w:type="spellEnd"/>
      <w:r w:rsidRPr="007757FE">
        <w:rPr>
          <w:rFonts w:ascii="Arial" w:hAnsi="Arial" w:cs="Arial"/>
          <w:color w:val="000000" w:themeColor="text1"/>
          <w:lang w:val="en-PH"/>
        </w:rPr>
        <w:t xml:space="preserve">, P., &amp; </w:t>
      </w:r>
      <w:proofErr w:type="spellStart"/>
      <w:r w:rsidRPr="007757FE">
        <w:rPr>
          <w:rFonts w:ascii="Arial" w:hAnsi="Arial" w:cs="Arial"/>
          <w:color w:val="000000" w:themeColor="text1"/>
          <w:lang w:val="en-PH"/>
        </w:rPr>
        <w:t>Jaipong</w:t>
      </w:r>
      <w:proofErr w:type="spellEnd"/>
      <w:r w:rsidRPr="007757FE">
        <w:rPr>
          <w:rFonts w:ascii="Arial" w:hAnsi="Arial" w:cs="Arial"/>
          <w:color w:val="000000" w:themeColor="text1"/>
          <w:lang w:val="en-PH"/>
        </w:rPr>
        <w:t xml:space="preserve">, P. (2025). The impact of community participation in sustainable learning resource development: A case of Bangkok, Thailand. </w:t>
      </w:r>
      <w:r w:rsidRPr="007757FE">
        <w:rPr>
          <w:rFonts w:ascii="Arial" w:hAnsi="Arial" w:cs="Arial"/>
          <w:i/>
          <w:iCs/>
          <w:color w:val="000000" w:themeColor="text1"/>
          <w:lang w:val="en-PH"/>
        </w:rPr>
        <w:t>Sustainability</w:t>
      </w:r>
      <w:r w:rsidRPr="007757FE">
        <w:rPr>
          <w:rFonts w:ascii="Arial" w:hAnsi="Arial" w:cs="Arial"/>
          <w:color w:val="000000" w:themeColor="text1"/>
          <w:lang w:val="en-PH"/>
        </w:rPr>
        <w:t>.</w:t>
      </w:r>
    </w:p>
    <w:p w14:paraId="5C430C2B" w14:textId="77777777" w:rsidR="007A562A" w:rsidRPr="007A562A" w:rsidRDefault="007A562A" w:rsidP="007A562A">
      <w:pPr>
        <w:rPr>
          <w:rFonts w:ascii="Arial" w:hAnsi="Arial" w:cs="Arial"/>
          <w:color w:val="000000" w:themeColor="text1"/>
        </w:rPr>
      </w:pPr>
    </w:p>
    <w:p w14:paraId="1336C6A2" w14:textId="77777777" w:rsidR="007A562A" w:rsidRPr="007A562A" w:rsidRDefault="007A562A" w:rsidP="007A562A">
      <w:pPr>
        <w:ind w:left="630" w:hanging="630"/>
        <w:rPr>
          <w:rFonts w:ascii="Arial" w:hAnsi="Arial" w:cs="Arial"/>
          <w:color w:val="000000" w:themeColor="text1"/>
        </w:rPr>
      </w:pPr>
      <w:r w:rsidRPr="007A562A">
        <w:rPr>
          <w:rFonts w:ascii="Arial" w:hAnsi="Arial" w:cs="Arial"/>
          <w:color w:val="000000" w:themeColor="text1"/>
        </w:rPr>
        <w:t xml:space="preserve">Stukas, A. A., Snyder, M., &amp; Clary, E. G. (2023). Understanding and encouraging volunteerism and community service. </w:t>
      </w:r>
      <w:r w:rsidRPr="007A562A">
        <w:rPr>
          <w:rFonts w:ascii="Arial" w:hAnsi="Arial" w:cs="Arial"/>
          <w:i/>
          <w:iCs/>
          <w:color w:val="000000" w:themeColor="text1"/>
        </w:rPr>
        <w:t>Journal of Social Issues, 79</w:t>
      </w:r>
      <w:r w:rsidRPr="007A562A">
        <w:rPr>
          <w:rFonts w:ascii="Arial" w:hAnsi="Arial" w:cs="Arial"/>
          <w:color w:val="000000" w:themeColor="text1"/>
        </w:rPr>
        <w:t>(2), 523–540. https://doi.org/10.1111/josi.12532</w:t>
      </w:r>
    </w:p>
    <w:p w14:paraId="376EF5BE" w14:textId="77777777" w:rsidR="007A562A" w:rsidRPr="007A562A" w:rsidRDefault="007A562A" w:rsidP="007A562A">
      <w:pPr>
        <w:ind w:left="630" w:hanging="630"/>
        <w:rPr>
          <w:rFonts w:ascii="Arial" w:hAnsi="Arial" w:cs="Arial"/>
          <w:color w:val="000000" w:themeColor="text1"/>
        </w:rPr>
      </w:pPr>
    </w:p>
    <w:p w14:paraId="36D6390A" w14:textId="77777777" w:rsidR="007A562A" w:rsidRPr="00C64327" w:rsidRDefault="007A562A" w:rsidP="007A562A">
      <w:pPr>
        <w:ind w:left="630" w:hanging="630"/>
        <w:rPr>
          <w:rFonts w:ascii="Arial" w:hAnsi="Arial" w:cs="Arial"/>
          <w:color w:val="000000" w:themeColor="text1"/>
        </w:rPr>
      </w:pPr>
      <w:r w:rsidRPr="007A562A">
        <w:rPr>
          <w:rFonts w:ascii="Arial" w:hAnsi="Arial" w:cs="Arial"/>
          <w:color w:val="000000" w:themeColor="text1"/>
        </w:rPr>
        <w:t xml:space="preserve">Thomas, L. (2023, June 22). </w:t>
      </w:r>
      <w:r w:rsidRPr="007A562A">
        <w:rPr>
          <w:rFonts w:ascii="Arial" w:hAnsi="Arial" w:cs="Arial"/>
          <w:i/>
          <w:iCs/>
          <w:color w:val="000000" w:themeColor="text1"/>
        </w:rPr>
        <w:t>Stratified sampling: Definition, guide &amp; examples</w:t>
      </w:r>
      <w:r w:rsidRPr="007A562A">
        <w:rPr>
          <w:rFonts w:ascii="Arial" w:hAnsi="Arial" w:cs="Arial"/>
          <w:color w:val="000000" w:themeColor="text1"/>
        </w:rPr>
        <w:t xml:space="preserve">. </w:t>
      </w:r>
      <w:proofErr w:type="spellStart"/>
      <w:r w:rsidRPr="007A562A">
        <w:rPr>
          <w:rFonts w:ascii="Arial" w:hAnsi="Arial" w:cs="Arial"/>
          <w:color w:val="000000" w:themeColor="text1"/>
        </w:rPr>
        <w:t>Scribbr</w:t>
      </w:r>
      <w:proofErr w:type="spellEnd"/>
      <w:r w:rsidRPr="007A562A">
        <w:rPr>
          <w:rFonts w:ascii="Arial" w:hAnsi="Arial" w:cs="Arial"/>
          <w:color w:val="000000" w:themeColor="text1"/>
        </w:rPr>
        <w:t xml:space="preserve">. </w:t>
      </w:r>
      <w:hyperlink r:id="rId23" w:tgtFrame="_new" w:history="1">
        <w:r w:rsidRPr="007A562A">
          <w:rPr>
            <w:rStyle w:val="Hyperlink"/>
            <w:rFonts w:ascii="Arial" w:hAnsi="Arial" w:cs="Arial"/>
            <w:color w:val="000000" w:themeColor="text1"/>
            <w:u w:val="none"/>
          </w:rPr>
          <w:t>https://www.scribbr.com/methodology/stratified-sampling/</w:t>
        </w:r>
      </w:hyperlink>
    </w:p>
    <w:p w14:paraId="4C61F503" w14:textId="77777777" w:rsidR="00B01FCD" w:rsidRPr="00FB3A86" w:rsidRDefault="00B01FCD" w:rsidP="007A562A">
      <w:pPr>
        <w:ind w:left="630" w:hanging="630"/>
        <w:rPr>
          <w:rFonts w:ascii="Arial" w:hAnsi="Arial" w:cs="Arial"/>
          <w:b/>
        </w:rPr>
      </w:pPr>
      <w:bookmarkStart w:id="2" w:name="_GoBack"/>
      <w:bookmarkEnd w:id="2"/>
    </w:p>
    <w:sectPr w:rsidR="00B01FCD" w:rsidRPr="00FB3A86" w:rsidSect="007A562A">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4DC1" w14:textId="77777777" w:rsidR="00944B1A" w:rsidRDefault="00944B1A" w:rsidP="00C37E61">
      <w:r>
        <w:separator/>
      </w:r>
    </w:p>
  </w:endnote>
  <w:endnote w:type="continuationSeparator" w:id="0">
    <w:p w14:paraId="60358768" w14:textId="77777777" w:rsidR="00944B1A" w:rsidRDefault="00944B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9B655" w14:textId="77777777" w:rsidR="004D3415" w:rsidRDefault="004D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8C357" w14:textId="77777777" w:rsidR="004D3415" w:rsidRDefault="004D34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4116" w14:textId="77777777" w:rsidR="009E048A" w:rsidRDefault="009E048A">
    <w:pPr>
      <w:pStyle w:val="Footer"/>
      <w:rPr>
        <w:rFonts w:ascii="Arial" w:hAnsi="Arial" w:cs="Arial"/>
        <w:sz w:val="16"/>
      </w:rPr>
    </w:pPr>
  </w:p>
  <w:p w14:paraId="3E4BBCD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984165" w14:textId="77777777" w:rsidR="009E048A" w:rsidRDefault="009E048A">
    <w:pPr>
      <w:pStyle w:val="Footer"/>
      <w:rPr>
        <w:rFonts w:ascii="Arial" w:hAnsi="Arial" w:cs="Arial"/>
        <w:sz w:val="16"/>
      </w:rPr>
    </w:pPr>
  </w:p>
  <w:p w14:paraId="3E11AFDC" w14:textId="309DF511"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1A3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08D30" w14:textId="77777777" w:rsidR="00944B1A" w:rsidRDefault="00944B1A" w:rsidP="00C37E61">
      <w:r>
        <w:separator/>
      </w:r>
    </w:p>
  </w:footnote>
  <w:footnote w:type="continuationSeparator" w:id="0">
    <w:p w14:paraId="0DC71B2C" w14:textId="77777777" w:rsidR="00944B1A" w:rsidRDefault="00944B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0D2F" w14:textId="66F8926D" w:rsidR="004D3415" w:rsidRDefault="00944B1A">
    <w:pPr>
      <w:pStyle w:val="Header"/>
    </w:pPr>
    <w:r>
      <w:rPr>
        <w:noProof/>
      </w:rPr>
      <w:pict w14:anchorId="059602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F355D" w14:textId="3195245A" w:rsidR="004D3415" w:rsidRDefault="00944B1A">
    <w:pPr>
      <w:pStyle w:val="Header"/>
    </w:pPr>
    <w:r>
      <w:rPr>
        <w:noProof/>
      </w:rPr>
      <w:pict w14:anchorId="36212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10A3" w14:textId="4CDFC2E9" w:rsidR="00296529" w:rsidRPr="00296529" w:rsidRDefault="00944B1A" w:rsidP="00296529">
    <w:pPr>
      <w:ind w:left="2160"/>
      <w:jc w:val="center"/>
      <w:rPr>
        <w:rFonts w:ascii="Times New Roman" w:eastAsia="Calibri" w:hAnsi="Times New Roman"/>
        <w:i/>
        <w:sz w:val="18"/>
        <w:szCs w:val="22"/>
      </w:rPr>
    </w:pPr>
    <w:r>
      <w:rPr>
        <w:noProof/>
      </w:rPr>
      <w:pict w14:anchorId="734F8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EFC021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E869F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3362B7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2EE6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23E33C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75667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E33D" w14:textId="0BD6C881" w:rsidR="004D3415" w:rsidRDefault="00944B1A">
    <w:pPr>
      <w:pStyle w:val="Header"/>
    </w:pPr>
    <w:r>
      <w:rPr>
        <w:noProof/>
      </w:rPr>
      <w:pict w14:anchorId="2BAC4B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2363" w14:textId="7402D027" w:rsidR="004D3415" w:rsidRDefault="00944B1A">
    <w:pPr>
      <w:pStyle w:val="Header"/>
    </w:pPr>
    <w:r>
      <w:rPr>
        <w:noProof/>
      </w:rPr>
      <w:pict w14:anchorId="283AD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E2AC" w14:textId="2141F08F" w:rsidR="004D3415" w:rsidRDefault="00944B1A">
    <w:pPr>
      <w:pStyle w:val="Header"/>
    </w:pPr>
    <w:r>
      <w:rPr>
        <w:noProof/>
      </w:rPr>
      <w:pict w14:anchorId="0B784D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263A24"/>
    <w:multiLevelType w:val="multilevel"/>
    <w:tmpl w:val="74789F5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EC5FBC"/>
    <w:multiLevelType w:val="multilevel"/>
    <w:tmpl w:val="00ECDCDC"/>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3105"/>
    <w:rsid w:val="0004579C"/>
    <w:rsid w:val="00045F83"/>
    <w:rsid w:val="00065676"/>
    <w:rsid w:val="0009192D"/>
    <w:rsid w:val="000A47FA"/>
    <w:rsid w:val="000A65D3"/>
    <w:rsid w:val="000B1E33"/>
    <w:rsid w:val="000C6C71"/>
    <w:rsid w:val="000D689F"/>
    <w:rsid w:val="000E7B7B"/>
    <w:rsid w:val="000E7D62"/>
    <w:rsid w:val="00103357"/>
    <w:rsid w:val="00123C9F"/>
    <w:rsid w:val="00126190"/>
    <w:rsid w:val="001301D8"/>
    <w:rsid w:val="00130F17"/>
    <w:rsid w:val="001320BF"/>
    <w:rsid w:val="001443ED"/>
    <w:rsid w:val="00163BC4"/>
    <w:rsid w:val="00191062"/>
    <w:rsid w:val="00192B72"/>
    <w:rsid w:val="001A29D8"/>
    <w:rsid w:val="001A5CAA"/>
    <w:rsid w:val="001A6E19"/>
    <w:rsid w:val="001B0427"/>
    <w:rsid w:val="001D3A51"/>
    <w:rsid w:val="001D6E4E"/>
    <w:rsid w:val="001E10D2"/>
    <w:rsid w:val="001E25B4"/>
    <w:rsid w:val="001E44FE"/>
    <w:rsid w:val="001F1B8C"/>
    <w:rsid w:val="001F22F6"/>
    <w:rsid w:val="001F3007"/>
    <w:rsid w:val="00200595"/>
    <w:rsid w:val="00204835"/>
    <w:rsid w:val="00231920"/>
    <w:rsid w:val="0023195C"/>
    <w:rsid w:val="002338B2"/>
    <w:rsid w:val="00236972"/>
    <w:rsid w:val="0024282C"/>
    <w:rsid w:val="002460DC"/>
    <w:rsid w:val="00250985"/>
    <w:rsid w:val="002556F6"/>
    <w:rsid w:val="00255F18"/>
    <w:rsid w:val="002603AF"/>
    <w:rsid w:val="002678F9"/>
    <w:rsid w:val="00270973"/>
    <w:rsid w:val="00283105"/>
    <w:rsid w:val="00284C4C"/>
    <w:rsid w:val="00287E68"/>
    <w:rsid w:val="00296529"/>
    <w:rsid w:val="002B27FB"/>
    <w:rsid w:val="002B685A"/>
    <w:rsid w:val="002C57D2"/>
    <w:rsid w:val="002E0075"/>
    <w:rsid w:val="002E0D56"/>
    <w:rsid w:val="002F7564"/>
    <w:rsid w:val="00313901"/>
    <w:rsid w:val="00315186"/>
    <w:rsid w:val="0032066F"/>
    <w:rsid w:val="003277CF"/>
    <w:rsid w:val="0033343E"/>
    <w:rsid w:val="003350A8"/>
    <w:rsid w:val="00347B96"/>
    <w:rsid w:val="003512C2"/>
    <w:rsid w:val="003601E2"/>
    <w:rsid w:val="00371FB6"/>
    <w:rsid w:val="003740F6"/>
    <w:rsid w:val="003763C1"/>
    <w:rsid w:val="00376BBE"/>
    <w:rsid w:val="00383044"/>
    <w:rsid w:val="0039224F"/>
    <w:rsid w:val="003A43A4"/>
    <w:rsid w:val="003A7E18"/>
    <w:rsid w:val="003C4C86"/>
    <w:rsid w:val="003C5798"/>
    <w:rsid w:val="003C6258"/>
    <w:rsid w:val="003E21E7"/>
    <w:rsid w:val="003E2904"/>
    <w:rsid w:val="00401927"/>
    <w:rsid w:val="0041027F"/>
    <w:rsid w:val="00412475"/>
    <w:rsid w:val="0042363D"/>
    <w:rsid w:val="00423789"/>
    <w:rsid w:val="00431530"/>
    <w:rsid w:val="00440F43"/>
    <w:rsid w:val="00441B6F"/>
    <w:rsid w:val="00446221"/>
    <w:rsid w:val="00450E62"/>
    <w:rsid w:val="004539DB"/>
    <w:rsid w:val="00471A80"/>
    <w:rsid w:val="004B60EF"/>
    <w:rsid w:val="004D0245"/>
    <w:rsid w:val="004D305E"/>
    <w:rsid w:val="004D3415"/>
    <w:rsid w:val="004D4277"/>
    <w:rsid w:val="004D6994"/>
    <w:rsid w:val="004E22E0"/>
    <w:rsid w:val="00502516"/>
    <w:rsid w:val="00505F06"/>
    <w:rsid w:val="00506828"/>
    <w:rsid w:val="0051093B"/>
    <w:rsid w:val="005209C0"/>
    <w:rsid w:val="00522981"/>
    <w:rsid w:val="0053056E"/>
    <w:rsid w:val="005359A2"/>
    <w:rsid w:val="00537D20"/>
    <w:rsid w:val="00554FDA"/>
    <w:rsid w:val="00555086"/>
    <w:rsid w:val="0057450D"/>
    <w:rsid w:val="005970C4"/>
    <w:rsid w:val="005C784C"/>
    <w:rsid w:val="005D17F6"/>
    <w:rsid w:val="005D56AB"/>
    <w:rsid w:val="005E5539"/>
    <w:rsid w:val="00602BF5"/>
    <w:rsid w:val="00613393"/>
    <w:rsid w:val="00617FDD"/>
    <w:rsid w:val="006238C1"/>
    <w:rsid w:val="00633614"/>
    <w:rsid w:val="00633F68"/>
    <w:rsid w:val="00636EB2"/>
    <w:rsid w:val="006375B8"/>
    <w:rsid w:val="0066510A"/>
    <w:rsid w:val="00673F9F"/>
    <w:rsid w:val="00686953"/>
    <w:rsid w:val="00687DEA"/>
    <w:rsid w:val="00687E67"/>
    <w:rsid w:val="00693DB3"/>
    <w:rsid w:val="006945B7"/>
    <w:rsid w:val="006967F7"/>
    <w:rsid w:val="006A250C"/>
    <w:rsid w:val="006A64DB"/>
    <w:rsid w:val="006B21D3"/>
    <w:rsid w:val="006B57D0"/>
    <w:rsid w:val="006D30FF"/>
    <w:rsid w:val="006D6940"/>
    <w:rsid w:val="006F11EC"/>
    <w:rsid w:val="006F4122"/>
    <w:rsid w:val="0070082C"/>
    <w:rsid w:val="00706DD7"/>
    <w:rsid w:val="00717B48"/>
    <w:rsid w:val="00727F2E"/>
    <w:rsid w:val="00735251"/>
    <w:rsid w:val="007369E6"/>
    <w:rsid w:val="00737005"/>
    <w:rsid w:val="00746E59"/>
    <w:rsid w:val="00754C9A"/>
    <w:rsid w:val="0075599A"/>
    <w:rsid w:val="00761D52"/>
    <w:rsid w:val="00772B5F"/>
    <w:rsid w:val="007753FC"/>
    <w:rsid w:val="0077749E"/>
    <w:rsid w:val="00790ADA"/>
    <w:rsid w:val="00797DC2"/>
    <w:rsid w:val="007A562A"/>
    <w:rsid w:val="007D2288"/>
    <w:rsid w:val="007E088F"/>
    <w:rsid w:val="007E6A09"/>
    <w:rsid w:val="007F26A8"/>
    <w:rsid w:val="007F7B32"/>
    <w:rsid w:val="008038DC"/>
    <w:rsid w:val="00804BC2"/>
    <w:rsid w:val="0081431A"/>
    <w:rsid w:val="0083216F"/>
    <w:rsid w:val="008433DF"/>
    <w:rsid w:val="008562F7"/>
    <w:rsid w:val="008564E8"/>
    <w:rsid w:val="00860000"/>
    <w:rsid w:val="00863BD3"/>
    <w:rsid w:val="008641ED"/>
    <w:rsid w:val="00866D66"/>
    <w:rsid w:val="008671C6"/>
    <w:rsid w:val="00875803"/>
    <w:rsid w:val="008B459E"/>
    <w:rsid w:val="008E13AE"/>
    <w:rsid w:val="008E1506"/>
    <w:rsid w:val="008E710C"/>
    <w:rsid w:val="008F69D6"/>
    <w:rsid w:val="00902823"/>
    <w:rsid w:val="009056CB"/>
    <w:rsid w:val="00915CA6"/>
    <w:rsid w:val="00926D04"/>
    <w:rsid w:val="00927834"/>
    <w:rsid w:val="00944B1A"/>
    <w:rsid w:val="009500A6"/>
    <w:rsid w:val="00957C18"/>
    <w:rsid w:val="009659BA"/>
    <w:rsid w:val="00973802"/>
    <w:rsid w:val="00983040"/>
    <w:rsid w:val="00993FB6"/>
    <w:rsid w:val="009B3FB9"/>
    <w:rsid w:val="009C0884"/>
    <w:rsid w:val="009C2465"/>
    <w:rsid w:val="009D35A0"/>
    <w:rsid w:val="009D7EB7"/>
    <w:rsid w:val="009E048A"/>
    <w:rsid w:val="009E08E9"/>
    <w:rsid w:val="009E3DB9"/>
    <w:rsid w:val="009E6E35"/>
    <w:rsid w:val="009F0EDA"/>
    <w:rsid w:val="009F4725"/>
    <w:rsid w:val="00A03B96"/>
    <w:rsid w:val="00A05B19"/>
    <w:rsid w:val="00A1134E"/>
    <w:rsid w:val="00A24E7E"/>
    <w:rsid w:val="00A258C3"/>
    <w:rsid w:val="00A347C0"/>
    <w:rsid w:val="00A51431"/>
    <w:rsid w:val="00A539AD"/>
    <w:rsid w:val="00A91A8B"/>
    <w:rsid w:val="00A94063"/>
    <w:rsid w:val="00AA6219"/>
    <w:rsid w:val="00AA74E0"/>
    <w:rsid w:val="00AB703F"/>
    <w:rsid w:val="00AC5EAB"/>
    <w:rsid w:val="00AC6BB8"/>
    <w:rsid w:val="00AE008F"/>
    <w:rsid w:val="00AE17F9"/>
    <w:rsid w:val="00B01FCD"/>
    <w:rsid w:val="00B1776C"/>
    <w:rsid w:val="00B210E0"/>
    <w:rsid w:val="00B32769"/>
    <w:rsid w:val="00B52583"/>
    <w:rsid w:val="00B52896"/>
    <w:rsid w:val="00B85666"/>
    <w:rsid w:val="00B95236"/>
    <w:rsid w:val="00B96BD9"/>
    <w:rsid w:val="00BA1B01"/>
    <w:rsid w:val="00BA2641"/>
    <w:rsid w:val="00BA3F6B"/>
    <w:rsid w:val="00BB37AA"/>
    <w:rsid w:val="00BC53A0"/>
    <w:rsid w:val="00BE3823"/>
    <w:rsid w:val="00BE62AD"/>
    <w:rsid w:val="00BF121F"/>
    <w:rsid w:val="00BF1DBC"/>
    <w:rsid w:val="00BF1F80"/>
    <w:rsid w:val="00C0415C"/>
    <w:rsid w:val="00C166EF"/>
    <w:rsid w:val="00C17EB0"/>
    <w:rsid w:val="00C27F5F"/>
    <w:rsid w:val="00C30A0F"/>
    <w:rsid w:val="00C37E61"/>
    <w:rsid w:val="00C52F16"/>
    <w:rsid w:val="00C65175"/>
    <w:rsid w:val="00C65F89"/>
    <w:rsid w:val="00C70F1B"/>
    <w:rsid w:val="00C71A47"/>
    <w:rsid w:val="00C7464C"/>
    <w:rsid w:val="00C75290"/>
    <w:rsid w:val="00C822A0"/>
    <w:rsid w:val="00C85588"/>
    <w:rsid w:val="00CD34F3"/>
    <w:rsid w:val="00CD6755"/>
    <w:rsid w:val="00CD6856"/>
    <w:rsid w:val="00CD789E"/>
    <w:rsid w:val="00CE0089"/>
    <w:rsid w:val="00CE19BE"/>
    <w:rsid w:val="00CE793C"/>
    <w:rsid w:val="00CF193C"/>
    <w:rsid w:val="00CF6651"/>
    <w:rsid w:val="00D16450"/>
    <w:rsid w:val="00D173F1"/>
    <w:rsid w:val="00D35AE5"/>
    <w:rsid w:val="00D40413"/>
    <w:rsid w:val="00D7365D"/>
    <w:rsid w:val="00D73FFE"/>
    <w:rsid w:val="00D74CB0"/>
    <w:rsid w:val="00D77D22"/>
    <w:rsid w:val="00D8295D"/>
    <w:rsid w:val="00DB6E93"/>
    <w:rsid w:val="00DC2A65"/>
    <w:rsid w:val="00DE12E9"/>
    <w:rsid w:val="00DE15F0"/>
    <w:rsid w:val="00DE2455"/>
    <w:rsid w:val="00DE5663"/>
    <w:rsid w:val="00DE78AA"/>
    <w:rsid w:val="00E02061"/>
    <w:rsid w:val="00E053D0"/>
    <w:rsid w:val="00E11786"/>
    <w:rsid w:val="00E15994"/>
    <w:rsid w:val="00E178AB"/>
    <w:rsid w:val="00E3114E"/>
    <w:rsid w:val="00E31A70"/>
    <w:rsid w:val="00E35B02"/>
    <w:rsid w:val="00E66496"/>
    <w:rsid w:val="00E66B35"/>
    <w:rsid w:val="00E66E10"/>
    <w:rsid w:val="00E769F6"/>
    <w:rsid w:val="00E779B7"/>
    <w:rsid w:val="00E8407C"/>
    <w:rsid w:val="00E84F3C"/>
    <w:rsid w:val="00E95BD0"/>
    <w:rsid w:val="00EA012C"/>
    <w:rsid w:val="00EA201A"/>
    <w:rsid w:val="00EB40B6"/>
    <w:rsid w:val="00EC6A55"/>
    <w:rsid w:val="00ED0288"/>
    <w:rsid w:val="00ED36B0"/>
    <w:rsid w:val="00EE52CB"/>
    <w:rsid w:val="00EF581D"/>
    <w:rsid w:val="00EF7FD8"/>
    <w:rsid w:val="00F06F59"/>
    <w:rsid w:val="00F17988"/>
    <w:rsid w:val="00F427FD"/>
    <w:rsid w:val="00F469F0"/>
    <w:rsid w:val="00F470D1"/>
    <w:rsid w:val="00F53217"/>
    <w:rsid w:val="00F53273"/>
    <w:rsid w:val="00F61975"/>
    <w:rsid w:val="00F755E4"/>
    <w:rsid w:val="00F77D02"/>
    <w:rsid w:val="00FB3A86"/>
    <w:rsid w:val="00FB7C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8537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443ED"/>
    <w:pPr>
      <w:ind w:left="720"/>
      <w:contextualSpacing/>
    </w:pPr>
  </w:style>
  <w:style w:type="paragraph" w:styleId="NormalWeb">
    <w:name w:val="Normal (Web)"/>
    <w:basedOn w:val="Normal"/>
    <w:semiHidden/>
    <w:unhideWhenUsed/>
    <w:rsid w:val="004E22E0"/>
    <w:rPr>
      <w:rFonts w:ascii="Times New Roman" w:hAnsi="Times New Roman"/>
      <w:sz w:val="24"/>
      <w:szCs w:val="24"/>
    </w:rPr>
  </w:style>
  <w:style w:type="paragraph" w:styleId="NoSpacing">
    <w:name w:val="No Spacing"/>
    <w:uiPriority w:val="1"/>
    <w:qFormat/>
    <w:rsid w:val="00FB7C6E"/>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accedu.2023.100830"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186/s131040183940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89/feduc.2024.1330456"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gse.berkeley.edu/research/slc/" TargetMode="External"/><Relationship Id="rId20" Type="http://schemas.openxmlformats.org/officeDocument/2006/relationships/hyperlink" Target="https://doi.org/10.47772/IJRISS.2025.903SEDU024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37333/001c.127553" TargetMode="External"/><Relationship Id="rId23" Type="http://schemas.openxmlformats.org/officeDocument/2006/relationships/hyperlink" Target="https://www.scribbr.com/methodology/stratified-sampling/?utm_source=chatgpt.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nces.ed.gov/pubs97/web/97331-2.asp"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 TargetMode="External"/><Relationship Id="rId22" Type="http://schemas.openxmlformats.org/officeDocument/2006/relationships/hyperlink" Target="https://arxiv.org/abs/2305.18717?utm_source=chatgpt.com"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20E7-2697-48FD-B979-6A4F38EF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160</TotalTime>
  <Pages>11</Pages>
  <Words>4160</Words>
  <Characters>23717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96</cp:revision>
  <cp:lastPrinted>1999-07-06T11:00:00Z</cp:lastPrinted>
  <dcterms:created xsi:type="dcterms:W3CDTF">2026-03-12T05:37:00Z</dcterms:created>
  <dcterms:modified xsi:type="dcterms:W3CDTF">2026-03-19T07:10:00Z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f843b4e7-8ffb-4ab2-8f9e-93f8d041f854</vt:lpwstr>
  </property>
</Properties>
</file>