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3B9A" w14:textId="24350070" w:rsidR="00195432" w:rsidRPr="00195432" w:rsidRDefault="00195432" w:rsidP="00195432">
      <w:pPr>
        <w:spacing w:line="480" w:lineRule="auto"/>
        <w:rPr>
          <w:rFonts w:ascii="Times New Roman" w:hAnsi="Times New Roman" w:cs="Times New Roman"/>
          <w:b/>
          <w:bCs/>
          <w:sz w:val="28"/>
          <w:szCs w:val="28"/>
          <w:u w:val="single"/>
        </w:rPr>
      </w:pPr>
      <w:r w:rsidRPr="00195432">
        <w:rPr>
          <w:rFonts w:ascii="Times New Roman" w:hAnsi="Times New Roman" w:cs="Times New Roman"/>
          <w:b/>
          <w:bCs/>
          <w:sz w:val="28"/>
          <w:szCs w:val="28"/>
          <w:u w:val="single"/>
        </w:rPr>
        <w:t>Original Research Article</w:t>
      </w:r>
    </w:p>
    <w:p w14:paraId="7800DC06" w14:textId="34EF0D2A" w:rsidR="000C4E1F" w:rsidRPr="008E1AB1" w:rsidRDefault="008E1AB1" w:rsidP="008E1AB1">
      <w:pPr>
        <w:pStyle w:val="ListParagraph"/>
        <w:spacing w:line="480" w:lineRule="auto"/>
        <w:jc w:val="center"/>
        <w:rPr>
          <w:rFonts w:ascii="Times New Roman" w:hAnsi="Times New Roman" w:cs="Times New Roman"/>
          <w:sz w:val="28"/>
          <w:szCs w:val="28"/>
        </w:rPr>
      </w:pPr>
      <w:r w:rsidRPr="008E1AB1">
        <w:rPr>
          <w:rFonts w:ascii="Times New Roman" w:hAnsi="Times New Roman" w:cs="Times New Roman"/>
          <w:b/>
          <w:bCs/>
          <w:sz w:val="28"/>
          <w:szCs w:val="28"/>
        </w:rPr>
        <w:t>Educational Credit Interstate Disparities in India: An Empirical Analysis of Determinants</w:t>
      </w:r>
    </w:p>
    <w:p w14:paraId="7079BF3F" w14:textId="77777777" w:rsidR="005814D3" w:rsidRPr="000C4E1F" w:rsidRDefault="005814D3" w:rsidP="000C4E1F">
      <w:pPr>
        <w:pStyle w:val="ListParagraph"/>
        <w:spacing w:line="480" w:lineRule="auto"/>
        <w:rPr>
          <w:rFonts w:ascii="Times New Roman" w:hAnsi="Times New Roman" w:cs="Times New Roman"/>
          <w:b/>
          <w:bCs/>
          <w:sz w:val="24"/>
          <w:szCs w:val="24"/>
        </w:rPr>
      </w:pPr>
    </w:p>
    <w:p w14:paraId="13BC67ED" w14:textId="77777777" w:rsidR="000F0411" w:rsidRDefault="000F0411" w:rsidP="001163E0">
      <w:pPr>
        <w:spacing w:line="480" w:lineRule="auto"/>
        <w:jc w:val="center"/>
        <w:rPr>
          <w:rFonts w:ascii="Times New Roman" w:hAnsi="Times New Roman" w:cs="Times New Roman"/>
          <w:b/>
          <w:bCs/>
          <w:sz w:val="28"/>
          <w:szCs w:val="28"/>
        </w:rPr>
      </w:pPr>
    </w:p>
    <w:p w14:paraId="09B32034" w14:textId="77777777" w:rsidR="00FE61B7" w:rsidRDefault="00FE61B7" w:rsidP="001163E0">
      <w:pPr>
        <w:spacing w:line="480" w:lineRule="auto"/>
        <w:jc w:val="center"/>
        <w:rPr>
          <w:rFonts w:ascii="Times New Roman" w:hAnsi="Times New Roman" w:cs="Times New Roman"/>
          <w:b/>
          <w:bCs/>
          <w:sz w:val="28"/>
          <w:szCs w:val="28"/>
        </w:rPr>
      </w:pPr>
    </w:p>
    <w:p w14:paraId="6202E6E0" w14:textId="21BD37EF" w:rsidR="00D1346C" w:rsidRDefault="006312E1" w:rsidP="000364B7">
      <w:pPr>
        <w:spacing w:line="480" w:lineRule="auto"/>
        <w:jc w:val="both"/>
        <w:rPr>
          <w:rFonts w:ascii="Times New Roman" w:hAnsi="Times New Roman" w:cs="Times New Roman"/>
          <w:b/>
          <w:bCs/>
          <w:sz w:val="24"/>
          <w:szCs w:val="24"/>
        </w:rPr>
      </w:pPr>
      <w:r w:rsidRPr="00D1346C">
        <w:rPr>
          <w:rFonts w:ascii="Times New Roman" w:hAnsi="Times New Roman" w:cs="Times New Roman"/>
          <w:b/>
          <w:bCs/>
          <w:sz w:val="24"/>
          <w:szCs w:val="24"/>
        </w:rPr>
        <w:t>Abstract</w:t>
      </w:r>
    </w:p>
    <w:p w14:paraId="70E87A08" w14:textId="499D3355" w:rsidR="00A74B6F" w:rsidRPr="00D1346C" w:rsidRDefault="00A74B6F" w:rsidP="000364B7">
      <w:pPr>
        <w:spacing w:after="0" w:line="480" w:lineRule="auto"/>
        <w:jc w:val="both"/>
        <w:rPr>
          <w:rFonts w:ascii="Times New Roman" w:hAnsi="Times New Roman" w:cs="Times New Roman"/>
          <w:sz w:val="24"/>
          <w:szCs w:val="24"/>
        </w:rPr>
      </w:pPr>
      <w:r w:rsidRPr="00A74B6F">
        <w:rPr>
          <w:rFonts w:ascii="Times New Roman" w:eastAsia="Times New Roman" w:hAnsi="Times New Roman" w:cs="Times New Roman"/>
          <w:kern w:val="0"/>
          <w:sz w:val="24"/>
          <w:szCs w:val="24"/>
          <w:lang w:eastAsia="en-IN"/>
          <w14:ligatures w14:val="none"/>
        </w:rPr>
        <w:t xml:space="preserve">The significance of higher education for a country's economic growth is substantial, as it contributes to individual development, societal improvement, and national development. </w:t>
      </w:r>
      <w:r w:rsidR="008F5594">
        <w:rPr>
          <w:rFonts w:ascii="Times New Roman" w:eastAsia="Times New Roman" w:hAnsi="Times New Roman" w:cs="Times New Roman"/>
          <w:kern w:val="0"/>
          <w:sz w:val="24"/>
          <w:szCs w:val="24"/>
          <w:lang w:eastAsia="en-IN"/>
          <w14:ligatures w14:val="none"/>
        </w:rPr>
        <w:t>T</w:t>
      </w:r>
      <w:r w:rsidR="008F5594" w:rsidRPr="00A74B6F">
        <w:rPr>
          <w:rFonts w:ascii="Times New Roman" w:eastAsia="Times New Roman" w:hAnsi="Times New Roman" w:cs="Times New Roman"/>
          <w:kern w:val="0"/>
          <w:sz w:val="24"/>
          <w:szCs w:val="24"/>
          <w:lang w:eastAsia="en-IN"/>
          <w14:ligatures w14:val="none"/>
        </w:rPr>
        <w:t xml:space="preserve">his </w:t>
      </w:r>
      <w:r w:rsidRPr="00A74B6F">
        <w:rPr>
          <w:rFonts w:ascii="Times New Roman" w:eastAsia="Times New Roman" w:hAnsi="Times New Roman" w:cs="Times New Roman"/>
          <w:kern w:val="0"/>
          <w:sz w:val="24"/>
          <w:szCs w:val="24"/>
          <w:lang w:eastAsia="en-IN"/>
          <w14:ligatures w14:val="none"/>
        </w:rPr>
        <w:t xml:space="preserve">study </w:t>
      </w:r>
      <w:r w:rsidR="008F5594">
        <w:rPr>
          <w:rFonts w:ascii="Times New Roman" w:eastAsia="Times New Roman" w:hAnsi="Times New Roman" w:cs="Times New Roman"/>
          <w:kern w:val="0"/>
          <w:sz w:val="24"/>
          <w:szCs w:val="24"/>
          <w:lang w:eastAsia="en-IN"/>
          <w14:ligatures w14:val="none"/>
        </w:rPr>
        <w:t>aims</w:t>
      </w:r>
      <w:r w:rsidR="008F5594" w:rsidRPr="00A74B6F">
        <w:rPr>
          <w:rFonts w:ascii="Times New Roman" w:eastAsia="Times New Roman" w:hAnsi="Times New Roman" w:cs="Times New Roman"/>
          <w:kern w:val="0"/>
          <w:sz w:val="24"/>
          <w:szCs w:val="24"/>
          <w:lang w:eastAsia="en-IN"/>
          <w14:ligatures w14:val="none"/>
        </w:rPr>
        <w:t xml:space="preserve"> </w:t>
      </w:r>
      <w:r w:rsidRPr="00A74B6F">
        <w:rPr>
          <w:rFonts w:ascii="Times New Roman" w:eastAsia="Times New Roman" w:hAnsi="Times New Roman" w:cs="Times New Roman"/>
          <w:kern w:val="0"/>
          <w:sz w:val="24"/>
          <w:szCs w:val="24"/>
          <w:lang w:eastAsia="en-IN"/>
          <w14:ligatures w14:val="none"/>
        </w:rPr>
        <w:t>to quantify the discrepancy in educational loans granted to individuals as part of priority sector lending by commercial banks from 2016 to 202</w:t>
      </w:r>
      <w:r w:rsidR="005228CA">
        <w:rPr>
          <w:rFonts w:ascii="Times New Roman" w:eastAsia="Times New Roman" w:hAnsi="Times New Roman" w:cs="Times New Roman"/>
          <w:kern w:val="0"/>
          <w:sz w:val="24"/>
          <w:szCs w:val="24"/>
          <w:lang w:eastAsia="en-IN"/>
          <w14:ligatures w14:val="none"/>
        </w:rPr>
        <w:t>1</w:t>
      </w:r>
      <w:r w:rsidR="008F5594">
        <w:rPr>
          <w:rFonts w:ascii="Times New Roman" w:eastAsia="Times New Roman" w:hAnsi="Times New Roman" w:cs="Times New Roman"/>
          <w:kern w:val="0"/>
          <w:sz w:val="24"/>
          <w:szCs w:val="24"/>
          <w:lang w:eastAsia="en-IN"/>
          <w14:ligatures w14:val="none"/>
        </w:rPr>
        <w:t xml:space="preserve"> using secondary data collected from Reserve Bank of India and </w:t>
      </w:r>
      <w:r w:rsidR="008F5594" w:rsidRPr="000531AD">
        <w:rPr>
          <w:rFonts w:ascii="Times New Roman" w:eastAsia="Times New Roman" w:hAnsi="Times New Roman" w:cs="Times New Roman"/>
          <w:kern w:val="0"/>
          <w:sz w:val="24"/>
          <w:szCs w:val="24"/>
          <w:lang w:eastAsia="en-IN"/>
          <w14:ligatures w14:val="none"/>
        </w:rPr>
        <w:t>All-India Survey on Higher Education</w:t>
      </w:r>
      <w:r w:rsidRPr="00A74B6F">
        <w:rPr>
          <w:rFonts w:ascii="Times New Roman" w:eastAsia="Times New Roman" w:hAnsi="Times New Roman" w:cs="Times New Roman"/>
          <w:kern w:val="0"/>
          <w:sz w:val="24"/>
          <w:szCs w:val="24"/>
          <w:lang w:eastAsia="en-IN"/>
          <w14:ligatures w14:val="none"/>
        </w:rPr>
        <w:t xml:space="preserve">. </w:t>
      </w:r>
      <w:r w:rsidR="008F5594">
        <w:rPr>
          <w:rFonts w:ascii="Times New Roman" w:eastAsia="Times New Roman" w:hAnsi="Times New Roman" w:cs="Times New Roman"/>
          <w:kern w:val="0"/>
          <w:sz w:val="24"/>
          <w:szCs w:val="24"/>
          <w:lang w:eastAsia="en-IN"/>
          <w14:ligatures w14:val="none"/>
        </w:rPr>
        <w:t xml:space="preserve">Further, </w:t>
      </w:r>
      <w:r w:rsidRPr="00A74B6F">
        <w:rPr>
          <w:rFonts w:ascii="Times New Roman" w:eastAsia="Times New Roman" w:hAnsi="Times New Roman" w:cs="Times New Roman"/>
          <w:kern w:val="0"/>
          <w:sz w:val="24"/>
          <w:szCs w:val="24"/>
          <w:lang w:eastAsia="en-IN"/>
          <w14:ligatures w14:val="none"/>
        </w:rPr>
        <w:t>pooled O</w:t>
      </w:r>
      <w:r w:rsidR="008F5594">
        <w:rPr>
          <w:rFonts w:ascii="Times New Roman" w:eastAsia="Times New Roman" w:hAnsi="Times New Roman" w:cs="Times New Roman"/>
          <w:kern w:val="0"/>
          <w:sz w:val="24"/>
          <w:szCs w:val="24"/>
          <w:lang w:eastAsia="en-IN"/>
          <w14:ligatures w14:val="none"/>
        </w:rPr>
        <w:t xml:space="preserve">rdinary </w:t>
      </w:r>
      <w:r w:rsidRPr="00A74B6F">
        <w:rPr>
          <w:rFonts w:ascii="Times New Roman" w:eastAsia="Times New Roman" w:hAnsi="Times New Roman" w:cs="Times New Roman"/>
          <w:kern w:val="0"/>
          <w:sz w:val="24"/>
          <w:szCs w:val="24"/>
          <w:lang w:eastAsia="en-IN"/>
          <w14:ligatures w14:val="none"/>
        </w:rPr>
        <w:t>L</w:t>
      </w:r>
      <w:r w:rsidR="008F5594">
        <w:rPr>
          <w:rFonts w:ascii="Times New Roman" w:eastAsia="Times New Roman" w:hAnsi="Times New Roman" w:cs="Times New Roman"/>
          <w:kern w:val="0"/>
          <w:sz w:val="24"/>
          <w:szCs w:val="24"/>
          <w:lang w:eastAsia="en-IN"/>
          <w14:ligatures w14:val="none"/>
        </w:rPr>
        <w:t xml:space="preserve">east </w:t>
      </w:r>
      <w:r w:rsidRPr="00A74B6F">
        <w:rPr>
          <w:rFonts w:ascii="Times New Roman" w:eastAsia="Times New Roman" w:hAnsi="Times New Roman" w:cs="Times New Roman"/>
          <w:kern w:val="0"/>
          <w:sz w:val="24"/>
          <w:szCs w:val="24"/>
          <w:lang w:eastAsia="en-IN"/>
          <w14:ligatures w14:val="none"/>
        </w:rPr>
        <w:t>S</w:t>
      </w:r>
      <w:r w:rsidR="008F5594">
        <w:rPr>
          <w:rFonts w:ascii="Times New Roman" w:eastAsia="Times New Roman" w:hAnsi="Times New Roman" w:cs="Times New Roman"/>
          <w:kern w:val="0"/>
          <w:sz w:val="24"/>
          <w:szCs w:val="24"/>
          <w:lang w:eastAsia="en-IN"/>
          <w14:ligatures w14:val="none"/>
        </w:rPr>
        <w:t>quare</w:t>
      </w:r>
      <w:r w:rsidRPr="00A74B6F">
        <w:rPr>
          <w:rFonts w:ascii="Times New Roman" w:eastAsia="Times New Roman" w:hAnsi="Times New Roman" w:cs="Times New Roman"/>
          <w:kern w:val="0"/>
          <w:sz w:val="24"/>
          <w:szCs w:val="24"/>
          <w:lang w:eastAsia="en-IN"/>
          <w14:ligatures w14:val="none"/>
        </w:rPr>
        <w:t xml:space="preserve"> regression model </w:t>
      </w:r>
      <w:r w:rsidR="008F5594">
        <w:rPr>
          <w:rFonts w:ascii="Times New Roman" w:eastAsia="Times New Roman" w:hAnsi="Times New Roman" w:cs="Times New Roman"/>
          <w:kern w:val="0"/>
          <w:sz w:val="24"/>
          <w:szCs w:val="24"/>
          <w:lang w:eastAsia="en-IN"/>
          <w14:ligatures w14:val="none"/>
        </w:rPr>
        <w:t xml:space="preserve">was applied to identify determinants of inter-state disparities in educational credit. </w:t>
      </w:r>
      <w:r w:rsidR="00082B6C" w:rsidRPr="00082B6C">
        <w:rPr>
          <w:rFonts w:ascii="Times New Roman" w:eastAsia="Times New Roman" w:hAnsi="Times New Roman" w:cs="Times New Roman"/>
          <w:kern w:val="0"/>
          <w:sz w:val="24"/>
          <w:szCs w:val="24"/>
          <w:lang w:eastAsia="en-IN"/>
          <w14:ligatures w14:val="none"/>
        </w:rPr>
        <w:t xml:space="preserve">According to the study's results, the paper recommends implementing a nationwide policy for fair and convenient distribution of educational credits to promote inclusive growth. The research establishes a clear link between the gross enrolment ratio and educational credit, suggesting that improving access to convenient credit assistance could motivate students to pursue higher education. Therefore, </w:t>
      </w:r>
      <w:r w:rsidR="00222C67">
        <w:rPr>
          <w:rFonts w:ascii="Times New Roman" w:eastAsia="Times New Roman" w:hAnsi="Times New Roman" w:cs="Times New Roman"/>
          <w:kern w:val="0"/>
          <w:sz w:val="24"/>
          <w:szCs w:val="24"/>
          <w:lang w:eastAsia="en-IN"/>
          <w14:ligatures w14:val="none"/>
        </w:rPr>
        <w:t>this study</w:t>
      </w:r>
      <w:r w:rsidR="00082B6C" w:rsidRPr="00082B6C">
        <w:rPr>
          <w:rFonts w:ascii="Times New Roman" w:eastAsia="Times New Roman" w:hAnsi="Times New Roman" w:cs="Times New Roman"/>
          <w:kern w:val="0"/>
          <w:sz w:val="24"/>
          <w:szCs w:val="24"/>
          <w:lang w:eastAsia="en-IN"/>
          <w14:ligatures w14:val="none"/>
        </w:rPr>
        <w:t xml:space="preserve"> </w:t>
      </w:r>
      <w:r w:rsidR="005228CA">
        <w:rPr>
          <w:rFonts w:ascii="Times New Roman" w:eastAsia="Times New Roman" w:hAnsi="Times New Roman" w:cs="Times New Roman"/>
          <w:kern w:val="0"/>
          <w:sz w:val="24"/>
          <w:szCs w:val="24"/>
          <w:lang w:eastAsia="en-IN"/>
          <w14:ligatures w14:val="none"/>
        </w:rPr>
        <w:t>proposes</w:t>
      </w:r>
      <w:r w:rsidR="00082B6C" w:rsidRPr="00082B6C">
        <w:rPr>
          <w:rFonts w:ascii="Times New Roman" w:eastAsia="Times New Roman" w:hAnsi="Times New Roman" w:cs="Times New Roman"/>
          <w:kern w:val="0"/>
          <w:sz w:val="24"/>
          <w:szCs w:val="24"/>
          <w:lang w:eastAsia="en-IN"/>
          <w14:ligatures w14:val="none"/>
        </w:rPr>
        <w:t xml:space="preserve"> facilitating easy access to credit specifically for educational purposes.</w:t>
      </w:r>
    </w:p>
    <w:p w14:paraId="6ACA89D7" w14:textId="3A588E98" w:rsidR="00DA1677"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 xml:space="preserve"> </w:t>
      </w:r>
    </w:p>
    <w:p w14:paraId="7716E70D" w14:textId="5BF6D44D" w:rsidR="00DA1677" w:rsidRPr="002832DB" w:rsidRDefault="006312E1" w:rsidP="000364B7">
      <w:pPr>
        <w:spacing w:line="480" w:lineRule="auto"/>
        <w:jc w:val="both"/>
        <w:rPr>
          <w:rFonts w:ascii="Times New Roman" w:hAnsi="Times New Roman" w:cs="Times New Roman"/>
          <w:sz w:val="24"/>
          <w:szCs w:val="24"/>
        </w:rPr>
      </w:pPr>
      <w:r w:rsidRPr="00382AE1">
        <w:rPr>
          <w:rFonts w:ascii="Times New Roman" w:hAnsi="Times New Roman" w:cs="Times New Roman"/>
          <w:b/>
          <w:bCs/>
          <w:sz w:val="24"/>
          <w:szCs w:val="24"/>
        </w:rPr>
        <w:t>Key</w:t>
      </w:r>
      <w:r w:rsidR="00382AE1" w:rsidRPr="00382AE1">
        <w:rPr>
          <w:rFonts w:ascii="Times New Roman" w:hAnsi="Times New Roman" w:cs="Times New Roman"/>
          <w:b/>
          <w:bCs/>
          <w:sz w:val="24"/>
          <w:szCs w:val="24"/>
        </w:rPr>
        <w:t>w</w:t>
      </w:r>
      <w:r w:rsidRPr="00382AE1">
        <w:rPr>
          <w:rFonts w:ascii="Times New Roman" w:hAnsi="Times New Roman" w:cs="Times New Roman"/>
          <w:b/>
          <w:bCs/>
          <w:sz w:val="24"/>
          <w:szCs w:val="24"/>
        </w:rPr>
        <w:t>ords</w:t>
      </w:r>
      <w:r w:rsidR="007F60D6">
        <w:rPr>
          <w:rFonts w:ascii="Times New Roman" w:hAnsi="Times New Roman" w:cs="Times New Roman"/>
          <w:b/>
          <w:bCs/>
          <w:sz w:val="24"/>
          <w:szCs w:val="24"/>
        </w:rPr>
        <w:t>-</w:t>
      </w:r>
      <w:r w:rsidR="00E23059">
        <w:rPr>
          <w:rFonts w:ascii="Times New Roman" w:hAnsi="Times New Roman" w:cs="Times New Roman"/>
          <w:b/>
          <w:bCs/>
          <w:sz w:val="24"/>
          <w:szCs w:val="24"/>
        </w:rPr>
        <w:t xml:space="preserve"> </w:t>
      </w:r>
      <w:r w:rsidR="00EB428D" w:rsidRPr="002832DB">
        <w:rPr>
          <w:rFonts w:ascii="Times New Roman" w:hAnsi="Times New Roman" w:cs="Times New Roman"/>
          <w:sz w:val="24"/>
          <w:szCs w:val="24"/>
        </w:rPr>
        <w:t>Bank Branch</w:t>
      </w:r>
      <w:r w:rsidR="00EB428D">
        <w:rPr>
          <w:rFonts w:ascii="Times New Roman" w:hAnsi="Times New Roman" w:cs="Times New Roman"/>
          <w:sz w:val="24"/>
          <w:szCs w:val="24"/>
        </w:rPr>
        <w:t>,</w:t>
      </w:r>
      <w:r w:rsidR="00EB428D" w:rsidRPr="002832DB">
        <w:rPr>
          <w:rFonts w:ascii="Times New Roman" w:hAnsi="Times New Roman" w:cs="Times New Roman"/>
          <w:sz w:val="24"/>
          <w:szCs w:val="24"/>
        </w:rPr>
        <w:t xml:space="preserve"> </w:t>
      </w:r>
      <w:r w:rsidRPr="002832DB">
        <w:rPr>
          <w:rFonts w:ascii="Times New Roman" w:hAnsi="Times New Roman" w:cs="Times New Roman"/>
          <w:sz w:val="24"/>
          <w:szCs w:val="24"/>
        </w:rPr>
        <w:t xml:space="preserve">Education Credit, </w:t>
      </w:r>
      <w:r w:rsidR="00EB428D" w:rsidRPr="00EB428D">
        <w:rPr>
          <w:rFonts w:ascii="Times New Roman" w:hAnsi="Times New Roman" w:cs="Times New Roman"/>
          <w:sz w:val="24"/>
          <w:szCs w:val="24"/>
        </w:rPr>
        <w:t>Educational</w:t>
      </w:r>
      <w:r w:rsidR="00EB428D">
        <w:rPr>
          <w:rFonts w:ascii="Times New Roman" w:hAnsi="Times New Roman" w:cs="Times New Roman"/>
          <w:sz w:val="24"/>
          <w:szCs w:val="24"/>
        </w:rPr>
        <w:t>,</w:t>
      </w:r>
      <w:r w:rsidR="00EB428D" w:rsidRPr="00EB428D">
        <w:rPr>
          <w:rFonts w:ascii="Times New Roman" w:hAnsi="Times New Roman" w:cs="Times New Roman"/>
          <w:sz w:val="24"/>
          <w:szCs w:val="24"/>
        </w:rPr>
        <w:t xml:space="preserve"> </w:t>
      </w:r>
      <w:r w:rsidRPr="002832DB">
        <w:rPr>
          <w:rFonts w:ascii="Times New Roman" w:hAnsi="Times New Roman" w:cs="Times New Roman"/>
          <w:sz w:val="24"/>
          <w:szCs w:val="24"/>
        </w:rPr>
        <w:t xml:space="preserve">Disparity, Ginni Coefficient, GSDP, </w:t>
      </w:r>
      <w:r w:rsidR="004A1790" w:rsidRPr="002832DB">
        <w:rPr>
          <w:rFonts w:ascii="Times New Roman" w:hAnsi="Times New Roman" w:cs="Times New Roman"/>
          <w:sz w:val="24"/>
          <w:szCs w:val="24"/>
        </w:rPr>
        <w:t>G</w:t>
      </w:r>
      <w:r w:rsidR="007E3BC8">
        <w:rPr>
          <w:rFonts w:ascii="Times New Roman" w:hAnsi="Times New Roman" w:cs="Times New Roman"/>
          <w:sz w:val="24"/>
          <w:szCs w:val="24"/>
        </w:rPr>
        <w:t xml:space="preserve">ross </w:t>
      </w:r>
      <w:r w:rsidR="004A1790" w:rsidRPr="002832DB">
        <w:rPr>
          <w:rFonts w:ascii="Times New Roman" w:hAnsi="Times New Roman" w:cs="Times New Roman"/>
          <w:sz w:val="24"/>
          <w:szCs w:val="24"/>
        </w:rPr>
        <w:t>E</w:t>
      </w:r>
      <w:r w:rsidR="007E3BC8">
        <w:rPr>
          <w:rFonts w:ascii="Times New Roman" w:hAnsi="Times New Roman" w:cs="Times New Roman"/>
          <w:sz w:val="24"/>
          <w:szCs w:val="24"/>
        </w:rPr>
        <w:t xml:space="preserve">nrolment </w:t>
      </w:r>
      <w:r w:rsidR="004A1790" w:rsidRPr="002832DB">
        <w:rPr>
          <w:rFonts w:ascii="Times New Roman" w:hAnsi="Times New Roman" w:cs="Times New Roman"/>
          <w:sz w:val="24"/>
          <w:szCs w:val="24"/>
        </w:rPr>
        <w:t>R</w:t>
      </w:r>
      <w:r w:rsidR="007E3BC8">
        <w:rPr>
          <w:rFonts w:ascii="Times New Roman" w:hAnsi="Times New Roman" w:cs="Times New Roman"/>
          <w:sz w:val="24"/>
          <w:szCs w:val="24"/>
        </w:rPr>
        <w:t>atio (GER)</w:t>
      </w:r>
    </w:p>
    <w:p w14:paraId="44AAD7EE" w14:textId="77777777" w:rsidR="00DA1677" w:rsidRPr="002832DB" w:rsidRDefault="00DA1677" w:rsidP="000364B7">
      <w:pPr>
        <w:spacing w:line="480" w:lineRule="auto"/>
        <w:jc w:val="both"/>
        <w:rPr>
          <w:rFonts w:ascii="Times New Roman" w:hAnsi="Times New Roman" w:cs="Times New Roman"/>
          <w:sz w:val="24"/>
          <w:szCs w:val="24"/>
        </w:rPr>
      </w:pPr>
    </w:p>
    <w:p w14:paraId="22BE2AD6" w14:textId="07BC8EC6" w:rsidR="002832DB" w:rsidRPr="002832DB" w:rsidRDefault="002832DB" w:rsidP="000364B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2832DB">
        <w:rPr>
          <w:rFonts w:ascii="Times New Roman" w:hAnsi="Times New Roman" w:cs="Times New Roman"/>
          <w:b/>
          <w:bCs/>
          <w:sz w:val="28"/>
          <w:szCs w:val="28"/>
        </w:rPr>
        <w:t>Introduction</w:t>
      </w:r>
    </w:p>
    <w:p w14:paraId="771CF316" w14:textId="09C172B9" w:rsidR="00D43341" w:rsidRDefault="008A358F"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8A358F">
        <w:rPr>
          <w:rFonts w:ascii="Times New Roman" w:eastAsia="Times New Roman" w:hAnsi="Times New Roman" w:cs="Times New Roman"/>
          <w:kern w:val="0"/>
          <w:sz w:val="24"/>
          <w:szCs w:val="24"/>
          <w:lang w:eastAsia="en-IN"/>
          <w14:ligatures w14:val="none"/>
        </w:rPr>
        <w:t>Higher education is essential for the personal, social, and economic growth of individuals and economies</w:t>
      </w:r>
      <w:r w:rsidR="00E57751">
        <w:rPr>
          <w:rFonts w:ascii="Times New Roman" w:eastAsia="Times New Roman" w:hAnsi="Times New Roman" w:cs="Times New Roman"/>
          <w:kern w:val="0"/>
          <w:sz w:val="24"/>
          <w:szCs w:val="24"/>
          <w:lang w:eastAsia="en-IN"/>
          <w14:ligatures w14:val="none"/>
        </w:rPr>
        <w:t xml:space="preserve"> (Hanushek, 2016)</w:t>
      </w:r>
      <w:r w:rsidR="00445D0A">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t>This fosters a workforce that is highly talented, technologically inclined, and well-educated. Several economists have asserted that the generation of knowledge through innovation is a fundamental catalyst for economic expansion</w:t>
      </w:r>
      <w:r w:rsidR="008F5594">
        <w:rPr>
          <w:rFonts w:ascii="Times New Roman" w:eastAsia="Times New Roman" w:hAnsi="Times New Roman" w:cs="Times New Roman"/>
          <w:kern w:val="0"/>
          <w:sz w:val="24"/>
          <w:szCs w:val="24"/>
          <w:lang w:eastAsia="en-IN"/>
          <w14:ligatures w14:val="none"/>
        </w:rPr>
        <w:t xml:space="preserve"> (Manimala, 2008; Kruss et al., 2015)</w:t>
      </w:r>
      <w:r w:rsidRPr="008A358F">
        <w:rPr>
          <w:rFonts w:ascii="Times New Roman" w:eastAsia="Times New Roman" w:hAnsi="Times New Roman" w:cs="Times New Roman"/>
          <w:kern w:val="0"/>
          <w:sz w:val="24"/>
          <w:szCs w:val="24"/>
          <w:lang w:eastAsia="en-IN"/>
          <w14:ligatures w14:val="none"/>
        </w:rPr>
        <w:t xml:space="preserve"> </w:t>
      </w:r>
      <w:r w:rsidR="00E57751">
        <w:rPr>
          <w:rFonts w:ascii="Times New Roman" w:eastAsia="Times New Roman" w:hAnsi="Times New Roman" w:cs="Times New Roman"/>
          <w:kern w:val="0"/>
          <w:sz w:val="24"/>
          <w:szCs w:val="24"/>
          <w:lang w:eastAsia="en-IN"/>
          <w14:ligatures w14:val="none"/>
        </w:rPr>
        <w:t>f</w:t>
      </w:r>
      <w:r w:rsidR="008F5594">
        <w:rPr>
          <w:rFonts w:ascii="Times New Roman" w:eastAsia="Times New Roman" w:hAnsi="Times New Roman" w:cs="Times New Roman"/>
          <w:kern w:val="0"/>
          <w:sz w:val="24"/>
          <w:szCs w:val="24"/>
          <w:lang w:eastAsia="en-IN"/>
          <w14:ligatures w14:val="none"/>
        </w:rPr>
        <w:t xml:space="preserve">or example, </w:t>
      </w:r>
      <w:r w:rsidRPr="008A358F">
        <w:rPr>
          <w:rFonts w:ascii="Times New Roman" w:eastAsia="Times New Roman" w:hAnsi="Times New Roman" w:cs="Times New Roman"/>
          <w:kern w:val="0"/>
          <w:sz w:val="24"/>
          <w:szCs w:val="24"/>
          <w:lang w:eastAsia="en-IN"/>
          <w14:ligatures w14:val="none"/>
        </w:rPr>
        <w:t>Manimala (2008)</w:t>
      </w:r>
      <w:r w:rsidR="00287FDA">
        <w:rPr>
          <w:rFonts w:ascii="Times New Roman" w:eastAsia="Times New Roman" w:hAnsi="Times New Roman" w:cs="Times New Roman"/>
          <w:kern w:val="0"/>
          <w:sz w:val="24"/>
          <w:szCs w:val="24"/>
          <w:lang w:eastAsia="en-IN"/>
          <w14:ligatures w14:val="none"/>
        </w:rPr>
        <w:t xml:space="preserve"> highlights the need of investment in education sector to </w:t>
      </w:r>
      <w:r w:rsidRPr="008A358F">
        <w:rPr>
          <w:rFonts w:ascii="Times New Roman" w:eastAsia="Times New Roman" w:hAnsi="Times New Roman" w:cs="Times New Roman"/>
          <w:kern w:val="0"/>
          <w:sz w:val="24"/>
          <w:szCs w:val="24"/>
          <w:lang w:eastAsia="en-IN"/>
          <w14:ligatures w14:val="none"/>
        </w:rPr>
        <w:t xml:space="preserve">fostering entrepreneurship. Education in India has been given high priority as a crucial tool for national progress. </w:t>
      </w:r>
      <w:r w:rsidR="00287FDA">
        <w:rPr>
          <w:rFonts w:ascii="Times New Roman" w:eastAsia="Times New Roman" w:hAnsi="Times New Roman" w:cs="Times New Roman"/>
          <w:kern w:val="0"/>
          <w:sz w:val="24"/>
          <w:szCs w:val="24"/>
          <w:lang w:eastAsia="en-IN"/>
          <w14:ligatures w14:val="none"/>
        </w:rPr>
        <w:t xml:space="preserve">In India both Central and State government </w:t>
      </w:r>
      <w:r w:rsidR="00287FDA" w:rsidRPr="008A358F">
        <w:rPr>
          <w:rFonts w:ascii="Times New Roman" w:eastAsia="Times New Roman" w:hAnsi="Times New Roman" w:cs="Times New Roman"/>
          <w:kern w:val="0"/>
          <w:sz w:val="24"/>
          <w:szCs w:val="24"/>
          <w:lang w:eastAsia="en-IN"/>
          <w14:ligatures w14:val="none"/>
        </w:rPr>
        <w:t>ha</w:t>
      </w:r>
      <w:r w:rsidR="00287FDA">
        <w:rPr>
          <w:rFonts w:ascii="Times New Roman" w:eastAsia="Times New Roman" w:hAnsi="Times New Roman" w:cs="Times New Roman"/>
          <w:kern w:val="0"/>
          <w:sz w:val="24"/>
          <w:szCs w:val="24"/>
          <w:lang w:eastAsia="en-IN"/>
          <w14:ligatures w14:val="none"/>
        </w:rPr>
        <w:t>ve</w:t>
      </w:r>
      <w:r w:rsidR="00287FDA" w:rsidRPr="008A358F">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t xml:space="preserve">prioritized the development of educational infrastructure with the aim of enhancing inclusivity in education. Nevertheless, the process of liberalization has brought about transformations in other industries, including the field of education. Private entities played a substantial role. The attention on vocational and professional education has led to an increase in the expense of education. The government has implemented a range of programs and initiatives to bolster education, including scholarships, grants, and loans. Priority-sector lending (PLS) includes educational credit as a crucial element. Priority Sector Lending is a policy implemented by the Reserve Bank of India (RBI) to guarantee that a specific portion of bank loans is allocated to specific sectors that are essential for the socio-economic progress of the country, including agriculture, MSMEs, education, social infrastructure, and housing. Financial institutions are required to set aside a portion of their overall lending for educational loans. These loans are specifically provided to persons for the purpose of formal and vocational education, with a maximum limit of Rs. </w:t>
      </w:r>
      <w:r w:rsidR="00CF64B1">
        <w:rPr>
          <w:rFonts w:ascii="Times New Roman" w:eastAsia="Times New Roman" w:hAnsi="Times New Roman" w:cs="Times New Roman"/>
          <w:kern w:val="0"/>
          <w:sz w:val="24"/>
          <w:szCs w:val="24"/>
          <w:lang w:eastAsia="en-IN"/>
          <w14:ligatures w14:val="none"/>
        </w:rPr>
        <w:t>1</w:t>
      </w:r>
      <w:r w:rsidRPr="008A358F">
        <w:rPr>
          <w:rFonts w:ascii="Times New Roman" w:eastAsia="Times New Roman" w:hAnsi="Times New Roman" w:cs="Times New Roman"/>
          <w:kern w:val="0"/>
          <w:sz w:val="24"/>
          <w:szCs w:val="24"/>
          <w:lang w:eastAsia="en-IN"/>
          <w14:ligatures w14:val="none"/>
        </w:rPr>
        <w:t xml:space="preserve">0 </w:t>
      </w:r>
      <w:proofErr w:type="gramStart"/>
      <w:r w:rsidRPr="008A358F">
        <w:rPr>
          <w:rFonts w:ascii="Times New Roman" w:eastAsia="Times New Roman" w:hAnsi="Times New Roman" w:cs="Times New Roman"/>
          <w:kern w:val="0"/>
          <w:sz w:val="24"/>
          <w:szCs w:val="24"/>
          <w:lang w:eastAsia="en-IN"/>
          <w14:ligatures w14:val="none"/>
        </w:rPr>
        <w:t>lakh</w:t>
      </w:r>
      <w:proofErr w:type="gramEnd"/>
      <w:r w:rsidR="00FE154C">
        <w:rPr>
          <w:rFonts w:ascii="Times New Roman" w:eastAsia="Times New Roman" w:hAnsi="Times New Roman" w:cs="Times New Roman"/>
          <w:kern w:val="0"/>
          <w:sz w:val="24"/>
          <w:szCs w:val="24"/>
          <w:lang w:eastAsia="en-IN"/>
          <w14:ligatures w14:val="none"/>
        </w:rPr>
        <w:t xml:space="preserve"> </w:t>
      </w:r>
      <w:r w:rsidR="00CF64B1">
        <w:rPr>
          <w:rFonts w:ascii="Times New Roman" w:eastAsia="Times New Roman" w:hAnsi="Times New Roman" w:cs="Times New Roman"/>
          <w:kern w:val="0"/>
          <w:sz w:val="24"/>
          <w:szCs w:val="24"/>
          <w:lang w:eastAsia="en-IN"/>
          <w14:ligatures w14:val="none"/>
        </w:rPr>
        <w:t>for studying in India and Rs 20 lakh for studying in international countries (Reserve Bank of India</w:t>
      </w:r>
      <w:r w:rsidR="00FE154C">
        <w:rPr>
          <w:rFonts w:ascii="Times New Roman" w:eastAsia="Times New Roman" w:hAnsi="Times New Roman" w:cs="Times New Roman"/>
          <w:kern w:val="0"/>
          <w:sz w:val="24"/>
          <w:szCs w:val="24"/>
          <w:lang w:eastAsia="en-IN"/>
          <w14:ligatures w14:val="none"/>
        </w:rPr>
        <w:t>)</w:t>
      </w:r>
      <w:r w:rsidRPr="008A358F">
        <w:rPr>
          <w:rFonts w:ascii="Times New Roman" w:eastAsia="Times New Roman" w:hAnsi="Times New Roman" w:cs="Times New Roman"/>
          <w:kern w:val="0"/>
          <w:sz w:val="24"/>
          <w:szCs w:val="24"/>
          <w:lang w:eastAsia="en-IN"/>
          <w14:ligatures w14:val="none"/>
        </w:rPr>
        <w:t xml:space="preserve">. Ensuring a fair allocation of credit among different regions and social groups is crucial for attaining comprehensive economic expansion. Research shows a significant variation in the allocation of educational loans among different Indian states and </w:t>
      </w:r>
      <w:r w:rsidRPr="008A358F">
        <w:rPr>
          <w:rFonts w:ascii="Times New Roman" w:eastAsia="Times New Roman" w:hAnsi="Times New Roman" w:cs="Times New Roman"/>
          <w:kern w:val="0"/>
          <w:sz w:val="24"/>
          <w:szCs w:val="24"/>
          <w:lang w:eastAsia="en-IN"/>
          <w14:ligatures w14:val="none"/>
        </w:rPr>
        <w:lastRenderedPageBreak/>
        <w:t>union territories</w:t>
      </w:r>
      <w:r w:rsidR="00F379D8">
        <w:rPr>
          <w:rFonts w:ascii="Times New Roman" w:eastAsia="Times New Roman" w:hAnsi="Times New Roman" w:cs="Times New Roman"/>
          <w:kern w:val="0"/>
          <w:sz w:val="24"/>
          <w:szCs w:val="24"/>
          <w:lang w:eastAsia="en-IN"/>
          <w14:ligatures w14:val="none"/>
        </w:rPr>
        <w:t xml:space="preserve"> (Kumari and Chalil, 2023)</w:t>
      </w:r>
      <w:r w:rsidRPr="008A358F">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br/>
      </w:r>
      <w:r w:rsidRPr="008A358F">
        <w:rPr>
          <w:rFonts w:ascii="Times New Roman" w:eastAsia="Times New Roman" w:hAnsi="Times New Roman" w:cs="Times New Roman"/>
          <w:kern w:val="0"/>
          <w:sz w:val="24"/>
          <w:szCs w:val="24"/>
          <w:lang w:eastAsia="en-IN"/>
          <w14:ligatures w14:val="none"/>
        </w:rPr>
        <w:br/>
        <w:t xml:space="preserve">Spending on education is commonly seen as a financial commitment that results in the development of human capital (Khan, 2015). Nevertheless, this topic has been scrutiny in numerous studies that uncover an intricate terrain. </w:t>
      </w:r>
      <w:proofErr w:type="spellStart"/>
      <w:r w:rsidRPr="008A358F">
        <w:rPr>
          <w:rFonts w:ascii="Times New Roman" w:eastAsia="Times New Roman" w:hAnsi="Times New Roman" w:cs="Times New Roman"/>
          <w:kern w:val="0"/>
          <w:sz w:val="24"/>
          <w:szCs w:val="24"/>
          <w:lang w:eastAsia="en-IN"/>
          <w14:ligatures w14:val="none"/>
        </w:rPr>
        <w:t>Chevaillier</w:t>
      </w:r>
      <w:proofErr w:type="spellEnd"/>
      <w:r w:rsidRPr="008A358F">
        <w:rPr>
          <w:rFonts w:ascii="Times New Roman" w:eastAsia="Times New Roman" w:hAnsi="Times New Roman" w:cs="Times New Roman"/>
          <w:kern w:val="0"/>
          <w:sz w:val="24"/>
          <w:szCs w:val="24"/>
          <w:lang w:eastAsia="en-IN"/>
          <w14:ligatures w14:val="none"/>
        </w:rPr>
        <w:t xml:space="preserve"> and Eicher (2002) propose a combination of funding sources for higher education, where students assume a larger portion of the expenses. Delaney and Doyle (2018) expanded on the volatility in state funding for higher education and proposed that relying on state support for higher education could result in a negative impact on the budget. In contrast to the belief challenged by Ziberi and </w:t>
      </w:r>
      <w:proofErr w:type="spellStart"/>
      <w:r w:rsidRPr="008A358F">
        <w:rPr>
          <w:rFonts w:ascii="Times New Roman" w:eastAsia="Times New Roman" w:hAnsi="Times New Roman" w:cs="Times New Roman"/>
          <w:kern w:val="0"/>
          <w:sz w:val="24"/>
          <w:szCs w:val="24"/>
          <w:lang w:eastAsia="en-IN"/>
          <w14:ligatures w14:val="none"/>
        </w:rPr>
        <w:t>Hodaj</w:t>
      </w:r>
      <w:proofErr w:type="spellEnd"/>
      <w:r w:rsidRPr="008A358F">
        <w:rPr>
          <w:rFonts w:ascii="Times New Roman" w:eastAsia="Times New Roman" w:hAnsi="Times New Roman" w:cs="Times New Roman"/>
          <w:kern w:val="0"/>
          <w:sz w:val="24"/>
          <w:szCs w:val="24"/>
          <w:lang w:eastAsia="en-IN"/>
          <w14:ligatures w14:val="none"/>
        </w:rPr>
        <w:t xml:space="preserve"> (2020) in Kosovo, their research demonstrates a positive relationship between public expenditure on higher education and economic growth, highlighting the significance of this sector. </w:t>
      </w:r>
      <w:r w:rsidR="001C7D41">
        <w:rPr>
          <w:rFonts w:ascii="Times New Roman" w:eastAsia="Times New Roman" w:hAnsi="Times New Roman" w:cs="Times New Roman"/>
          <w:kern w:val="0"/>
          <w:sz w:val="24"/>
          <w:szCs w:val="24"/>
          <w:lang w:eastAsia="en-IN"/>
          <w14:ligatures w14:val="none"/>
        </w:rPr>
        <w:t xml:space="preserve">Bhandary et al. (2024) found that educational loan repayment is </w:t>
      </w:r>
      <w:r w:rsidR="007073FA">
        <w:rPr>
          <w:rFonts w:ascii="Times New Roman" w:eastAsia="Times New Roman" w:hAnsi="Times New Roman" w:cs="Times New Roman"/>
          <w:kern w:val="0"/>
          <w:sz w:val="24"/>
          <w:szCs w:val="24"/>
          <w:lang w:eastAsia="en-IN"/>
          <w14:ligatures w14:val="none"/>
        </w:rPr>
        <w:t>affected</w:t>
      </w:r>
      <w:r w:rsidR="001C7D41">
        <w:rPr>
          <w:rFonts w:ascii="Times New Roman" w:eastAsia="Times New Roman" w:hAnsi="Times New Roman" w:cs="Times New Roman"/>
          <w:kern w:val="0"/>
          <w:sz w:val="24"/>
          <w:szCs w:val="24"/>
          <w:lang w:eastAsia="en-IN"/>
          <w14:ligatures w14:val="none"/>
        </w:rPr>
        <w:t xml:space="preserve"> by interest rate, type of loan, loan amount, repayment period, and financial condition of </w:t>
      </w:r>
      <w:r w:rsidR="007073FA">
        <w:rPr>
          <w:rFonts w:ascii="Times New Roman" w:eastAsia="Times New Roman" w:hAnsi="Times New Roman" w:cs="Times New Roman"/>
          <w:kern w:val="0"/>
          <w:sz w:val="24"/>
          <w:szCs w:val="24"/>
          <w:lang w:eastAsia="en-IN"/>
          <w14:ligatures w14:val="none"/>
        </w:rPr>
        <w:t xml:space="preserve">the </w:t>
      </w:r>
      <w:r w:rsidR="001C7D41">
        <w:rPr>
          <w:rFonts w:ascii="Times New Roman" w:eastAsia="Times New Roman" w:hAnsi="Times New Roman" w:cs="Times New Roman"/>
          <w:kern w:val="0"/>
          <w:sz w:val="24"/>
          <w:szCs w:val="24"/>
          <w:lang w:eastAsia="en-IN"/>
          <w14:ligatures w14:val="none"/>
        </w:rPr>
        <w:t xml:space="preserve">borrower. </w:t>
      </w:r>
      <w:r w:rsidRPr="008A358F">
        <w:rPr>
          <w:rFonts w:ascii="Times New Roman" w:eastAsia="Times New Roman" w:hAnsi="Times New Roman" w:cs="Times New Roman"/>
          <w:kern w:val="0"/>
          <w:sz w:val="24"/>
          <w:szCs w:val="24"/>
          <w:lang w:eastAsia="en-IN"/>
          <w14:ligatures w14:val="none"/>
        </w:rPr>
        <w:t xml:space="preserve">Providing financial assistance for higher education has a notably beneficial effect on students' ability to access higher education. The implementation of the state-guaranteed credit program resulted in a higher likelihood of enrolling in tertiary education and a lower likelihood of discontinuing study, as demonstrated by Rojas and Urzua in 2013. Research conducted by Tumen and </w:t>
      </w:r>
      <w:proofErr w:type="spellStart"/>
      <w:r w:rsidRPr="008A358F">
        <w:rPr>
          <w:rFonts w:ascii="Times New Roman" w:eastAsia="Times New Roman" w:hAnsi="Times New Roman" w:cs="Times New Roman"/>
          <w:kern w:val="0"/>
          <w:sz w:val="24"/>
          <w:szCs w:val="24"/>
          <w:lang w:eastAsia="en-IN"/>
          <w14:ligatures w14:val="none"/>
        </w:rPr>
        <w:t>Shulruf</w:t>
      </w:r>
      <w:proofErr w:type="spellEnd"/>
      <w:r w:rsidRPr="008A358F">
        <w:rPr>
          <w:rFonts w:ascii="Times New Roman" w:eastAsia="Times New Roman" w:hAnsi="Times New Roman" w:cs="Times New Roman"/>
          <w:kern w:val="0"/>
          <w:sz w:val="24"/>
          <w:szCs w:val="24"/>
          <w:lang w:eastAsia="en-IN"/>
          <w14:ligatures w14:val="none"/>
        </w:rPr>
        <w:t xml:space="preserve"> in 2008 has shown that the presence of college loan debt does not deter students from taking on further loans to finance their higher education. According to Kim (2007), students from lower income backgrounds are less likely to complete their degree program if they have a higher amount of student loan debt in their first year. Inequity in the allocation of loans may result in an asymmetry in the progress of areas and communities within a nation. Research in India reveals a substantial discrepancy in the allocation of educational credit across different states. According to Kumari (2023), South Indian states have been granted </w:t>
      </w:r>
      <w:r w:rsidR="00D43341">
        <w:rPr>
          <w:rFonts w:ascii="Times New Roman" w:eastAsia="Times New Roman" w:hAnsi="Times New Roman" w:cs="Times New Roman"/>
          <w:kern w:val="0"/>
          <w:sz w:val="24"/>
          <w:szCs w:val="24"/>
          <w:lang w:eastAsia="en-IN"/>
          <w14:ligatures w14:val="none"/>
        </w:rPr>
        <w:t>higher</w:t>
      </w:r>
      <w:r w:rsidR="00D43341" w:rsidRPr="008A358F">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t xml:space="preserve">credit compared to states like Uttar Pradesh and Bihar. </w:t>
      </w:r>
      <w:r w:rsidR="00C24ED9">
        <w:rPr>
          <w:rFonts w:ascii="Times New Roman" w:eastAsia="Times New Roman" w:hAnsi="Times New Roman" w:cs="Times New Roman"/>
          <w:kern w:val="0"/>
          <w:sz w:val="24"/>
          <w:szCs w:val="24"/>
          <w:lang w:eastAsia="en-IN"/>
          <w14:ligatures w14:val="none"/>
        </w:rPr>
        <w:t xml:space="preserve">Aneesh el. at (2024) </w:t>
      </w:r>
      <w:r w:rsidR="00C24ED9">
        <w:rPr>
          <w:rFonts w:ascii="Times New Roman" w:eastAsia="Times New Roman" w:hAnsi="Times New Roman" w:cs="Times New Roman"/>
          <w:kern w:val="0"/>
          <w:sz w:val="24"/>
          <w:szCs w:val="24"/>
          <w:lang w:eastAsia="en-IN"/>
          <w14:ligatures w14:val="none"/>
        </w:rPr>
        <w:lastRenderedPageBreak/>
        <w:t xml:space="preserve">examines rural unban differences in educational inequality of major Indian states using NSSO data. The study finds that while aggregate inequality has declined, the rural-urban gap remains structurally embedded, particularly for higher education among lower socio-economic groups. </w:t>
      </w:r>
      <w:r w:rsidRPr="008A358F">
        <w:rPr>
          <w:rFonts w:ascii="Times New Roman" w:eastAsia="Times New Roman" w:hAnsi="Times New Roman" w:cs="Times New Roman"/>
          <w:kern w:val="0"/>
          <w:sz w:val="24"/>
          <w:szCs w:val="24"/>
          <w:lang w:eastAsia="en-IN"/>
          <w14:ligatures w14:val="none"/>
        </w:rPr>
        <w:t xml:space="preserve">This discrepancy is influenced by multiple reasons including state income, government expenditure on income, institutional assets, etc. (Rani, 2017). The allocation of government subsidies for education is also subject to variation among different wealth groups and degrees of education (Rani, 2014). Moreover, the allocation of credit for higher education is not distributed fairly among socially and economically disadvantaged groups, such as </w:t>
      </w:r>
      <w:r w:rsidR="00C933D0">
        <w:rPr>
          <w:rFonts w:ascii="Times New Roman" w:eastAsia="Times New Roman" w:hAnsi="Times New Roman" w:cs="Times New Roman"/>
          <w:kern w:val="0"/>
          <w:sz w:val="24"/>
          <w:szCs w:val="24"/>
          <w:lang w:eastAsia="en-IN"/>
          <w14:ligatures w14:val="none"/>
        </w:rPr>
        <w:t xml:space="preserve">Scheduled Caste and Scheduled Tribes </w:t>
      </w:r>
      <w:r w:rsidRPr="008A358F">
        <w:rPr>
          <w:rFonts w:ascii="Times New Roman" w:eastAsia="Times New Roman" w:hAnsi="Times New Roman" w:cs="Times New Roman"/>
          <w:kern w:val="0"/>
          <w:sz w:val="24"/>
          <w:szCs w:val="24"/>
          <w:lang w:eastAsia="en-IN"/>
          <w14:ligatures w14:val="none"/>
        </w:rPr>
        <w:t xml:space="preserve">and Muslims. They have more significant obstacles in obtaining financial assistance in the form of credit for pursuing higher education (Khan, 2015). </w:t>
      </w:r>
    </w:p>
    <w:p w14:paraId="5AED3B54" w14:textId="77777777" w:rsidR="00232A06" w:rsidRPr="000C399C" w:rsidRDefault="00D43341" w:rsidP="000364B7">
      <w:pPr>
        <w:spacing w:after="240" w:line="480" w:lineRule="auto"/>
        <w:jc w:val="both"/>
        <w:rPr>
          <w:rFonts w:ascii="Times New Roman" w:eastAsia="Times New Roman" w:hAnsi="Times New Roman" w:cs="Times New Roman"/>
          <w:kern w:val="0"/>
          <w:sz w:val="24"/>
          <w:szCs w:val="24"/>
          <w:u w:val="single"/>
          <w:lang w:eastAsia="en-IN"/>
          <w14:ligatures w14:val="none"/>
        </w:rPr>
      </w:pPr>
      <w:r w:rsidRPr="007C4A9C">
        <w:rPr>
          <w:rFonts w:ascii="Times New Roman" w:eastAsia="Times New Roman" w:hAnsi="Times New Roman" w:cs="Times New Roman"/>
          <w:kern w:val="0"/>
          <w:sz w:val="24"/>
          <w:szCs w:val="24"/>
          <w:lang w:eastAsia="en-IN"/>
          <w14:ligatures w14:val="none"/>
        </w:rPr>
        <w:t>With these evidence</w:t>
      </w:r>
      <w:r w:rsidR="00C933D0" w:rsidRPr="007C4A9C">
        <w:rPr>
          <w:rFonts w:ascii="Times New Roman" w:eastAsia="Times New Roman" w:hAnsi="Times New Roman" w:cs="Times New Roman"/>
          <w:kern w:val="0"/>
          <w:sz w:val="24"/>
          <w:szCs w:val="24"/>
          <w:lang w:eastAsia="en-IN"/>
          <w14:ligatures w14:val="none"/>
        </w:rPr>
        <w:t>s</w:t>
      </w:r>
      <w:r w:rsidRPr="007C4A9C">
        <w:rPr>
          <w:rFonts w:ascii="Times New Roman" w:eastAsia="Times New Roman" w:hAnsi="Times New Roman" w:cs="Times New Roman"/>
          <w:kern w:val="0"/>
          <w:sz w:val="24"/>
          <w:szCs w:val="24"/>
          <w:lang w:eastAsia="en-IN"/>
          <w14:ligatures w14:val="none"/>
        </w:rPr>
        <w:t xml:space="preserve">, </w:t>
      </w:r>
      <w:r w:rsidR="006438B3" w:rsidRPr="007C4A9C">
        <w:rPr>
          <w:rFonts w:ascii="Times New Roman" w:eastAsia="Times New Roman" w:hAnsi="Times New Roman" w:cs="Times New Roman"/>
          <w:kern w:val="0"/>
          <w:sz w:val="24"/>
          <w:szCs w:val="24"/>
          <w:lang w:eastAsia="en-IN"/>
          <w14:ligatures w14:val="none"/>
        </w:rPr>
        <w:t>there is no specific research that establishes a correlation between educational credit and either economic growth or gross domestic product. T</w:t>
      </w:r>
      <w:r w:rsidR="00C933D0" w:rsidRPr="007C4A9C">
        <w:rPr>
          <w:rFonts w:ascii="Times New Roman" w:eastAsia="Times New Roman" w:hAnsi="Times New Roman" w:cs="Times New Roman"/>
          <w:kern w:val="0"/>
          <w:sz w:val="24"/>
          <w:szCs w:val="24"/>
          <w:lang w:eastAsia="en-IN"/>
          <w14:ligatures w14:val="none"/>
        </w:rPr>
        <w:t>his study aims to quantify the discrepancy in educational loans granted to individuals as part of priority sector lending by commercial banks</w:t>
      </w:r>
      <w:r w:rsidR="00C933D0" w:rsidRPr="000C399C">
        <w:rPr>
          <w:rFonts w:ascii="Times New Roman" w:eastAsia="Times New Roman" w:hAnsi="Times New Roman" w:cs="Times New Roman"/>
          <w:kern w:val="0"/>
          <w:sz w:val="24"/>
          <w:szCs w:val="24"/>
          <w:u w:val="single"/>
          <w:lang w:eastAsia="en-IN"/>
          <w14:ligatures w14:val="none"/>
        </w:rPr>
        <w:t>.</w:t>
      </w:r>
      <w:r w:rsidR="00232A06" w:rsidRPr="000C399C">
        <w:rPr>
          <w:rFonts w:ascii="Times New Roman" w:eastAsia="Times New Roman" w:hAnsi="Times New Roman" w:cs="Times New Roman"/>
          <w:kern w:val="0"/>
          <w:sz w:val="24"/>
          <w:szCs w:val="24"/>
          <w:u w:val="single"/>
          <w:lang w:eastAsia="en-IN"/>
          <w14:ligatures w14:val="none"/>
        </w:rPr>
        <w:t xml:space="preserve"> </w:t>
      </w:r>
    </w:p>
    <w:p w14:paraId="63687C37" w14:textId="7F36D0DB" w:rsidR="004E37F3" w:rsidRPr="00737DDE" w:rsidRDefault="00F56632"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F56632">
        <w:rPr>
          <w:rFonts w:ascii="Times New Roman" w:eastAsia="Times New Roman" w:hAnsi="Times New Roman" w:cs="Times New Roman"/>
          <w:kern w:val="0"/>
          <w:sz w:val="24"/>
          <w:szCs w:val="24"/>
          <w:lang w:eastAsia="en-IN"/>
          <w14:ligatures w14:val="none"/>
        </w:rPr>
        <w:t>The remainder of the paper is divided into the following sections. In Section 2, the methodology employed in the paper is described. In Section 3, descriptive results regarding the disparity of educational credit are provided. In Section 4, the factors affecting educational credit in India are assessed.</w:t>
      </w:r>
      <w:r>
        <w:rPr>
          <w:rFonts w:ascii="Times New Roman" w:eastAsia="Times New Roman" w:hAnsi="Times New Roman" w:cs="Times New Roman"/>
          <w:kern w:val="0"/>
          <w:sz w:val="24"/>
          <w:szCs w:val="24"/>
          <w:lang w:eastAsia="en-IN"/>
          <w14:ligatures w14:val="none"/>
        </w:rPr>
        <w:t xml:space="preserve"> This section provides the result of the pooled Ordinary Least Square model. Section 5 is the discussion of the results and the last section gives conclusion and policy</w:t>
      </w:r>
      <w:r w:rsidR="00737DDE">
        <w:rPr>
          <w:rFonts w:ascii="Times New Roman" w:eastAsia="Times New Roman" w:hAnsi="Times New Roman" w:cs="Times New Roman"/>
          <w:kern w:val="0"/>
          <w:sz w:val="24"/>
          <w:szCs w:val="24"/>
          <w:lang w:eastAsia="en-IN"/>
          <w14:ligatures w14:val="none"/>
        </w:rPr>
        <w:t xml:space="preserve"> implication.</w:t>
      </w:r>
    </w:p>
    <w:p w14:paraId="4D209F20" w14:textId="7B75AB2E"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Pr="002832DB">
        <w:rPr>
          <w:rFonts w:ascii="Times New Roman" w:hAnsi="Times New Roman" w:cs="Times New Roman"/>
          <w:b/>
          <w:bCs/>
          <w:sz w:val="24"/>
          <w:szCs w:val="24"/>
        </w:rPr>
        <w:t>Methodology</w:t>
      </w:r>
      <w:r w:rsidR="001713A4" w:rsidRPr="002832DB">
        <w:rPr>
          <w:rFonts w:ascii="Times New Roman" w:hAnsi="Times New Roman" w:cs="Times New Roman"/>
          <w:b/>
          <w:bCs/>
          <w:sz w:val="24"/>
          <w:szCs w:val="24"/>
        </w:rPr>
        <w:t xml:space="preserve"> and Materials</w:t>
      </w:r>
      <w:r w:rsidRPr="002832DB">
        <w:rPr>
          <w:rFonts w:ascii="Times New Roman" w:hAnsi="Times New Roman" w:cs="Times New Roman"/>
          <w:b/>
          <w:bCs/>
          <w:sz w:val="24"/>
          <w:szCs w:val="24"/>
        </w:rPr>
        <w:t xml:space="preserve"> </w:t>
      </w:r>
    </w:p>
    <w:p w14:paraId="5075C87F" w14:textId="77777777" w:rsidR="00382AE1"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D47C0F">
        <w:rPr>
          <w:rFonts w:ascii="Times New Roman" w:hAnsi="Times New Roman" w:cs="Times New Roman"/>
          <w:b/>
          <w:bCs/>
          <w:sz w:val="24"/>
          <w:szCs w:val="24"/>
        </w:rPr>
        <w:t xml:space="preserve"> </w:t>
      </w:r>
      <w:r>
        <w:rPr>
          <w:rFonts w:ascii="Times New Roman" w:hAnsi="Times New Roman" w:cs="Times New Roman"/>
          <w:b/>
          <w:bCs/>
          <w:sz w:val="24"/>
          <w:szCs w:val="24"/>
        </w:rPr>
        <w:t>Data Sources</w:t>
      </w:r>
    </w:p>
    <w:p w14:paraId="1EBE7FE8" w14:textId="5C99534E" w:rsidR="000531AD" w:rsidRPr="000531AD" w:rsidRDefault="00C933D0" w:rsidP="000364B7">
      <w:pPr>
        <w:spacing w:after="0" w:line="48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This study uses secondary data on </w:t>
      </w:r>
      <w:r w:rsidR="000531AD" w:rsidRPr="000531AD">
        <w:rPr>
          <w:rFonts w:ascii="Times New Roman" w:eastAsia="Times New Roman" w:hAnsi="Times New Roman" w:cs="Times New Roman"/>
          <w:kern w:val="0"/>
          <w:sz w:val="24"/>
          <w:szCs w:val="24"/>
          <w:lang w:eastAsia="en-IN"/>
          <w14:ligatures w14:val="none"/>
        </w:rPr>
        <w:t xml:space="preserve">credit, bank branches, and gross domestic product data have been obtained from the Handbook of Statistics on the Indian Economy, Reserve Bank of India. The data on the quantity of educational institutions and the gross </w:t>
      </w:r>
      <w:r w:rsidRPr="000531AD">
        <w:rPr>
          <w:rFonts w:ascii="Times New Roman" w:eastAsia="Times New Roman" w:hAnsi="Times New Roman" w:cs="Times New Roman"/>
          <w:kern w:val="0"/>
          <w:sz w:val="24"/>
          <w:szCs w:val="24"/>
          <w:lang w:eastAsia="en-IN"/>
          <w14:ligatures w14:val="none"/>
        </w:rPr>
        <w:t>enrolment</w:t>
      </w:r>
      <w:r w:rsidR="000531AD" w:rsidRPr="000531AD">
        <w:rPr>
          <w:rFonts w:ascii="Times New Roman" w:eastAsia="Times New Roman" w:hAnsi="Times New Roman" w:cs="Times New Roman"/>
          <w:kern w:val="0"/>
          <w:sz w:val="24"/>
          <w:szCs w:val="24"/>
          <w:lang w:eastAsia="en-IN"/>
          <w14:ligatures w14:val="none"/>
        </w:rPr>
        <w:t xml:space="preserve"> ratio is derived from multiple editions of the All-India Survey on Higher Education report, published by the Ministry of Education, Government of India</w:t>
      </w:r>
      <w:r w:rsidR="003A7179">
        <w:rPr>
          <w:rFonts w:ascii="Times New Roman" w:eastAsia="Times New Roman" w:hAnsi="Times New Roman" w:cs="Times New Roman"/>
          <w:kern w:val="0"/>
          <w:sz w:val="24"/>
          <w:szCs w:val="24"/>
          <w:lang w:eastAsia="en-IN"/>
          <w14:ligatures w14:val="none"/>
        </w:rPr>
        <w:t xml:space="preserve"> from 2016-21.</w:t>
      </w:r>
      <w:r w:rsidR="00D75CF5">
        <w:rPr>
          <w:rFonts w:ascii="Times New Roman" w:eastAsia="Times New Roman" w:hAnsi="Times New Roman" w:cs="Times New Roman"/>
          <w:kern w:val="0"/>
          <w:sz w:val="24"/>
          <w:szCs w:val="24"/>
          <w:lang w:eastAsia="en-IN"/>
          <w14:ligatures w14:val="none"/>
        </w:rPr>
        <w:t xml:space="preserve"> Number of educational </w:t>
      </w:r>
      <w:r w:rsidR="00E51589">
        <w:rPr>
          <w:rFonts w:ascii="Times New Roman" w:eastAsia="Times New Roman" w:hAnsi="Times New Roman" w:cs="Times New Roman"/>
          <w:kern w:val="0"/>
          <w:sz w:val="24"/>
          <w:szCs w:val="24"/>
          <w:lang w:eastAsia="en-IN"/>
          <w14:ligatures w14:val="none"/>
        </w:rPr>
        <w:t>institutions</w:t>
      </w:r>
      <w:r w:rsidR="00D75CF5">
        <w:rPr>
          <w:rFonts w:ascii="Times New Roman" w:eastAsia="Times New Roman" w:hAnsi="Times New Roman" w:cs="Times New Roman"/>
          <w:kern w:val="0"/>
          <w:sz w:val="24"/>
          <w:szCs w:val="24"/>
          <w:lang w:eastAsia="en-IN"/>
          <w14:ligatures w14:val="none"/>
        </w:rPr>
        <w:t xml:space="preserve"> is taken as aggregate of all higher educational institution </w:t>
      </w:r>
      <w:r w:rsidR="00E51589">
        <w:rPr>
          <w:rFonts w:ascii="Times New Roman" w:eastAsia="Times New Roman" w:hAnsi="Times New Roman" w:cs="Times New Roman"/>
          <w:kern w:val="0"/>
          <w:sz w:val="24"/>
          <w:szCs w:val="24"/>
          <w:lang w:eastAsia="en-IN"/>
          <w14:ligatures w14:val="none"/>
        </w:rPr>
        <w:t xml:space="preserve">including private and government intuitions. </w:t>
      </w:r>
    </w:p>
    <w:p w14:paraId="6F716CAE" w14:textId="77777777" w:rsidR="000531AD" w:rsidRDefault="000531AD" w:rsidP="000364B7">
      <w:pPr>
        <w:spacing w:line="480" w:lineRule="auto"/>
        <w:jc w:val="both"/>
        <w:rPr>
          <w:rFonts w:ascii="Times New Roman" w:hAnsi="Times New Roman" w:cs="Times New Roman"/>
          <w:b/>
          <w:bCs/>
          <w:sz w:val="24"/>
          <w:szCs w:val="24"/>
        </w:rPr>
      </w:pPr>
    </w:p>
    <w:p w14:paraId="2F6680F7" w14:textId="77777777" w:rsidR="00382AE1"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Estimation Method</w:t>
      </w:r>
    </w:p>
    <w:p w14:paraId="719AC996" w14:textId="09C50C83" w:rsidR="00276288" w:rsidRDefault="00630314"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630314">
        <w:rPr>
          <w:rFonts w:ascii="Times New Roman" w:eastAsia="Times New Roman" w:hAnsi="Times New Roman" w:cs="Times New Roman"/>
          <w:kern w:val="0"/>
          <w:sz w:val="24"/>
          <w:szCs w:val="24"/>
          <w:lang w:eastAsia="en-IN"/>
          <w14:ligatures w14:val="none"/>
        </w:rPr>
        <w:t>The Gini Coefficient is used to measure the inequality in the distribution of educational credits among the states of India.</w:t>
      </w:r>
      <w:r w:rsidR="00C25E2B">
        <w:rPr>
          <w:rFonts w:ascii="Times New Roman" w:eastAsia="Times New Roman" w:hAnsi="Times New Roman" w:cs="Times New Roman"/>
          <w:kern w:val="0"/>
          <w:sz w:val="24"/>
          <w:szCs w:val="24"/>
          <w:lang w:eastAsia="en-IN"/>
          <w14:ligatures w14:val="none"/>
        </w:rPr>
        <w:t xml:space="preserve"> </w:t>
      </w:r>
      <w:r w:rsidRPr="00630314">
        <w:rPr>
          <w:rFonts w:ascii="Times New Roman" w:eastAsia="Times New Roman" w:hAnsi="Times New Roman" w:cs="Times New Roman"/>
          <w:kern w:val="0"/>
          <w:sz w:val="24"/>
          <w:szCs w:val="24"/>
          <w:lang w:eastAsia="en-IN"/>
          <w14:ligatures w14:val="none"/>
        </w:rPr>
        <w:t xml:space="preserve">The Gini coefficient is a statistical measure that quantifies the level of inequality within a dataset. </w:t>
      </w:r>
      <w:r w:rsidR="00C25E2B">
        <w:rPr>
          <w:rFonts w:ascii="Times New Roman" w:eastAsia="Times New Roman" w:hAnsi="Times New Roman" w:cs="Times New Roman"/>
          <w:kern w:val="0"/>
          <w:sz w:val="24"/>
          <w:szCs w:val="24"/>
          <w:lang w:eastAsia="en-IN"/>
          <w14:ligatures w14:val="none"/>
        </w:rPr>
        <w:t xml:space="preserve">This Index measures the area between the Lorenz curve and a hypothetical line of absolute equality. </w:t>
      </w:r>
      <w:r w:rsidRPr="00630314">
        <w:rPr>
          <w:rFonts w:ascii="Times New Roman" w:eastAsia="Times New Roman" w:hAnsi="Times New Roman" w:cs="Times New Roman"/>
          <w:kern w:val="0"/>
          <w:sz w:val="24"/>
          <w:szCs w:val="24"/>
          <w:lang w:eastAsia="en-IN"/>
          <w14:ligatures w14:val="none"/>
        </w:rPr>
        <w:t xml:space="preserve">It is expressed as a value between 0 and 1. A coefficient value of 0 shows that there is no difference or inequality in the data, whereas a value of 1 represents the maximum amount of difference or inequality. </w:t>
      </w:r>
    </w:p>
    <w:p w14:paraId="698F4263" w14:textId="104BE403" w:rsidR="00630314" w:rsidRPr="00630314" w:rsidRDefault="00276288" w:rsidP="000364B7">
      <w:pPr>
        <w:spacing w:after="240" w:line="48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Further, to </w:t>
      </w:r>
      <w:r w:rsidR="00C2574C">
        <w:rPr>
          <w:rFonts w:ascii="Times New Roman" w:eastAsia="Times New Roman" w:hAnsi="Times New Roman" w:cs="Times New Roman"/>
          <w:kern w:val="0"/>
          <w:sz w:val="24"/>
          <w:szCs w:val="24"/>
          <w:lang w:eastAsia="en-IN"/>
          <w14:ligatures w14:val="none"/>
        </w:rPr>
        <w:t>examine the determinants of educational credit</w:t>
      </w:r>
      <w:r w:rsidR="00C25E2B">
        <w:rPr>
          <w:rFonts w:ascii="Times New Roman" w:eastAsia="Times New Roman" w:hAnsi="Times New Roman" w:cs="Times New Roman"/>
          <w:kern w:val="0"/>
          <w:sz w:val="24"/>
          <w:szCs w:val="24"/>
          <w:lang w:eastAsia="en-IN"/>
          <w14:ligatures w14:val="none"/>
        </w:rPr>
        <w:t>,</w:t>
      </w:r>
      <w:r w:rsidR="00C2574C">
        <w:rPr>
          <w:rFonts w:ascii="Times New Roman" w:eastAsia="Times New Roman" w:hAnsi="Times New Roman" w:cs="Times New Roman"/>
          <w:kern w:val="0"/>
          <w:sz w:val="24"/>
          <w:szCs w:val="24"/>
          <w:lang w:eastAsia="en-IN"/>
          <w14:ligatures w14:val="none"/>
        </w:rPr>
        <w:t xml:space="preserve"> pooled panel regression model was applied as follows.  </w:t>
      </w:r>
      <w:r w:rsidR="00630314" w:rsidRPr="00630314">
        <w:rPr>
          <w:rFonts w:ascii="Times New Roman" w:eastAsia="Times New Roman" w:hAnsi="Times New Roman" w:cs="Times New Roman"/>
          <w:kern w:val="0"/>
          <w:sz w:val="24"/>
          <w:szCs w:val="24"/>
          <w:lang w:eastAsia="en-IN"/>
          <w14:ligatures w14:val="none"/>
        </w:rPr>
        <w:br/>
      </w:r>
    </w:p>
    <w:p w14:paraId="71CBA6BD" w14:textId="77777777" w:rsidR="00630314" w:rsidRDefault="00630314" w:rsidP="000364B7">
      <w:pPr>
        <w:spacing w:line="480" w:lineRule="auto"/>
        <w:jc w:val="both"/>
        <w:rPr>
          <w:rFonts w:ascii="Times New Roman" w:hAnsi="Times New Roman" w:cs="Times New Roman"/>
          <w:b/>
          <w:bCs/>
          <w:sz w:val="24"/>
          <w:szCs w:val="24"/>
        </w:rPr>
      </w:pPr>
    </w:p>
    <w:p w14:paraId="78A5AAC7" w14:textId="5696093E" w:rsidR="00382AE1" w:rsidRPr="00F524CD" w:rsidRDefault="00000000" w:rsidP="000364B7">
      <w:pPr>
        <w:spacing w:line="480" w:lineRule="auto"/>
        <w:jc w:val="both"/>
        <w:rPr>
          <w:rFonts w:ascii="Times New Roman" w:hAnsi="Times New Roman" w:cs="Times New Roman"/>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e>
              </m:d>
            </m:e>
          </m:func>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w:bookmarkStart w:id="0" w:name="_Hlk171420813"/>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1it</m:t>
              </m:r>
            </m:sub>
          </m:sSub>
          <w:bookmarkEnd w:id="0"/>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oMath>
      </m:oMathPara>
    </w:p>
    <w:p w14:paraId="2C74E83B" w14:textId="1D70F7FD" w:rsidR="00F524CD" w:rsidRDefault="00F524CD" w:rsidP="000364B7">
      <w:pPr>
        <w:spacing w:line="480" w:lineRule="auto"/>
        <w:jc w:val="both"/>
        <w:rPr>
          <w:rFonts w:ascii="Times New Roman" w:hAnsi="Times New Roman" w:cs="Times New Roman"/>
          <w:sz w:val="24"/>
          <w:szCs w:val="24"/>
        </w:rPr>
      </w:pPr>
      <w:r w:rsidRPr="00F524CD">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00895BB5">
        <w:rPr>
          <w:rFonts w:ascii="Times New Roman" w:eastAsiaTheme="minorEastAsia" w:hAnsi="Times New Roman" w:cs="Times New Roman"/>
          <w:sz w:val="24"/>
          <w:szCs w:val="24"/>
        </w:rPr>
        <w:t xml:space="preserve"> is </w:t>
      </w:r>
      <w:r w:rsidR="00E55BB9">
        <w:rPr>
          <w:rFonts w:ascii="Times New Roman" w:eastAsiaTheme="minorEastAsia" w:hAnsi="Times New Roman" w:cs="Times New Roman"/>
          <w:sz w:val="24"/>
          <w:szCs w:val="24"/>
        </w:rPr>
        <w:t xml:space="preserve">log of </w:t>
      </w:r>
      <w:r w:rsidRPr="00F524CD">
        <w:rPr>
          <w:rFonts w:ascii="Times New Roman" w:hAnsi="Times New Roman" w:cs="Times New Roman"/>
          <w:sz w:val="24"/>
          <w:szCs w:val="24"/>
        </w:rPr>
        <w:t xml:space="preserve">credit provided in state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in year t.</w:t>
      </w:r>
    </w:p>
    <w:p w14:paraId="0143F0BB" w14:textId="18A4AFD4" w:rsidR="008D45EA" w:rsidRDefault="00000000"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1it</m:t>
            </m:r>
          </m:sub>
        </m:sSub>
      </m:oMath>
      <w:r w:rsidR="0054466D">
        <w:rPr>
          <w:rFonts w:ascii="Times New Roman" w:eastAsiaTheme="minorEastAsia" w:hAnsi="Times New Roman" w:cs="Times New Roman"/>
          <w:sz w:val="24"/>
          <w:szCs w:val="24"/>
        </w:rPr>
        <w:t xml:space="preserve"> is </w:t>
      </w:r>
      <w:r w:rsidR="00E55BB9">
        <w:rPr>
          <w:rFonts w:ascii="Times New Roman" w:eastAsiaTheme="minorEastAsia" w:hAnsi="Times New Roman" w:cs="Times New Roman"/>
          <w:sz w:val="24"/>
          <w:szCs w:val="24"/>
        </w:rPr>
        <w:t xml:space="preserve">log of </w:t>
      </w:r>
      <w:r w:rsidR="00F82B4C">
        <w:rPr>
          <w:rFonts w:ascii="Times New Roman" w:eastAsiaTheme="minorEastAsia" w:hAnsi="Times New Roman" w:cs="Times New Roman"/>
          <w:sz w:val="24"/>
          <w:szCs w:val="24"/>
        </w:rPr>
        <w:t xml:space="preserve">GSDP </w:t>
      </w:r>
      <w:proofErr w:type="gramStart"/>
      <w:r w:rsidR="00F82B4C">
        <w:rPr>
          <w:rFonts w:ascii="Times New Roman" w:eastAsiaTheme="minorEastAsia" w:hAnsi="Times New Roman" w:cs="Times New Roman"/>
          <w:sz w:val="24"/>
          <w:szCs w:val="24"/>
        </w:rPr>
        <w:t xml:space="preserve">of </w:t>
      </w:r>
      <w:r w:rsidR="0054466D">
        <w:rPr>
          <w:rFonts w:ascii="Times New Roman" w:eastAsiaTheme="minorEastAsia" w:hAnsi="Times New Roman" w:cs="Times New Roman"/>
          <w:sz w:val="24"/>
          <w:szCs w:val="24"/>
        </w:rPr>
        <w:t xml:space="preserve"> state</w:t>
      </w:r>
      <w:proofErr w:type="gramEnd"/>
      <w:r w:rsidR="0054466D">
        <w:rPr>
          <w:rFonts w:ascii="Times New Roman" w:eastAsiaTheme="minorEastAsia" w:hAnsi="Times New Roman" w:cs="Times New Roman"/>
          <w:sz w:val="24"/>
          <w:szCs w:val="24"/>
        </w:rPr>
        <w:t xml:space="preserve"> </w:t>
      </w:r>
      <w:proofErr w:type="spellStart"/>
      <w:r w:rsidR="00D70B6A">
        <w:rPr>
          <w:rFonts w:ascii="Times New Roman" w:eastAsiaTheme="minorEastAsia" w:hAnsi="Times New Roman" w:cs="Times New Roman"/>
          <w:sz w:val="24"/>
          <w:szCs w:val="24"/>
        </w:rPr>
        <w:t>i</w:t>
      </w:r>
      <w:proofErr w:type="spellEnd"/>
      <w:r w:rsidR="00F82B4C">
        <w:rPr>
          <w:rFonts w:ascii="Times New Roman" w:eastAsiaTheme="minorEastAsia" w:hAnsi="Times New Roman" w:cs="Times New Roman"/>
          <w:sz w:val="24"/>
          <w:szCs w:val="24"/>
        </w:rPr>
        <w:t xml:space="preserve"> in year t.</w:t>
      </w:r>
    </w:p>
    <w:p w14:paraId="753E131C" w14:textId="22819A41" w:rsidR="00F82B4C" w:rsidRDefault="00000000"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2it</m:t>
            </m:r>
          </m:sub>
        </m:sSub>
      </m:oMath>
      <w:r w:rsidR="00F82B4C">
        <w:rPr>
          <w:rFonts w:ascii="Times New Roman" w:eastAsiaTheme="minorEastAsia" w:hAnsi="Times New Roman" w:cs="Times New Roman"/>
          <w:sz w:val="24"/>
          <w:szCs w:val="24"/>
        </w:rPr>
        <w:t xml:space="preserve"> is </w:t>
      </w:r>
      <w:r w:rsidR="00E55BB9">
        <w:rPr>
          <w:rFonts w:ascii="Times New Roman" w:eastAsiaTheme="minorEastAsia" w:hAnsi="Times New Roman" w:cs="Times New Roman"/>
          <w:sz w:val="24"/>
          <w:szCs w:val="24"/>
        </w:rPr>
        <w:t xml:space="preserve">log of </w:t>
      </w:r>
      <w:r w:rsidR="00C23571">
        <w:rPr>
          <w:rFonts w:ascii="Times New Roman" w:eastAsiaTheme="minorEastAsia" w:hAnsi="Times New Roman" w:cs="Times New Roman"/>
          <w:sz w:val="24"/>
          <w:szCs w:val="24"/>
        </w:rPr>
        <w:t>gross enrolment ratio of stat</w:t>
      </w:r>
      <w:r w:rsidR="00B750E9">
        <w:rPr>
          <w:rFonts w:ascii="Times New Roman" w:eastAsiaTheme="minorEastAsia" w:hAnsi="Times New Roman" w:cs="Times New Roman"/>
          <w:sz w:val="24"/>
          <w:szCs w:val="24"/>
        </w:rPr>
        <w:t xml:space="preserve">e </w:t>
      </w:r>
      <w:proofErr w:type="spellStart"/>
      <w:r w:rsidR="00D70B6A">
        <w:rPr>
          <w:rFonts w:ascii="Times New Roman" w:eastAsiaTheme="minorEastAsia" w:hAnsi="Times New Roman" w:cs="Times New Roman"/>
          <w:sz w:val="24"/>
          <w:szCs w:val="24"/>
        </w:rPr>
        <w:t>i</w:t>
      </w:r>
      <w:proofErr w:type="spellEnd"/>
      <w:r w:rsidR="00B750E9">
        <w:rPr>
          <w:rFonts w:ascii="Times New Roman" w:eastAsiaTheme="minorEastAsia" w:hAnsi="Times New Roman" w:cs="Times New Roman"/>
          <w:sz w:val="24"/>
          <w:szCs w:val="24"/>
        </w:rPr>
        <w:t xml:space="preserve"> in year t.</w:t>
      </w:r>
    </w:p>
    <w:p w14:paraId="2FD14C79" w14:textId="409DE785" w:rsidR="00B750E9" w:rsidRDefault="00000000"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3it</m:t>
            </m:r>
          </m:sub>
        </m:sSub>
        <m:r>
          <w:rPr>
            <w:rFonts w:ascii="Cambria Math" w:eastAsiaTheme="minorEastAsia" w:hAnsi="Cambria Math" w:cs="Times New Roman"/>
            <w:sz w:val="24"/>
            <w:szCs w:val="24"/>
          </w:rPr>
          <m:t xml:space="preserve"> </m:t>
        </m:r>
      </m:oMath>
      <w:r w:rsidR="00B750E9">
        <w:rPr>
          <w:rFonts w:ascii="Times New Roman" w:eastAsiaTheme="minorEastAsia" w:hAnsi="Times New Roman" w:cs="Times New Roman"/>
          <w:sz w:val="24"/>
          <w:szCs w:val="24"/>
        </w:rPr>
        <w:t xml:space="preserve">is </w:t>
      </w:r>
      <w:r w:rsidR="00E55BB9">
        <w:rPr>
          <w:rFonts w:ascii="Times New Roman" w:eastAsiaTheme="minorEastAsia" w:hAnsi="Times New Roman" w:cs="Times New Roman"/>
          <w:sz w:val="24"/>
          <w:szCs w:val="24"/>
        </w:rPr>
        <w:t xml:space="preserve">log of </w:t>
      </w:r>
      <w:r w:rsidR="00D70B6A">
        <w:rPr>
          <w:rFonts w:ascii="Times New Roman" w:eastAsiaTheme="minorEastAsia" w:hAnsi="Times New Roman" w:cs="Times New Roman"/>
          <w:sz w:val="24"/>
          <w:szCs w:val="24"/>
        </w:rPr>
        <w:t xml:space="preserve">number of bank branches in state </w:t>
      </w:r>
      <w:proofErr w:type="spellStart"/>
      <w:r w:rsidR="00D70B6A">
        <w:rPr>
          <w:rFonts w:ascii="Times New Roman" w:eastAsiaTheme="minorEastAsia" w:hAnsi="Times New Roman" w:cs="Times New Roman"/>
          <w:sz w:val="24"/>
          <w:szCs w:val="24"/>
        </w:rPr>
        <w:t>i</w:t>
      </w:r>
      <w:proofErr w:type="spellEnd"/>
      <w:r w:rsidR="00D70B6A">
        <w:rPr>
          <w:rFonts w:ascii="Times New Roman" w:eastAsiaTheme="minorEastAsia" w:hAnsi="Times New Roman" w:cs="Times New Roman"/>
          <w:sz w:val="24"/>
          <w:szCs w:val="24"/>
        </w:rPr>
        <w:t xml:space="preserve"> in year t.</w:t>
      </w:r>
    </w:p>
    <w:p w14:paraId="18E6B8DF" w14:textId="6BEFCD78" w:rsidR="00F54C45" w:rsidRPr="00B750E9" w:rsidRDefault="00000000"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4it</m:t>
            </m:r>
          </m:sub>
        </m:sSub>
      </m:oMath>
      <w:r w:rsidR="00F54C45">
        <w:rPr>
          <w:rFonts w:ascii="Times New Roman" w:eastAsiaTheme="minorEastAsia" w:hAnsi="Times New Roman" w:cs="Times New Roman"/>
          <w:sz w:val="24"/>
          <w:szCs w:val="24"/>
        </w:rPr>
        <w:t xml:space="preserve"> is</w:t>
      </w:r>
      <w:r w:rsidR="00E55BB9">
        <w:rPr>
          <w:rFonts w:ascii="Times New Roman" w:eastAsiaTheme="minorEastAsia" w:hAnsi="Times New Roman" w:cs="Times New Roman"/>
          <w:sz w:val="24"/>
          <w:szCs w:val="24"/>
        </w:rPr>
        <w:t xml:space="preserve"> log </w:t>
      </w:r>
      <w:proofErr w:type="gramStart"/>
      <w:r w:rsidR="00E55BB9">
        <w:rPr>
          <w:rFonts w:ascii="Times New Roman" w:eastAsiaTheme="minorEastAsia" w:hAnsi="Times New Roman" w:cs="Times New Roman"/>
          <w:sz w:val="24"/>
          <w:szCs w:val="24"/>
        </w:rPr>
        <w:t xml:space="preserve">of </w:t>
      </w:r>
      <w:r w:rsidR="00F54C45">
        <w:rPr>
          <w:rFonts w:ascii="Times New Roman" w:eastAsiaTheme="minorEastAsia" w:hAnsi="Times New Roman" w:cs="Times New Roman"/>
          <w:sz w:val="24"/>
          <w:szCs w:val="24"/>
        </w:rPr>
        <w:t xml:space="preserve"> number</w:t>
      </w:r>
      <w:proofErr w:type="gramEnd"/>
      <w:r w:rsidR="00F54C45">
        <w:rPr>
          <w:rFonts w:ascii="Times New Roman" w:eastAsiaTheme="minorEastAsia" w:hAnsi="Times New Roman" w:cs="Times New Roman"/>
          <w:sz w:val="24"/>
          <w:szCs w:val="24"/>
        </w:rPr>
        <w:t xml:space="preserve"> of </w:t>
      </w:r>
      <w:r w:rsidR="005D15C9">
        <w:rPr>
          <w:rFonts w:ascii="Times New Roman" w:eastAsiaTheme="minorEastAsia" w:hAnsi="Times New Roman" w:cs="Times New Roman"/>
          <w:sz w:val="24"/>
          <w:szCs w:val="24"/>
        </w:rPr>
        <w:t xml:space="preserve">educational institutions in state </w:t>
      </w:r>
      <w:proofErr w:type="spellStart"/>
      <w:r w:rsidR="005D15C9">
        <w:rPr>
          <w:rFonts w:ascii="Times New Roman" w:eastAsiaTheme="minorEastAsia" w:hAnsi="Times New Roman" w:cs="Times New Roman"/>
          <w:sz w:val="24"/>
          <w:szCs w:val="24"/>
        </w:rPr>
        <w:t>i</w:t>
      </w:r>
      <w:proofErr w:type="spellEnd"/>
      <w:r w:rsidR="005D15C9">
        <w:rPr>
          <w:rFonts w:ascii="Times New Roman" w:eastAsiaTheme="minorEastAsia" w:hAnsi="Times New Roman" w:cs="Times New Roman"/>
          <w:sz w:val="24"/>
          <w:szCs w:val="24"/>
        </w:rPr>
        <w:t xml:space="preserve"> in years t.</w:t>
      </w:r>
    </w:p>
    <w:p w14:paraId="1BFDF7B4" w14:textId="77777777" w:rsidR="00F524CD" w:rsidRPr="00F524CD" w:rsidRDefault="00F524CD" w:rsidP="000364B7">
      <w:pPr>
        <w:spacing w:line="480" w:lineRule="auto"/>
        <w:jc w:val="both"/>
        <w:rPr>
          <w:rFonts w:ascii="Times New Roman" w:hAnsi="Times New Roman" w:cs="Times New Roman"/>
          <w:sz w:val="24"/>
          <w:szCs w:val="24"/>
        </w:rPr>
      </w:pPr>
      <w:r w:rsidRPr="00F524CD">
        <w:rPr>
          <w:rFonts w:ascii="Times New Roman" w:hAnsi="Times New Roman" w:cs="Times New Roman"/>
          <w:sz w:val="24"/>
          <w:szCs w:val="24"/>
        </w:rPr>
        <w:t>α signifies the constant term</w:t>
      </w:r>
    </w:p>
    <w:p w14:paraId="791466D0" w14:textId="77777777" w:rsidR="00F524CD" w:rsidRPr="00F524CD" w:rsidRDefault="00F524CD" w:rsidP="000364B7">
      <w:pPr>
        <w:spacing w:line="480" w:lineRule="auto"/>
        <w:jc w:val="both"/>
        <w:rPr>
          <w:rFonts w:ascii="Times New Roman" w:hAnsi="Times New Roman" w:cs="Times New Roman"/>
          <w:sz w:val="24"/>
          <w:szCs w:val="24"/>
        </w:rPr>
      </w:pPr>
      <w:r w:rsidRPr="00F524CD">
        <w:rPr>
          <w:rFonts w:ascii="Times New Roman" w:hAnsi="Times New Roman" w:cs="Times New Roman"/>
          <w:sz w:val="24"/>
          <w:szCs w:val="24"/>
        </w:rPr>
        <w:t>βj represents the coefficient for variable j (GSDP, GER, bank branches, educational institutions)</w:t>
      </w:r>
    </w:p>
    <w:p w14:paraId="1EB94322" w14:textId="77777777" w:rsidR="00F524CD" w:rsidRDefault="00F524CD" w:rsidP="000364B7">
      <w:pPr>
        <w:spacing w:line="480" w:lineRule="auto"/>
        <w:jc w:val="both"/>
        <w:rPr>
          <w:rFonts w:ascii="Times New Roman" w:hAnsi="Times New Roman" w:cs="Times New Roman"/>
          <w:sz w:val="24"/>
          <w:szCs w:val="24"/>
        </w:rPr>
      </w:pPr>
      <w:proofErr w:type="spellStart"/>
      <w:r w:rsidRPr="00F524CD">
        <w:rPr>
          <w:rFonts w:ascii="Times New Roman" w:hAnsi="Times New Roman" w:cs="Times New Roman"/>
          <w:sz w:val="24"/>
          <w:szCs w:val="24"/>
        </w:rPr>
        <w:t>εi</w:t>
      </w:r>
      <w:proofErr w:type="spellEnd"/>
      <w:r w:rsidRPr="00F524CD">
        <w:rPr>
          <w:rFonts w:ascii="Times New Roman" w:hAnsi="Times New Roman" w:cs="Times New Roman"/>
          <w:sz w:val="24"/>
          <w:szCs w:val="24"/>
        </w:rPr>
        <w:t xml:space="preserve"> denotes the error term</w:t>
      </w:r>
    </w:p>
    <w:p w14:paraId="67655879" w14:textId="4A7708CD" w:rsidR="00B409AE" w:rsidRPr="00B409AE" w:rsidRDefault="00B409AE" w:rsidP="000364B7">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B409AE">
        <w:rPr>
          <w:rFonts w:ascii="Times New Roman" w:eastAsia="Times New Roman" w:hAnsi="Times New Roman" w:cs="Times New Roman"/>
          <w:kern w:val="0"/>
          <w:sz w:val="24"/>
          <w:szCs w:val="24"/>
          <w:lang w:eastAsia="en-IN"/>
          <w14:ligatures w14:val="none"/>
        </w:rPr>
        <w:t xml:space="preserve">Based on the Hausman test results, the fixed effect model is deemed more appropriate than the random effect model due to the chi-square statistic of 30.18, which surpasses the threshold value. </w:t>
      </w:r>
    </w:p>
    <w:p w14:paraId="30438F48" w14:textId="77777777" w:rsidR="00B409AE" w:rsidRDefault="00B409AE" w:rsidP="000364B7">
      <w:pPr>
        <w:spacing w:line="480" w:lineRule="auto"/>
        <w:jc w:val="both"/>
        <w:rPr>
          <w:rFonts w:ascii="Times New Roman" w:hAnsi="Times New Roman" w:cs="Times New Roman"/>
          <w:sz w:val="24"/>
          <w:szCs w:val="24"/>
        </w:rPr>
      </w:pPr>
    </w:p>
    <w:p w14:paraId="1EDE443C" w14:textId="69C9D742"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Rati</w:t>
      </w:r>
      <w:r w:rsidR="00870B54">
        <w:rPr>
          <w:rFonts w:ascii="Times New Roman" w:hAnsi="Times New Roman" w:cs="Times New Roman"/>
          <w:b/>
          <w:bCs/>
          <w:sz w:val="24"/>
          <w:szCs w:val="24"/>
        </w:rPr>
        <w:t>o</w:t>
      </w:r>
      <w:r>
        <w:rPr>
          <w:rFonts w:ascii="Times New Roman" w:hAnsi="Times New Roman" w:cs="Times New Roman"/>
          <w:b/>
          <w:bCs/>
          <w:sz w:val="24"/>
          <w:szCs w:val="24"/>
        </w:rPr>
        <w:t xml:space="preserve">nality for </w:t>
      </w:r>
      <w:r w:rsidR="007A479B">
        <w:rPr>
          <w:rFonts w:ascii="Times New Roman" w:hAnsi="Times New Roman" w:cs="Times New Roman"/>
          <w:b/>
          <w:bCs/>
          <w:sz w:val="24"/>
          <w:szCs w:val="24"/>
        </w:rPr>
        <w:t>Selection</w:t>
      </w:r>
      <w:r>
        <w:rPr>
          <w:rFonts w:ascii="Times New Roman" w:hAnsi="Times New Roman" w:cs="Times New Roman"/>
          <w:b/>
          <w:bCs/>
          <w:sz w:val="24"/>
          <w:szCs w:val="24"/>
        </w:rPr>
        <w:t xml:space="preserve"> of </w:t>
      </w:r>
      <w:r w:rsidR="00870B54">
        <w:rPr>
          <w:rFonts w:ascii="Times New Roman" w:hAnsi="Times New Roman" w:cs="Times New Roman"/>
          <w:b/>
          <w:bCs/>
          <w:sz w:val="24"/>
          <w:szCs w:val="24"/>
        </w:rPr>
        <w:t>Explanatory</w:t>
      </w:r>
      <w:r>
        <w:rPr>
          <w:rFonts w:ascii="Times New Roman" w:hAnsi="Times New Roman" w:cs="Times New Roman"/>
          <w:b/>
          <w:bCs/>
          <w:sz w:val="24"/>
          <w:szCs w:val="24"/>
        </w:rPr>
        <w:t xml:space="preserve"> Variables</w:t>
      </w:r>
    </w:p>
    <w:p w14:paraId="4C4A4490" w14:textId="5A9CA5CC" w:rsidR="00420940" w:rsidRPr="00BD36F2" w:rsidRDefault="00420940"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102142">
        <w:rPr>
          <w:rFonts w:ascii="Times New Roman" w:eastAsia="Times New Roman" w:hAnsi="Times New Roman" w:cs="Times New Roman"/>
          <w:kern w:val="0"/>
          <w:sz w:val="24"/>
          <w:szCs w:val="24"/>
          <w:lang w:val="da-DK" w:eastAsia="en-IN"/>
          <w14:ligatures w14:val="none"/>
        </w:rPr>
        <w:t xml:space="preserve">According to Kruss et. al. </w:t>
      </w:r>
      <w:r w:rsidRPr="00420940">
        <w:rPr>
          <w:rFonts w:ascii="Times New Roman" w:eastAsia="Times New Roman" w:hAnsi="Times New Roman" w:cs="Times New Roman"/>
          <w:kern w:val="0"/>
          <w:sz w:val="24"/>
          <w:szCs w:val="24"/>
          <w:lang w:eastAsia="en-IN"/>
          <w14:ligatures w14:val="none"/>
        </w:rPr>
        <w:t>(2015), higher education has a beneficial influence on economic growth. Nations that have made substantial investments in higher education have witnessed significant returns in the shape of skilled and knowledgeable individuals. Wagner's law demonstrates that government expenditure on higher education rises in tandem with the level of development</w:t>
      </w:r>
      <w:r w:rsidR="00573273">
        <w:rPr>
          <w:rFonts w:ascii="Times New Roman" w:eastAsia="Times New Roman" w:hAnsi="Times New Roman" w:cs="Times New Roman"/>
          <w:kern w:val="0"/>
          <w:sz w:val="24"/>
          <w:szCs w:val="24"/>
          <w:lang w:eastAsia="en-IN"/>
          <w14:ligatures w14:val="none"/>
        </w:rPr>
        <w:t xml:space="preserve"> (Wagner, 1977)</w:t>
      </w:r>
      <w:r w:rsidRPr="00420940">
        <w:rPr>
          <w:rFonts w:ascii="Times New Roman" w:eastAsia="Times New Roman" w:hAnsi="Times New Roman" w:cs="Times New Roman"/>
          <w:kern w:val="0"/>
          <w:sz w:val="24"/>
          <w:szCs w:val="24"/>
          <w:lang w:eastAsia="en-IN"/>
          <w14:ligatures w14:val="none"/>
        </w:rPr>
        <w:t xml:space="preserve">. Therefore, it is anticipated that states with a greater gross domestic product will allocate a substantial portion of credit into the educational sector. </w:t>
      </w:r>
      <w:proofErr w:type="spellStart"/>
      <w:r w:rsidRPr="00420940">
        <w:rPr>
          <w:rFonts w:ascii="Times New Roman" w:eastAsia="Times New Roman" w:hAnsi="Times New Roman" w:cs="Times New Roman"/>
          <w:kern w:val="0"/>
          <w:sz w:val="24"/>
          <w:szCs w:val="24"/>
          <w:lang w:eastAsia="en-IN"/>
          <w14:ligatures w14:val="none"/>
        </w:rPr>
        <w:t>Krajnakova</w:t>
      </w:r>
      <w:proofErr w:type="spellEnd"/>
      <w:r w:rsidRPr="00420940">
        <w:rPr>
          <w:rFonts w:ascii="Times New Roman" w:eastAsia="Times New Roman" w:hAnsi="Times New Roman" w:cs="Times New Roman"/>
          <w:kern w:val="0"/>
          <w:sz w:val="24"/>
          <w:szCs w:val="24"/>
          <w:lang w:eastAsia="en-IN"/>
          <w14:ligatures w14:val="none"/>
        </w:rPr>
        <w:t xml:space="preserve"> et al. (2020) demonstrate a positive correlation between economic growth and expenditure on higher education</w:t>
      </w:r>
      <w:r w:rsidR="006438B3">
        <w:rPr>
          <w:rFonts w:ascii="Times New Roman" w:eastAsia="Times New Roman" w:hAnsi="Times New Roman" w:cs="Times New Roman"/>
          <w:kern w:val="0"/>
          <w:sz w:val="24"/>
          <w:szCs w:val="24"/>
          <w:lang w:eastAsia="en-IN"/>
          <w14:ligatures w14:val="none"/>
        </w:rPr>
        <w:t>.</w:t>
      </w:r>
      <w:r w:rsidRPr="00420940">
        <w:rPr>
          <w:rFonts w:ascii="Times New Roman" w:eastAsia="Times New Roman" w:hAnsi="Times New Roman" w:cs="Times New Roman"/>
          <w:kern w:val="0"/>
          <w:sz w:val="24"/>
          <w:szCs w:val="24"/>
          <w:lang w:eastAsia="en-IN"/>
          <w14:ligatures w14:val="none"/>
        </w:rPr>
        <w:t xml:space="preserve"> The gross </w:t>
      </w:r>
      <w:r w:rsidR="006438B3">
        <w:rPr>
          <w:rFonts w:ascii="Times New Roman" w:eastAsia="Times New Roman" w:hAnsi="Times New Roman" w:cs="Times New Roman"/>
          <w:kern w:val="0"/>
          <w:sz w:val="24"/>
          <w:szCs w:val="24"/>
          <w:lang w:eastAsia="en-IN"/>
          <w14:ligatures w14:val="none"/>
        </w:rPr>
        <w:t>E</w:t>
      </w:r>
      <w:r w:rsidR="006438B3" w:rsidRPr="00420940">
        <w:rPr>
          <w:rFonts w:ascii="Times New Roman" w:eastAsia="Times New Roman" w:hAnsi="Times New Roman" w:cs="Times New Roman"/>
          <w:kern w:val="0"/>
          <w:sz w:val="24"/>
          <w:szCs w:val="24"/>
          <w:lang w:eastAsia="en-IN"/>
          <w14:ligatures w14:val="none"/>
        </w:rPr>
        <w:t>nrolment</w:t>
      </w:r>
      <w:r w:rsidRPr="00420940">
        <w:rPr>
          <w:rFonts w:ascii="Times New Roman" w:eastAsia="Times New Roman" w:hAnsi="Times New Roman" w:cs="Times New Roman"/>
          <w:kern w:val="0"/>
          <w:sz w:val="24"/>
          <w:szCs w:val="24"/>
          <w:lang w:eastAsia="en-IN"/>
          <w14:ligatures w14:val="none"/>
        </w:rPr>
        <w:t xml:space="preserve"> </w:t>
      </w:r>
      <w:r w:rsidR="006438B3">
        <w:rPr>
          <w:rFonts w:ascii="Times New Roman" w:eastAsia="Times New Roman" w:hAnsi="Times New Roman" w:cs="Times New Roman"/>
          <w:kern w:val="0"/>
          <w:sz w:val="24"/>
          <w:szCs w:val="24"/>
          <w:lang w:eastAsia="en-IN"/>
          <w14:ligatures w14:val="none"/>
        </w:rPr>
        <w:t>R</w:t>
      </w:r>
      <w:r w:rsidR="006438B3" w:rsidRPr="00420940">
        <w:rPr>
          <w:rFonts w:ascii="Times New Roman" w:eastAsia="Times New Roman" w:hAnsi="Times New Roman" w:cs="Times New Roman"/>
          <w:kern w:val="0"/>
          <w:sz w:val="24"/>
          <w:szCs w:val="24"/>
          <w:lang w:eastAsia="en-IN"/>
          <w14:ligatures w14:val="none"/>
        </w:rPr>
        <w:t xml:space="preserve">atio </w:t>
      </w:r>
      <w:r w:rsidRPr="00420940">
        <w:rPr>
          <w:rFonts w:ascii="Times New Roman" w:eastAsia="Times New Roman" w:hAnsi="Times New Roman" w:cs="Times New Roman"/>
          <w:kern w:val="0"/>
          <w:sz w:val="24"/>
          <w:szCs w:val="24"/>
          <w:lang w:eastAsia="en-IN"/>
          <w14:ligatures w14:val="none"/>
        </w:rPr>
        <w:t xml:space="preserve">(GER) is the proportion of individuals enrolled in higher education relative to the total population of individuals aged 18-23. </w:t>
      </w:r>
      <w:r w:rsidR="006438B3">
        <w:rPr>
          <w:rFonts w:ascii="Times New Roman" w:eastAsia="Times New Roman" w:hAnsi="Times New Roman" w:cs="Times New Roman"/>
          <w:kern w:val="0"/>
          <w:sz w:val="24"/>
          <w:szCs w:val="24"/>
          <w:lang w:eastAsia="en-IN"/>
          <w14:ligatures w14:val="none"/>
        </w:rPr>
        <w:t>It</w:t>
      </w:r>
      <w:r w:rsidRPr="00420940">
        <w:rPr>
          <w:rFonts w:ascii="Times New Roman" w:eastAsia="Times New Roman" w:hAnsi="Times New Roman" w:cs="Times New Roman"/>
          <w:kern w:val="0"/>
          <w:sz w:val="24"/>
          <w:szCs w:val="24"/>
          <w:lang w:eastAsia="en-IN"/>
          <w14:ligatures w14:val="none"/>
        </w:rPr>
        <w:t xml:space="preserve"> is a crucial measure for evaluating educational involvement. Financing trends in higher education in India indicate that student loans have become the primary means of funding, driven by reasons such as the increasing popularity of borrowing and the perceived financial </w:t>
      </w:r>
      <w:r w:rsidRPr="00420940">
        <w:rPr>
          <w:rFonts w:ascii="Times New Roman" w:eastAsia="Times New Roman" w:hAnsi="Times New Roman" w:cs="Times New Roman"/>
          <w:kern w:val="0"/>
          <w:sz w:val="24"/>
          <w:szCs w:val="24"/>
          <w:lang w:eastAsia="en-IN"/>
          <w14:ligatures w14:val="none"/>
        </w:rPr>
        <w:lastRenderedPageBreak/>
        <w:t xml:space="preserve">benefits of obtaining a higher education (Rani, 2016). </w:t>
      </w:r>
      <w:r w:rsidR="006438B3">
        <w:rPr>
          <w:rFonts w:ascii="Times New Roman" w:eastAsia="Times New Roman" w:hAnsi="Times New Roman" w:cs="Times New Roman"/>
          <w:kern w:val="0"/>
          <w:sz w:val="24"/>
          <w:szCs w:val="24"/>
          <w:lang w:eastAsia="en-IN"/>
          <w14:ligatures w14:val="none"/>
        </w:rPr>
        <w:t>Further, Rani (2016)</w:t>
      </w:r>
      <w:r w:rsidRPr="00420940">
        <w:rPr>
          <w:rFonts w:ascii="Times New Roman" w:eastAsia="Times New Roman" w:hAnsi="Times New Roman" w:cs="Times New Roman"/>
          <w:kern w:val="0"/>
          <w:sz w:val="24"/>
          <w:szCs w:val="24"/>
          <w:lang w:eastAsia="en-IN"/>
          <w14:ligatures w14:val="none"/>
        </w:rPr>
        <w:t xml:space="preserve"> </w:t>
      </w:r>
      <w:r w:rsidR="006438B3">
        <w:rPr>
          <w:rFonts w:ascii="Times New Roman" w:eastAsia="Times New Roman" w:hAnsi="Times New Roman" w:cs="Times New Roman"/>
          <w:kern w:val="0"/>
          <w:sz w:val="24"/>
          <w:szCs w:val="24"/>
          <w:lang w:eastAsia="en-IN"/>
          <w14:ligatures w14:val="none"/>
        </w:rPr>
        <w:t>suggested that</w:t>
      </w:r>
      <w:r w:rsidR="006438B3" w:rsidRPr="00420940">
        <w:rPr>
          <w:rFonts w:ascii="Times New Roman" w:eastAsia="Times New Roman" w:hAnsi="Times New Roman" w:cs="Times New Roman"/>
          <w:kern w:val="0"/>
          <w:sz w:val="24"/>
          <w:szCs w:val="24"/>
          <w:lang w:eastAsia="en-IN"/>
          <w14:ligatures w14:val="none"/>
        </w:rPr>
        <w:t xml:space="preserve"> </w:t>
      </w:r>
      <w:r w:rsidRPr="00420940">
        <w:rPr>
          <w:rFonts w:ascii="Times New Roman" w:eastAsia="Times New Roman" w:hAnsi="Times New Roman" w:cs="Times New Roman"/>
          <w:kern w:val="0"/>
          <w:sz w:val="24"/>
          <w:szCs w:val="24"/>
          <w:lang w:eastAsia="en-IN"/>
          <w14:ligatures w14:val="none"/>
        </w:rPr>
        <w:t>impact of educational credit on enhancing GER may be constrained by factors such as loan accessibility, default risk, and post-graduation employability, all of which influence the ability to repay the loans (Rani, 2016).</w:t>
      </w:r>
      <w:r w:rsidRPr="00420940">
        <w:rPr>
          <w:rFonts w:ascii="Times New Roman" w:eastAsia="Times New Roman" w:hAnsi="Times New Roman" w:cs="Times New Roman"/>
          <w:kern w:val="0"/>
          <w:sz w:val="24"/>
          <w:szCs w:val="24"/>
          <w:lang w:eastAsia="en-IN"/>
          <w14:ligatures w14:val="none"/>
        </w:rPr>
        <w:br/>
      </w:r>
      <w:r w:rsidR="006438B3">
        <w:rPr>
          <w:rFonts w:ascii="Times New Roman" w:eastAsia="Times New Roman" w:hAnsi="Times New Roman" w:cs="Times New Roman"/>
          <w:kern w:val="0"/>
          <w:sz w:val="24"/>
          <w:szCs w:val="24"/>
          <w:lang w:eastAsia="en-IN"/>
          <w14:ligatures w14:val="none"/>
        </w:rPr>
        <w:t>Furthermore, a</w:t>
      </w:r>
      <w:r w:rsidR="006438B3" w:rsidRPr="00420940">
        <w:rPr>
          <w:rFonts w:ascii="Times New Roman" w:eastAsia="Times New Roman" w:hAnsi="Times New Roman" w:cs="Times New Roman"/>
          <w:kern w:val="0"/>
          <w:sz w:val="24"/>
          <w:szCs w:val="24"/>
          <w:lang w:eastAsia="en-IN"/>
          <w14:ligatures w14:val="none"/>
        </w:rPr>
        <w:t xml:space="preserve">n </w:t>
      </w:r>
      <w:r w:rsidRPr="00420940">
        <w:rPr>
          <w:rFonts w:ascii="Times New Roman" w:eastAsia="Times New Roman" w:hAnsi="Times New Roman" w:cs="Times New Roman"/>
          <w:kern w:val="0"/>
          <w:sz w:val="24"/>
          <w:szCs w:val="24"/>
          <w:lang w:eastAsia="en-IN"/>
          <w14:ligatures w14:val="none"/>
        </w:rPr>
        <w:t xml:space="preserve">ample presence of bank branches is associated with a rise in the accessibility of credit (Bai and Lin, 2022). Hence, it is reasonable to infer that states with a larger quantity of bank branches would offer more substantial educational credit. </w:t>
      </w:r>
      <w:r w:rsidR="006438B3">
        <w:rPr>
          <w:rFonts w:ascii="Times New Roman" w:eastAsia="Times New Roman" w:hAnsi="Times New Roman" w:cs="Times New Roman"/>
          <w:kern w:val="0"/>
          <w:sz w:val="24"/>
          <w:szCs w:val="24"/>
          <w:lang w:eastAsia="en-IN"/>
          <w14:ligatures w14:val="none"/>
        </w:rPr>
        <w:t>Also, it</w:t>
      </w:r>
      <w:r w:rsidRPr="00420940">
        <w:rPr>
          <w:rFonts w:ascii="Times New Roman" w:eastAsia="Times New Roman" w:hAnsi="Times New Roman" w:cs="Times New Roman"/>
          <w:kern w:val="0"/>
          <w:sz w:val="24"/>
          <w:szCs w:val="24"/>
          <w:lang w:eastAsia="en-IN"/>
          <w14:ligatures w14:val="none"/>
        </w:rPr>
        <w:t xml:space="preserve"> is expected to impact the growth of educational credit is the number of higher educational institutions. </w:t>
      </w:r>
    </w:p>
    <w:p w14:paraId="7014EEB6" w14:textId="08FB17E8" w:rsidR="007A479B" w:rsidRDefault="007A479B"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76298F">
        <w:rPr>
          <w:rFonts w:ascii="Times New Roman" w:hAnsi="Times New Roman" w:cs="Times New Roman"/>
          <w:b/>
          <w:bCs/>
          <w:sz w:val="24"/>
          <w:szCs w:val="24"/>
        </w:rPr>
        <w:t xml:space="preserve"> </w:t>
      </w:r>
      <w:r>
        <w:rPr>
          <w:rFonts w:ascii="Times New Roman" w:hAnsi="Times New Roman" w:cs="Times New Roman"/>
          <w:b/>
          <w:bCs/>
          <w:sz w:val="24"/>
          <w:szCs w:val="24"/>
        </w:rPr>
        <w:t>1: Rationality for selection of Explanatory variables</w:t>
      </w:r>
    </w:p>
    <w:tbl>
      <w:tblPr>
        <w:tblStyle w:val="TableGrid"/>
        <w:tblW w:w="0" w:type="auto"/>
        <w:tblLook w:val="04A0" w:firstRow="1" w:lastRow="0" w:firstColumn="1" w:lastColumn="0" w:noHBand="0" w:noVBand="1"/>
      </w:tblPr>
      <w:tblGrid>
        <w:gridCol w:w="1838"/>
        <w:gridCol w:w="4172"/>
        <w:gridCol w:w="3006"/>
      </w:tblGrid>
      <w:tr w:rsidR="00735925" w14:paraId="48727A63" w14:textId="77777777" w:rsidTr="00033F9C">
        <w:tc>
          <w:tcPr>
            <w:tcW w:w="1838" w:type="dxa"/>
          </w:tcPr>
          <w:p w14:paraId="4D902790" w14:textId="127282D4" w:rsidR="00735925" w:rsidRPr="00465FD4" w:rsidRDefault="00735925"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Variable</w:t>
            </w:r>
          </w:p>
        </w:tc>
        <w:tc>
          <w:tcPr>
            <w:tcW w:w="4172" w:type="dxa"/>
          </w:tcPr>
          <w:p w14:paraId="2E4A9E06" w14:textId="3E6F6AB8" w:rsidR="00735925" w:rsidRPr="00465FD4" w:rsidRDefault="00735925"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Description</w:t>
            </w:r>
          </w:p>
        </w:tc>
        <w:tc>
          <w:tcPr>
            <w:tcW w:w="3006" w:type="dxa"/>
          </w:tcPr>
          <w:p w14:paraId="7F9D166E" w14:textId="2C884836" w:rsidR="00735925" w:rsidRPr="00465FD4" w:rsidRDefault="00735925"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Source</w:t>
            </w:r>
          </w:p>
        </w:tc>
      </w:tr>
      <w:tr w:rsidR="00735925" w14:paraId="39B1D751" w14:textId="77777777" w:rsidTr="00033F9C">
        <w:tc>
          <w:tcPr>
            <w:tcW w:w="1838" w:type="dxa"/>
          </w:tcPr>
          <w:p w14:paraId="6ACE0EB0" w14:textId="0E4AA303" w:rsidR="00735925" w:rsidRPr="00465FD4" w:rsidRDefault="003F5342"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G</w:t>
            </w:r>
            <w:r w:rsidR="00033F9C" w:rsidRPr="00465FD4">
              <w:rPr>
                <w:rFonts w:ascii="Times New Roman" w:hAnsi="Times New Roman" w:cs="Times New Roman"/>
                <w:sz w:val="24"/>
                <w:szCs w:val="24"/>
              </w:rPr>
              <w:t>S</w:t>
            </w:r>
            <w:r w:rsidRPr="00465FD4">
              <w:rPr>
                <w:rFonts w:ascii="Times New Roman" w:hAnsi="Times New Roman" w:cs="Times New Roman"/>
                <w:sz w:val="24"/>
                <w:szCs w:val="24"/>
              </w:rPr>
              <w:t>DP</w:t>
            </w:r>
          </w:p>
        </w:tc>
        <w:tc>
          <w:tcPr>
            <w:tcW w:w="4172" w:type="dxa"/>
          </w:tcPr>
          <w:p w14:paraId="7E167743" w14:textId="6465826E" w:rsidR="00735925" w:rsidRPr="00D47C0F" w:rsidRDefault="00ED03A6"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 xml:space="preserve">It is expected that GDP </w:t>
            </w:r>
            <w:proofErr w:type="gramStart"/>
            <w:r w:rsidRPr="00D47C0F">
              <w:rPr>
                <w:rFonts w:ascii="Times New Roman" w:hAnsi="Times New Roman" w:cs="Times New Roman"/>
                <w:sz w:val="24"/>
                <w:szCs w:val="24"/>
              </w:rPr>
              <w:t>growth  will</w:t>
            </w:r>
            <w:proofErr w:type="gramEnd"/>
            <w:r w:rsidRPr="00D47C0F">
              <w:rPr>
                <w:rFonts w:ascii="Times New Roman" w:hAnsi="Times New Roman" w:cs="Times New Roman"/>
                <w:sz w:val="24"/>
                <w:szCs w:val="24"/>
              </w:rPr>
              <w:t xml:space="preserve"> have </w:t>
            </w:r>
            <w:r w:rsidR="00326C6F" w:rsidRPr="00D47C0F">
              <w:rPr>
                <w:rFonts w:ascii="Times New Roman" w:hAnsi="Times New Roman" w:cs="Times New Roman"/>
                <w:sz w:val="24"/>
                <w:szCs w:val="24"/>
              </w:rPr>
              <w:t xml:space="preserve">a </w:t>
            </w:r>
            <w:r w:rsidRPr="00D47C0F">
              <w:rPr>
                <w:rFonts w:ascii="Times New Roman" w:hAnsi="Times New Roman" w:cs="Times New Roman"/>
                <w:sz w:val="24"/>
                <w:szCs w:val="24"/>
              </w:rPr>
              <w:t xml:space="preserve">positive impact on </w:t>
            </w:r>
            <w:r w:rsidR="006438B3" w:rsidRPr="00D47C0F">
              <w:rPr>
                <w:rFonts w:ascii="Times New Roman" w:hAnsi="Times New Roman" w:cs="Times New Roman"/>
                <w:sz w:val="24"/>
                <w:szCs w:val="24"/>
              </w:rPr>
              <w:t>educational</w:t>
            </w:r>
            <w:r w:rsidRPr="00D47C0F">
              <w:rPr>
                <w:rFonts w:ascii="Times New Roman" w:hAnsi="Times New Roman" w:cs="Times New Roman"/>
                <w:sz w:val="24"/>
                <w:szCs w:val="24"/>
              </w:rPr>
              <w:t xml:space="preserve"> credit</w:t>
            </w:r>
          </w:p>
        </w:tc>
        <w:tc>
          <w:tcPr>
            <w:tcW w:w="3006" w:type="dxa"/>
          </w:tcPr>
          <w:p w14:paraId="3EEA32F6" w14:textId="0DDCE80F" w:rsidR="00735925" w:rsidRPr="00D47C0F" w:rsidRDefault="00ED03A6" w:rsidP="000364B7">
            <w:pPr>
              <w:spacing w:line="480" w:lineRule="auto"/>
              <w:jc w:val="both"/>
              <w:rPr>
                <w:rFonts w:ascii="Times New Roman" w:hAnsi="Times New Roman" w:cs="Times New Roman"/>
                <w:sz w:val="24"/>
                <w:szCs w:val="24"/>
              </w:rPr>
            </w:pPr>
            <w:proofErr w:type="spellStart"/>
            <w:r w:rsidRPr="00D47C0F">
              <w:rPr>
                <w:rFonts w:ascii="Times New Roman" w:hAnsi="Times New Roman" w:cs="Times New Roman"/>
                <w:sz w:val="24"/>
                <w:szCs w:val="24"/>
              </w:rPr>
              <w:t>Krajnakova</w:t>
            </w:r>
            <w:proofErr w:type="spellEnd"/>
            <w:r w:rsidRPr="00D47C0F">
              <w:rPr>
                <w:rFonts w:ascii="Times New Roman" w:hAnsi="Times New Roman" w:cs="Times New Roman"/>
                <w:sz w:val="24"/>
                <w:szCs w:val="24"/>
              </w:rPr>
              <w:t xml:space="preserve"> et.</w:t>
            </w:r>
            <w:r w:rsidR="006438B3">
              <w:rPr>
                <w:rFonts w:ascii="Times New Roman" w:hAnsi="Times New Roman" w:cs="Times New Roman"/>
                <w:sz w:val="24"/>
                <w:szCs w:val="24"/>
              </w:rPr>
              <w:t xml:space="preserve"> </w:t>
            </w:r>
            <w:r w:rsidR="006438B3" w:rsidRPr="00D47C0F">
              <w:rPr>
                <w:rFonts w:ascii="Times New Roman" w:hAnsi="Times New Roman" w:cs="Times New Roman"/>
                <w:sz w:val="24"/>
                <w:szCs w:val="24"/>
              </w:rPr>
              <w:t>A</w:t>
            </w:r>
            <w:r w:rsidRPr="00D47C0F">
              <w:rPr>
                <w:rFonts w:ascii="Times New Roman" w:hAnsi="Times New Roman" w:cs="Times New Roman"/>
                <w:sz w:val="24"/>
                <w:szCs w:val="24"/>
              </w:rPr>
              <w:t>l</w:t>
            </w:r>
            <w:r w:rsidR="006438B3">
              <w:rPr>
                <w:rFonts w:ascii="Times New Roman" w:hAnsi="Times New Roman" w:cs="Times New Roman"/>
                <w:sz w:val="24"/>
                <w:szCs w:val="24"/>
              </w:rPr>
              <w:t>.,</w:t>
            </w:r>
            <w:r w:rsidRPr="00D47C0F">
              <w:rPr>
                <w:rFonts w:ascii="Times New Roman" w:hAnsi="Times New Roman" w:cs="Times New Roman"/>
                <w:sz w:val="24"/>
                <w:szCs w:val="24"/>
              </w:rPr>
              <w:t xml:space="preserve"> 2020</w:t>
            </w:r>
          </w:p>
        </w:tc>
      </w:tr>
      <w:tr w:rsidR="00735925" w14:paraId="1A5D5122" w14:textId="77777777" w:rsidTr="00033F9C">
        <w:tc>
          <w:tcPr>
            <w:tcW w:w="1838" w:type="dxa"/>
          </w:tcPr>
          <w:p w14:paraId="769E10FE" w14:textId="0348D8E1" w:rsidR="00524EBF" w:rsidRPr="00465FD4" w:rsidRDefault="00524EBF"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GER</w:t>
            </w:r>
          </w:p>
        </w:tc>
        <w:tc>
          <w:tcPr>
            <w:tcW w:w="4172" w:type="dxa"/>
          </w:tcPr>
          <w:p w14:paraId="28FEE6EC" w14:textId="3043F827" w:rsidR="00735925" w:rsidRPr="00D47C0F" w:rsidRDefault="00524EBF"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A positive impact of GER is expected on the educational credit</w:t>
            </w:r>
          </w:p>
        </w:tc>
        <w:tc>
          <w:tcPr>
            <w:tcW w:w="3006" w:type="dxa"/>
          </w:tcPr>
          <w:p w14:paraId="55EDAEF2" w14:textId="274463DA" w:rsidR="00735925" w:rsidRPr="00D47C0F" w:rsidRDefault="00336E65"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Rani</w:t>
            </w:r>
            <w:r w:rsidR="006438B3">
              <w:rPr>
                <w:rFonts w:ascii="Times New Roman" w:hAnsi="Times New Roman" w:cs="Times New Roman"/>
                <w:sz w:val="24"/>
                <w:szCs w:val="24"/>
              </w:rPr>
              <w:t>,</w:t>
            </w:r>
            <w:r w:rsidR="00465FD4">
              <w:rPr>
                <w:rFonts w:ascii="Times New Roman" w:hAnsi="Times New Roman" w:cs="Times New Roman"/>
                <w:sz w:val="24"/>
                <w:szCs w:val="24"/>
              </w:rPr>
              <w:t xml:space="preserve"> </w:t>
            </w:r>
            <w:r w:rsidRPr="00D47C0F">
              <w:rPr>
                <w:rFonts w:ascii="Times New Roman" w:hAnsi="Times New Roman" w:cs="Times New Roman"/>
                <w:sz w:val="24"/>
                <w:szCs w:val="24"/>
              </w:rPr>
              <w:t>2017</w:t>
            </w:r>
          </w:p>
        </w:tc>
      </w:tr>
      <w:tr w:rsidR="00735925" w14:paraId="3BDAE45A" w14:textId="77777777" w:rsidTr="00033F9C">
        <w:tc>
          <w:tcPr>
            <w:tcW w:w="1838" w:type="dxa"/>
          </w:tcPr>
          <w:p w14:paraId="08FE4951" w14:textId="6D1FBF57" w:rsidR="00735925" w:rsidRPr="00465FD4" w:rsidRDefault="00524EBF"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Bank Branches</w:t>
            </w:r>
          </w:p>
        </w:tc>
        <w:tc>
          <w:tcPr>
            <w:tcW w:w="4172" w:type="dxa"/>
          </w:tcPr>
          <w:p w14:paraId="1E4F523D" w14:textId="5F6CE006" w:rsidR="00735925" w:rsidRPr="00D47C0F" w:rsidRDefault="00524EBF"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Higher the bank branches higher the credit availability</w:t>
            </w:r>
          </w:p>
        </w:tc>
        <w:tc>
          <w:tcPr>
            <w:tcW w:w="3006" w:type="dxa"/>
          </w:tcPr>
          <w:p w14:paraId="6412AF45" w14:textId="05B76F9A" w:rsidR="00735925" w:rsidRPr="00D47C0F" w:rsidRDefault="00596792"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Bai and Lin</w:t>
            </w:r>
            <w:r w:rsidR="006438B3">
              <w:rPr>
                <w:rFonts w:ascii="Times New Roman" w:hAnsi="Times New Roman" w:cs="Times New Roman"/>
                <w:sz w:val="24"/>
                <w:szCs w:val="24"/>
              </w:rPr>
              <w:t>,</w:t>
            </w:r>
            <w:r w:rsidR="00465FD4">
              <w:rPr>
                <w:rFonts w:ascii="Times New Roman" w:hAnsi="Times New Roman" w:cs="Times New Roman"/>
                <w:sz w:val="24"/>
                <w:szCs w:val="24"/>
              </w:rPr>
              <w:t xml:space="preserve"> </w:t>
            </w:r>
            <w:r w:rsidRPr="00D47C0F">
              <w:rPr>
                <w:rFonts w:ascii="Times New Roman" w:hAnsi="Times New Roman" w:cs="Times New Roman"/>
                <w:sz w:val="24"/>
                <w:szCs w:val="24"/>
              </w:rPr>
              <w:t>2022</w:t>
            </w:r>
          </w:p>
        </w:tc>
      </w:tr>
      <w:tr w:rsidR="00735925" w14:paraId="69CCDDE1" w14:textId="77777777" w:rsidTr="00033F9C">
        <w:tc>
          <w:tcPr>
            <w:tcW w:w="1838" w:type="dxa"/>
          </w:tcPr>
          <w:p w14:paraId="577714F4" w14:textId="51FBD613" w:rsidR="00735925" w:rsidRPr="00465FD4" w:rsidRDefault="00524EBF"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Educational Institution</w:t>
            </w:r>
          </w:p>
        </w:tc>
        <w:tc>
          <w:tcPr>
            <w:tcW w:w="4172" w:type="dxa"/>
          </w:tcPr>
          <w:p w14:paraId="0E6BC0B1" w14:textId="63114F95" w:rsidR="00735925" w:rsidRPr="00D47C0F" w:rsidRDefault="00524EBF"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 xml:space="preserve">A positive association is expected between credit and number of </w:t>
            </w:r>
            <w:r w:rsidR="007A4876" w:rsidRPr="00D47C0F">
              <w:rPr>
                <w:rFonts w:ascii="Times New Roman" w:hAnsi="Times New Roman" w:cs="Times New Roman"/>
                <w:sz w:val="24"/>
                <w:szCs w:val="24"/>
              </w:rPr>
              <w:t>educational</w:t>
            </w:r>
            <w:r w:rsidRPr="00D47C0F">
              <w:rPr>
                <w:rFonts w:ascii="Times New Roman" w:hAnsi="Times New Roman" w:cs="Times New Roman"/>
                <w:sz w:val="24"/>
                <w:szCs w:val="24"/>
              </w:rPr>
              <w:t xml:space="preserve"> </w:t>
            </w:r>
            <w:r w:rsidR="003E7496" w:rsidRPr="00D47C0F">
              <w:rPr>
                <w:rFonts w:ascii="Times New Roman" w:hAnsi="Times New Roman" w:cs="Times New Roman"/>
                <w:sz w:val="24"/>
                <w:szCs w:val="24"/>
              </w:rPr>
              <w:t>institutions</w:t>
            </w:r>
            <w:r w:rsidRPr="00D47C0F">
              <w:rPr>
                <w:rFonts w:ascii="Times New Roman" w:hAnsi="Times New Roman" w:cs="Times New Roman"/>
                <w:sz w:val="24"/>
                <w:szCs w:val="24"/>
              </w:rPr>
              <w:t xml:space="preserve"> in a state</w:t>
            </w:r>
          </w:p>
        </w:tc>
        <w:tc>
          <w:tcPr>
            <w:tcW w:w="3006" w:type="dxa"/>
          </w:tcPr>
          <w:p w14:paraId="56CBF6EE" w14:textId="69410C68" w:rsidR="00735925" w:rsidRPr="00D47C0F" w:rsidRDefault="00915DFA"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Rani</w:t>
            </w:r>
            <w:r w:rsidR="006438B3">
              <w:rPr>
                <w:rFonts w:ascii="Times New Roman" w:hAnsi="Times New Roman" w:cs="Times New Roman"/>
                <w:sz w:val="24"/>
                <w:szCs w:val="24"/>
              </w:rPr>
              <w:t>,</w:t>
            </w:r>
            <w:r w:rsidR="00465FD4">
              <w:rPr>
                <w:rFonts w:ascii="Times New Roman" w:hAnsi="Times New Roman" w:cs="Times New Roman"/>
                <w:sz w:val="24"/>
                <w:szCs w:val="24"/>
              </w:rPr>
              <w:t xml:space="preserve"> </w:t>
            </w:r>
            <w:r w:rsidRPr="00D47C0F">
              <w:rPr>
                <w:rFonts w:ascii="Times New Roman" w:hAnsi="Times New Roman" w:cs="Times New Roman"/>
                <w:sz w:val="24"/>
                <w:szCs w:val="24"/>
              </w:rPr>
              <w:t>2017</w:t>
            </w:r>
          </w:p>
        </w:tc>
      </w:tr>
    </w:tbl>
    <w:p w14:paraId="04E33B6A" w14:textId="08DF1902" w:rsidR="00382A93" w:rsidRPr="0022754E" w:rsidRDefault="006438B3"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Various studies from 2017-2022.</w:t>
      </w:r>
    </w:p>
    <w:p w14:paraId="41CAD062" w14:textId="77777777"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 Results and Discussion</w:t>
      </w:r>
    </w:p>
    <w:p w14:paraId="7FD00434" w14:textId="77777777"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Descriptive Statistics</w:t>
      </w:r>
    </w:p>
    <w:p w14:paraId="2EAEE061" w14:textId="0B0CD766" w:rsidR="00733E0E" w:rsidRPr="00733E0E" w:rsidRDefault="00733E0E" w:rsidP="000364B7">
      <w:pPr>
        <w:spacing w:line="480" w:lineRule="auto"/>
        <w:jc w:val="both"/>
        <w:rPr>
          <w:rFonts w:ascii="Times New Roman" w:hAnsi="Times New Roman" w:cs="Times New Roman"/>
          <w:sz w:val="24"/>
          <w:szCs w:val="24"/>
        </w:rPr>
      </w:pPr>
      <w:r w:rsidRPr="00733E0E">
        <w:rPr>
          <w:rFonts w:ascii="Times New Roman" w:hAnsi="Times New Roman" w:cs="Times New Roman"/>
          <w:sz w:val="24"/>
          <w:szCs w:val="24"/>
        </w:rPr>
        <w:t xml:space="preserve">Figure 1 provides the distribution of educational credit under priority sector lending across the regions of India in the year 2022. The Reserve Bank of India has classified the states into the </w:t>
      </w:r>
      <w:r w:rsidRPr="00733E0E">
        <w:rPr>
          <w:rFonts w:ascii="Times New Roman" w:hAnsi="Times New Roman" w:cs="Times New Roman"/>
          <w:sz w:val="24"/>
          <w:szCs w:val="24"/>
        </w:rPr>
        <w:lastRenderedPageBreak/>
        <w:t>north, north-east, east, central, west, and south regions. The Reserve Bank of India has guided the categorization process. The northern region comprises Haryana, Himanchal Pradesh, Jammu &amp; Kashmir, Punjab, Rajasthan, Chandigarh, and Delhi. States under the North Eastern region are Arunachal Pradesh, Assam, Manipur, Meghalaya, Mizoram, Nagaland, and Tripura. The eastern region comprises Bihar, Jharkhand, Odisha, West Bengal, and Andaman Nicobar Islands. States belonging to the central region are Chhattisgarh, Madhya Pradesh, Uttar Pradesh, and Uttarakhand. Goa, Gujarat, Maharashtra, Dadra &amp; Nagar Haveli, and Daman &amp; Diu belong to the western region. The southern region comprises states like Andhra Pradesh, Karnataka, Kerala, Tamil Nadu, Lakshadweep, Puducherry, and Telangana.</w:t>
      </w:r>
      <w:r w:rsidR="00C40419">
        <w:rPr>
          <w:rFonts w:ascii="Times New Roman" w:hAnsi="Times New Roman" w:cs="Times New Roman"/>
          <w:sz w:val="24"/>
          <w:szCs w:val="24"/>
        </w:rPr>
        <w:t xml:space="preserve"> Figure 1 shows the region wise distribution of credit to higher education under priority sector lending for year 2022.</w:t>
      </w:r>
    </w:p>
    <w:p w14:paraId="5E51ADB1" w14:textId="6D9A9C98" w:rsidR="00067CD5" w:rsidRDefault="004B38AD" w:rsidP="000364B7">
      <w:pPr>
        <w:spacing w:line="480" w:lineRule="auto"/>
        <w:jc w:val="both"/>
        <w:rPr>
          <w:rFonts w:ascii="Times New Roman" w:hAnsi="Times New Roman" w:cs="Times New Roman"/>
          <w:sz w:val="24"/>
          <w:szCs w:val="24"/>
        </w:rPr>
      </w:pPr>
      <w:r w:rsidRPr="00733E0E">
        <w:rPr>
          <w:rFonts w:ascii="Times New Roman" w:hAnsi="Times New Roman" w:cs="Times New Roman"/>
          <w:b/>
          <w:bCs/>
          <w:sz w:val="24"/>
          <w:szCs w:val="24"/>
        </w:rPr>
        <w:t xml:space="preserve">Figure 1: </w:t>
      </w:r>
      <w:r w:rsidR="00697BF3" w:rsidRPr="00733E0E">
        <w:rPr>
          <w:rFonts w:ascii="Times New Roman" w:hAnsi="Times New Roman" w:cs="Times New Roman"/>
          <w:b/>
          <w:bCs/>
          <w:sz w:val="24"/>
          <w:szCs w:val="24"/>
        </w:rPr>
        <w:t>Region-wide</w:t>
      </w:r>
      <w:r w:rsidRPr="00733E0E">
        <w:rPr>
          <w:rFonts w:ascii="Times New Roman" w:hAnsi="Times New Roman" w:cs="Times New Roman"/>
          <w:b/>
          <w:bCs/>
          <w:sz w:val="24"/>
          <w:szCs w:val="24"/>
        </w:rPr>
        <w:t xml:space="preserve"> distribution of credit to </w:t>
      </w:r>
      <w:r w:rsidR="00697BF3" w:rsidRPr="00733E0E">
        <w:rPr>
          <w:rFonts w:ascii="Times New Roman" w:hAnsi="Times New Roman" w:cs="Times New Roman"/>
          <w:b/>
          <w:bCs/>
          <w:sz w:val="24"/>
          <w:szCs w:val="24"/>
        </w:rPr>
        <w:t xml:space="preserve">the </w:t>
      </w:r>
      <w:r w:rsidRPr="00733E0E">
        <w:rPr>
          <w:rFonts w:ascii="Times New Roman" w:hAnsi="Times New Roman" w:cs="Times New Roman"/>
          <w:b/>
          <w:bCs/>
          <w:sz w:val="24"/>
          <w:szCs w:val="24"/>
        </w:rPr>
        <w:t>educational sector under priority sector lending, 2022</w:t>
      </w:r>
      <w:r w:rsidR="00067CD5">
        <w:rPr>
          <w:rFonts w:ascii="Times New Roman" w:hAnsi="Times New Roman" w:cs="Times New Roman"/>
          <w:sz w:val="24"/>
          <w:szCs w:val="24"/>
        </w:rPr>
        <w:t xml:space="preserve"> </w:t>
      </w:r>
    </w:p>
    <w:p w14:paraId="14756978" w14:textId="1F5B3B88" w:rsidR="00A97A64" w:rsidRDefault="00A97A64" w:rsidP="000364B7">
      <w:pPr>
        <w:spacing w:line="480" w:lineRule="auto"/>
        <w:jc w:val="both"/>
        <w:rPr>
          <w:rFonts w:ascii="Times New Roman" w:hAnsi="Times New Roman" w:cs="Times New Roman"/>
          <w:sz w:val="24"/>
          <w:szCs w:val="24"/>
        </w:rPr>
      </w:pPr>
      <w:r>
        <w:rPr>
          <w:noProof/>
        </w:rPr>
        <w:drawing>
          <wp:inline distT="0" distB="0" distL="0" distR="0" wp14:anchorId="0A078ED3" wp14:editId="58BD3C61">
            <wp:extent cx="5676900" cy="2590800"/>
            <wp:effectExtent l="0" t="0" r="0" b="0"/>
            <wp:docPr id="577702376" name="Chart 1">
              <a:extLst xmlns:a="http://schemas.openxmlformats.org/drawingml/2006/main">
                <a:ext uri="{FF2B5EF4-FFF2-40B4-BE49-F238E27FC236}">
                  <a16:creationId xmlns:a16="http://schemas.microsoft.com/office/drawing/2014/main" id="{5FDEA098-E60C-91A5-98E8-C81943F84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044FD9" w14:textId="4FED5E1B" w:rsidR="004B38AD" w:rsidRPr="0022754E" w:rsidRDefault="004B38AD" w:rsidP="000364B7">
      <w:pPr>
        <w:spacing w:line="480" w:lineRule="auto"/>
        <w:jc w:val="both"/>
        <w:rPr>
          <w:rFonts w:ascii="Times New Roman" w:hAnsi="Times New Roman" w:cs="Times New Roman"/>
          <w:b/>
          <w:bCs/>
          <w:sz w:val="24"/>
          <w:szCs w:val="24"/>
        </w:rPr>
      </w:pPr>
      <w:r w:rsidRPr="0022754E">
        <w:rPr>
          <w:rFonts w:ascii="Times New Roman" w:hAnsi="Times New Roman" w:cs="Times New Roman"/>
          <w:b/>
          <w:bCs/>
          <w:sz w:val="24"/>
          <w:szCs w:val="24"/>
        </w:rPr>
        <w:t xml:space="preserve">Source: </w:t>
      </w:r>
      <w:r w:rsidR="00697BF3" w:rsidRPr="0022754E">
        <w:rPr>
          <w:rFonts w:ascii="Times New Roman" w:hAnsi="Times New Roman" w:cs="Times New Roman"/>
          <w:b/>
          <w:bCs/>
          <w:sz w:val="24"/>
          <w:szCs w:val="24"/>
        </w:rPr>
        <w:t xml:space="preserve">Based on the Handbook of </w:t>
      </w:r>
      <w:r w:rsidR="0022754E">
        <w:rPr>
          <w:rFonts w:ascii="Times New Roman" w:hAnsi="Times New Roman" w:cs="Times New Roman"/>
          <w:b/>
          <w:bCs/>
          <w:sz w:val="24"/>
          <w:szCs w:val="24"/>
        </w:rPr>
        <w:t>Statistics</w:t>
      </w:r>
      <w:r w:rsidR="00697BF3" w:rsidRPr="0022754E">
        <w:rPr>
          <w:rFonts w:ascii="Times New Roman" w:hAnsi="Times New Roman" w:cs="Times New Roman"/>
          <w:b/>
          <w:bCs/>
          <w:sz w:val="24"/>
          <w:szCs w:val="24"/>
        </w:rPr>
        <w:t xml:space="preserve"> on Indian States</w:t>
      </w:r>
    </w:p>
    <w:p w14:paraId="5E2FD556" w14:textId="77777777" w:rsidR="0070772E" w:rsidRDefault="0070772E" w:rsidP="000364B7">
      <w:pPr>
        <w:spacing w:line="480" w:lineRule="auto"/>
        <w:jc w:val="both"/>
        <w:rPr>
          <w:rFonts w:ascii="Times New Roman" w:hAnsi="Times New Roman" w:cs="Times New Roman"/>
          <w:sz w:val="24"/>
          <w:szCs w:val="24"/>
        </w:rPr>
      </w:pPr>
    </w:p>
    <w:p w14:paraId="4031AB26" w14:textId="40457A65" w:rsidR="007A479B" w:rsidRPr="00176E2F" w:rsidRDefault="00733E0E" w:rsidP="000364B7">
      <w:pPr>
        <w:spacing w:line="480" w:lineRule="auto"/>
        <w:jc w:val="both"/>
        <w:rPr>
          <w:rFonts w:ascii="Times New Roman" w:hAnsi="Times New Roman" w:cs="Times New Roman"/>
          <w:sz w:val="24"/>
          <w:szCs w:val="24"/>
        </w:rPr>
      </w:pPr>
      <w:r w:rsidRPr="00733E0E">
        <w:rPr>
          <w:rFonts w:ascii="Times New Roman" w:hAnsi="Times New Roman" w:cs="Times New Roman"/>
          <w:sz w:val="24"/>
          <w:szCs w:val="24"/>
        </w:rPr>
        <w:lastRenderedPageBreak/>
        <w:t>According to the data, the southern states have</w:t>
      </w:r>
      <w:r w:rsidR="006945AA">
        <w:rPr>
          <w:rFonts w:ascii="Times New Roman" w:hAnsi="Times New Roman" w:cs="Times New Roman"/>
          <w:sz w:val="24"/>
          <w:szCs w:val="24"/>
        </w:rPr>
        <w:t xml:space="preserve"> </w:t>
      </w:r>
      <w:r w:rsidR="00F655FD">
        <w:rPr>
          <w:rFonts w:ascii="Times New Roman" w:hAnsi="Times New Roman" w:cs="Times New Roman"/>
          <w:sz w:val="24"/>
          <w:szCs w:val="24"/>
        </w:rPr>
        <w:t>received</w:t>
      </w:r>
      <w:r w:rsidRPr="00733E0E">
        <w:rPr>
          <w:rFonts w:ascii="Times New Roman" w:hAnsi="Times New Roman" w:cs="Times New Roman"/>
          <w:sz w:val="24"/>
          <w:szCs w:val="24"/>
        </w:rPr>
        <w:t xml:space="preserve"> the highest amount of credit provision, making up 30 percent of the total credit. The northern states are also close in terms of credit received, accounting for 29 percent of the total. Western states have been allocated 22 percent of the total credit. The northeastern states receive a meagre credit allocation, amounting to a just one percent of the entire credit. The eastern states have been allocated 8 percent of the total credit. While the central region, which includes states such as Uttar Pradesh, Madhya Pradesh, and Uttarakhand, with the highest population, is receiving only 10 percent of the overall loan from the educational sector and priority sector financing.</w:t>
      </w:r>
    </w:p>
    <w:p w14:paraId="4B7AEEE4" w14:textId="1151E9DF" w:rsidR="00296E08" w:rsidRPr="001E7C96" w:rsidRDefault="00735925" w:rsidP="000364B7">
      <w:pPr>
        <w:spacing w:after="0" w:line="48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b/>
          <w:bCs/>
          <w:sz w:val="24"/>
          <w:szCs w:val="24"/>
        </w:rPr>
        <w:t xml:space="preserve">3.2 </w:t>
      </w:r>
      <w:r w:rsidRPr="002832DB">
        <w:rPr>
          <w:rFonts w:ascii="Times New Roman" w:hAnsi="Times New Roman" w:cs="Times New Roman"/>
          <w:b/>
          <w:bCs/>
          <w:sz w:val="24"/>
          <w:szCs w:val="24"/>
        </w:rPr>
        <w:t xml:space="preserve">Disparity in the </w:t>
      </w:r>
      <w:r w:rsidR="00296E08">
        <w:rPr>
          <w:rFonts w:ascii="Times New Roman" w:hAnsi="Times New Roman" w:cs="Times New Roman"/>
          <w:b/>
          <w:bCs/>
          <w:sz w:val="24"/>
          <w:szCs w:val="24"/>
        </w:rPr>
        <w:t>D</w:t>
      </w:r>
      <w:r w:rsidR="00296E08" w:rsidRPr="002832DB">
        <w:rPr>
          <w:rFonts w:ascii="Times New Roman" w:hAnsi="Times New Roman" w:cs="Times New Roman"/>
          <w:b/>
          <w:bCs/>
          <w:sz w:val="24"/>
          <w:szCs w:val="24"/>
        </w:rPr>
        <w:t xml:space="preserve">istribution </w:t>
      </w:r>
      <w:r w:rsidRPr="002832DB">
        <w:rPr>
          <w:rFonts w:ascii="Times New Roman" w:hAnsi="Times New Roman" w:cs="Times New Roman"/>
          <w:b/>
          <w:bCs/>
          <w:sz w:val="24"/>
          <w:szCs w:val="24"/>
        </w:rPr>
        <w:t xml:space="preserve">of </w:t>
      </w:r>
      <w:r w:rsidR="00296E08">
        <w:rPr>
          <w:rFonts w:ascii="Times New Roman" w:hAnsi="Times New Roman" w:cs="Times New Roman"/>
          <w:b/>
          <w:bCs/>
          <w:sz w:val="24"/>
          <w:szCs w:val="24"/>
        </w:rPr>
        <w:t>C</w:t>
      </w:r>
      <w:r w:rsidR="00296E08" w:rsidRPr="002832DB">
        <w:rPr>
          <w:rFonts w:ascii="Times New Roman" w:hAnsi="Times New Roman" w:cs="Times New Roman"/>
          <w:b/>
          <w:bCs/>
          <w:sz w:val="24"/>
          <w:szCs w:val="24"/>
        </w:rPr>
        <w:t xml:space="preserve">redit </w:t>
      </w:r>
      <w:r w:rsidRPr="002832DB">
        <w:rPr>
          <w:rFonts w:ascii="Times New Roman" w:hAnsi="Times New Roman" w:cs="Times New Roman"/>
          <w:b/>
          <w:bCs/>
          <w:sz w:val="24"/>
          <w:szCs w:val="24"/>
        </w:rPr>
        <w:t xml:space="preserve">across </w:t>
      </w:r>
      <w:r w:rsidR="00296E08">
        <w:rPr>
          <w:rFonts w:ascii="Times New Roman" w:hAnsi="Times New Roman" w:cs="Times New Roman"/>
          <w:b/>
          <w:bCs/>
          <w:sz w:val="24"/>
          <w:szCs w:val="24"/>
        </w:rPr>
        <w:t>S</w:t>
      </w:r>
      <w:r w:rsidR="00296E08" w:rsidRPr="002832DB">
        <w:rPr>
          <w:rFonts w:ascii="Times New Roman" w:hAnsi="Times New Roman" w:cs="Times New Roman"/>
          <w:b/>
          <w:bCs/>
          <w:sz w:val="24"/>
          <w:szCs w:val="24"/>
        </w:rPr>
        <w:t xml:space="preserve">tates </w:t>
      </w:r>
      <w:r w:rsidR="00296E08">
        <w:rPr>
          <w:rFonts w:ascii="Times New Roman" w:hAnsi="Times New Roman" w:cs="Times New Roman"/>
          <w:b/>
          <w:bCs/>
          <w:sz w:val="24"/>
          <w:szCs w:val="24"/>
        </w:rPr>
        <w:t>in</w:t>
      </w:r>
      <w:r w:rsidR="00296E08" w:rsidRPr="002832DB">
        <w:rPr>
          <w:rFonts w:ascii="Times New Roman" w:hAnsi="Times New Roman" w:cs="Times New Roman"/>
          <w:b/>
          <w:bCs/>
          <w:sz w:val="24"/>
          <w:szCs w:val="24"/>
        </w:rPr>
        <w:t xml:space="preserve"> </w:t>
      </w:r>
      <w:r w:rsidRPr="002832DB">
        <w:rPr>
          <w:rFonts w:ascii="Times New Roman" w:hAnsi="Times New Roman" w:cs="Times New Roman"/>
          <w:b/>
          <w:bCs/>
          <w:sz w:val="24"/>
          <w:szCs w:val="24"/>
        </w:rPr>
        <w:t xml:space="preserve">India </w:t>
      </w:r>
      <w:r w:rsidR="006945AA">
        <w:rPr>
          <w:rFonts w:ascii="Times New Roman" w:eastAsia="Times New Roman" w:hAnsi="Times New Roman" w:cs="Times New Roman"/>
          <w:kern w:val="0"/>
          <w:sz w:val="24"/>
          <w:szCs w:val="24"/>
          <w:lang w:eastAsia="en-IN"/>
          <w14:ligatures w14:val="none"/>
        </w:rPr>
        <w:t xml:space="preserve">Credit allocation to the state in terms of percentage share with India level is given in table </w:t>
      </w:r>
      <w:r w:rsidR="00D13F78">
        <w:rPr>
          <w:rFonts w:ascii="Times New Roman" w:eastAsia="Times New Roman" w:hAnsi="Times New Roman" w:cs="Times New Roman"/>
          <w:kern w:val="0"/>
          <w:sz w:val="24"/>
          <w:szCs w:val="24"/>
          <w:lang w:eastAsia="en-IN"/>
          <w14:ligatures w14:val="none"/>
        </w:rPr>
        <w:t>2</w:t>
      </w:r>
      <w:r w:rsidR="00016C5D">
        <w:rPr>
          <w:rFonts w:ascii="Times New Roman" w:eastAsia="Times New Roman" w:hAnsi="Times New Roman" w:cs="Times New Roman"/>
          <w:kern w:val="0"/>
          <w:sz w:val="24"/>
          <w:szCs w:val="24"/>
          <w:lang w:eastAsia="en-IN"/>
          <w14:ligatures w14:val="none"/>
        </w:rPr>
        <w:t xml:space="preserve">. </w:t>
      </w:r>
      <w:r w:rsidR="00296E08" w:rsidRPr="001E7C96">
        <w:rPr>
          <w:rFonts w:ascii="Times New Roman" w:eastAsia="Times New Roman" w:hAnsi="Times New Roman" w:cs="Times New Roman"/>
          <w:kern w:val="0"/>
          <w:sz w:val="24"/>
          <w:szCs w:val="24"/>
          <w:lang w:eastAsia="en-IN"/>
          <w14:ligatures w14:val="none"/>
        </w:rPr>
        <w:t>This table</w:t>
      </w:r>
      <w:r w:rsidR="00296E08">
        <w:rPr>
          <w:rFonts w:ascii="Times New Roman" w:eastAsia="Times New Roman" w:hAnsi="Times New Roman" w:cs="Times New Roman"/>
          <w:kern w:val="0"/>
          <w:sz w:val="24"/>
          <w:szCs w:val="24"/>
          <w:lang w:eastAsia="en-IN"/>
          <w14:ligatures w14:val="none"/>
        </w:rPr>
        <w:t xml:space="preserve"> </w:t>
      </w:r>
      <w:r w:rsidR="00296E08" w:rsidRPr="001E7C96">
        <w:rPr>
          <w:rFonts w:ascii="Times New Roman" w:eastAsia="Times New Roman" w:hAnsi="Times New Roman" w:cs="Times New Roman"/>
          <w:kern w:val="0"/>
          <w:sz w:val="24"/>
          <w:szCs w:val="24"/>
          <w:lang w:eastAsia="en-IN"/>
          <w14:ligatures w14:val="none"/>
        </w:rPr>
        <w:t xml:space="preserve">demonstrates </w:t>
      </w:r>
      <w:r w:rsidR="007F7307">
        <w:rPr>
          <w:rFonts w:ascii="Times New Roman" w:eastAsia="Times New Roman" w:hAnsi="Times New Roman" w:cs="Times New Roman"/>
          <w:kern w:val="0"/>
          <w:sz w:val="24"/>
          <w:szCs w:val="24"/>
          <w:lang w:eastAsia="en-IN"/>
          <w14:ligatures w14:val="none"/>
        </w:rPr>
        <w:t xml:space="preserve">a </w:t>
      </w:r>
      <w:r w:rsidR="00296E08" w:rsidRPr="001E7C96">
        <w:rPr>
          <w:rFonts w:ascii="Times New Roman" w:eastAsia="Times New Roman" w:hAnsi="Times New Roman" w:cs="Times New Roman"/>
          <w:kern w:val="0"/>
          <w:sz w:val="24"/>
          <w:szCs w:val="24"/>
          <w:lang w:eastAsia="en-IN"/>
          <w14:ligatures w14:val="none"/>
        </w:rPr>
        <w:t xml:space="preserve">significant disparity in the distribution percentage among various </w:t>
      </w:r>
      <w:r w:rsidR="00016C5D">
        <w:rPr>
          <w:rFonts w:ascii="Times New Roman" w:eastAsia="Times New Roman" w:hAnsi="Times New Roman" w:cs="Times New Roman"/>
          <w:kern w:val="0"/>
          <w:sz w:val="24"/>
          <w:szCs w:val="24"/>
          <w:lang w:eastAsia="en-IN"/>
          <w14:ligatures w14:val="none"/>
        </w:rPr>
        <w:t xml:space="preserve">state.  </w:t>
      </w:r>
      <w:r w:rsidR="00296E08" w:rsidRPr="001E7C96">
        <w:rPr>
          <w:rFonts w:ascii="Times New Roman" w:eastAsia="Times New Roman" w:hAnsi="Times New Roman" w:cs="Times New Roman"/>
          <w:kern w:val="0"/>
          <w:sz w:val="24"/>
          <w:szCs w:val="24"/>
          <w:lang w:eastAsia="en-IN"/>
          <w14:ligatures w14:val="none"/>
        </w:rPr>
        <w:t>Most states have experienced a decrease in the share % of educational credit, with the exception of a few states such as Kerala, Meghalaya, Jharkhand, Goa, and Lakshadweep, which have had a rise in their overall credit for education. In 2016, the states of Karnataka, Jammu and Kashmir, Bihar, Puducherry, and Uttar Pradesh allocated a greater proportion of their priority sector loans for education. Nevertheless, all of these states exhibit a diminishing trend in their respective shares from 2016 to 2022.</w:t>
      </w:r>
    </w:p>
    <w:p w14:paraId="2537F8BA" w14:textId="77777777" w:rsidR="00296E08" w:rsidRDefault="00296E08" w:rsidP="000364B7">
      <w:pPr>
        <w:spacing w:line="480" w:lineRule="auto"/>
        <w:jc w:val="both"/>
        <w:rPr>
          <w:rFonts w:ascii="Times New Roman" w:hAnsi="Times New Roman" w:cs="Times New Roman"/>
          <w:b/>
          <w:bCs/>
          <w:sz w:val="24"/>
          <w:szCs w:val="24"/>
        </w:rPr>
      </w:pPr>
    </w:p>
    <w:p w14:paraId="339F5FC8" w14:textId="359B3ADB" w:rsidR="007F061C" w:rsidRPr="002832DB" w:rsidRDefault="006312E1" w:rsidP="000364B7">
      <w:pPr>
        <w:spacing w:after="0"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Table</w:t>
      </w:r>
      <w:r w:rsidR="00930138">
        <w:rPr>
          <w:rFonts w:ascii="Times New Roman" w:hAnsi="Times New Roman" w:cs="Times New Roman"/>
          <w:b/>
          <w:bCs/>
          <w:sz w:val="24"/>
          <w:szCs w:val="24"/>
        </w:rPr>
        <w:t xml:space="preserve"> </w:t>
      </w:r>
      <w:r w:rsidR="00D13F78">
        <w:rPr>
          <w:rFonts w:ascii="Times New Roman" w:hAnsi="Times New Roman" w:cs="Times New Roman"/>
          <w:b/>
          <w:bCs/>
          <w:sz w:val="24"/>
          <w:szCs w:val="24"/>
        </w:rPr>
        <w:t>2</w:t>
      </w:r>
      <w:r w:rsidR="007A479B">
        <w:rPr>
          <w:rFonts w:ascii="Times New Roman" w:hAnsi="Times New Roman" w:cs="Times New Roman"/>
          <w:b/>
          <w:bCs/>
          <w:sz w:val="24"/>
          <w:szCs w:val="24"/>
        </w:rPr>
        <w:t>:</w:t>
      </w:r>
      <w:r w:rsidRPr="002832DB">
        <w:rPr>
          <w:rFonts w:ascii="Times New Roman" w:hAnsi="Times New Roman" w:cs="Times New Roman"/>
          <w:b/>
          <w:bCs/>
          <w:sz w:val="24"/>
          <w:szCs w:val="24"/>
        </w:rPr>
        <w:t xml:space="preserve"> Percentage share of </w:t>
      </w:r>
      <w:r w:rsidR="00296E08" w:rsidRPr="002832DB">
        <w:rPr>
          <w:rFonts w:ascii="Times New Roman" w:hAnsi="Times New Roman" w:cs="Times New Roman"/>
          <w:b/>
          <w:bCs/>
          <w:sz w:val="24"/>
          <w:szCs w:val="24"/>
        </w:rPr>
        <w:t>educational</w:t>
      </w:r>
      <w:r w:rsidRPr="002832DB">
        <w:rPr>
          <w:rFonts w:ascii="Times New Roman" w:hAnsi="Times New Roman" w:cs="Times New Roman"/>
          <w:b/>
          <w:bCs/>
          <w:sz w:val="24"/>
          <w:szCs w:val="24"/>
        </w:rPr>
        <w:t xml:space="preserve"> credit to the total credit across the states of India</w:t>
      </w:r>
    </w:p>
    <w:tbl>
      <w:tblPr>
        <w:tblStyle w:val="TableGrid"/>
        <w:tblW w:w="0" w:type="auto"/>
        <w:tblLook w:val="04A0" w:firstRow="1" w:lastRow="0" w:firstColumn="1" w:lastColumn="0" w:noHBand="0" w:noVBand="1"/>
      </w:tblPr>
      <w:tblGrid>
        <w:gridCol w:w="744"/>
        <w:gridCol w:w="1378"/>
        <w:gridCol w:w="1693"/>
        <w:gridCol w:w="743"/>
        <w:gridCol w:w="743"/>
        <w:gridCol w:w="743"/>
        <w:gridCol w:w="743"/>
        <w:gridCol w:w="743"/>
        <w:gridCol w:w="743"/>
        <w:gridCol w:w="743"/>
      </w:tblGrid>
      <w:tr w:rsidR="00834923" w:rsidRPr="00834923" w14:paraId="0129732E" w14:textId="77777777" w:rsidTr="00834923">
        <w:trPr>
          <w:trHeight w:val="288"/>
        </w:trPr>
        <w:tc>
          <w:tcPr>
            <w:tcW w:w="744" w:type="dxa"/>
            <w:noWrap/>
            <w:hideMark/>
          </w:tcPr>
          <w:p w14:paraId="593DC6D1" w14:textId="77777777" w:rsidR="00834923" w:rsidRPr="00834923" w:rsidRDefault="00834923" w:rsidP="000364B7">
            <w:pPr>
              <w:spacing w:line="480" w:lineRule="auto"/>
              <w:jc w:val="both"/>
              <w:rPr>
                <w:rFonts w:ascii="Times New Roman" w:hAnsi="Times New Roman" w:cs="Times New Roman"/>
                <w:sz w:val="24"/>
                <w:szCs w:val="24"/>
              </w:rPr>
            </w:pPr>
          </w:p>
        </w:tc>
        <w:tc>
          <w:tcPr>
            <w:tcW w:w="1378" w:type="dxa"/>
            <w:noWrap/>
            <w:hideMark/>
          </w:tcPr>
          <w:p w14:paraId="3201165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6EC20BD2" w14:textId="77777777" w:rsidR="00834923" w:rsidRPr="00834923" w:rsidRDefault="00834923" w:rsidP="000364B7">
            <w:pPr>
              <w:spacing w:line="480" w:lineRule="auto"/>
              <w:jc w:val="both"/>
              <w:rPr>
                <w:rFonts w:ascii="Times New Roman" w:hAnsi="Times New Roman" w:cs="Times New Roman"/>
                <w:sz w:val="24"/>
                <w:szCs w:val="24"/>
              </w:rPr>
            </w:pPr>
          </w:p>
        </w:tc>
        <w:tc>
          <w:tcPr>
            <w:tcW w:w="5201" w:type="dxa"/>
            <w:gridSpan w:val="7"/>
            <w:noWrap/>
            <w:hideMark/>
          </w:tcPr>
          <w:p w14:paraId="254C74CC"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Year</w:t>
            </w:r>
          </w:p>
        </w:tc>
      </w:tr>
      <w:tr w:rsidR="00834923" w:rsidRPr="00834923" w14:paraId="181B6AD8" w14:textId="77777777" w:rsidTr="00834923">
        <w:trPr>
          <w:trHeight w:val="288"/>
        </w:trPr>
        <w:tc>
          <w:tcPr>
            <w:tcW w:w="744" w:type="dxa"/>
            <w:noWrap/>
            <w:hideMark/>
          </w:tcPr>
          <w:p w14:paraId="2E34609D" w14:textId="77777777" w:rsidR="00834923" w:rsidRPr="00834923" w:rsidRDefault="00834923" w:rsidP="000364B7">
            <w:pPr>
              <w:spacing w:line="480" w:lineRule="auto"/>
              <w:jc w:val="both"/>
              <w:rPr>
                <w:rFonts w:ascii="Times New Roman" w:hAnsi="Times New Roman" w:cs="Times New Roman"/>
                <w:b/>
                <w:bCs/>
                <w:sz w:val="24"/>
                <w:szCs w:val="24"/>
              </w:rPr>
            </w:pPr>
          </w:p>
        </w:tc>
        <w:tc>
          <w:tcPr>
            <w:tcW w:w="1378" w:type="dxa"/>
            <w:noWrap/>
            <w:hideMark/>
          </w:tcPr>
          <w:p w14:paraId="2A6B23A8"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Region</w:t>
            </w:r>
          </w:p>
        </w:tc>
        <w:tc>
          <w:tcPr>
            <w:tcW w:w="1693" w:type="dxa"/>
            <w:noWrap/>
            <w:hideMark/>
          </w:tcPr>
          <w:p w14:paraId="6B43A0FC"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State</w:t>
            </w:r>
          </w:p>
        </w:tc>
        <w:tc>
          <w:tcPr>
            <w:tcW w:w="743" w:type="dxa"/>
            <w:noWrap/>
            <w:hideMark/>
          </w:tcPr>
          <w:p w14:paraId="1C83C78B"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2016</w:t>
            </w:r>
          </w:p>
        </w:tc>
        <w:tc>
          <w:tcPr>
            <w:tcW w:w="743" w:type="dxa"/>
            <w:noWrap/>
            <w:hideMark/>
          </w:tcPr>
          <w:p w14:paraId="068ACF3B"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2017</w:t>
            </w:r>
          </w:p>
        </w:tc>
        <w:tc>
          <w:tcPr>
            <w:tcW w:w="743" w:type="dxa"/>
            <w:noWrap/>
            <w:hideMark/>
          </w:tcPr>
          <w:p w14:paraId="163CB299"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2018</w:t>
            </w:r>
          </w:p>
        </w:tc>
        <w:tc>
          <w:tcPr>
            <w:tcW w:w="743" w:type="dxa"/>
            <w:noWrap/>
            <w:hideMark/>
          </w:tcPr>
          <w:p w14:paraId="319C58D9"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2019</w:t>
            </w:r>
          </w:p>
        </w:tc>
        <w:tc>
          <w:tcPr>
            <w:tcW w:w="743" w:type="dxa"/>
            <w:noWrap/>
            <w:hideMark/>
          </w:tcPr>
          <w:p w14:paraId="56093853"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2020</w:t>
            </w:r>
          </w:p>
        </w:tc>
        <w:tc>
          <w:tcPr>
            <w:tcW w:w="743" w:type="dxa"/>
            <w:noWrap/>
            <w:hideMark/>
          </w:tcPr>
          <w:p w14:paraId="3AC2AA89"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2021</w:t>
            </w:r>
          </w:p>
        </w:tc>
        <w:tc>
          <w:tcPr>
            <w:tcW w:w="743" w:type="dxa"/>
            <w:noWrap/>
            <w:hideMark/>
          </w:tcPr>
          <w:p w14:paraId="59151033"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2022</w:t>
            </w:r>
          </w:p>
        </w:tc>
      </w:tr>
      <w:tr w:rsidR="00834923" w:rsidRPr="00834923" w14:paraId="6FE39283" w14:textId="77777777" w:rsidTr="00834923">
        <w:trPr>
          <w:trHeight w:val="288"/>
        </w:trPr>
        <w:tc>
          <w:tcPr>
            <w:tcW w:w="744" w:type="dxa"/>
            <w:noWrap/>
            <w:hideMark/>
          </w:tcPr>
          <w:p w14:paraId="6EDE8CA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w:t>
            </w:r>
          </w:p>
        </w:tc>
        <w:tc>
          <w:tcPr>
            <w:tcW w:w="1378" w:type="dxa"/>
            <w:noWrap/>
            <w:hideMark/>
          </w:tcPr>
          <w:p w14:paraId="6AC7A92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Northern Region</w:t>
            </w:r>
          </w:p>
        </w:tc>
        <w:tc>
          <w:tcPr>
            <w:tcW w:w="1693" w:type="dxa"/>
            <w:noWrap/>
            <w:hideMark/>
          </w:tcPr>
          <w:p w14:paraId="08B0409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Haryana</w:t>
            </w:r>
          </w:p>
        </w:tc>
        <w:tc>
          <w:tcPr>
            <w:tcW w:w="743" w:type="dxa"/>
            <w:noWrap/>
            <w:hideMark/>
          </w:tcPr>
          <w:p w14:paraId="6CA9AB9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2.42</w:t>
            </w:r>
          </w:p>
        </w:tc>
        <w:tc>
          <w:tcPr>
            <w:tcW w:w="743" w:type="dxa"/>
            <w:noWrap/>
            <w:hideMark/>
          </w:tcPr>
          <w:p w14:paraId="4429243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2.40</w:t>
            </w:r>
          </w:p>
        </w:tc>
        <w:tc>
          <w:tcPr>
            <w:tcW w:w="743" w:type="dxa"/>
            <w:noWrap/>
            <w:hideMark/>
          </w:tcPr>
          <w:p w14:paraId="7960043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2.32</w:t>
            </w:r>
          </w:p>
        </w:tc>
        <w:tc>
          <w:tcPr>
            <w:tcW w:w="743" w:type="dxa"/>
            <w:noWrap/>
            <w:hideMark/>
          </w:tcPr>
          <w:p w14:paraId="738E737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0.97</w:t>
            </w:r>
          </w:p>
        </w:tc>
        <w:tc>
          <w:tcPr>
            <w:tcW w:w="743" w:type="dxa"/>
            <w:noWrap/>
            <w:hideMark/>
          </w:tcPr>
          <w:p w14:paraId="3AF0932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0.97</w:t>
            </w:r>
          </w:p>
        </w:tc>
        <w:tc>
          <w:tcPr>
            <w:tcW w:w="743" w:type="dxa"/>
            <w:noWrap/>
            <w:hideMark/>
          </w:tcPr>
          <w:p w14:paraId="3A49B01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0.94</w:t>
            </w:r>
          </w:p>
        </w:tc>
        <w:tc>
          <w:tcPr>
            <w:tcW w:w="743" w:type="dxa"/>
            <w:noWrap/>
            <w:hideMark/>
          </w:tcPr>
          <w:p w14:paraId="37F5E87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0.77</w:t>
            </w:r>
          </w:p>
        </w:tc>
      </w:tr>
      <w:tr w:rsidR="00834923" w:rsidRPr="00834923" w14:paraId="7C5702AD" w14:textId="77777777" w:rsidTr="00834923">
        <w:trPr>
          <w:trHeight w:val="288"/>
        </w:trPr>
        <w:tc>
          <w:tcPr>
            <w:tcW w:w="744" w:type="dxa"/>
            <w:noWrap/>
            <w:hideMark/>
          </w:tcPr>
          <w:p w14:paraId="0878ACC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lastRenderedPageBreak/>
              <w:t>2</w:t>
            </w:r>
          </w:p>
        </w:tc>
        <w:tc>
          <w:tcPr>
            <w:tcW w:w="1378" w:type="dxa"/>
            <w:noWrap/>
            <w:hideMark/>
          </w:tcPr>
          <w:p w14:paraId="1888BABD"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070AED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Himachal Pradesh</w:t>
            </w:r>
          </w:p>
        </w:tc>
        <w:tc>
          <w:tcPr>
            <w:tcW w:w="743" w:type="dxa"/>
            <w:noWrap/>
            <w:hideMark/>
          </w:tcPr>
          <w:p w14:paraId="0DF0413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1.41</w:t>
            </w:r>
          </w:p>
        </w:tc>
        <w:tc>
          <w:tcPr>
            <w:tcW w:w="743" w:type="dxa"/>
            <w:noWrap/>
            <w:hideMark/>
          </w:tcPr>
          <w:p w14:paraId="55022C3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1.47</w:t>
            </w:r>
          </w:p>
        </w:tc>
        <w:tc>
          <w:tcPr>
            <w:tcW w:w="743" w:type="dxa"/>
            <w:noWrap/>
            <w:hideMark/>
          </w:tcPr>
          <w:p w14:paraId="4F6779B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1.32</w:t>
            </w:r>
          </w:p>
        </w:tc>
        <w:tc>
          <w:tcPr>
            <w:tcW w:w="743" w:type="dxa"/>
            <w:noWrap/>
            <w:hideMark/>
          </w:tcPr>
          <w:p w14:paraId="4FB5811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2.17</w:t>
            </w:r>
          </w:p>
        </w:tc>
        <w:tc>
          <w:tcPr>
            <w:tcW w:w="743" w:type="dxa"/>
            <w:noWrap/>
            <w:hideMark/>
          </w:tcPr>
          <w:p w14:paraId="0125B21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2.17</w:t>
            </w:r>
          </w:p>
        </w:tc>
        <w:tc>
          <w:tcPr>
            <w:tcW w:w="743" w:type="dxa"/>
            <w:noWrap/>
            <w:hideMark/>
          </w:tcPr>
          <w:p w14:paraId="1E2CC27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1.83</w:t>
            </w:r>
          </w:p>
        </w:tc>
        <w:tc>
          <w:tcPr>
            <w:tcW w:w="743" w:type="dxa"/>
            <w:noWrap/>
            <w:hideMark/>
          </w:tcPr>
          <w:p w14:paraId="362D20F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1.59</w:t>
            </w:r>
          </w:p>
        </w:tc>
      </w:tr>
      <w:tr w:rsidR="00834923" w:rsidRPr="00834923" w14:paraId="12ECEF14" w14:textId="77777777" w:rsidTr="00834923">
        <w:trPr>
          <w:trHeight w:val="288"/>
        </w:trPr>
        <w:tc>
          <w:tcPr>
            <w:tcW w:w="744" w:type="dxa"/>
            <w:noWrap/>
            <w:hideMark/>
          </w:tcPr>
          <w:p w14:paraId="310EA5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w:t>
            </w:r>
          </w:p>
        </w:tc>
        <w:tc>
          <w:tcPr>
            <w:tcW w:w="1378" w:type="dxa"/>
            <w:noWrap/>
            <w:hideMark/>
          </w:tcPr>
          <w:p w14:paraId="1A005156"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93D1AB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Jammu &amp; Kashmir</w:t>
            </w:r>
          </w:p>
        </w:tc>
        <w:tc>
          <w:tcPr>
            <w:tcW w:w="743" w:type="dxa"/>
            <w:noWrap/>
            <w:hideMark/>
          </w:tcPr>
          <w:p w14:paraId="5836F3D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5.76</w:t>
            </w:r>
          </w:p>
        </w:tc>
        <w:tc>
          <w:tcPr>
            <w:tcW w:w="743" w:type="dxa"/>
            <w:noWrap/>
            <w:hideMark/>
          </w:tcPr>
          <w:p w14:paraId="4F344CC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5.85</w:t>
            </w:r>
          </w:p>
        </w:tc>
        <w:tc>
          <w:tcPr>
            <w:tcW w:w="743" w:type="dxa"/>
            <w:noWrap/>
            <w:hideMark/>
          </w:tcPr>
          <w:p w14:paraId="24723C7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5.25</w:t>
            </w:r>
          </w:p>
        </w:tc>
        <w:tc>
          <w:tcPr>
            <w:tcW w:w="743" w:type="dxa"/>
            <w:noWrap/>
            <w:hideMark/>
          </w:tcPr>
          <w:p w14:paraId="4D85A63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1.21</w:t>
            </w:r>
          </w:p>
        </w:tc>
        <w:tc>
          <w:tcPr>
            <w:tcW w:w="743" w:type="dxa"/>
            <w:noWrap/>
            <w:hideMark/>
          </w:tcPr>
          <w:p w14:paraId="1B45C2A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1.21</w:t>
            </w:r>
          </w:p>
        </w:tc>
        <w:tc>
          <w:tcPr>
            <w:tcW w:w="743" w:type="dxa"/>
            <w:noWrap/>
            <w:hideMark/>
          </w:tcPr>
          <w:p w14:paraId="5E4854A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1.34</w:t>
            </w:r>
          </w:p>
        </w:tc>
        <w:tc>
          <w:tcPr>
            <w:tcW w:w="743" w:type="dxa"/>
            <w:noWrap/>
            <w:hideMark/>
          </w:tcPr>
          <w:p w14:paraId="17E3A2E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1.16</w:t>
            </w:r>
          </w:p>
        </w:tc>
      </w:tr>
      <w:tr w:rsidR="00834923" w:rsidRPr="00834923" w14:paraId="45512754" w14:textId="77777777" w:rsidTr="00834923">
        <w:trPr>
          <w:trHeight w:val="288"/>
        </w:trPr>
        <w:tc>
          <w:tcPr>
            <w:tcW w:w="744" w:type="dxa"/>
            <w:noWrap/>
            <w:hideMark/>
          </w:tcPr>
          <w:p w14:paraId="269C9B7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w:t>
            </w:r>
          </w:p>
        </w:tc>
        <w:tc>
          <w:tcPr>
            <w:tcW w:w="1378" w:type="dxa"/>
            <w:noWrap/>
            <w:hideMark/>
          </w:tcPr>
          <w:p w14:paraId="61053630"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FFCC95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Punjab</w:t>
            </w:r>
          </w:p>
        </w:tc>
        <w:tc>
          <w:tcPr>
            <w:tcW w:w="743" w:type="dxa"/>
            <w:noWrap/>
            <w:hideMark/>
          </w:tcPr>
          <w:p w14:paraId="3FC5231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0.84</w:t>
            </w:r>
          </w:p>
        </w:tc>
        <w:tc>
          <w:tcPr>
            <w:tcW w:w="743" w:type="dxa"/>
            <w:noWrap/>
            <w:hideMark/>
          </w:tcPr>
          <w:p w14:paraId="08E0E9D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0.87</w:t>
            </w:r>
          </w:p>
        </w:tc>
        <w:tc>
          <w:tcPr>
            <w:tcW w:w="743" w:type="dxa"/>
            <w:noWrap/>
            <w:hideMark/>
          </w:tcPr>
          <w:p w14:paraId="377718C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6EFE249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0.92</w:t>
            </w:r>
          </w:p>
        </w:tc>
        <w:tc>
          <w:tcPr>
            <w:tcW w:w="743" w:type="dxa"/>
            <w:noWrap/>
            <w:hideMark/>
          </w:tcPr>
          <w:p w14:paraId="26CEABB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0.92</w:t>
            </w:r>
          </w:p>
        </w:tc>
        <w:tc>
          <w:tcPr>
            <w:tcW w:w="743" w:type="dxa"/>
            <w:noWrap/>
            <w:hideMark/>
          </w:tcPr>
          <w:p w14:paraId="619D826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0.86</w:t>
            </w:r>
          </w:p>
        </w:tc>
        <w:tc>
          <w:tcPr>
            <w:tcW w:w="743" w:type="dxa"/>
            <w:noWrap/>
            <w:hideMark/>
          </w:tcPr>
          <w:p w14:paraId="72A1D40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0.77</w:t>
            </w:r>
          </w:p>
        </w:tc>
      </w:tr>
      <w:tr w:rsidR="00834923" w:rsidRPr="00834923" w14:paraId="142D5692" w14:textId="77777777" w:rsidTr="00834923">
        <w:trPr>
          <w:trHeight w:val="288"/>
        </w:trPr>
        <w:tc>
          <w:tcPr>
            <w:tcW w:w="744" w:type="dxa"/>
            <w:noWrap/>
            <w:hideMark/>
          </w:tcPr>
          <w:p w14:paraId="555EA0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w:t>
            </w:r>
          </w:p>
        </w:tc>
        <w:tc>
          <w:tcPr>
            <w:tcW w:w="1378" w:type="dxa"/>
            <w:noWrap/>
            <w:hideMark/>
          </w:tcPr>
          <w:p w14:paraId="2A387B3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3DB031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Rajasthan</w:t>
            </w:r>
          </w:p>
        </w:tc>
        <w:tc>
          <w:tcPr>
            <w:tcW w:w="743" w:type="dxa"/>
            <w:noWrap/>
            <w:hideMark/>
          </w:tcPr>
          <w:p w14:paraId="141309C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1.17</w:t>
            </w:r>
          </w:p>
        </w:tc>
        <w:tc>
          <w:tcPr>
            <w:tcW w:w="743" w:type="dxa"/>
            <w:noWrap/>
            <w:hideMark/>
          </w:tcPr>
          <w:p w14:paraId="396A475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c>
          <w:tcPr>
            <w:tcW w:w="743" w:type="dxa"/>
            <w:noWrap/>
            <w:hideMark/>
          </w:tcPr>
          <w:p w14:paraId="3D3FDC1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0.95</w:t>
            </w:r>
          </w:p>
        </w:tc>
        <w:tc>
          <w:tcPr>
            <w:tcW w:w="743" w:type="dxa"/>
            <w:noWrap/>
            <w:hideMark/>
          </w:tcPr>
          <w:p w14:paraId="55EAAE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0.83</w:t>
            </w:r>
          </w:p>
        </w:tc>
        <w:tc>
          <w:tcPr>
            <w:tcW w:w="743" w:type="dxa"/>
            <w:noWrap/>
            <w:hideMark/>
          </w:tcPr>
          <w:p w14:paraId="272E95C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0.83</w:t>
            </w:r>
          </w:p>
        </w:tc>
        <w:tc>
          <w:tcPr>
            <w:tcW w:w="743" w:type="dxa"/>
            <w:noWrap/>
            <w:hideMark/>
          </w:tcPr>
          <w:p w14:paraId="41357F5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0.75</w:t>
            </w:r>
          </w:p>
        </w:tc>
        <w:tc>
          <w:tcPr>
            <w:tcW w:w="743" w:type="dxa"/>
            <w:noWrap/>
            <w:hideMark/>
          </w:tcPr>
          <w:p w14:paraId="3C61EF7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0.65</w:t>
            </w:r>
          </w:p>
        </w:tc>
      </w:tr>
      <w:tr w:rsidR="00834923" w:rsidRPr="00834923" w14:paraId="52876D77" w14:textId="77777777" w:rsidTr="00834923">
        <w:trPr>
          <w:trHeight w:val="288"/>
        </w:trPr>
        <w:tc>
          <w:tcPr>
            <w:tcW w:w="744" w:type="dxa"/>
            <w:noWrap/>
            <w:hideMark/>
          </w:tcPr>
          <w:p w14:paraId="2A5ECF7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6</w:t>
            </w:r>
          </w:p>
        </w:tc>
        <w:tc>
          <w:tcPr>
            <w:tcW w:w="1378" w:type="dxa"/>
            <w:noWrap/>
            <w:hideMark/>
          </w:tcPr>
          <w:p w14:paraId="124908EE"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6E8550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Delhi</w:t>
            </w:r>
          </w:p>
        </w:tc>
        <w:tc>
          <w:tcPr>
            <w:tcW w:w="743" w:type="dxa"/>
            <w:noWrap/>
            <w:hideMark/>
          </w:tcPr>
          <w:p w14:paraId="6A119FD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1.36</w:t>
            </w:r>
          </w:p>
        </w:tc>
        <w:tc>
          <w:tcPr>
            <w:tcW w:w="743" w:type="dxa"/>
            <w:noWrap/>
            <w:hideMark/>
          </w:tcPr>
          <w:p w14:paraId="412ECA5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1.66</w:t>
            </w:r>
          </w:p>
        </w:tc>
        <w:tc>
          <w:tcPr>
            <w:tcW w:w="743" w:type="dxa"/>
            <w:noWrap/>
            <w:hideMark/>
          </w:tcPr>
          <w:p w14:paraId="3B15120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1.71</w:t>
            </w:r>
          </w:p>
        </w:tc>
        <w:tc>
          <w:tcPr>
            <w:tcW w:w="743" w:type="dxa"/>
            <w:noWrap/>
            <w:hideMark/>
          </w:tcPr>
          <w:p w14:paraId="326210C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0.79</w:t>
            </w:r>
          </w:p>
        </w:tc>
        <w:tc>
          <w:tcPr>
            <w:tcW w:w="743" w:type="dxa"/>
            <w:noWrap/>
            <w:hideMark/>
          </w:tcPr>
          <w:p w14:paraId="772B7C6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0.79</w:t>
            </w:r>
          </w:p>
        </w:tc>
        <w:tc>
          <w:tcPr>
            <w:tcW w:w="743" w:type="dxa"/>
            <w:noWrap/>
            <w:hideMark/>
          </w:tcPr>
          <w:p w14:paraId="5A4FBBB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3FE1BFC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0.74</w:t>
            </w:r>
          </w:p>
        </w:tc>
      </w:tr>
      <w:tr w:rsidR="00834923" w:rsidRPr="00834923" w14:paraId="260AC75C" w14:textId="77777777" w:rsidTr="00834923">
        <w:trPr>
          <w:trHeight w:val="288"/>
        </w:trPr>
        <w:tc>
          <w:tcPr>
            <w:tcW w:w="744" w:type="dxa"/>
            <w:noWrap/>
            <w:hideMark/>
          </w:tcPr>
          <w:p w14:paraId="307F5A3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7</w:t>
            </w:r>
          </w:p>
        </w:tc>
        <w:tc>
          <w:tcPr>
            <w:tcW w:w="1378" w:type="dxa"/>
            <w:noWrap/>
            <w:hideMark/>
          </w:tcPr>
          <w:p w14:paraId="20B44CEB" w14:textId="77777777" w:rsidR="00834923" w:rsidRPr="00834923" w:rsidRDefault="00834923" w:rsidP="000364B7">
            <w:pPr>
              <w:spacing w:line="480" w:lineRule="auto"/>
              <w:jc w:val="both"/>
              <w:rPr>
                <w:rFonts w:ascii="Times New Roman" w:hAnsi="Times New Roman" w:cs="Times New Roman"/>
                <w:sz w:val="24"/>
                <w:szCs w:val="24"/>
              </w:rPr>
            </w:pPr>
            <w:proofErr w:type="spellStart"/>
            <w:r w:rsidRPr="00834923">
              <w:rPr>
                <w:rFonts w:ascii="Times New Roman" w:hAnsi="Times New Roman" w:cs="Times New Roman"/>
                <w:sz w:val="24"/>
                <w:szCs w:val="24"/>
              </w:rPr>
              <w:t>Northerth</w:t>
            </w:r>
            <w:proofErr w:type="spellEnd"/>
            <w:r w:rsidRPr="00834923">
              <w:rPr>
                <w:rFonts w:ascii="Times New Roman" w:hAnsi="Times New Roman" w:cs="Times New Roman"/>
                <w:sz w:val="24"/>
                <w:szCs w:val="24"/>
              </w:rPr>
              <w:t xml:space="preserve"> Eastern Region</w:t>
            </w:r>
          </w:p>
        </w:tc>
        <w:tc>
          <w:tcPr>
            <w:tcW w:w="1693" w:type="dxa"/>
            <w:noWrap/>
            <w:hideMark/>
          </w:tcPr>
          <w:p w14:paraId="3FF7868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Andaman &amp; Nicobar</w:t>
            </w:r>
          </w:p>
        </w:tc>
        <w:tc>
          <w:tcPr>
            <w:tcW w:w="743" w:type="dxa"/>
            <w:noWrap/>
            <w:hideMark/>
          </w:tcPr>
          <w:p w14:paraId="15F1850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2.38</w:t>
            </w:r>
          </w:p>
        </w:tc>
        <w:tc>
          <w:tcPr>
            <w:tcW w:w="743" w:type="dxa"/>
            <w:noWrap/>
            <w:hideMark/>
          </w:tcPr>
          <w:p w14:paraId="6D88FAB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2.19</w:t>
            </w:r>
          </w:p>
        </w:tc>
        <w:tc>
          <w:tcPr>
            <w:tcW w:w="743" w:type="dxa"/>
            <w:noWrap/>
            <w:hideMark/>
          </w:tcPr>
          <w:p w14:paraId="3B06250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1.61</w:t>
            </w:r>
          </w:p>
        </w:tc>
        <w:tc>
          <w:tcPr>
            <w:tcW w:w="743" w:type="dxa"/>
            <w:noWrap/>
            <w:hideMark/>
          </w:tcPr>
          <w:p w14:paraId="75C7576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7B701C4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16F982F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1.28</w:t>
            </w:r>
          </w:p>
        </w:tc>
        <w:tc>
          <w:tcPr>
            <w:tcW w:w="743" w:type="dxa"/>
            <w:noWrap/>
            <w:hideMark/>
          </w:tcPr>
          <w:p w14:paraId="7D22405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1.18</w:t>
            </w:r>
          </w:p>
        </w:tc>
      </w:tr>
      <w:tr w:rsidR="00834923" w:rsidRPr="00834923" w14:paraId="2C796EEC" w14:textId="77777777" w:rsidTr="00834923">
        <w:trPr>
          <w:trHeight w:val="288"/>
        </w:trPr>
        <w:tc>
          <w:tcPr>
            <w:tcW w:w="744" w:type="dxa"/>
            <w:noWrap/>
            <w:hideMark/>
          </w:tcPr>
          <w:p w14:paraId="068EDD2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8</w:t>
            </w:r>
          </w:p>
        </w:tc>
        <w:tc>
          <w:tcPr>
            <w:tcW w:w="1378" w:type="dxa"/>
            <w:noWrap/>
            <w:hideMark/>
          </w:tcPr>
          <w:p w14:paraId="31C7EF80"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E3BC76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Arunachal Pradesh</w:t>
            </w:r>
          </w:p>
        </w:tc>
        <w:tc>
          <w:tcPr>
            <w:tcW w:w="743" w:type="dxa"/>
            <w:noWrap/>
            <w:hideMark/>
          </w:tcPr>
          <w:p w14:paraId="365DCCA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1.92</w:t>
            </w:r>
          </w:p>
        </w:tc>
        <w:tc>
          <w:tcPr>
            <w:tcW w:w="743" w:type="dxa"/>
            <w:noWrap/>
            <w:hideMark/>
          </w:tcPr>
          <w:p w14:paraId="4781F84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1.80</w:t>
            </w:r>
          </w:p>
        </w:tc>
        <w:tc>
          <w:tcPr>
            <w:tcW w:w="743" w:type="dxa"/>
            <w:noWrap/>
            <w:hideMark/>
          </w:tcPr>
          <w:p w14:paraId="601E265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1.73</w:t>
            </w:r>
          </w:p>
        </w:tc>
        <w:tc>
          <w:tcPr>
            <w:tcW w:w="743" w:type="dxa"/>
            <w:noWrap/>
            <w:hideMark/>
          </w:tcPr>
          <w:p w14:paraId="7FB2999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01BA637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66857AA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1.01</w:t>
            </w:r>
          </w:p>
        </w:tc>
        <w:tc>
          <w:tcPr>
            <w:tcW w:w="743" w:type="dxa"/>
            <w:noWrap/>
            <w:hideMark/>
          </w:tcPr>
          <w:p w14:paraId="29BF570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0.87</w:t>
            </w:r>
          </w:p>
        </w:tc>
      </w:tr>
      <w:tr w:rsidR="00834923" w:rsidRPr="00834923" w14:paraId="60EBA657" w14:textId="77777777" w:rsidTr="00834923">
        <w:trPr>
          <w:trHeight w:val="288"/>
        </w:trPr>
        <w:tc>
          <w:tcPr>
            <w:tcW w:w="744" w:type="dxa"/>
            <w:noWrap/>
            <w:hideMark/>
          </w:tcPr>
          <w:p w14:paraId="49A117F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9</w:t>
            </w:r>
          </w:p>
        </w:tc>
        <w:tc>
          <w:tcPr>
            <w:tcW w:w="1378" w:type="dxa"/>
            <w:noWrap/>
            <w:hideMark/>
          </w:tcPr>
          <w:p w14:paraId="4422575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747CBBC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Manipur</w:t>
            </w:r>
          </w:p>
        </w:tc>
        <w:tc>
          <w:tcPr>
            <w:tcW w:w="743" w:type="dxa"/>
            <w:noWrap/>
            <w:hideMark/>
          </w:tcPr>
          <w:p w14:paraId="703CBD1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3.96</w:t>
            </w:r>
          </w:p>
        </w:tc>
        <w:tc>
          <w:tcPr>
            <w:tcW w:w="743" w:type="dxa"/>
            <w:noWrap/>
            <w:hideMark/>
          </w:tcPr>
          <w:p w14:paraId="652E5E7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1.94</w:t>
            </w:r>
          </w:p>
        </w:tc>
        <w:tc>
          <w:tcPr>
            <w:tcW w:w="743" w:type="dxa"/>
            <w:noWrap/>
            <w:hideMark/>
          </w:tcPr>
          <w:p w14:paraId="3EE9D51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5.07</w:t>
            </w:r>
          </w:p>
        </w:tc>
        <w:tc>
          <w:tcPr>
            <w:tcW w:w="743" w:type="dxa"/>
            <w:noWrap/>
            <w:hideMark/>
          </w:tcPr>
          <w:p w14:paraId="2BA19EF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1.44</w:t>
            </w:r>
          </w:p>
        </w:tc>
        <w:tc>
          <w:tcPr>
            <w:tcW w:w="743" w:type="dxa"/>
            <w:noWrap/>
            <w:hideMark/>
          </w:tcPr>
          <w:p w14:paraId="725D278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1.44</w:t>
            </w:r>
          </w:p>
        </w:tc>
        <w:tc>
          <w:tcPr>
            <w:tcW w:w="743" w:type="dxa"/>
            <w:noWrap/>
            <w:hideMark/>
          </w:tcPr>
          <w:p w14:paraId="7AC1404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1.52</w:t>
            </w:r>
          </w:p>
        </w:tc>
        <w:tc>
          <w:tcPr>
            <w:tcW w:w="743" w:type="dxa"/>
            <w:noWrap/>
            <w:hideMark/>
          </w:tcPr>
          <w:p w14:paraId="62CCABE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1.35</w:t>
            </w:r>
          </w:p>
        </w:tc>
      </w:tr>
      <w:tr w:rsidR="00834923" w:rsidRPr="00834923" w14:paraId="457C5F46" w14:textId="77777777" w:rsidTr="00834923">
        <w:trPr>
          <w:trHeight w:val="288"/>
        </w:trPr>
        <w:tc>
          <w:tcPr>
            <w:tcW w:w="744" w:type="dxa"/>
            <w:noWrap/>
            <w:hideMark/>
          </w:tcPr>
          <w:p w14:paraId="4B59474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w:t>
            </w:r>
          </w:p>
        </w:tc>
        <w:tc>
          <w:tcPr>
            <w:tcW w:w="1378" w:type="dxa"/>
            <w:noWrap/>
            <w:hideMark/>
          </w:tcPr>
          <w:p w14:paraId="3B0F2E74"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075E79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Nagaland</w:t>
            </w:r>
          </w:p>
        </w:tc>
        <w:tc>
          <w:tcPr>
            <w:tcW w:w="743" w:type="dxa"/>
            <w:noWrap/>
            <w:hideMark/>
          </w:tcPr>
          <w:p w14:paraId="56416DD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4.11</w:t>
            </w:r>
          </w:p>
        </w:tc>
        <w:tc>
          <w:tcPr>
            <w:tcW w:w="743" w:type="dxa"/>
            <w:noWrap/>
            <w:hideMark/>
          </w:tcPr>
          <w:p w14:paraId="271F5B2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3.81</w:t>
            </w:r>
          </w:p>
        </w:tc>
        <w:tc>
          <w:tcPr>
            <w:tcW w:w="743" w:type="dxa"/>
            <w:noWrap/>
            <w:hideMark/>
          </w:tcPr>
          <w:p w14:paraId="78F8815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3.15</w:t>
            </w:r>
          </w:p>
        </w:tc>
        <w:tc>
          <w:tcPr>
            <w:tcW w:w="743" w:type="dxa"/>
            <w:noWrap/>
            <w:hideMark/>
          </w:tcPr>
          <w:p w14:paraId="7085E9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5C54FA6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4316445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0.82</w:t>
            </w:r>
          </w:p>
        </w:tc>
        <w:tc>
          <w:tcPr>
            <w:tcW w:w="743" w:type="dxa"/>
            <w:noWrap/>
            <w:hideMark/>
          </w:tcPr>
          <w:p w14:paraId="4849778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0.78</w:t>
            </w:r>
          </w:p>
        </w:tc>
      </w:tr>
      <w:tr w:rsidR="00834923" w:rsidRPr="00834923" w14:paraId="7A371F29" w14:textId="77777777" w:rsidTr="00834923">
        <w:trPr>
          <w:trHeight w:val="288"/>
        </w:trPr>
        <w:tc>
          <w:tcPr>
            <w:tcW w:w="744" w:type="dxa"/>
            <w:noWrap/>
            <w:hideMark/>
          </w:tcPr>
          <w:p w14:paraId="4F5FCE5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w:t>
            </w:r>
          </w:p>
        </w:tc>
        <w:tc>
          <w:tcPr>
            <w:tcW w:w="1378" w:type="dxa"/>
            <w:noWrap/>
            <w:hideMark/>
          </w:tcPr>
          <w:p w14:paraId="297C4F4E"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20FB197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Meghalaya</w:t>
            </w:r>
          </w:p>
        </w:tc>
        <w:tc>
          <w:tcPr>
            <w:tcW w:w="743" w:type="dxa"/>
            <w:noWrap/>
            <w:hideMark/>
          </w:tcPr>
          <w:p w14:paraId="5C0B96B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1.12</w:t>
            </w:r>
          </w:p>
        </w:tc>
        <w:tc>
          <w:tcPr>
            <w:tcW w:w="743" w:type="dxa"/>
            <w:noWrap/>
            <w:hideMark/>
          </w:tcPr>
          <w:p w14:paraId="43A1805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1.22</w:t>
            </w:r>
          </w:p>
        </w:tc>
        <w:tc>
          <w:tcPr>
            <w:tcW w:w="743" w:type="dxa"/>
            <w:noWrap/>
            <w:hideMark/>
          </w:tcPr>
          <w:p w14:paraId="25C624C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1.26</w:t>
            </w:r>
          </w:p>
        </w:tc>
        <w:tc>
          <w:tcPr>
            <w:tcW w:w="743" w:type="dxa"/>
            <w:noWrap/>
            <w:hideMark/>
          </w:tcPr>
          <w:p w14:paraId="3D7D106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5.14</w:t>
            </w:r>
          </w:p>
        </w:tc>
        <w:tc>
          <w:tcPr>
            <w:tcW w:w="743" w:type="dxa"/>
            <w:noWrap/>
            <w:hideMark/>
          </w:tcPr>
          <w:p w14:paraId="01EBF94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5.14</w:t>
            </w:r>
          </w:p>
        </w:tc>
        <w:tc>
          <w:tcPr>
            <w:tcW w:w="743" w:type="dxa"/>
            <w:noWrap/>
            <w:hideMark/>
          </w:tcPr>
          <w:p w14:paraId="54C787F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5.16</w:t>
            </w:r>
          </w:p>
        </w:tc>
        <w:tc>
          <w:tcPr>
            <w:tcW w:w="743" w:type="dxa"/>
            <w:noWrap/>
            <w:hideMark/>
          </w:tcPr>
          <w:p w14:paraId="05B7E0C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4.74</w:t>
            </w:r>
          </w:p>
        </w:tc>
      </w:tr>
      <w:tr w:rsidR="00834923" w:rsidRPr="00834923" w14:paraId="6E0E28D9" w14:textId="77777777" w:rsidTr="00834923">
        <w:trPr>
          <w:trHeight w:val="288"/>
        </w:trPr>
        <w:tc>
          <w:tcPr>
            <w:tcW w:w="744" w:type="dxa"/>
            <w:noWrap/>
            <w:hideMark/>
          </w:tcPr>
          <w:p w14:paraId="2FB3652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w:t>
            </w:r>
          </w:p>
        </w:tc>
        <w:tc>
          <w:tcPr>
            <w:tcW w:w="1378" w:type="dxa"/>
            <w:noWrap/>
            <w:hideMark/>
          </w:tcPr>
          <w:p w14:paraId="103D3DCD"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8789BC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Tripura</w:t>
            </w:r>
          </w:p>
        </w:tc>
        <w:tc>
          <w:tcPr>
            <w:tcW w:w="743" w:type="dxa"/>
            <w:noWrap/>
            <w:hideMark/>
          </w:tcPr>
          <w:p w14:paraId="65FC942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1.89</w:t>
            </w:r>
          </w:p>
        </w:tc>
        <w:tc>
          <w:tcPr>
            <w:tcW w:w="743" w:type="dxa"/>
            <w:noWrap/>
            <w:hideMark/>
          </w:tcPr>
          <w:p w14:paraId="25CD8AB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1.77</w:t>
            </w:r>
          </w:p>
        </w:tc>
        <w:tc>
          <w:tcPr>
            <w:tcW w:w="743" w:type="dxa"/>
            <w:noWrap/>
            <w:hideMark/>
          </w:tcPr>
          <w:p w14:paraId="594F7EC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1.71</w:t>
            </w:r>
          </w:p>
        </w:tc>
        <w:tc>
          <w:tcPr>
            <w:tcW w:w="743" w:type="dxa"/>
            <w:noWrap/>
            <w:hideMark/>
          </w:tcPr>
          <w:p w14:paraId="59C03CA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1.59</w:t>
            </w:r>
          </w:p>
        </w:tc>
        <w:tc>
          <w:tcPr>
            <w:tcW w:w="743" w:type="dxa"/>
            <w:noWrap/>
            <w:hideMark/>
          </w:tcPr>
          <w:p w14:paraId="3EE4167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1.59</w:t>
            </w:r>
          </w:p>
        </w:tc>
        <w:tc>
          <w:tcPr>
            <w:tcW w:w="743" w:type="dxa"/>
            <w:noWrap/>
            <w:hideMark/>
          </w:tcPr>
          <w:p w14:paraId="4F3E520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1.27</w:t>
            </w:r>
          </w:p>
        </w:tc>
        <w:tc>
          <w:tcPr>
            <w:tcW w:w="743" w:type="dxa"/>
            <w:noWrap/>
            <w:hideMark/>
          </w:tcPr>
          <w:p w14:paraId="24DDDA5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1.47</w:t>
            </w:r>
          </w:p>
        </w:tc>
      </w:tr>
      <w:tr w:rsidR="00834923" w:rsidRPr="00834923" w14:paraId="6D547E5D" w14:textId="77777777" w:rsidTr="00834923">
        <w:trPr>
          <w:trHeight w:val="288"/>
        </w:trPr>
        <w:tc>
          <w:tcPr>
            <w:tcW w:w="744" w:type="dxa"/>
            <w:noWrap/>
            <w:hideMark/>
          </w:tcPr>
          <w:p w14:paraId="3042069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w:t>
            </w:r>
          </w:p>
        </w:tc>
        <w:tc>
          <w:tcPr>
            <w:tcW w:w="1378" w:type="dxa"/>
            <w:noWrap/>
            <w:hideMark/>
          </w:tcPr>
          <w:p w14:paraId="7003AF2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Eastern States</w:t>
            </w:r>
          </w:p>
        </w:tc>
        <w:tc>
          <w:tcPr>
            <w:tcW w:w="1693" w:type="dxa"/>
            <w:noWrap/>
            <w:hideMark/>
          </w:tcPr>
          <w:p w14:paraId="5862BB3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Bihar</w:t>
            </w:r>
          </w:p>
        </w:tc>
        <w:tc>
          <w:tcPr>
            <w:tcW w:w="743" w:type="dxa"/>
            <w:noWrap/>
            <w:hideMark/>
          </w:tcPr>
          <w:p w14:paraId="5EB4FD3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6.57</w:t>
            </w:r>
          </w:p>
        </w:tc>
        <w:tc>
          <w:tcPr>
            <w:tcW w:w="743" w:type="dxa"/>
            <w:noWrap/>
            <w:hideMark/>
          </w:tcPr>
          <w:p w14:paraId="6063888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6.26</w:t>
            </w:r>
          </w:p>
        </w:tc>
        <w:tc>
          <w:tcPr>
            <w:tcW w:w="743" w:type="dxa"/>
            <w:noWrap/>
            <w:hideMark/>
          </w:tcPr>
          <w:p w14:paraId="6578FF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5.44</w:t>
            </w:r>
          </w:p>
        </w:tc>
        <w:tc>
          <w:tcPr>
            <w:tcW w:w="743" w:type="dxa"/>
            <w:noWrap/>
            <w:hideMark/>
          </w:tcPr>
          <w:p w14:paraId="6DF853B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3.73</w:t>
            </w:r>
          </w:p>
        </w:tc>
        <w:tc>
          <w:tcPr>
            <w:tcW w:w="743" w:type="dxa"/>
            <w:noWrap/>
            <w:hideMark/>
          </w:tcPr>
          <w:p w14:paraId="6AB1AEE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3.73</w:t>
            </w:r>
          </w:p>
        </w:tc>
        <w:tc>
          <w:tcPr>
            <w:tcW w:w="743" w:type="dxa"/>
            <w:noWrap/>
            <w:hideMark/>
          </w:tcPr>
          <w:p w14:paraId="3D90097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3.08</w:t>
            </w:r>
          </w:p>
        </w:tc>
        <w:tc>
          <w:tcPr>
            <w:tcW w:w="743" w:type="dxa"/>
            <w:noWrap/>
            <w:hideMark/>
          </w:tcPr>
          <w:p w14:paraId="59C81ED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2.46</w:t>
            </w:r>
          </w:p>
        </w:tc>
      </w:tr>
      <w:tr w:rsidR="00834923" w:rsidRPr="00834923" w14:paraId="51C44466" w14:textId="77777777" w:rsidTr="00834923">
        <w:trPr>
          <w:trHeight w:val="288"/>
        </w:trPr>
        <w:tc>
          <w:tcPr>
            <w:tcW w:w="744" w:type="dxa"/>
            <w:noWrap/>
            <w:hideMark/>
          </w:tcPr>
          <w:p w14:paraId="5D80A89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w:t>
            </w:r>
          </w:p>
        </w:tc>
        <w:tc>
          <w:tcPr>
            <w:tcW w:w="1378" w:type="dxa"/>
            <w:noWrap/>
            <w:hideMark/>
          </w:tcPr>
          <w:p w14:paraId="2BCFF3BC"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63C62F1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Jharkhand</w:t>
            </w:r>
          </w:p>
        </w:tc>
        <w:tc>
          <w:tcPr>
            <w:tcW w:w="743" w:type="dxa"/>
            <w:noWrap/>
            <w:hideMark/>
          </w:tcPr>
          <w:p w14:paraId="45095D3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2.18</w:t>
            </w:r>
          </w:p>
        </w:tc>
        <w:tc>
          <w:tcPr>
            <w:tcW w:w="743" w:type="dxa"/>
            <w:noWrap/>
            <w:hideMark/>
          </w:tcPr>
          <w:p w14:paraId="134B163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2.28</w:t>
            </w:r>
          </w:p>
        </w:tc>
        <w:tc>
          <w:tcPr>
            <w:tcW w:w="743" w:type="dxa"/>
            <w:noWrap/>
            <w:hideMark/>
          </w:tcPr>
          <w:p w14:paraId="429F73F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2.15</w:t>
            </w:r>
          </w:p>
        </w:tc>
        <w:tc>
          <w:tcPr>
            <w:tcW w:w="743" w:type="dxa"/>
            <w:noWrap/>
            <w:hideMark/>
          </w:tcPr>
          <w:p w14:paraId="7A3102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4.24</w:t>
            </w:r>
          </w:p>
        </w:tc>
        <w:tc>
          <w:tcPr>
            <w:tcW w:w="743" w:type="dxa"/>
            <w:noWrap/>
            <w:hideMark/>
          </w:tcPr>
          <w:p w14:paraId="453244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4.24</w:t>
            </w:r>
          </w:p>
        </w:tc>
        <w:tc>
          <w:tcPr>
            <w:tcW w:w="743" w:type="dxa"/>
            <w:noWrap/>
            <w:hideMark/>
          </w:tcPr>
          <w:p w14:paraId="348B02C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3.73</w:t>
            </w:r>
          </w:p>
        </w:tc>
        <w:tc>
          <w:tcPr>
            <w:tcW w:w="743" w:type="dxa"/>
            <w:noWrap/>
            <w:hideMark/>
          </w:tcPr>
          <w:p w14:paraId="53F74FF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3.20</w:t>
            </w:r>
          </w:p>
        </w:tc>
      </w:tr>
      <w:tr w:rsidR="00834923" w:rsidRPr="00834923" w14:paraId="4D93719F" w14:textId="77777777" w:rsidTr="00834923">
        <w:trPr>
          <w:trHeight w:val="288"/>
        </w:trPr>
        <w:tc>
          <w:tcPr>
            <w:tcW w:w="744" w:type="dxa"/>
            <w:noWrap/>
            <w:hideMark/>
          </w:tcPr>
          <w:p w14:paraId="7180CC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w:t>
            </w:r>
          </w:p>
        </w:tc>
        <w:tc>
          <w:tcPr>
            <w:tcW w:w="1378" w:type="dxa"/>
            <w:noWrap/>
            <w:hideMark/>
          </w:tcPr>
          <w:p w14:paraId="752B9318"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23B7052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West Bengal</w:t>
            </w:r>
          </w:p>
        </w:tc>
        <w:tc>
          <w:tcPr>
            <w:tcW w:w="743" w:type="dxa"/>
            <w:noWrap/>
            <w:hideMark/>
          </w:tcPr>
          <w:p w14:paraId="3F4E096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2FCC8D6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1.29</w:t>
            </w:r>
          </w:p>
        </w:tc>
        <w:tc>
          <w:tcPr>
            <w:tcW w:w="743" w:type="dxa"/>
            <w:noWrap/>
            <w:hideMark/>
          </w:tcPr>
          <w:p w14:paraId="5558F34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0.51</w:t>
            </w:r>
          </w:p>
        </w:tc>
        <w:tc>
          <w:tcPr>
            <w:tcW w:w="743" w:type="dxa"/>
            <w:noWrap/>
            <w:hideMark/>
          </w:tcPr>
          <w:p w14:paraId="507A666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1.14</w:t>
            </w:r>
          </w:p>
        </w:tc>
        <w:tc>
          <w:tcPr>
            <w:tcW w:w="743" w:type="dxa"/>
            <w:noWrap/>
            <w:hideMark/>
          </w:tcPr>
          <w:p w14:paraId="02B7555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1.14</w:t>
            </w:r>
          </w:p>
        </w:tc>
        <w:tc>
          <w:tcPr>
            <w:tcW w:w="743" w:type="dxa"/>
            <w:noWrap/>
            <w:hideMark/>
          </w:tcPr>
          <w:p w14:paraId="4E50940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0.64</w:t>
            </w:r>
          </w:p>
        </w:tc>
        <w:tc>
          <w:tcPr>
            <w:tcW w:w="743" w:type="dxa"/>
            <w:noWrap/>
            <w:hideMark/>
          </w:tcPr>
          <w:p w14:paraId="044B088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1.14</w:t>
            </w:r>
          </w:p>
        </w:tc>
      </w:tr>
      <w:tr w:rsidR="00834923" w:rsidRPr="00834923" w14:paraId="06E9F26B" w14:textId="77777777" w:rsidTr="00834923">
        <w:trPr>
          <w:trHeight w:val="288"/>
        </w:trPr>
        <w:tc>
          <w:tcPr>
            <w:tcW w:w="744" w:type="dxa"/>
            <w:noWrap/>
            <w:hideMark/>
          </w:tcPr>
          <w:p w14:paraId="2C7AB24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w:t>
            </w:r>
          </w:p>
        </w:tc>
        <w:tc>
          <w:tcPr>
            <w:tcW w:w="1378" w:type="dxa"/>
            <w:noWrap/>
            <w:hideMark/>
          </w:tcPr>
          <w:p w14:paraId="7A1665F8"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4852D7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Sikkim</w:t>
            </w:r>
          </w:p>
        </w:tc>
        <w:tc>
          <w:tcPr>
            <w:tcW w:w="743" w:type="dxa"/>
            <w:noWrap/>
            <w:hideMark/>
          </w:tcPr>
          <w:p w14:paraId="2D326A4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5.07</w:t>
            </w:r>
          </w:p>
        </w:tc>
        <w:tc>
          <w:tcPr>
            <w:tcW w:w="743" w:type="dxa"/>
            <w:noWrap/>
            <w:hideMark/>
          </w:tcPr>
          <w:p w14:paraId="0222FA3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4.97</w:t>
            </w:r>
          </w:p>
        </w:tc>
        <w:tc>
          <w:tcPr>
            <w:tcW w:w="743" w:type="dxa"/>
            <w:noWrap/>
            <w:hideMark/>
          </w:tcPr>
          <w:p w14:paraId="12E59EB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4.62</w:t>
            </w:r>
          </w:p>
        </w:tc>
        <w:tc>
          <w:tcPr>
            <w:tcW w:w="743" w:type="dxa"/>
            <w:noWrap/>
            <w:hideMark/>
          </w:tcPr>
          <w:p w14:paraId="0E07B08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2.08</w:t>
            </w:r>
          </w:p>
        </w:tc>
        <w:tc>
          <w:tcPr>
            <w:tcW w:w="743" w:type="dxa"/>
            <w:noWrap/>
            <w:hideMark/>
          </w:tcPr>
          <w:p w14:paraId="580CCD5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2.08</w:t>
            </w:r>
          </w:p>
        </w:tc>
        <w:tc>
          <w:tcPr>
            <w:tcW w:w="743" w:type="dxa"/>
            <w:noWrap/>
            <w:hideMark/>
          </w:tcPr>
          <w:p w14:paraId="7E2D69D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1.94</w:t>
            </w:r>
          </w:p>
        </w:tc>
        <w:tc>
          <w:tcPr>
            <w:tcW w:w="743" w:type="dxa"/>
            <w:noWrap/>
            <w:hideMark/>
          </w:tcPr>
          <w:p w14:paraId="2F41B5D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0.77</w:t>
            </w:r>
          </w:p>
        </w:tc>
      </w:tr>
      <w:tr w:rsidR="00834923" w:rsidRPr="00834923" w14:paraId="1ECBF979" w14:textId="77777777" w:rsidTr="00834923">
        <w:trPr>
          <w:trHeight w:val="288"/>
        </w:trPr>
        <w:tc>
          <w:tcPr>
            <w:tcW w:w="744" w:type="dxa"/>
            <w:noWrap/>
            <w:hideMark/>
          </w:tcPr>
          <w:p w14:paraId="5805A94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w:t>
            </w:r>
          </w:p>
        </w:tc>
        <w:tc>
          <w:tcPr>
            <w:tcW w:w="1378" w:type="dxa"/>
            <w:noWrap/>
            <w:hideMark/>
          </w:tcPr>
          <w:p w14:paraId="6C3B90F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Central Region</w:t>
            </w:r>
          </w:p>
        </w:tc>
        <w:tc>
          <w:tcPr>
            <w:tcW w:w="1693" w:type="dxa"/>
            <w:noWrap/>
            <w:hideMark/>
          </w:tcPr>
          <w:p w14:paraId="4434FF7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Chhattisgarh</w:t>
            </w:r>
          </w:p>
        </w:tc>
        <w:tc>
          <w:tcPr>
            <w:tcW w:w="743" w:type="dxa"/>
            <w:noWrap/>
            <w:hideMark/>
          </w:tcPr>
          <w:p w14:paraId="403A3B3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1.60</w:t>
            </w:r>
          </w:p>
        </w:tc>
        <w:tc>
          <w:tcPr>
            <w:tcW w:w="743" w:type="dxa"/>
            <w:noWrap/>
            <w:hideMark/>
          </w:tcPr>
          <w:p w14:paraId="14FFBB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31D282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73EEDCF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1.28</w:t>
            </w:r>
          </w:p>
        </w:tc>
        <w:tc>
          <w:tcPr>
            <w:tcW w:w="743" w:type="dxa"/>
            <w:noWrap/>
            <w:hideMark/>
          </w:tcPr>
          <w:p w14:paraId="2D9FA1B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1.28</w:t>
            </w:r>
          </w:p>
        </w:tc>
        <w:tc>
          <w:tcPr>
            <w:tcW w:w="743" w:type="dxa"/>
            <w:noWrap/>
            <w:hideMark/>
          </w:tcPr>
          <w:p w14:paraId="600B7C9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1.23</w:t>
            </w:r>
          </w:p>
        </w:tc>
        <w:tc>
          <w:tcPr>
            <w:tcW w:w="743" w:type="dxa"/>
            <w:noWrap/>
            <w:hideMark/>
          </w:tcPr>
          <w:p w14:paraId="33B76C8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r>
      <w:tr w:rsidR="00834923" w:rsidRPr="00834923" w14:paraId="3F9CA7A1" w14:textId="77777777" w:rsidTr="00834923">
        <w:trPr>
          <w:trHeight w:val="288"/>
        </w:trPr>
        <w:tc>
          <w:tcPr>
            <w:tcW w:w="744" w:type="dxa"/>
            <w:noWrap/>
            <w:hideMark/>
          </w:tcPr>
          <w:p w14:paraId="122E5CC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lastRenderedPageBreak/>
              <w:t>18</w:t>
            </w:r>
          </w:p>
        </w:tc>
        <w:tc>
          <w:tcPr>
            <w:tcW w:w="1378" w:type="dxa"/>
            <w:noWrap/>
            <w:hideMark/>
          </w:tcPr>
          <w:p w14:paraId="17AA9650"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0655483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Madhya Pradesh</w:t>
            </w:r>
          </w:p>
        </w:tc>
        <w:tc>
          <w:tcPr>
            <w:tcW w:w="743" w:type="dxa"/>
            <w:noWrap/>
            <w:hideMark/>
          </w:tcPr>
          <w:p w14:paraId="10C1297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2.90</w:t>
            </w:r>
          </w:p>
        </w:tc>
        <w:tc>
          <w:tcPr>
            <w:tcW w:w="743" w:type="dxa"/>
            <w:noWrap/>
            <w:hideMark/>
          </w:tcPr>
          <w:p w14:paraId="5D5FD9B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1.58</w:t>
            </w:r>
          </w:p>
        </w:tc>
        <w:tc>
          <w:tcPr>
            <w:tcW w:w="743" w:type="dxa"/>
            <w:noWrap/>
            <w:hideMark/>
          </w:tcPr>
          <w:p w14:paraId="413069D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2.03</w:t>
            </w:r>
          </w:p>
        </w:tc>
        <w:tc>
          <w:tcPr>
            <w:tcW w:w="743" w:type="dxa"/>
            <w:noWrap/>
            <w:hideMark/>
          </w:tcPr>
          <w:p w14:paraId="795962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1.77</w:t>
            </w:r>
          </w:p>
        </w:tc>
        <w:tc>
          <w:tcPr>
            <w:tcW w:w="743" w:type="dxa"/>
            <w:noWrap/>
            <w:hideMark/>
          </w:tcPr>
          <w:p w14:paraId="753507A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1.77</w:t>
            </w:r>
          </w:p>
        </w:tc>
        <w:tc>
          <w:tcPr>
            <w:tcW w:w="743" w:type="dxa"/>
            <w:noWrap/>
            <w:hideMark/>
          </w:tcPr>
          <w:p w14:paraId="0E7428C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1.95</w:t>
            </w:r>
          </w:p>
        </w:tc>
        <w:tc>
          <w:tcPr>
            <w:tcW w:w="743" w:type="dxa"/>
            <w:noWrap/>
            <w:hideMark/>
          </w:tcPr>
          <w:p w14:paraId="194D25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r>
      <w:tr w:rsidR="00834923" w:rsidRPr="00834923" w14:paraId="49420728" w14:textId="77777777" w:rsidTr="00834923">
        <w:trPr>
          <w:trHeight w:val="288"/>
        </w:trPr>
        <w:tc>
          <w:tcPr>
            <w:tcW w:w="744" w:type="dxa"/>
            <w:noWrap/>
            <w:hideMark/>
          </w:tcPr>
          <w:p w14:paraId="77D7AF3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w:t>
            </w:r>
          </w:p>
        </w:tc>
        <w:tc>
          <w:tcPr>
            <w:tcW w:w="1378" w:type="dxa"/>
            <w:noWrap/>
            <w:hideMark/>
          </w:tcPr>
          <w:p w14:paraId="2869C81E"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7D2EF98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Uttar Pradesh</w:t>
            </w:r>
          </w:p>
        </w:tc>
        <w:tc>
          <w:tcPr>
            <w:tcW w:w="743" w:type="dxa"/>
            <w:noWrap/>
            <w:hideMark/>
          </w:tcPr>
          <w:p w14:paraId="0E2830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3.15</w:t>
            </w:r>
          </w:p>
        </w:tc>
        <w:tc>
          <w:tcPr>
            <w:tcW w:w="743" w:type="dxa"/>
            <w:noWrap/>
            <w:hideMark/>
          </w:tcPr>
          <w:p w14:paraId="36E2F4E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2.85</w:t>
            </w:r>
          </w:p>
        </w:tc>
        <w:tc>
          <w:tcPr>
            <w:tcW w:w="743" w:type="dxa"/>
            <w:noWrap/>
            <w:hideMark/>
          </w:tcPr>
          <w:p w14:paraId="3BDA939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4B5C045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1.32</w:t>
            </w:r>
          </w:p>
        </w:tc>
        <w:tc>
          <w:tcPr>
            <w:tcW w:w="743" w:type="dxa"/>
            <w:noWrap/>
            <w:hideMark/>
          </w:tcPr>
          <w:p w14:paraId="241FF95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1.32</w:t>
            </w:r>
          </w:p>
        </w:tc>
        <w:tc>
          <w:tcPr>
            <w:tcW w:w="743" w:type="dxa"/>
            <w:noWrap/>
            <w:hideMark/>
          </w:tcPr>
          <w:p w14:paraId="79AE4A9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1.17</w:t>
            </w:r>
          </w:p>
        </w:tc>
        <w:tc>
          <w:tcPr>
            <w:tcW w:w="743" w:type="dxa"/>
            <w:noWrap/>
            <w:hideMark/>
          </w:tcPr>
          <w:p w14:paraId="2E713D1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1.10</w:t>
            </w:r>
          </w:p>
        </w:tc>
      </w:tr>
      <w:tr w:rsidR="00834923" w:rsidRPr="00834923" w14:paraId="6429BFA4" w14:textId="77777777" w:rsidTr="00834923">
        <w:trPr>
          <w:trHeight w:val="288"/>
        </w:trPr>
        <w:tc>
          <w:tcPr>
            <w:tcW w:w="744" w:type="dxa"/>
            <w:noWrap/>
            <w:hideMark/>
          </w:tcPr>
          <w:p w14:paraId="051954E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w:t>
            </w:r>
          </w:p>
        </w:tc>
        <w:tc>
          <w:tcPr>
            <w:tcW w:w="1378" w:type="dxa"/>
            <w:noWrap/>
            <w:hideMark/>
          </w:tcPr>
          <w:p w14:paraId="37DB3E2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Western Region</w:t>
            </w:r>
          </w:p>
        </w:tc>
        <w:tc>
          <w:tcPr>
            <w:tcW w:w="1693" w:type="dxa"/>
            <w:noWrap/>
            <w:hideMark/>
          </w:tcPr>
          <w:p w14:paraId="70EBE09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Goa</w:t>
            </w:r>
          </w:p>
        </w:tc>
        <w:tc>
          <w:tcPr>
            <w:tcW w:w="743" w:type="dxa"/>
            <w:noWrap/>
            <w:hideMark/>
          </w:tcPr>
          <w:p w14:paraId="2412ED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0.81</w:t>
            </w:r>
          </w:p>
        </w:tc>
        <w:tc>
          <w:tcPr>
            <w:tcW w:w="743" w:type="dxa"/>
            <w:noWrap/>
            <w:hideMark/>
          </w:tcPr>
          <w:p w14:paraId="05274A1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1.18</w:t>
            </w:r>
          </w:p>
        </w:tc>
        <w:tc>
          <w:tcPr>
            <w:tcW w:w="743" w:type="dxa"/>
            <w:noWrap/>
            <w:hideMark/>
          </w:tcPr>
          <w:p w14:paraId="4F5326E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0.68</w:t>
            </w:r>
          </w:p>
        </w:tc>
        <w:tc>
          <w:tcPr>
            <w:tcW w:w="743" w:type="dxa"/>
            <w:noWrap/>
            <w:hideMark/>
          </w:tcPr>
          <w:p w14:paraId="4407789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2.27</w:t>
            </w:r>
          </w:p>
        </w:tc>
        <w:tc>
          <w:tcPr>
            <w:tcW w:w="743" w:type="dxa"/>
            <w:noWrap/>
            <w:hideMark/>
          </w:tcPr>
          <w:p w14:paraId="6DAA973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2.27</w:t>
            </w:r>
          </w:p>
        </w:tc>
        <w:tc>
          <w:tcPr>
            <w:tcW w:w="743" w:type="dxa"/>
            <w:noWrap/>
            <w:hideMark/>
          </w:tcPr>
          <w:p w14:paraId="4479038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2.09</w:t>
            </w:r>
          </w:p>
        </w:tc>
        <w:tc>
          <w:tcPr>
            <w:tcW w:w="743" w:type="dxa"/>
            <w:noWrap/>
            <w:hideMark/>
          </w:tcPr>
          <w:p w14:paraId="718A5D4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2.18</w:t>
            </w:r>
          </w:p>
        </w:tc>
      </w:tr>
      <w:tr w:rsidR="00834923" w:rsidRPr="00834923" w14:paraId="11280D17" w14:textId="77777777" w:rsidTr="00834923">
        <w:trPr>
          <w:trHeight w:val="288"/>
        </w:trPr>
        <w:tc>
          <w:tcPr>
            <w:tcW w:w="744" w:type="dxa"/>
            <w:noWrap/>
            <w:hideMark/>
          </w:tcPr>
          <w:p w14:paraId="30A9D5D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w:t>
            </w:r>
          </w:p>
        </w:tc>
        <w:tc>
          <w:tcPr>
            <w:tcW w:w="1378" w:type="dxa"/>
            <w:noWrap/>
            <w:hideMark/>
          </w:tcPr>
          <w:p w14:paraId="7E7C613A"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04AAF80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Daman &amp; Diu</w:t>
            </w:r>
          </w:p>
        </w:tc>
        <w:tc>
          <w:tcPr>
            <w:tcW w:w="743" w:type="dxa"/>
            <w:noWrap/>
            <w:hideMark/>
          </w:tcPr>
          <w:p w14:paraId="2DF9745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0.83</w:t>
            </w:r>
          </w:p>
        </w:tc>
        <w:tc>
          <w:tcPr>
            <w:tcW w:w="743" w:type="dxa"/>
            <w:noWrap/>
            <w:hideMark/>
          </w:tcPr>
          <w:p w14:paraId="55F1F57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3E63B73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0.87</w:t>
            </w:r>
          </w:p>
        </w:tc>
        <w:tc>
          <w:tcPr>
            <w:tcW w:w="743" w:type="dxa"/>
            <w:noWrap/>
            <w:hideMark/>
          </w:tcPr>
          <w:p w14:paraId="1278AE0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0.93</w:t>
            </w:r>
          </w:p>
        </w:tc>
        <w:tc>
          <w:tcPr>
            <w:tcW w:w="743" w:type="dxa"/>
            <w:noWrap/>
            <w:hideMark/>
          </w:tcPr>
          <w:p w14:paraId="3AB8C50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0.93</w:t>
            </w:r>
          </w:p>
        </w:tc>
        <w:tc>
          <w:tcPr>
            <w:tcW w:w="743" w:type="dxa"/>
            <w:noWrap/>
            <w:hideMark/>
          </w:tcPr>
          <w:p w14:paraId="5D6B041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1.03</w:t>
            </w:r>
          </w:p>
        </w:tc>
        <w:tc>
          <w:tcPr>
            <w:tcW w:w="743" w:type="dxa"/>
            <w:noWrap/>
            <w:hideMark/>
          </w:tcPr>
          <w:p w14:paraId="6D87E34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0.73</w:t>
            </w:r>
          </w:p>
        </w:tc>
      </w:tr>
      <w:tr w:rsidR="00834923" w:rsidRPr="00834923" w14:paraId="2D947950" w14:textId="77777777" w:rsidTr="00834923">
        <w:trPr>
          <w:trHeight w:val="288"/>
        </w:trPr>
        <w:tc>
          <w:tcPr>
            <w:tcW w:w="744" w:type="dxa"/>
            <w:noWrap/>
            <w:hideMark/>
          </w:tcPr>
          <w:p w14:paraId="488AF89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w:t>
            </w:r>
          </w:p>
        </w:tc>
        <w:tc>
          <w:tcPr>
            <w:tcW w:w="1378" w:type="dxa"/>
            <w:noWrap/>
            <w:hideMark/>
          </w:tcPr>
          <w:p w14:paraId="16703691"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69EA0D7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Gujarat</w:t>
            </w:r>
          </w:p>
        </w:tc>
        <w:tc>
          <w:tcPr>
            <w:tcW w:w="743" w:type="dxa"/>
            <w:noWrap/>
            <w:hideMark/>
          </w:tcPr>
          <w:p w14:paraId="5314C38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1.04</w:t>
            </w:r>
          </w:p>
        </w:tc>
        <w:tc>
          <w:tcPr>
            <w:tcW w:w="743" w:type="dxa"/>
            <w:noWrap/>
            <w:hideMark/>
          </w:tcPr>
          <w:p w14:paraId="5E9D548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1.05</w:t>
            </w:r>
          </w:p>
        </w:tc>
        <w:tc>
          <w:tcPr>
            <w:tcW w:w="743" w:type="dxa"/>
            <w:noWrap/>
            <w:hideMark/>
          </w:tcPr>
          <w:p w14:paraId="54C0940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0.95</w:t>
            </w:r>
          </w:p>
        </w:tc>
        <w:tc>
          <w:tcPr>
            <w:tcW w:w="743" w:type="dxa"/>
            <w:noWrap/>
            <w:hideMark/>
          </w:tcPr>
          <w:p w14:paraId="7AFB102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0.66</w:t>
            </w:r>
          </w:p>
        </w:tc>
        <w:tc>
          <w:tcPr>
            <w:tcW w:w="743" w:type="dxa"/>
            <w:noWrap/>
            <w:hideMark/>
          </w:tcPr>
          <w:p w14:paraId="0CA88D6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0.66</w:t>
            </w:r>
          </w:p>
        </w:tc>
        <w:tc>
          <w:tcPr>
            <w:tcW w:w="743" w:type="dxa"/>
            <w:noWrap/>
            <w:hideMark/>
          </w:tcPr>
          <w:p w14:paraId="39466AD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0.59</w:t>
            </w:r>
          </w:p>
        </w:tc>
        <w:tc>
          <w:tcPr>
            <w:tcW w:w="743" w:type="dxa"/>
            <w:noWrap/>
            <w:hideMark/>
          </w:tcPr>
          <w:p w14:paraId="5D7D5E3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0.51</w:t>
            </w:r>
          </w:p>
        </w:tc>
      </w:tr>
      <w:tr w:rsidR="00834923" w:rsidRPr="00834923" w14:paraId="01D9EEB1" w14:textId="77777777" w:rsidTr="00834923">
        <w:trPr>
          <w:trHeight w:val="288"/>
        </w:trPr>
        <w:tc>
          <w:tcPr>
            <w:tcW w:w="744" w:type="dxa"/>
            <w:noWrap/>
            <w:hideMark/>
          </w:tcPr>
          <w:p w14:paraId="33FECC4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23</w:t>
            </w:r>
          </w:p>
        </w:tc>
        <w:tc>
          <w:tcPr>
            <w:tcW w:w="1378" w:type="dxa"/>
            <w:noWrap/>
            <w:hideMark/>
          </w:tcPr>
          <w:p w14:paraId="50EF8DF1"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12541B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Maharashtra</w:t>
            </w:r>
          </w:p>
        </w:tc>
        <w:tc>
          <w:tcPr>
            <w:tcW w:w="743" w:type="dxa"/>
            <w:noWrap/>
            <w:hideMark/>
          </w:tcPr>
          <w:p w14:paraId="5D56402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0.54</w:t>
            </w:r>
          </w:p>
        </w:tc>
        <w:tc>
          <w:tcPr>
            <w:tcW w:w="743" w:type="dxa"/>
            <w:noWrap/>
            <w:hideMark/>
          </w:tcPr>
          <w:p w14:paraId="50E6EC2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45FDAC6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2FCB629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0.62</w:t>
            </w:r>
          </w:p>
        </w:tc>
        <w:tc>
          <w:tcPr>
            <w:tcW w:w="743" w:type="dxa"/>
            <w:noWrap/>
            <w:hideMark/>
          </w:tcPr>
          <w:p w14:paraId="289190F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0.76</w:t>
            </w:r>
          </w:p>
        </w:tc>
        <w:tc>
          <w:tcPr>
            <w:tcW w:w="743" w:type="dxa"/>
            <w:noWrap/>
            <w:hideMark/>
          </w:tcPr>
          <w:p w14:paraId="737365B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0.80</w:t>
            </w:r>
          </w:p>
        </w:tc>
        <w:tc>
          <w:tcPr>
            <w:tcW w:w="743" w:type="dxa"/>
            <w:noWrap/>
            <w:hideMark/>
          </w:tcPr>
          <w:p w14:paraId="2D110AD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0.86</w:t>
            </w:r>
          </w:p>
        </w:tc>
      </w:tr>
      <w:tr w:rsidR="00834923" w:rsidRPr="00834923" w14:paraId="7C929833" w14:textId="77777777" w:rsidTr="00834923">
        <w:trPr>
          <w:trHeight w:val="288"/>
        </w:trPr>
        <w:tc>
          <w:tcPr>
            <w:tcW w:w="744" w:type="dxa"/>
            <w:noWrap/>
            <w:hideMark/>
          </w:tcPr>
          <w:p w14:paraId="20A6B73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w:t>
            </w:r>
          </w:p>
        </w:tc>
        <w:tc>
          <w:tcPr>
            <w:tcW w:w="1378" w:type="dxa"/>
            <w:noWrap/>
            <w:hideMark/>
          </w:tcPr>
          <w:p w14:paraId="36CECA2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Southern Region</w:t>
            </w:r>
          </w:p>
        </w:tc>
        <w:tc>
          <w:tcPr>
            <w:tcW w:w="1693" w:type="dxa"/>
            <w:noWrap/>
            <w:hideMark/>
          </w:tcPr>
          <w:p w14:paraId="362E85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Andhra Pradesh</w:t>
            </w:r>
          </w:p>
        </w:tc>
        <w:tc>
          <w:tcPr>
            <w:tcW w:w="743" w:type="dxa"/>
            <w:noWrap/>
            <w:hideMark/>
          </w:tcPr>
          <w:p w14:paraId="31BC9ED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1.89</w:t>
            </w:r>
          </w:p>
        </w:tc>
        <w:tc>
          <w:tcPr>
            <w:tcW w:w="743" w:type="dxa"/>
            <w:noWrap/>
            <w:hideMark/>
          </w:tcPr>
          <w:p w14:paraId="2C27272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7514E23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1.95</w:t>
            </w:r>
          </w:p>
        </w:tc>
        <w:tc>
          <w:tcPr>
            <w:tcW w:w="743" w:type="dxa"/>
            <w:noWrap/>
            <w:hideMark/>
          </w:tcPr>
          <w:p w14:paraId="3D37784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140D1D7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563065D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1.62</w:t>
            </w:r>
          </w:p>
        </w:tc>
        <w:tc>
          <w:tcPr>
            <w:tcW w:w="743" w:type="dxa"/>
            <w:noWrap/>
            <w:hideMark/>
          </w:tcPr>
          <w:p w14:paraId="19C02D3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1.41</w:t>
            </w:r>
          </w:p>
        </w:tc>
      </w:tr>
      <w:tr w:rsidR="00834923" w:rsidRPr="00834923" w14:paraId="69C0339D" w14:textId="77777777" w:rsidTr="00834923">
        <w:trPr>
          <w:trHeight w:val="288"/>
        </w:trPr>
        <w:tc>
          <w:tcPr>
            <w:tcW w:w="744" w:type="dxa"/>
            <w:noWrap/>
            <w:hideMark/>
          </w:tcPr>
          <w:p w14:paraId="1EE5CFD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25</w:t>
            </w:r>
          </w:p>
        </w:tc>
        <w:tc>
          <w:tcPr>
            <w:tcW w:w="1378" w:type="dxa"/>
            <w:noWrap/>
            <w:hideMark/>
          </w:tcPr>
          <w:p w14:paraId="716359EC"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0B7DA56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Karnataka</w:t>
            </w:r>
          </w:p>
        </w:tc>
        <w:tc>
          <w:tcPr>
            <w:tcW w:w="743" w:type="dxa"/>
            <w:noWrap/>
            <w:hideMark/>
          </w:tcPr>
          <w:p w14:paraId="6E3E2A6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6.69</w:t>
            </w:r>
          </w:p>
        </w:tc>
        <w:tc>
          <w:tcPr>
            <w:tcW w:w="743" w:type="dxa"/>
            <w:noWrap/>
            <w:hideMark/>
          </w:tcPr>
          <w:p w14:paraId="61EE1CD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5.95</w:t>
            </w:r>
          </w:p>
        </w:tc>
        <w:tc>
          <w:tcPr>
            <w:tcW w:w="743" w:type="dxa"/>
            <w:noWrap/>
            <w:hideMark/>
          </w:tcPr>
          <w:p w14:paraId="06D5598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5.97</w:t>
            </w:r>
          </w:p>
        </w:tc>
        <w:tc>
          <w:tcPr>
            <w:tcW w:w="743" w:type="dxa"/>
            <w:noWrap/>
            <w:hideMark/>
          </w:tcPr>
          <w:p w14:paraId="41D80EF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1.81</w:t>
            </w:r>
          </w:p>
        </w:tc>
        <w:tc>
          <w:tcPr>
            <w:tcW w:w="743" w:type="dxa"/>
            <w:noWrap/>
            <w:hideMark/>
          </w:tcPr>
          <w:p w14:paraId="18C411A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1.81</w:t>
            </w:r>
          </w:p>
        </w:tc>
        <w:tc>
          <w:tcPr>
            <w:tcW w:w="743" w:type="dxa"/>
            <w:noWrap/>
            <w:hideMark/>
          </w:tcPr>
          <w:p w14:paraId="34E5CBF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2.48</w:t>
            </w:r>
          </w:p>
        </w:tc>
        <w:tc>
          <w:tcPr>
            <w:tcW w:w="743" w:type="dxa"/>
            <w:noWrap/>
            <w:hideMark/>
          </w:tcPr>
          <w:p w14:paraId="6ECDD70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2.14</w:t>
            </w:r>
          </w:p>
        </w:tc>
      </w:tr>
      <w:tr w:rsidR="00834923" w:rsidRPr="00834923" w14:paraId="6AF2B612" w14:textId="77777777" w:rsidTr="00834923">
        <w:trPr>
          <w:trHeight w:val="288"/>
        </w:trPr>
        <w:tc>
          <w:tcPr>
            <w:tcW w:w="744" w:type="dxa"/>
            <w:noWrap/>
            <w:hideMark/>
          </w:tcPr>
          <w:p w14:paraId="0D88EDD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26</w:t>
            </w:r>
          </w:p>
        </w:tc>
        <w:tc>
          <w:tcPr>
            <w:tcW w:w="1378" w:type="dxa"/>
            <w:noWrap/>
            <w:hideMark/>
          </w:tcPr>
          <w:p w14:paraId="591A43B3"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FA4130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Tamil Nadu</w:t>
            </w:r>
          </w:p>
        </w:tc>
        <w:tc>
          <w:tcPr>
            <w:tcW w:w="743" w:type="dxa"/>
            <w:noWrap/>
            <w:hideMark/>
          </w:tcPr>
          <w:p w14:paraId="3479D33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3.04</w:t>
            </w:r>
          </w:p>
        </w:tc>
        <w:tc>
          <w:tcPr>
            <w:tcW w:w="743" w:type="dxa"/>
            <w:noWrap/>
            <w:hideMark/>
          </w:tcPr>
          <w:p w14:paraId="40A80A1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2.81</w:t>
            </w:r>
          </w:p>
        </w:tc>
        <w:tc>
          <w:tcPr>
            <w:tcW w:w="743" w:type="dxa"/>
            <w:noWrap/>
            <w:hideMark/>
          </w:tcPr>
          <w:p w14:paraId="099807E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2.56</w:t>
            </w:r>
          </w:p>
        </w:tc>
        <w:tc>
          <w:tcPr>
            <w:tcW w:w="743" w:type="dxa"/>
            <w:noWrap/>
            <w:hideMark/>
          </w:tcPr>
          <w:p w14:paraId="2873B97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3.35</w:t>
            </w:r>
          </w:p>
        </w:tc>
        <w:tc>
          <w:tcPr>
            <w:tcW w:w="743" w:type="dxa"/>
            <w:noWrap/>
            <w:hideMark/>
          </w:tcPr>
          <w:p w14:paraId="7A9F5CA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3.35</w:t>
            </w:r>
          </w:p>
        </w:tc>
        <w:tc>
          <w:tcPr>
            <w:tcW w:w="743" w:type="dxa"/>
            <w:noWrap/>
            <w:hideMark/>
          </w:tcPr>
          <w:p w14:paraId="4EB1682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2.84</w:t>
            </w:r>
          </w:p>
        </w:tc>
        <w:tc>
          <w:tcPr>
            <w:tcW w:w="743" w:type="dxa"/>
            <w:noWrap/>
            <w:hideMark/>
          </w:tcPr>
          <w:p w14:paraId="06F4732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1.39</w:t>
            </w:r>
          </w:p>
        </w:tc>
      </w:tr>
      <w:tr w:rsidR="00834923" w:rsidRPr="00834923" w14:paraId="203BFAB1" w14:textId="77777777" w:rsidTr="00834923">
        <w:trPr>
          <w:trHeight w:val="288"/>
        </w:trPr>
        <w:tc>
          <w:tcPr>
            <w:tcW w:w="744" w:type="dxa"/>
            <w:noWrap/>
            <w:hideMark/>
          </w:tcPr>
          <w:p w14:paraId="7C3FC9F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27</w:t>
            </w:r>
          </w:p>
        </w:tc>
        <w:tc>
          <w:tcPr>
            <w:tcW w:w="1378" w:type="dxa"/>
            <w:noWrap/>
            <w:hideMark/>
          </w:tcPr>
          <w:p w14:paraId="36352669"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300F5DD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Lakshadweep</w:t>
            </w:r>
          </w:p>
        </w:tc>
        <w:tc>
          <w:tcPr>
            <w:tcW w:w="743" w:type="dxa"/>
            <w:noWrap/>
            <w:hideMark/>
          </w:tcPr>
          <w:p w14:paraId="588FD6D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0.86</w:t>
            </w:r>
          </w:p>
        </w:tc>
        <w:tc>
          <w:tcPr>
            <w:tcW w:w="743" w:type="dxa"/>
            <w:noWrap/>
            <w:hideMark/>
          </w:tcPr>
          <w:p w14:paraId="21312EB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0.80</w:t>
            </w:r>
          </w:p>
        </w:tc>
        <w:tc>
          <w:tcPr>
            <w:tcW w:w="743" w:type="dxa"/>
            <w:noWrap/>
            <w:hideMark/>
          </w:tcPr>
          <w:p w14:paraId="76D95EE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1.47</w:t>
            </w:r>
          </w:p>
        </w:tc>
        <w:tc>
          <w:tcPr>
            <w:tcW w:w="743" w:type="dxa"/>
            <w:noWrap/>
            <w:hideMark/>
          </w:tcPr>
          <w:p w14:paraId="0C1A572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698F270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33D9DF1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c>
          <w:tcPr>
            <w:tcW w:w="743" w:type="dxa"/>
            <w:noWrap/>
            <w:hideMark/>
          </w:tcPr>
          <w:p w14:paraId="484F2B4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r>
      <w:tr w:rsidR="00834923" w:rsidRPr="00834923" w14:paraId="33BF64FD" w14:textId="77777777" w:rsidTr="00834923">
        <w:trPr>
          <w:trHeight w:val="288"/>
        </w:trPr>
        <w:tc>
          <w:tcPr>
            <w:tcW w:w="744" w:type="dxa"/>
            <w:noWrap/>
            <w:hideMark/>
          </w:tcPr>
          <w:p w14:paraId="380D1F1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w:t>
            </w:r>
          </w:p>
        </w:tc>
        <w:tc>
          <w:tcPr>
            <w:tcW w:w="1378" w:type="dxa"/>
            <w:noWrap/>
            <w:hideMark/>
          </w:tcPr>
          <w:p w14:paraId="6A6F4199"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49346EE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Puducherry</w:t>
            </w:r>
          </w:p>
        </w:tc>
        <w:tc>
          <w:tcPr>
            <w:tcW w:w="743" w:type="dxa"/>
            <w:noWrap/>
            <w:hideMark/>
          </w:tcPr>
          <w:p w14:paraId="7B8FC2C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5.93</w:t>
            </w:r>
          </w:p>
        </w:tc>
        <w:tc>
          <w:tcPr>
            <w:tcW w:w="743" w:type="dxa"/>
            <w:noWrap/>
            <w:hideMark/>
          </w:tcPr>
          <w:p w14:paraId="55310A5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5.51</w:t>
            </w:r>
          </w:p>
        </w:tc>
        <w:tc>
          <w:tcPr>
            <w:tcW w:w="743" w:type="dxa"/>
            <w:noWrap/>
            <w:hideMark/>
          </w:tcPr>
          <w:p w14:paraId="55676E2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5.23</w:t>
            </w:r>
          </w:p>
        </w:tc>
        <w:tc>
          <w:tcPr>
            <w:tcW w:w="743" w:type="dxa"/>
            <w:noWrap/>
            <w:hideMark/>
          </w:tcPr>
          <w:p w14:paraId="7BFA666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3.68</w:t>
            </w:r>
          </w:p>
        </w:tc>
        <w:tc>
          <w:tcPr>
            <w:tcW w:w="743" w:type="dxa"/>
            <w:noWrap/>
            <w:hideMark/>
          </w:tcPr>
          <w:p w14:paraId="50373DC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3.68</w:t>
            </w:r>
          </w:p>
        </w:tc>
        <w:tc>
          <w:tcPr>
            <w:tcW w:w="743" w:type="dxa"/>
            <w:noWrap/>
            <w:hideMark/>
          </w:tcPr>
          <w:p w14:paraId="7249FCB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3.48</w:t>
            </w:r>
          </w:p>
        </w:tc>
        <w:tc>
          <w:tcPr>
            <w:tcW w:w="743" w:type="dxa"/>
            <w:noWrap/>
            <w:hideMark/>
          </w:tcPr>
          <w:p w14:paraId="1B7006B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3.06</w:t>
            </w:r>
          </w:p>
        </w:tc>
      </w:tr>
      <w:tr w:rsidR="00834923" w:rsidRPr="00834923" w14:paraId="5CA44A4F" w14:textId="77777777" w:rsidTr="00834923">
        <w:trPr>
          <w:trHeight w:val="288"/>
        </w:trPr>
        <w:tc>
          <w:tcPr>
            <w:tcW w:w="744" w:type="dxa"/>
            <w:noWrap/>
            <w:hideMark/>
          </w:tcPr>
          <w:p w14:paraId="5092201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29</w:t>
            </w:r>
          </w:p>
        </w:tc>
        <w:tc>
          <w:tcPr>
            <w:tcW w:w="1378" w:type="dxa"/>
            <w:noWrap/>
            <w:hideMark/>
          </w:tcPr>
          <w:p w14:paraId="10E5041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3CD9DC7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Kerala</w:t>
            </w:r>
          </w:p>
        </w:tc>
        <w:tc>
          <w:tcPr>
            <w:tcW w:w="743" w:type="dxa"/>
            <w:noWrap/>
            <w:hideMark/>
          </w:tcPr>
          <w:p w14:paraId="0CEC78D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1.83</w:t>
            </w:r>
          </w:p>
        </w:tc>
        <w:tc>
          <w:tcPr>
            <w:tcW w:w="743" w:type="dxa"/>
            <w:noWrap/>
            <w:hideMark/>
          </w:tcPr>
          <w:p w14:paraId="66E5546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1.67</w:t>
            </w:r>
          </w:p>
        </w:tc>
        <w:tc>
          <w:tcPr>
            <w:tcW w:w="743" w:type="dxa"/>
            <w:noWrap/>
            <w:hideMark/>
          </w:tcPr>
          <w:p w14:paraId="06E3F46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2.12</w:t>
            </w:r>
          </w:p>
        </w:tc>
        <w:tc>
          <w:tcPr>
            <w:tcW w:w="743" w:type="dxa"/>
            <w:noWrap/>
            <w:hideMark/>
          </w:tcPr>
          <w:p w14:paraId="7222AB2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4.61</w:t>
            </w:r>
          </w:p>
        </w:tc>
        <w:tc>
          <w:tcPr>
            <w:tcW w:w="743" w:type="dxa"/>
            <w:noWrap/>
            <w:hideMark/>
          </w:tcPr>
          <w:p w14:paraId="370C5A9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4.61</w:t>
            </w:r>
          </w:p>
        </w:tc>
        <w:tc>
          <w:tcPr>
            <w:tcW w:w="743" w:type="dxa"/>
            <w:noWrap/>
            <w:hideMark/>
          </w:tcPr>
          <w:p w14:paraId="6FFD57C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4.21</w:t>
            </w:r>
          </w:p>
        </w:tc>
        <w:tc>
          <w:tcPr>
            <w:tcW w:w="743" w:type="dxa"/>
            <w:noWrap/>
            <w:hideMark/>
          </w:tcPr>
          <w:p w14:paraId="651E761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3.83</w:t>
            </w:r>
          </w:p>
        </w:tc>
      </w:tr>
    </w:tbl>
    <w:p w14:paraId="64477B87" w14:textId="02317892" w:rsidR="007F061C"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 Author</w:t>
      </w:r>
      <w:r w:rsidR="001260CA">
        <w:rPr>
          <w:rFonts w:ascii="Times New Roman" w:hAnsi="Times New Roman" w:cs="Times New Roman"/>
          <w:sz w:val="24"/>
          <w:szCs w:val="24"/>
        </w:rPr>
        <w:t>’</w:t>
      </w:r>
      <w:r w:rsidRPr="002832DB">
        <w:rPr>
          <w:rFonts w:ascii="Times New Roman" w:hAnsi="Times New Roman" w:cs="Times New Roman"/>
          <w:sz w:val="24"/>
          <w:szCs w:val="24"/>
        </w:rPr>
        <w:t>s Calculation</w:t>
      </w:r>
      <w:r w:rsidR="00296E08">
        <w:rPr>
          <w:rFonts w:ascii="Times New Roman" w:hAnsi="Times New Roman" w:cs="Times New Roman"/>
          <w:sz w:val="24"/>
          <w:szCs w:val="24"/>
        </w:rPr>
        <w:t>, 2024.</w:t>
      </w:r>
    </w:p>
    <w:p w14:paraId="5B6EE994" w14:textId="77777777" w:rsidR="001E7C96" w:rsidRDefault="001E7C96" w:rsidP="000364B7">
      <w:pPr>
        <w:spacing w:line="480" w:lineRule="auto"/>
        <w:jc w:val="both"/>
        <w:rPr>
          <w:rFonts w:ascii="Times New Roman" w:hAnsi="Times New Roman" w:cs="Times New Roman"/>
          <w:sz w:val="24"/>
          <w:szCs w:val="24"/>
        </w:rPr>
      </w:pPr>
    </w:p>
    <w:p w14:paraId="7DD0B3E1" w14:textId="12732E2B" w:rsidR="00735925" w:rsidRDefault="00735925" w:rsidP="000364B7">
      <w:pPr>
        <w:spacing w:line="480" w:lineRule="auto"/>
        <w:jc w:val="both"/>
        <w:rPr>
          <w:rFonts w:ascii="Times New Roman" w:eastAsia="Calibri" w:hAnsi="Times New Roman" w:cs="Times New Roman"/>
          <w:b/>
          <w:bCs/>
          <w:sz w:val="24"/>
          <w:szCs w:val="24"/>
        </w:rPr>
      </w:pPr>
      <w:r w:rsidRPr="007A479B">
        <w:rPr>
          <w:rFonts w:ascii="Times New Roman" w:eastAsia="Calibri" w:hAnsi="Times New Roman" w:cs="Times New Roman"/>
          <w:b/>
          <w:bCs/>
          <w:sz w:val="24"/>
          <w:szCs w:val="24"/>
        </w:rPr>
        <w:t xml:space="preserve">3.4 </w:t>
      </w:r>
      <w:r w:rsidR="007A479B" w:rsidRPr="007A479B">
        <w:rPr>
          <w:rFonts w:ascii="Times New Roman" w:eastAsia="Calibri" w:hAnsi="Times New Roman" w:cs="Times New Roman"/>
          <w:b/>
          <w:bCs/>
          <w:sz w:val="24"/>
          <w:szCs w:val="24"/>
        </w:rPr>
        <w:t>Disparity in the Education Credit</w:t>
      </w:r>
      <w:r w:rsidR="003A68FD">
        <w:rPr>
          <w:rFonts w:ascii="Times New Roman" w:eastAsia="Calibri" w:hAnsi="Times New Roman" w:cs="Times New Roman"/>
          <w:b/>
          <w:bCs/>
          <w:sz w:val="24"/>
          <w:szCs w:val="24"/>
        </w:rPr>
        <w:t xml:space="preserve"> </w:t>
      </w:r>
    </w:p>
    <w:p w14:paraId="063CFA9B" w14:textId="160BF25C" w:rsidR="00664059" w:rsidRDefault="00224F35" w:rsidP="000364B7">
      <w:pPr>
        <w:spacing w:after="0" w:line="480" w:lineRule="auto"/>
        <w:jc w:val="both"/>
        <w:rPr>
          <w:rFonts w:ascii="Times New Roman" w:eastAsia="Times New Roman" w:hAnsi="Times New Roman" w:cs="Times New Roman"/>
          <w:kern w:val="0"/>
          <w:sz w:val="24"/>
          <w:szCs w:val="24"/>
          <w:lang w:eastAsia="en-IN"/>
          <w14:ligatures w14:val="none"/>
        </w:rPr>
      </w:pPr>
      <w:r w:rsidRPr="00224F35">
        <w:rPr>
          <w:rFonts w:ascii="Times New Roman" w:eastAsia="Times New Roman" w:hAnsi="Times New Roman" w:cs="Times New Roman"/>
          <w:kern w:val="0"/>
          <w:sz w:val="24"/>
          <w:szCs w:val="24"/>
          <w:lang w:eastAsia="en-IN"/>
          <w14:ligatures w14:val="none"/>
        </w:rPr>
        <w:t xml:space="preserve">The Gini coefficient is employed to estimate the inequality in the allocation of credit towards schooling. </w:t>
      </w:r>
      <w:r w:rsidR="00B531C7">
        <w:rPr>
          <w:rFonts w:ascii="Times New Roman" w:eastAsia="Times New Roman" w:hAnsi="Times New Roman" w:cs="Times New Roman"/>
          <w:kern w:val="0"/>
          <w:sz w:val="24"/>
          <w:szCs w:val="24"/>
          <w:lang w:eastAsia="en-IN"/>
          <w14:ligatures w14:val="none"/>
        </w:rPr>
        <w:t xml:space="preserve"> </w:t>
      </w:r>
      <w:r w:rsidR="00B531C7" w:rsidRPr="009F629C">
        <w:rPr>
          <w:rFonts w:ascii="Times New Roman" w:eastAsia="Times New Roman" w:hAnsi="Times New Roman" w:cs="Times New Roman"/>
          <w:kern w:val="0"/>
          <w:sz w:val="24"/>
          <w:szCs w:val="24"/>
          <w:lang w:eastAsia="en-IN"/>
          <w14:ligatures w14:val="none"/>
        </w:rPr>
        <w:t xml:space="preserve">Table </w:t>
      </w:r>
      <w:r w:rsidR="00D13F78">
        <w:rPr>
          <w:rFonts w:ascii="Times New Roman" w:eastAsia="Times New Roman" w:hAnsi="Times New Roman" w:cs="Times New Roman"/>
          <w:kern w:val="0"/>
          <w:sz w:val="24"/>
          <w:szCs w:val="24"/>
          <w:lang w:eastAsia="en-IN"/>
          <w14:ligatures w14:val="none"/>
        </w:rPr>
        <w:t>3</w:t>
      </w:r>
      <w:r w:rsidR="00B531C7" w:rsidRPr="009F629C">
        <w:rPr>
          <w:rFonts w:ascii="Times New Roman" w:eastAsia="Times New Roman" w:hAnsi="Times New Roman" w:cs="Times New Roman"/>
          <w:kern w:val="0"/>
          <w:sz w:val="24"/>
          <w:szCs w:val="24"/>
          <w:lang w:eastAsia="en-IN"/>
          <w14:ligatures w14:val="none"/>
        </w:rPr>
        <w:t xml:space="preserve"> illustrates a decrease in the discrepancy in college loans over this time frame. In 2016, the Gini coefficient was 0.366, but it decreased to 0.348 in 2017. Throughout this time frame, there has been a decrease in all types of credit movement (Singh, 2022). This decrease signifies a downturn in the provision of credit to the educational sector across all states. During the years 2018 and 2019, the coefficient value experienced a rise to 0.359 as the </w:t>
      </w:r>
      <w:r w:rsidR="00B531C7" w:rsidRPr="009F629C">
        <w:rPr>
          <w:rFonts w:ascii="Times New Roman" w:eastAsia="Times New Roman" w:hAnsi="Times New Roman" w:cs="Times New Roman"/>
          <w:kern w:val="0"/>
          <w:sz w:val="24"/>
          <w:szCs w:val="24"/>
          <w:lang w:eastAsia="en-IN"/>
          <w14:ligatures w14:val="none"/>
        </w:rPr>
        <w:lastRenderedPageBreak/>
        <w:t>credit situation improved over this time frame. Nevertheless, certain states have received additional credit. The coefficient value experienced a further decrease in 2020 and 2021 as a result of the detrimental effects of COVID-19 on the global economy. During this period, the majority of governments reduced the distribution of credit to the education sector. As of 2022, there has been a rise in credit, which is shown in the corresponding increase in the Gini coefficient.</w:t>
      </w:r>
    </w:p>
    <w:p w14:paraId="7EFC4F62" w14:textId="77777777" w:rsidR="00C61C73" w:rsidRDefault="00C61C73" w:rsidP="000364B7">
      <w:pPr>
        <w:spacing w:after="0" w:line="480" w:lineRule="auto"/>
        <w:jc w:val="both"/>
        <w:rPr>
          <w:rFonts w:ascii="Times New Roman" w:eastAsia="Times New Roman" w:hAnsi="Times New Roman" w:cs="Times New Roman"/>
          <w:kern w:val="0"/>
          <w:sz w:val="24"/>
          <w:szCs w:val="24"/>
          <w:lang w:eastAsia="en-IN"/>
          <w14:ligatures w14:val="none"/>
        </w:rPr>
      </w:pPr>
    </w:p>
    <w:p w14:paraId="270DDBC8" w14:textId="635D7BF3" w:rsidR="007F061C" w:rsidRPr="002832DB"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Table</w:t>
      </w:r>
      <w:r w:rsidR="00971C6D">
        <w:rPr>
          <w:rFonts w:ascii="Times New Roman" w:hAnsi="Times New Roman" w:cs="Times New Roman"/>
          <w:b/>
          <w:bCs/>
          <w:sz w:val="24"/>
          <w:szCs w:val="24"/>
        </w:rPr>
        <w:t xml:space="preserve"> </w:t>
      </w:r>
      <w:r w:rsidR="00D13F78">
        <w:rPr>
          <w:rFonts w:ascii="Times New Roman" w:hAnsi="Times New Roman" w:cs="Times New Roman"/>
          <w:b/>
          <w:bCs/>
          <w:sz w:val="24"/>
          <w:szCs w:val="24"/>
        </w:rPr>
        <w:t>3</w:t>
      </w:r>
      <w:r w:rsidR="007A479B">
        <w:rPr>
          <w:rFonts w:ascii="Times New Roman" w:hAnsi="Times New Roman" w:cs="Times New Roman"/>
          <w:b/>
          <w:bCs/>
          <w:sz w:val="24"/>
          <w:szCs w:val="24"/>
        </w:rPr>
        <w:t>:</w:t>
      </w:r>
      <w:r w:rsidRPr="002832DB">
        <w:rPr>
          <w:rFonts w:ascii="Times New Roman" w:hAnsi="Times New Roman" w:cs="Times New Roman"/>
          <w:b/>
          <w:bCs/>
          <w:sz w:val="24"/>
          <w:szCs w:val="24"/>
        </w:rPr>
        <w:t xml:space="preserve"> Gini coefficient for distribution of educational credit </w:t>
      </w:r>
    </w:p>
    <w:tbl>
      <w:tblPr>
        <w:tblStyle w:val="TableGrid"/>
        <w:tblW w:w="0" w:type="auto"/>
        <w:tblLook w:val="04A0" w:firstRow="1" w:lastRow="0" w:firstColumn="1" w:lastColumn="0" w:noHBand="0" w:noVBand="1"/>
      </w:tblPr>
      <w:tblGrid>
        <w:gridCol w:w="4508"/>
        <w:gridCol w:w="4508"/>
      </w:tblGrid>
      <w:tr w:rsidR="000109A9" w:rsidRPr="002832DB" w14:paraId="4E00AE77" w14:textId="77777777" w:rsidTr="00D62975">
        <w:tc>
          <w:tcPr>
            <w:tcW w:w="4508" w:type="dxa"/>
          </w:tcPr>
          <w:p w14:paraId="2FC4C74C" w14:textId="0DE0DD7D" w:rsidR="00D62975" w:rsidRPr="00E93369" w:rsidRDefault="006312E1" w:rsidP="000364B7">
            <w:pPr>
              <w:spacing w:line="480" w:lineRule="auto"/>
              <w:jc w:val="both"/>
              <w:rPr>
                <w:rFonts w:ascii="Times New Roman" w:hAnsi="Times New Roman" w:cs="Times New Roman"/>
                <w:sz w:val="24"/>
                <w:szCs w:val="24"/>
              </w:rPr>
            </w:pPr>
            <w:r w:rsidRPr="00E93369">
              <w:rPr>
                <w:rFonts w:ascii="Times New Roman" w:hAnsi="Times New Roman" w:cs="Times New Roman"/>
                <w:sz w:val="24"/>
                <w:szCs w:val="24"/>
              </w:rPr>
              <w:t xml:space="preserve">Year </w:t>
            </w:r>
          </w:p>
        </w:tc>
        <w:tc>
          <w:tcPr>
            <w:tcW w:w="4508" w:type="dxa"/>
          </w:tcPr>
          <w:p w14:paraId="2B1E8C7F" w14:textId="1B261E21" w:rsidR="00D62975" w:rsidRPr="00E93369" w:rsidRDefault="006312E1" w:rsidP="000364B7">
            <w:pPr>
              <w:spacing w:line="480" w:lineRule="auto"/>
              <w:jc w:val="both"/>
              <w:rPr>
                <w:rFonts w:ascii="Times New Roman" w:hAnsi="Times New Roman" w:cs="Times New Roman"/>
                <w:sz w:val="24"/>
                <w:szCs w:val="24"/>
              </w:rPr>
            </w:pPr>
            <w:r w:rsidRPr="00E93369">
              <w:rPr>
                <w:rFonts w:ascii="Times New Roman" w:hAnsi="Times New Roman" w:cs="Times New Roman"/>
                <w:sz w:val="24"/>
                <w:szCs w:val="24"/>
              </w:rPr>
              <w:t>Value of Gini coefficient</w:t>
            </w:r>
          </w:p>
        </w:tc>
      </w:tr>
      <w:tr w:rsidR="000109A9" w:rsidRPr="002832DB" w14:paraId="12F56783" w14:textId="77777777" w:rsidTr="00D62975">
        <w:tc>
          <w:tcPr>
            <w:tcW w:w="4508" w:type="dxa"/>
          </w:tcPr>
          <w:p w14:paraId="0B31EC44" w14:textId="7C8E5353"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6</w:t>
            </w:r>
          </w:p>
        </w:tc>
        <w:tc>
          <w:tcPr>
            <w:tcW w:w="4508" w:type="dxa"/>
          </w:tcPr>
          <w:p w14:paraId="1541A8CC" w14:textId="54CB227D"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0.366</w:t>
            </w:r>
          </w:p>
        </w:tc>
      </w:tr>
      <w:tr w:rsidR="000109A9" w:rsidRPr="002832DB" w14:paraId="495B55C3" w14:textId="77777777" w:rsidTr="00D62975">
        <w:tc>
          <w:tcPr>
            <w:tcW w:w="4508" w:type="dxa"/>
          </w:tcPr>
          <w:p w14:paraId="6B90D86A" w14:textId="07659F92"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7</w:t>
            </w:r>
          </w:p>
        </w:tc>
        <w:tc>
          <w:tcPr>
            <w:tcW w:w="4508" w:type="dxa"/>
          </w:tcPr>
          <w:p w14:paraId="2ECB53D1" w14:textId="58E5A1BA"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0.348</w:t>
            </w:r>
          </w:p>
        </w:tc>
      </w:tr>
      <w:tr w:rsidR="000109A9" w:rsidRPr="002832DB" w14:paraId="0917818B" w14:textId="77777777" w:rsidTr="00D62975">
        <w:tc>
          <w:tcPr>
            <w:tcW w:w="4508" w:type="dxa"/>
          </w:tcPr>
          <w:p w14:paraId="4FF5F5B4" w14:textId="64D6E3C2"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8</w:t>
            </w:r>
          </w:p>
        </w:tc>
        <w:tc>
          <w:tcPr>
            <w:tcW w:w="4508" w:type="dxa"/>
          </w:tcPr>
          <w:p w14:paraId="29DFC865" w14:textId="7D1FF1F9"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0.359</w:t>
            </w:r>
          </w:p>
        </w:tc>
      </w:tr>
      <w:tr w:rsidR="000109A9" w:rsidRPr="002832DB" w14:paraId="740F6390" w14:textId="77777777" w:rsidTr="00D62975">
        <w:tc>
          <w:tcPr>
            <w:tcW w:w="4508" w:type="dxa"/>
          </w:tcPr>
          <w:p w14:paraId="65D16379" w14:textId="62CA5F2A"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9</w:t>
            </w:r>
          </w:p>
        </w:tc>
        <w:tc>
          <w:tcPr>
            <w:tcW w:w="4508" w:type="dxa"/>
          </w:tcPr>
          <w:p w14:paraId="2CE1F8B8" w14:textId="1D345EA7"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0.359</w:t>
            </w:r>
          </w:p>
        </w:tc>
      </w:tr>
      <w:tr w:rsidR="000109A9" w:rsidRPr="002832DB" w14:paraId="189E1166" w14:textId="77777777" w:rsidTr="00D62975">
        <w:tc>
          <w:tcPr>
            <w:tcW w:w="4508" w:type="dxa"/>
          </w:tcPr>
          <w:p w14:paraId="0D6B7869" w14:textId="252385A4"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w:t>
            </w:r>
            <w:r w:rsidR="0038116C" w:rsidRPr="002832DB">
              <w:rPr>
                <w:rFonts w:ascii="Times New Roman" w:hAnsi="Times New Roman" w:cs="Times New Roman"/>
                <w:sz w:val="24"/>
                <w:szCs w:val="24"/>
              </w:rPr>
              <w:t>20</w:t>
            </w:r>
          </w:p>
        </w:tc>
        <w:tc>
          <w:tcPr>
            <w:tcW w:w="4508" w:type="dxa"/>
          </w:tcPr>
          <w:p w14:paraId="6EF7199A" w14:textId="29B1D6FE"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0.351</w:t>
            </w:r>
          </w:p>
        </w:tc>
      </w:tr>
      <w:tr w:rsidR="000109A9" w:rsidRPr="002832DB" w14:paraId="5AC93CD9" w14:textId="77777777" w:rsidTr="00D62975">
        <w:tc>
          <w:tcPr>
            <w:tcW w:w="4508" w:type="dxa"/>
          </w:tcPr>
          <w:p w14:paraId="030E31A0" w14:textId="01D0D90E"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w:t>
            </w:r>
            <w:r w:rsidR="0038116C" w:rsidRPr="002832DB">
              <w:rPr>
                <w:rFonts w:ascii="Times New Roman" w:hAnsi="Times New Roman" w:cs="Times New Roman"/>
                <w:sz w:val="24"/>
                <w:szCs w:val="24"/>
              </w:rPr>
              <w:t>21</w:t>
            </w:r>
          </w:p>
        </w:tc>
        <w:tc>
          <w:tcPr>
            <w:tcW w:w="4508" w:type="dxa"/>
          </w:tcPr>
          <w:p w14:paraId="52928A1C" w14:textId="6B2E1879"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0.344</w:t>
            </w:r>
          </w:p>
        </w:tc>
      </w:tr>
      <w:tr w:rsidR="000109A9" w:rsidRPr="002832DB" w14:paraId="23FD7E64" w14:textId="77777777" w:rsidTr="00D62975">
        <w:tc>
          <w:tcPr>
            <w:tcW w:w="4508" w:type="dxa"/>
          </w:tcPr>
          <w:p w14:paraId="75303828" w14:textId="0EC07E7F"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w:t>
            </w:r>
            <w:r w:rsidR="0038116C" w:rsidRPr="002832DB">
              <w:rPr>
                <w:rFonts w:ascii="Times New Roman" w:hAnsi="Times New Roman" w:cs="Times New Roman"/>
                <w:sz w:val="24"/>
                <w:szCs w:val="24"/>
              </w:rPr>
              <w:t>22</w:t>
            </w:r>
          </w:p>
        </w:tc>
        <w:tc>
          <w:tcPr>
            <w:tcW w:w="4508" w:type="dxa"/>
          </w:tcPr>
          <w:p w14:paraId="55E742E0" w14:textId="47CA63B3"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0.346</w:t>
            </w:r>
          </w:p>
        </w:tc>
      </w:tr>
    </w:tbl>
    <w:p w14:paraId="285BF7A7" w14:textId="146912E4" w:rsidR="00D62975"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 Authors Calculation</w:t>
      </w:r>
      <w:r w:rsidR="00B531C7">
        <w:rPr>
          <w:rFonts w:ascii="Times New Roman" w:hAnsi="Times New Roman" w:cs="Times New Roman"/>
          <w:sz w:val="24"/>
          <w:szCs w:val="24"/>
        </w:rPr>
        <w:t>, 2024.</w:t>
      </w:r>
    </w:p>
    <w:p w14:paraId="7C1E1B4B" w14:textId="77777777" w:rsidR="00F96DFC" w:rsidRPr="002832DB" w:rsidRDefault="00F96DFC" w:rsidP="000364B7">
      <w:pPr>
        <w:spacing w:line="480" w:lineRule="auto"/>
        <w:jc w:val="both"/>
        <w:rPr>
          <w:rFonts w:ascii="Times New Roman" w:hAnsi="Times New Roman" w:cs="Times New Roman"/>
          <w:sz w:val="24"/>
          <w:szCs w:val="24"/>
        </w:rPr>
      </w:pPr>
    </w:p>
    <w:p w14:paraId="1D82A99B" w14:textId="5B7E8A49" w:rsidR="007A479B" w:rsidRDefault="007A479B" w:rsidP="000364B7">
      <w:pPr>
        <w:spacing w:line="480" w:lineRule="auto"/>
        <w:jc w:val="both"/>
        <w:rPr>
          <w:rFonts w:ascii="Times New Roman" w:eastAsia="Calibri" w:hAnsi="Times New Roman" w:cs="Times New Roman"/>
          <w:b/>
          <w:bCs/>
          <w:sz w:val="24"/>
          <w:szCs w:val="24"/>
        </w:rPr>
      </w:pPr>
      <w:r w:rsidRPr="007A479B">
        <w:rPr>
          <w:rFonts w:ascii="Times New Roman" w:eastAsia="Calibri" w:hAnsi="Times New Roman" w:cs="Times New Roman"/>
          <w:b/>
          <w:bCs/>
          <w:sz w:val="24"/>
          <w:szCs w:val="24"/>
        </w:rPr>
        <w:t>3.5 Factors Affecting Educational Credit</w:t>
      </w:r>
    </w:p>
    <w:p w14:paraId="628E51FA" w14:textId="4F2D9344" w:rsidR="00CB3672" w:rsidRPr="00CB3672" w:rsidRDefault="00CB3672" w:rsidP="00CB3672">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CB3672">
        <w:rPr>
          <w:rFonts w:ascii="Times New Roman" w:eastAsia="Times New Roman" w:hAnsi="Times New Roman" w:cs="Times New Roman"/>
          <w:kern w:val="0"/>
          <w:sz w:val="24"/>
          <w:szCs w:val="24"/>
          <w:lang w:eastAsia="en-IN"/>
          <w14:ligatures w14:val="none"/>
        </w:rPr>
        <w:t xml:space="preserve">The study utilized the pooled OLS regression model to investigate the factors potentially influencing the unequal distribution of loans across India. This model is suitable when data heterogeneity is not significant. Initially, we assessed the appropriateness of the fixed effect and random effect models. The Hausman test was employed for this purpose. The results of the Hausman test indicated that the fixed effect model is more appropriate than the </w:t>
      </w:r>
      <w:r w:rsidRPr="00CB3672">
        <w:rPr>
          <w:rFonts w:ascii="Times New Roman" w:eastAsia="Times New Roman" w:hAnsi="Times New Roman" w:cs="Times New Roman"/>
          <w:kern w:val="0"/>
          <w:sz w:val="24"/>
          <w:szCs w:val="24"/>
          <w:lang w:eastAsia="en-IN"/>
          <w14:ligatures w14:val="none"/>
        </w:rPr>
        <w:lastRenderedPageBreak/>
        <w:t>random effect model, as evidenced by a chi-square statistic of 13.9, which exceeds the threshold value. Consequently, we rejected the null hypothesis that the random effect model is more suitable. We then evaluated the suitability between the fixed effect and pooled models. In comparing the pooled regression model to the fixed effect model, we found that the coefficients for the time variable and state ID were not statistically significant. This implies that there is not a substantial level of heterogeneity between the state ID and time variable. Therefore, the pooled model was selected for this research. The independent variables include the gross state domestic product (GSDP), the gross enrolment ratio (GER), the number of educational institutions in the region, and the number of bank branches in the region. The continuous variables were derived by converting the number of bank branches and the number of educational institutions into logarithmic form.</w:t>
      </w:r>
    </w:p>
    <w:p w14:paraId="338F554D" w14:textId="27110238" w:rsidR="00497647" w:rsidRDefault="00497647" w:rsidP="000364B7">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497647">
        <w:rPr>
          <w:rFonts w:ascii="Times New Roman" w:eastAsia="Times New Roman" w:hAnsi="Times New Roman" w:cs="Times New Roman"/>
          <w:kern w:val="0"/>
          <w:sz w:val="24"/>
          <w:szCs w:val="24"/>
          <w:lang w:eastAsia="en-IN"/>
          <w14:ligatures w14:val="none"/>
        </w:rPr>
        <w:t xml:space="preserve"> The findings of the pooled OLS regression model are presented in Table </w:t>
      </w:r>
      <w:r w:rsidR="00D13F78">
        <w:rPr>
          <w:rFonts w:ascii="Times New Roman" w:eastAsia="Times New Roman" w:hAnsi="Times New Roman" w:cs="Times New Roman"/>
          <w:kern w:val="0"/>
          <w:sz w:val="24"/>
          <w:szCs w:val="24"/>
          <w:lang w:eastAsia="en-IN"/>
          <w14:ligatures w14:val="none"/>
        </w:rPr>
        <w:t>4</w:t>
      </w:r>
      <w:r w:rsidRPr="00497647">
        <w:rPr>
          <w:rFonts w:ascii="Times New Roman" w:eastAsia="Times New Roman" w:hAnsi="Times New Roman" w:cs="Times New Roman"/>
          <w:kern w:val="0"/>
          <w:sz w:val="24"/>
          <w:szCs w:val="24"/>
          <w:lang w:eastAsia="en-IN"/>
          <w14:ligatures w14:val="none"/>
        </w:rPr>
        <w:t>.</w:t>
      </w:r>
    </w:p>
    <w:p w14:paraId="029AD587" w14:textId="7D5EF574" w:rsidR="00B531C7" w:rsidRPr="00497647" w:rsidRDefault="00B531C7" w:rsidP="000364B7">
      <w:pPr>
        <w:spacing w:after="0" w:line="480" w:lineRule="auto"/>
        <w:jc w:val="both"/>
        <w:rPr>
          <w:rFonts w:ascii="Times New Roman" w:eastAsia="Times New Roman" w:hAnsi="Times New Roman" w:cs="Times New Roman"/>
          <w:kern w:val="0"/>
          <w:sz w:val="24"/>
          <w:szCs w:val="24"/>
          <w:lang w:eastAsia="en-IN"/>
          <w14:ligatures w14:val="none"/>
        </w:rPr>
      </w:pPr>
      <w:r w:rsidRPr="00724C06">
        <w:rPr>
          <w:rFonts w:ascii="Times New Roman" w:eastAsia="Times New Roman" w:hAnsi="Times New Roman" w:cs="Times New Roman"/>
          <w:kern w:val="0"/>
          <w:sz w:val="24"/>
          <w:szCs w:val="24"/>
          <w:lang w:eastAsia="en-IN"/>
          <w14:ligatures w14:val="none"/>
        </w:rPr>
        <w:t>The results indicate that GER, the quantity of bank branches, and the quantity of educational institutions all exert a noteworthy influence on the credit extended to persons for educational objectives.</w:t>
      </w:r>
    </w:p>
    <w:p w14:paraId="766D7A81" w14:textId="77777777" w:rsidR="009F629C" w:rsidRDefault="009F629C" w:rsidP="000364B7">
      <w:pPr>
        <w:spacing w:line="480" w:lineRule="auto"/>
        <w:jc w:val="both"/>
        <w:rPr>
          <w:rFonts w:ascii="Times New Roman" w:eastAsia="Calibri" w:hAnsi="Times New Roman" w:cs="Times New Roman"/>
          <w:b/>
          <w:bCs/>
          <w:sz w:val="24"/>
          <w:szCs w:val="24"/>
        </w:rPr>
      </w:pPr>
    </w:p>
    <w:p w14:paraId="4B05DA7C" w14:textId="352D2E62" w:rsidR="005F2672"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Table</w:t>
      </w:r>
      <w:r w:rsidR="007A479B">
        <w:rPr>
          <w:rFonts w:ascii="Times New Roman" w:hAnsi="Times New Roman" w:cs="Times New Roman"/>
          <w:b/>
          <w:bCs/>
          <w:sz w:val="24"/>
          <w:szCs w:val="24"/>
        </w:rPr>
        <w:t>-</w:t>
      </w:r>
      <w:r w:rsidR="00D13F78">
        <w:rPr>
          <w:rFonts w:ascii="Times New Roman" w:hAnsi="Times New Roman" w:cs="Times New Roman"/>
          <w:b/>
          <w:bCs/>
          <w:sz w:val="24"/>
          <w:szCs w:val="24"/>
        </w:rPr>
        <w:t>4</w:t>
      </w:r>
      <w:r w:rsidR="007A479B">
        <w:rPr>
          <w:rFonts w:ascii="Times New Roman" w:hAnsi="Times New Roman" w:cs="Times New Roman"/>
          <w:b/>
          <w:bCs/>
          <w:sz w:val="24"/>
          <w:szCs w:val="24"/>
        </w:rPr>
        <w:t>:</w:t>
      </w:r>
      <w:r w:rsidRPr="002832DB">
        <w:rPr>
          <w:rFonts w:ascii="Times New Roman" w:hAnsi="Times New Roman" w:cs="Times New Roman"/>
          <w:b/>
          <w:bCs/>
          <w:sz w:val="24"/>
          <w:szCs w:val="24"/>
        </w:rPr>
        <w:t xml:space="preserve">  </w:t>
      </w:r>
      <w:r w:rsidR="00382A93" w:rsidRPr="002832DB">
        <w:rPr>
          <w:rFonts w:ascii="Times New Roman" w:hAnsi="Times New Roman" w:cs="Times New Roman"/>
          <w:b/>
          <w:bCs/>
          <w:sz w:val="24"/>
          <w:szCs w:val="24"/>
        </w:rPr>
        <w:t>Result of pooled OLS regression</w:t>
      </w:r>
    </w:p>
    <w:tbl>
      <w:tblPr>
        <w:tblStyle w:val="TableGrid"/>
        <w:tblW w:w="0" w:type="auto"/>
        <w:tblLook w:val="04A0" w:firstRow="1" w:lastRow="0" w:firstColumn="1" w:lastColumn="0" w:noHBand="0" w:noVBand="1"/>
      </w:tblPr>
      <w:tblGrid>
        <w:gridCol w:w="1803"/>
        <w:gridCol w:w="1803"/>
        <w:gridCol w:w="1803"/>
        <w:gridCol w:w="1803"/>
        <w:gridCol w:w="1804"/>
      </w:tblGrid>
      <w:tr w:rsidR="009D77F7" w:rsidRPr="002832DB" w14:paraId="245B6003" w14:textId="77777777" w:rsidTr="00B311EA">
        <w:trPr>
          <w:trHeight w:val="340"/>
        </w:trPr>
        <w:tc>
          <w:tcPr>
            <w:tcW w:w="1803" w:type="dxa"/>
          </w:tcPr>
          <w:p w14:paraId="69FFC7B9"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Variable</w:t>
            </w:r>
          </w:p>
        </w:tc>
        <w:tc>
          <w:tcPr>
            <w:tcW w:w="1803" w:type="dxa"/>
          </w:tcPr>
          <w:p w14:paraId="149DFEA5"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Coefficient</w:t>
            </w:r>
          </w:p>
        </w:tc>
        <w:tc>
          <w:tcPr>
            <w:tcW w:w="1803" w:type="dxa"/>
          </w:tcPr>
          <w:p w14:paraId="0C3EABC7"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Std. Error</w:t>
            </w:r>
          </w:p>
        </w:tc>
        <w:tc>
          <w:tcPr>
            <w:tcW w:w="1803" w:type="dxa"/>
          </w:tcPr>
          <w:p w14:paraId="5B50AEBC"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T- Value</w:t>
            </w:r>
          </w:p>
        </w:tc>
        <w:tc>
          <w:tcPr>
            <w:tcW w:w="1804" w:type="dxa"/>
          </w:tcPr>
          <w:p w14:paraId="414C3A0A"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P-value</w:t>
            </w:r>
          </w:p>
        </w:tc>
      </w:tr>
      <w:tr w:rsidR="009D77F7" w:rsidRPr="002832DB" w14:paraId="62C31C74" w14:textId="77777777" w:rsidTr="00B311EA">
        <w:trPr>
          <w:trHeight w:val="480"/>
        </w:trPr>
        <w:tc>
          <w:tcPr>
            <w:tcW w:w="1803" w:type="dxa"/>
          </w:tcPr>
          <w:p w14:paraId="607F066A"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Intercept</w:t>
            </w:r>
          </w:p>
        </w:tc>
        <w:tc>
          <w:tcPr>
            <w:tcW w:w="1803" w:type="dxa"/>
          </w:tcPr>
          <w:p w14:paraId="0425FA9C"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w:t>
            </w:r>
            <w:r>
              <w:rPr>
                <w:rFonts w:ascii="Times New Roman" w:hAnsi="Times New Roman" w:cs="Times New Roman"/>
                <w:sz w:val="24"/>
                <w:szCs w:val="24"/>
              </w:rPr>
              <w:t>3.005</w:t>
            </w:r>
          </w:p>
          <w:p w14:paraId="400BEDF1"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24B40407"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0.727</w:t>
            </w:r>
          </w:p>
        </w:tc>
        <w:tc>
          <w:tcPr>
            <w:tcW w:w="1803" w:type="dxa"/>
          </w:tcPr>
          <w:p w14:paraId="290B5357"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w:t>
            </w:r>
            <w:r>
              <w:rPr>
                <w:rFonts w:ascii="Times New Roman" w:hAnsi="Times New Roman" w:cs="Times New Roman"/>
                <w:sz w:val="24"/>
                <w:szCs w:val="24"/>
              </w:rPr>
              <w:t>4.13</w:t>
            </w:r>
          </w:p>
        </w:tc>
        <w:tc>
          <w:tcPr>
            <w:tcW w:w="1804" w:type="dxa"/>
          </w:tcPr>
          <w:p w14:paraId="3288FF6E" w14:textId="77777777" w:rsidR="009D77F7" w:rsidRPr="00866AC9"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5.62e-05 ***</w:t>
            </w:r>
          </w:p>
          <w:p w14:paraId="4CBBFC19"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4FB804A8" w14:textId="77777777" w:rsidTr="00B311EA">
        <w:trPr>
          <w:trHeight w:val="340"/>
        </w:trPr>
        <w:tc>
          <w:tcPr>
            <w:tcW w:w="1803" w:type="dxa"/>
          </w:tcPr>
          <w:p w14:paraId="72277204"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GER</w:t>
            </w:r>
          </w:p>
        </w:tc>
        <w:tc>
          <w:tcPr>
            <w:tcW w:w="1803" w:type="dxa"/>
          </w:tcPr>
          <w:p w14:paraId="6E4E0886"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r w:rsidRPr="002832DB">
              <w:rPr>
                <w:rFonts w:ascii="Times New Roman" w:hAnsi="Times New Roman" w:cs="Times New Roman"/>
                <w:sz w:val="24"/>
                <w:szCs w:val="24"/>
              </w:rPr>
              <w:t xml:space="preserve">    </w:t>
            </w:r>
          </w:p>
        </w:tc>
        <w:tc>
          <w:tcPr>
            <w:tcW w:w="1803" w:type="dxa"/>
          </w:tcPr>
          <w:p w14:paraId="42A9ED4C"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w:t>
            </w:r>
            <w:r>
              <w:rPr>
                <w:rFonts w:ascii="Times New Roman" w:hAnsi="Times New Roman" w:cs="Times New Roman"/>
                <w:sz w:val="24"/>
                <w:szCs w:val="24"/>
              </w:rPr>
              <w:t>129</w:t>
            </w:r>
          </w:p>
        </w:tc>
        <w:tc>
          <w:tcPr>
            <w:tcW w:w="1803" w:type="dxa"/>
          </w:tcPr>
          <w:p w14:paraId="0C0156C0"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8.63</w:t>
            </w:r>
          </w:p>
        </w:tc>
        <w:tc>
          <w:tcPr>
            <w:tcW w:w="1804" w:type="dxa"/>
          </w:tcPr>
          <w:p w14:paraId="2A69CAEF" w14:textId="77777777" w:rsidR="009D77F7" w:rsidRPr="002832DB"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4.79e-15 ***</w:t>
            </w:r>
          </w:p>
          <w:p w14:paraId="379AFBBB"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2121AFFC" w14:textId="77777777" w:rsidTr="00B311EA">
        <w:trPr>
          <w:trHeight w:val="340"/>
        </w:trPr>
        <w:tc>
          <w:tcPr>
            <w:tcW w:w="1803" w:type="dxa"/>
          </w:tcPr>
          <w:p w14:paraId="6197850F"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GSDP</w:t>
            </w:r>
          </w:p>
        </w:tc>
        <w:tc>
          <w:tcPr>
            <w:tcW w:w="1803" w:type="dxa"/>
          </w:tcPr>
          <w:p w14:paraId="0CD87D19"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-0.06319</w:t>
            </w:r>
          </w:p>
          <w:p w14:paraId="6843EA17"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10787589"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0.1827</w:t>
            </w:r>
          </w:p>
        </w:tc>
        <w:tc>
          <w:tcPr>
            <w:tcW w:w="1803" w:type="dxa"/>
          </w:tcPr>
          <w:p w14:paraId="7841C1F0"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1</w:t>
            </w:r>
            <w:r>
              <w:rPr>
                <w:rFonts w:ascii="Times New Roman" w:hAnsi="Times New Roman" w:cs="Times New Roman"/>
                <w:sz w:val="24"/>
                <w:szCs w:val="24"/>
              </w:rPr>
              <w:t>.986</w:t>
            </w:r>
          </w:p>
        </w:tc>
        <w:tc>
          <w:tcPr>
            <w:tcW w:w="1804" w:type="dxa"/>
          </w:tcPr>
          <w:p w14:paraId="0DBA04BC" w14:textId="77777777" w:rsidR="009D77F7" w:rsidRPr="00866AC9"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0.729985</w:t>
            </w:r>
          </w:p>
          <w:p w14:paraId="34544D2E"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0769AA18" w14:textId="77777777" w:rsidTr="00B311EA">
        <w:trPr>
          <w:trHeight w:val="340"/>
        </w:trPr>
        <w:tc>
          <w:tcPr>
            <w:tcW w:w="1803" w:type="dxa"/>
          </w:tcPr>
          <w:p w14:paraId="24691AF5"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lastRenderedPageBreak/>
              <w:t>No. of Bank Branches</w:t>
            </w:r>
          </w:p>
        </w:tc>
        <w:tc>
          <w:tcPr>
            <w:tcW w:w="1803" w:type="dxa"/>
          </w:tcPr>
          <w:p w14:paraId="6F3BFC9F"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1.5886</w:t>
            </w:r>
          </w:p>
          <w:p w14:paraId="6B5754DF"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105FEB9F"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w:t>
            </w:r>
            <w:r>
              <w:rPr>
                <w:rFonts w:ascii="Times New Roman" w:hAnsi="Times New Roman" w:cs="Times New Roman"/>
                <w:sz w:val="24"/>
                <w:szCs w:val="24"/>
              </w:rPr>
              <w:t>198</w:t>
            </w:r>
          </w:p>
        </w:tc>
        <w:tc>
          <w:tcPr>
            <w:tcW w:w="1803" w:type="dxa"/>
          </w:tcPr>
          <w:p w14:paraId="4ADEE8EF"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5.590</w:t>
            </w:r>
          </w:p>
        </w:tc>
        <w:tc>
          <w:tcPr>
            <w:tcW w:w="1804" w:type="dxa"/>
          </w:tcPr>
          <w:p w14:paraId="649AFF2D" w14:textId="77777777" w:rsidR="009D77F7" w:rsidRPr="00866AC9"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1.19e-15 ***</w:t>
            </w:r>
          </w:p>
          <w:p w14:paraId="293C3FD5"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064DD3D2" w14:textId="77777777" w:rsidTr="00B311EA">
        <w:trPr>
          <w:trHeight w:val="340"/>
        </w:trPr>
        <w:tc>
          <w:tcPr>
            <w:tcW w:w="1803" w:type="dxa"/>
          </w:tcPr>
          <w:p w14:paraId="7BAF1AC7"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No. of Educational Institution</w:t>
            </w:r>
          </w:p>
        </w:tc>
        <w:tc>
          <w:tcPr>
            <w:tcW w:w="1803" w:type="dxa"/>
          </w:tcPr>
          <w:p w14:paraId="07A3501D" w14:textId="77777777" w:rsidR="009D77F7" w:rsidRPr="007241A7" w:rsidRDefault="009D77F7" w:rsidP="000364B7">
            <w:pPr>
              <w:spacing w:line="480" w:lineRule="auto"/>
              <w:jc w:val="both"/>
              <w:rPr>
                <w:rFonts w:ascii="Times New Roman" w:hAnsi="Times New Roman" w:cs="Times New Roman"/>
                <w:sz w:val="24"/>
                <w:szCs w:val="24"/>
              </w:rPr>
            </w:pPr>
            <w:r w:rsidRPr="007241A7">
              <w:rPr>
                <w:rFonts w:ascii="Times New Roman" w:hAnsi="Times New Roman" w:cs="Times New Roman"/>
                <w:sz w:val="24"/>
                <w:szCs w:val="24"/>
              </w:rPr>
              <w:t>-0.34478</w:t>
            </w:r>
          </w:p>
          <w:p w14:paraId="1F4519EA"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38FFF462"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w:t>
            </w:r>
            <w:r>
              <w:rPr>
                <w:rFonts w:ascii="Times New Roman" w:hAnsi="Times New Roman" w:cs="Times New Roman"/>
                <w:sz w:val="24"/>
                <w:szCs w:val="24"/>
              </w:rPr>
              <w:t>1169</w:t>
            </w:r>
          </w:p>
        </w:tc>
        <w:tc>
          <w:tcPr>
            <w:tcW w:w="1803" w:type="dxa"/>
          </w:tcPr>
          <w:p w14:paraId="4E4F2D4A"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w:t>
            </w:r>
            <w:r>
              <w:rPr>
                <w:rFonts w:ascii="Times New Roman" w:hAnsi="Times New Roman" w:cs="Times New Roman"/>
                <w:sz w:val="24"/>
                <w:szCs w:val="24"/>
              </w:rPr>
              <w:t>4.234</w:t>
            </w:r>
          </w:p>
        </w:tc>
        <w:tc>
          <w:tcPr>
            <w:tcW w:w="1804" w:type="dxa"/>
          </w:tcPr>
          <w:p w14:paraId="4E8959FB" w14:textId="77777777" w:rsidR="009D77F7" w:rsidRPr="002832DB"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0.000622 ***</w:t>
            </w:r>
          </w:p>
        </w:tc>
      </w:tr>
      <w:tr w:rsidR="00433E98" w:rsidRPr="002832DB" w14:paraId="5E0D7FF5" w14:textId="77777777" w:rsidTr="00EC5C24">
        <w:trPr>
          <w:trHeight w:val="340"/>
        </w:trPr>
        <w:tc>
          <w:tcPr>
            <w:tcW w:w="1803" w:type="dxa"/>
          </w:tcPr>
          <w:p w14:paraId="70192C6C" w14:textId="493748C6" w:rsidR="00433E98" w:rsidRPr="00866AC9" w:rsidRDefault="00047B11"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Number of observations</w:t>
            </w:r>
          </w:p>
        </w:tc>
        <w:tc>
          <w:tcPr>
            <w:tcW w:w="7213" w:type="dxa"/>
            <w:gridSpan w:val="4"/>
          </w:tcPr>
          <w:p w14:paraId="6EA2290B" w14:textId="6433D828" w:rsidR="00433E98" w:rsidRPr="0019010E" w:rsidRDefault="00047B11"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433E98" w:rsidRPr="002832DB" w14:paraId="63F76B0F" w14:textId="77777777" w:rsidTr="00BF1522">
        <w:trPr>
          <w:trHeight w:val="340"/>
        </w:trPr>
        <w:tc>
          <w:tcPr>
            <w:tcW w:w="1803" w:type="dxa"/>
          </w:tcPr>
          <w:p w14:paraId="6A4225DA" w14:textId="1EA534E6" w:rsidR="00433E98" w:rsidRPr="00866AC9" w:rsidRDefault="00047B11"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Adjusted R-Square</w:t>
            </w:r>
          </w:p>
        </w:tc>
        <w:tc>
          <w:tcPr>
            <w:tcW w:w="7213" w:type="dxa"/>
            <w:gridSpan w:val="4"/>
          </w:tcPr>
          <w:p w14:paraId="0D753177" w14:textId="51A409C7" w:rsidR="00433E98" w:rsidRPr="0019010E" w:rsidRDefault="00047B11"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0.9138</w:t>
            </w:r>
          </w:p>
        </w:tc>
      </w:tr>
    </w:tbl>
    <w:p w14:paraId="3B108E16" w14:textId="75B9F711" w:rsidR="00633220"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w:t>
      </w:r>
      <w:r w:rsidR="00B531C7">
        <w:rPr>
          <w:rFonts w:ascii="Times New Roman" w:hAnsi="Times New Roman" w:cs="Times New Roman"/>
          <w:sz w:val="24"/>
          <w:szCs w:val="24"/>
        </w:rPr>
        <w:t>:</w:t>
      </w:r>
      <w:r w:rsidR="00B531C7" w:rsidRPr="002832DB">
        <w:rPr>
          <w:rFonts w:ascii="Times New Roman" w:hAnsi="Times New Roman" w:cs="Times New Roman"/>
          <w:sz w:val="24"/>
          <w:szCs w:val="24"/>
        </w:rPr>
        <w:t xml:space="preserve"> </w:t>
      </w:r>
      <w:r w:rsidRPr="002832DB">
        <w:rPr>
          <w:rFonts w:ascii="Times New Roman" w:hAnsi="Times New Roman" w:cs="Times New Roman"/>
          <w:sz w:val="24"/>
          <w:szCs w:val="24"/>
        </w:rPr>
        <w:t>Authors Calculation</w:t>
      </w:r>
      <w:r w:rsidR="00B531C7">
        <w:rPr>
          <w:rFonts w:ascii="Times New Roman" w:hAnsi="Times New Roman" w:cs="Times New Roman"/>
          <w:sz w:val="24"/>
          <w:szCs w:val="24"/>
        </w:rPr>
        <w:t>, 2024.</w:t>
      </w:r>
    </w:p>
    <w:p w14:paraId="7AE3F999" w14:textId="1110B3B1" w:rsidR="00724C06" w:rsidRPr="00724C06" w:rsidRDefault="00724C06" w:rsidP="000364B7">
      <w:pPr>
        <w:spacing w:after="0" w:line="480" w:lineRule="auto"/>
        <w:jc w:val="both"/>
        <w:rPr>
          <w:rFonts w:ascii="Times New Roman" w:eastAsia="Times New Roman" w:hAnsi="Times New Roman" w:cs="Times New Roman"/>
          <w:kern w:val="0"/>
          <w:sz w:val="24"/>
          <w:szCs w:val="24"/>
          <w:lang w:eastAsia="en-IN"/>
          <w14:ligatures w14:val="none"/>
        </w:rPr>
      </w:pPr>
      <w:r w:rsidRPr="00724C06">
        <w:rPr>
          <w:rFonts w:ascii="Times New Roman" w:eastAsia="Times New Roman" w:hAnsi="Times New Roman" w:cs="Times New Roman"/>
          <w:kern w:val="0"/>
          <w:sz w:val="24"/>
          <w:szCs w:val="24"/>
          <w:lang w:eastAsia="en-IN"/>
          <w14:ligatures w14:val="none"/>
        </w:rPr>
        <w:t xml:space="preserve">A panel including 29 states and union territories was created for the analysis, covering the period from 2016 to 2021. The results indicate that Gross </w:t>
      </w:r>
      <w:proofErr w:type="spellStart"/>
      <w:r w:rsidRPr="00724C06">
        <w:rPr>
          <w:rFonts w:ascii="Times New Roman" w:eastAsia="Times New Roman" w:hAnsi="Times New Roman" w:cs="Times New Roman"/>
          <w:kern w:val="0"/>
          <w:sz w:val="24"/>
          <w:szCs w:val="24"/>
          <w:lang w:eastAsia="en-IN"/>
          <w14:ligatures w14:val="none"/>
        </w:rPr>
        <w:t>Enrollment</w:t>
      </w:r>
      <w:proofErr w:type="spellEnd"/>
      <w:r w:rsidRPr="00724C06">
        <w:rPr>
          <w:rFonts w:ascii="Times New Roman" w:eastAsia="Times New Roman" w:hAnsi="Times New Roman" w:cs="Times New Roman"/>
          <w:kern w:val="0"/>
          <w:sz w:val="24"/>
          <w:szCs w:val="24"/>
          <w:lang w:eastAsia="en-IN"/>
          <w14:ligatures w14:val="none"/>
        </w:rPr>
        <w:t xml:space="preserve"> Ratio (GER), the quantity of bank branches, and the quantity of educational institutions all exert a noteworthy influence on the credit extended to persons for educational objectives. Nevertheless, the GSDP is not demonstrating any noteworthy influence. The gross enrolment ratio (GER), which measures the percentage of eligible students enrolled in educational institutions, has a beneficial effect on credit. A one percent increase in GER corresponds to a 1.11 percent increase in the amount of credit granted. Another important aspect affecting credit allocation is the increased presence of bank branches. States with a greater number of bank branches generally obtain a larger amount of credit. A one percent increase in the number of bank branches leads to a 1.59 percent rise in credit allocated to the education sector in the state. The quantity of educational establishments in a particular area is likewise a noteworthy determinant that affects credit. Nevertheless, the findings indicate a little negative correlation between the two factors. This can be described as the availability of educational institutions in close vicinity, which allows students to obtain higher education without incurring substantial financial difficulties.</w:t>
      </w:r>
    </w:p>
    <w:p w14:paraId="3777410B" w14:textId="77777777" w:rsidR="00724C06" w:rsidRPr="008A35D2" w:rsidRDefault="00724C06" w:rsidP="000364B7">
      <w:pPr>
        <w:spacing w:after="0" w:line="480" w:lineRule="auto"/>
        <w:jc w:val="both"/>
        <w:rPr>
          <w:rFonts w:ascii="Times New Roman" w:hAnsi="Times New Roman" w:cs="Times New Roman"/>
        </w:rPr>
      </w:pPr>
    </w:p>
    <w:p w14:paraId="160FAA2C" w14:textId="7795405D" w:rsidR="00300E1F" w:rsidRPr="00300E1F" w:rsidRDefault="00DA259A" w:rsidP="000364B7">
      <w:pPr>
        <w:spacing w:before="100" w:beforeAutospacing="1" w:after="100" w:afterAutospacing="1" w:line="48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Table</w:t>
      </w:r>
      <w:r w:rsidR="00D13F78">
        <w:rPr>
          <w:rFonts w:ascii="Times New Roman" w:eastAsia="Times New Roman" w:hAnsi="Times New Roman" w:cs="Times New Roman"/>
          <w:b/>
          <w:bCs/>
          <w:kern w:val="0"/>
          <w:sz w:val="24"/>
          <w:szCs w:val="24"/>
          <w:lang w:eastAsia="en-IN"/>
          <w14:ligatures w14:val="none"/>
        </w:rPr>
        <w:t xml:space="preserve"> 5.</w:t>
      </w:r>
      <w:r>
        <w:rPr>
          <w:rFonts w:ascii="Times New Roman" w:eastAsia="Times New Roman" w:hAnsi="Times New Roman" w:cs="Times New Roman"/>
          <w:b/>
          <w:bCs/>
          <w:kern w:val="0"/>
          <w:sz w:val="24"/>
          <w:szCs w:val="24"/>
          <w:lang w:eastAsia="en-IN"/>
          <w14:ligatures w14:val="none"/>
        </w:rPr>
        <w:t xml:space="preserve"> </w:t>
      </w:r>
      <w:r w:rsidR="00300E1F" w:rsidRPr="00300E1F">
        <w:rPr>
          <w:rFonts w:ascii="Times New Roman" w:eastAsia="Times New Roman" w:hAnsi="Times New Roman" w:cs="Times New Roman"/>
          <w:b/>
          <w:bCs/>
          <w:kern w:val="0"/>
          <w:sz w:val="24"/>
          <w:szCs w:val="24"/>
          <w:lang w:eastAsia="en-IN"/>
          <w14:ligatures w14:val="none"/>
        </w:rPr>
        <w:t>Robustness test results:</w:t>
      </w:r>
    </w:p>
    <w:tbl>
      <w:tblPr>
        <w:tblStyle w:val="TableGrid"/>
        <w:tblW w:w="0" w:type="auto"/>
        <w:tblLook w:val="04A0" w:firstRow="1" w:lastRow="0" w:firstColumn="1" w:lastColumn="0" w:noHBand="0" w:noVBand="1"/>
      </w:tblPr>
      <w:tblGrid>
        <w:gridCol w:w="2250"/>
        <w:gridCol w:w="2250"/>
        <w:gridCol w:w="2250"/>
        <w:gridCol w:w="2250"/>
      </w:tblGrid>
      <w:tr w:rsidR="00300E1F" w:rsidRPr="00300E1F" w14:paraId="79E73D53" w14:textId="77777777" w:rsidTr="00900ED1">
        <w:tc>
          <w:tcPr>
            <w:tcW w:w="2250" w:type="dxa"/>
            <w:hideMark/>
          </w:tcPr>
          <w:p w14:paraId="7200200A"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p>
        </w:tc>
        <w:tc>
          <w:tcPr>
            <w:tcW w:w="2250" w:type="dxa"/>
            <w:hideMark/>
          </w:tcPr>
          <w:p w14:paraId="09DA1978"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Test Used</w:t>
            </w:r>
          </w:p>
        </w:tc>
        <w:tc>
          <w:tcPr>
            <w:tcW w:w="2250" w:type="dxa"/>
            <w:hideMark/>
          </w:tcPr>
          <w:p w14:paraId="0F0FD18F"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Test Result</w:t>
            </w:r>
          </w:p>
        </w:tc>
        <w:tc>
          <w:tcPr>
            <w:tcW w:w="2250" w:type="dxa"/>
            <w:hideMark/>
          </w:tcPr>
          <w:p w14:paraId="6CE720EE"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Conclusion</w:t>
            </w:r>
          </w:p>
        </w:tc>
      </w:tr>
      <w:tr w:rsidR="00300E1F" w:rsidRPr="00300E1F" w14:paraId="2FAF8E9D" w14:textId="77777777" w:rsidTr="00900ED1">
        <w:tc>
          <w:tcPr>
            <w:tcW w:w="2250" w:type="dxa"/>
            <w:hideMark/>
          </w:tcPr>
          <w:p w14:paraId="37288487"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Autocorrelation</w:t>
            </w:r>
          </w:p>
        </w:tc>
        <w:tc>
          <w:tcPr>
            <w:tcW w:w="2250" w:type="dxa"/>
            <w:hideMark/>
          </w:tcPr>
          <w:p w14:paraId="2870EDC2"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Durbin Watson Test</w:t>
            </w:r>
          </w:p>
        </w:tc>
        <w:tc>
          <w:tcPr>
            <w:tcW w:w="2250" w:type="dxa"/>
            <w:hideMark/>
          </w:tcPr>
          <w:p w14:paraId="0F5E0698"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2.10</w:t>
            </w:r>
          </w:p>
        </w:tc>
        <w:tc>
          <w:tcPr>
            <w:tcW w:w="2250" w:type="dxa"/>
            <w:hideMark/>
          </w:tcPr>
          <w:p w14:paraId="252FA3E7"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No Autocorrelation</w:t>
            </w:r>
          </w:p>
        </w:tc>
      </w:tr>
      <w:tr w:rsidR="00300E1F" w:rsidRPr="00300E1F" w14:paraId="3DD517BE" w14:textId="77777777" w:rsidTr="00900ED1">
        <w:tc>
          <w:tcPr>
            <w:tcW w:w="2250" w:type="dxa"/>
            <w:hideMark/>
          </w:tcPr>
          <w:p w14:paraId="7CFEF1A0"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Multicollinearity</w:t>
            </w:r>
          </w:p>
        </w:tc>
        <w:tc>
          <w:tcPr>
            <w:tcW w:w="2250" w:type="dxa"/>
            <w:hideMark/>
          </w:tcPr>
          <w:p w14:paraId="5B888A19"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VIF test</w:t>
            </w:r>
          </w:p>
        </w:tc>
        <w:tc>
          <w:tcPr>
            <w:tcW w:w="2250" w:type="dxa"/>
            <w:hideMark/>
          </w:tcPr>
          <w:p w14:paraId="2026CE68"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1.12</w:t>
            </w:r>
          </w:p>
        </w:tc>
        <w:tc>
          <w:tcPr>
            <w:tcW w:w="2250" w:type="dxa"/>
            <w:hideMark/>
          </w:tcPr>
          <w:p w14:paraId="0BC91FC9"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No multicollinearity</w:t>
            </w:r>
          </w:p>
        </w:tc>
      </w:tr>
      <w:tr w:rsidR="00300E1F" w:rsidRPr="00300E1F" w14:paraId="6EB7F6C5" w14:textId="77777777" w:rsidTr="00900ED1">
        <w:tc>
          <w:tcPr>
            <w:tcW w:w="2250" w:type="dxa"/>
            <w:hideMark/>
          </w:tcPr>
          <w:p w14:paraId="32FCB6EE"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Heteroscedasticity</w:t>
            </w:r>
          </w:p>
        </w:tc>
        <w:tc>
          <w:tcPr>
            <w:tcW w:w="2250" w:type="dxa"/>
            <w:hideMark/>
          </w:tcPr>
          <w:p w14:paraId="24029950"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Breusch Pagan Test</w:t>
            </w:r>
          </w:p>
        </w:tc>
        <w:tc>
          <w:tcPr>
            <w:tcW w:w="2250" w:type="dxa"/>
            <w:hideMark/>
          </w:tcPr>
          <w:p w14:paraId="12C0452B" w14:textId="6255CA6D"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P-value=</w:t>
            </w:r>
            <w:r w:rsidR="00032A2D">
              <w:rPr>
                <w:rFonts w:ascii="Times New Roman" w:eastAsia="Times New Roman" w:hAnsi="Times New Roman" w:cs="Times New Roman"/>
                <w:kern w:val="0"/>
                <w:sz w:val="24"/>
                <w:szCs w:val="24"/>
                <w:lang w:eastAsia="en-IN"/>
                <w14:ligatures w14:val="none"/>
              </w:rPr>
              <w:t xml:space="preserve"> 0.4579</w:t>
            </w:r>
          </w:p>
        </w:tc>
        <w:tc>
          <w:tcPr>
            <w:tcW w:w="2250" w:type="dxa"/>
            <w:hideMark/>
          </w:tcPr>
          <w:p w14:paraId="752A3173" w14:textId="51ACA43A"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6A64AA">
              <w:rPr>
                <w:rFonts w:ascii="Times New Roman" w:eastAsia="Times New Roman" w:hAnsi="Times New Roman" w:cs="Times New Roman"/>
                <w:kern w:val="0"/>
                <w:sz w:val="24"/>
                <w:szCs w:val="24"/>
                <w:lang w:eastAsia="en-IN"/>
                <w14:ligatures w14:val="none"/>
              </w:rPr>
              <w:t>Homoscedastic</w:t>
            </w:r>
          </w:p>
        </w:tc>
      </w:tr>
      <w:tr w:rsidR="00300E1F" w:rsidRPr="00300E1F" w14:paraId="24296751" w14:textId="77777777" w:rsidTr="00900ED1">
        <w:tc>
          <w:tcPr>
            <w:tcW w:w="2250" w:type="dxa"/>
            <w:hideMark/>
          </w:tcPr>
          <w:p w14:paraId="2282D649"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Normality of the error Term</w:t>
            </w:r>
          </w:p>
        </w:tc>
        <w:tc>
          <w:tcPr>
            <w:tcW w:w="2250" w:type="dxa"/>
            <w:hideMark/>
          </w:tcPr>
          <w:p w14:paraId="10636598" w14:textId="60C407BE"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032A2D">
              <w:rPr>
                <w:rFonts w:ascii="Times New Roman" w:eastAsia="Times New Roman" w:hAnsi="Times New Roman" w:cs="Times New Roman"/>
                <w:kern w:val="0"/>
                <w:sz w:val="24"/>
                <w:szCs w:val="24"/>
                <w:lang w:eastAsia="en-IN"/>
                <w14:ligatures w14:val="none"/>
              </w:rPr>
              <w:t>Shapiro- Wilk</w:t>
            </w:r>
          </w:p>
        </w:tc>
        <w:tc>
          <w:tcPr>
            <w:tcW w:w="2250" w:type="dxa"/>
            <w:hideMark/>
          </w:tcPr>
          <w:p w14:paraId="503D3F1A" w14:textId="2E290EA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032A2D">
              <w:rPr>
                <w:rFonts w:ascii="Times New Roman" w:eastAsia="Times New Roman" w:hAnsi="Times New Roman" w:cs="Times New Roman"/>
                <w:kern w:val="0"/>
                <w:sz w:val="24"/>
                <w:szCs w:val="24"/>
                <w:lang w:eastAsia="en-IN"/>
                <w14:ligatures w14:val="none"/>
              </w:rPr>
              <w:t>p-value= 0.039</w:t>
            </w:r>
          </w:p>
        </w:tc>
        <w:tc>
          <w:tcPr>
            <w:tcW w:w="2250" w:type="dxa"/>
            <w:hideMark/>
          </w:tcPr>
          <w:p w14:paraId="58AA9BD7" w14:textId="66CFA701"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6A64AA">
              <w:rPr>
                <w:rFonts w:ascii="Times New Roman" w:eastAsia="Times New Roman" w:hAnsi="Times New Roman" w:cs="Times New Roman"/>
                <w:kern w:val="0"/>
                <w:sz w:val="24"/>
                <w:szCs w:val="24"/>
                <w:lang w:eastAsia="en-IN"/>
                <w14:ligatures w14:val="none"/>
              </w:rPr>
              <w:t>Distributed error terms</w:t>
            </w:r>
            <w:r w:rsidR="003E309A">
              <w:rPr>
                <w:rFonts w:ascii="Times New Roman" w:eastAsia="Times New Roman" w:hAnsi="Times New Roman" w:cs="Times New Roman"/>
                <w:kern w:val="0"/>
                <w:sz w:val="24"/>
                <w:szCs w:val="24"/>
                <w:lang w:eastAsia="en-IN"/>
                <w14:ligatures w14:val="none"/>
              </w:rPr>
              <w:t xml:space="preserve"> are not normally distributed</w:t>
            </w:r>
          </w:p>
        </w:tc>
      </w:tr>
    </w:tbl>
    <w:p w14:paraId="636D4A97" w14:textId="4963657A" w:rsid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6A64AA">
        <w:rPr>
          <w:rFonts w:ascii="Times New Roman" w:eastAsia="Times New Roman" w:hAnsi="Times New Roman" w:cs="Times New Roman"/>
          <w:kern w:val="0"/>
          <w:sz w:val="24"/>
          <w:szCs w:val="24"/>
          <w:lang w:eastAsia="en-IN"/>
          <w14:ligatures w14:val="none"/>
        </w:rPr>
        <w:t>Source- Author’s Estimation</w:t>
      </w:r>
    </w:p>
    <w:p w14:paraId="7075F5CB" w14:textId="28F34AB8" w:rsidR="00FE67C2" w:rsidRPr="00300E1F" w:rsidRDefault="00FE67C2"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robustness test results </w:t>
      </w:r>
      <w:r w:rsidR="00CB3672">
        <w:rPr>
          <w:rFonts w:ascii="Times New Roman" w:eastAsia="Times New Roman" w:hAnsi="Times New Roman" w:cs="Times New Roman"/>
          <w:kern w:val="0"/>
          <w:sz w:val="24"/>
          <w:szCs w:val="24"/>
          <w:lang w:eastAsia="en-IN"/>
          <w14:ligatures w14:val="none"/>
        </w:rPr>
        <w:t>show</w:t>
      </w:r>
      <w:r>
        <w:rPr>
          <w:rFonts w:ascii="Times New Roman" w:eastAsia="Times New Roman" w:hAnsi="Times New Roman" w:cs="Times New Roman"/>
          <w:kern w:val="0"/>
          <w:sz w:val="24"/>
          <w:szCs w:val="24"/>
          <w:lang w:eastAsia="en-IN"/>
          <w14:ligatures w14:val="none"/>
        </w:rPr>
        <w:t xml:space="preserve"> that the model is free from issues </w:t>
      </w:r>
      <w:r w:rsidR="00CB3672">
        <w:rPr>
          <w:rFonts w:ascii="Times New Roman" w:eastAsia="Times New Roman" w:hAnsi="Times New Roman" w:cs="Times New Roman"/>
          <w:kern w:val="0"/>
          <w:sz w:val="24"/>
          <w:szCs w:val="24"/>
          <w:lang w:eastAsia="en-IN"/>
          <w14:ligatures w14:val="none"/>
        </w:rPr>
        <w:t xml:space="preserve">of </w:t>
      </w:r>
      <w:r>
        <w:rPr>
          <w:rFonts w:ascii="Times New Roman" w:eastAsia="Times New Roman" w:hAnsi="Times New Roman" w:cs="Times New Roman"/>
          <w:kern w:val="0"/>
          <w:sz w:val="24"/>
          <w:szCs w:val="24"/>
          <w:lang w:eastAsia="en-IN"/>
          <w14:ligatures w14:val="none"/>
        </w:rPr>
        <w:t xml:space="preserve">autocorrelation, multicollinearity and heteroscedasticity. </w:t>
      </w:r>
      <w:r w:rsidR="003E309A">
        <w:rPr>
          <w:rFonts w:ascii="Times New Roman" w:eastAsia="Times New Roman" w:hAnsi="Times New Roman" w:cs="Times New Roman"/>
          <w:kern w:val="0"/>
          <w:sz w:val="24"/>
          <w:szCs w:val="24"/>
          <w:lang w:eastAsia="en-IN"/>
          <w14:ligatures w14:val="none"/>
        </w:rPr>
        <w:t>However, t</w:t>
      </w:r>
      <w:r>
        <w:rPr>
          <w:rFonts w:ascii="Times New Roman" w:eastAsia="Times New Roman" w:hAnsi="Times New Roman" w:cs="Times New Roman"/>
          <w:kern w:val="0"/>
          <w:sz w:val="24"/>
          <w:szCs w:val="24"/>
          <w:lang w:eastAsia="en-IN"/>
          <w14:ligatures w14:val="none"/>
        </w:rPr>
        <w:t xml:space="preserve">he error terms are </w:t>
      </w:r>
      <w:r w:rsidR="003E309A">
        <w:rPr>
          <w:rFonts w:ascii="Times New Roman" w:eastAsia="Times New Roman" w:hAnsi="Times New Roman" w:cs="Times New Roman"/>
          <w:kern w:val="0"/>
          <w:sz w:val="24"/>
          <w:szCs w:val="24"/>
          <w:lang w:eastAsia="en-IN"/>
          <w14:ligatures w14:val="none"/>
        </w:rPr>
        <w:t>not</w:t>
      </w:r>
      <w:r>
        <w:rPr>
          <w:rFonts w:ascii="Times New Roman" w:eastAsia="Times New Roman" w:hAnsi="Times New Roman" w:cs="Times New Roman"/>
          <w:kern w:val="0"/>
          <w:sz w:val="24"/>
          <w:szCs w:val="24"/>
          <w:lang w:eastAsia="en-IN"/>
          <w14:ligatures w14:val="none"/>
        </w:rPr>
        <w:t xml:space="preserve"> normally distributed. </w:t>
      </w:r>
    </w:p>
    <w:p w14:paraId="72D37D96" w14:textId="17E451BA" w:rsid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proofErr w:type="gramStart"/>
      <w:r w:rsidRPr="00300E1F">
        <w:rPr>
          <w:rFonts w:ascii="Times New Roman" w:eastAsia="Times New Roman" w:hAnsi="Times New Roman" w:cs="Times New Roman"/>
          <w:b/>
          <w:bCs/>
          <w:kern w:val="0"/>
          <w:sz w:val="24"/>
          <w:szCs w:val="24"/>
          <w:lang w:eastAsia="en-IN"/>
          <w14:ligatures w14:val="none"/>
        </w:rPr>
        <w:t>3.5  Discussion</w:t>
      </w:r>
      <w:proofErr w:type="gramEnd"/>
      <w:r w:rsidRPr="00300E1F">
        <w:rPr>
          <w:rFonts w:ascii="Times New Roman" w:eastAsia="Times New Roman" w:hAnsi="Times New Roman" w:cs="Times New Roman"/>
          <w:b/>
          <w:bCs/>
          <w:kern w:val="0"/>
          <w:sz w:val="24"/>
          <w:szCs w:val="24"/>
          <w:lang w:eastAsia="en-IN"/>
          <w14:ligatures w14:val="none"/>
        </w:rPr>
        <w:t xml:space="preserve">- </w:t>
      </w:r>
    </w:p>
    <w:p w14:paraId="6EEEFE48" w14:textId="001DF299" w:rsidR="00221228" w:rsidRDefault="00221228" w:rsidP="000364B7">
      <w:pPr>
        <w:spacing w:after="0" w:line="480" w:lineRule="auto"/>
        <w:jc w:val="both"/>
        <w:rPr>
          <w:rFonts w:ascii="Times New Roman" w:eastAsia="Times New Roman" w:hAnsi="Times New Roman" w:cs="Times New Roman"/>
          <w:kern w:val="0"/>
          <w:sz w:val="24"/>
          <w:szCs w:val="24"/>
          <w:lang w:eastAsia="en-IN"/>
          <w14:ligatures w14:val="none"/>
        </w:rPr>
      </w:pPr>
      <w:r w:rsidRPr="00221228">
        <w:rPr>
          <w:rFonts w:ascii="Times New Roman" w:eastAsia="Times New Roman" w:hAnsi="Times New Roman" w:cs="Times New Roman"/>
          <w:kern w:val="0"/>
          <w:sz w:val="24"/>
          <w:szCs w:val="24"/>
          <w:lang w:eastAsia="en-IN"/>
          <w14:ligatures w14:val="none"/>
        </w:rPr>
        <w:t xml:space="preserve">This study demonstrates a significant regional discrepancy in the distribution of educational loans by scheduled commercial banks throughout the states of India. States such as Kerala, Bihar, Jharkhand, Manipur, Puducherry, Sikkim, and Uttar Pradesh allocate a substantial part of credit towards the educational sector, specifically for persons seeking higher education. In contrast, the northeastern states such as Andhra Pradesh, Delhi, Gujarat, Haryana, Punjab, and Rajasthan contribute a relatively little amount of credit towards higher education. The results are consistent with the findings of Geeta (2017) and Kumari and Chalil (2023). The Gini coefficient has somewhat decreased during the observed period. This demonstrates a fairer allocation of credit among different locations. Nevertheless, the decrease in the inequality is </w:t>
      </w:r>
      <w:r w:rsidRPr="00221228">
        <w:rPr>
          <w:rFonts w:ascii="Times New Roman" w:eastAsia="Times New Roman" w:hAnsi="Times New Roman" w:cs="Times New Roman"/>
          <w:kern w:val="0"/>
          <w:sz w:val="24"/>
          <w:szCs w:val="24"/>
          <w:lang w:eastAsia="en-IN"/>
          <w14:ligatures w14:val="none"/>
        </w:rPr>
        <w:lastRenderedPageBreak/>
        <w:t xml:space="preserve">not a result of the rise in credit in the areas with lower spending, but rather the decrease in the percentage of credit in the states with higher spending. The study examines the components influencing credit growth in the states and determines that Gross </w:t>
      </w:r>
      <w:proofErr w:type="spellStart"/>
      <w:r w:rsidRPr="00221228">
        <w:rPr>
          <w:rFonts w:ascii="Times New Roman" w:eastAsia="Times New Roman" w:hAnsi="Times New Roman" w:cs="Times New Roman"/>
          <w:kern w:val="0"/>
          <w:sz w:val="24"/>
          <w:szCs w:val="24"/>
          <w:lang w:eastAsia="en-IN"/>
          <w14:ligatures w14:val="none"/>
        </w:rPr>
        <w:t>Enrollment</w:t>
      </w:r>
      <w:proofErr w:type="spellEnd"/>
      <w:r w:rsidRPr="00221228">
        <w:rPr>
          <w:rFonts w:ascii="Times New Roman" w:eastAsia="Times New Roman" w:hAnsi="Times New Roman" w:cs="Times New Roman"/>
          <w:kern w:val="0"/>
          <w:sz w:val="24"/>
          <w:szCs w:val="24"/>
          <w:lang w:eastAsia="en-IN"/>
          <w14:ligatures w14:val="none"/>
        </w:rPr>
        <w:t xml:space="preserve"> Ratio (GER), the quantity of bank branches, and the number of educational institutions have a noteworthy impact on credit growth. The relationship between GER (Gross </w:t>
      </w:r>
      <w:proofErr w:type="spellStart"/>
      <w:r w:rsidRPr="00221228">
        <w:rPr>
          <w:rFonts w:ascii="Times New Roman" w:eastAsia="Times New Roman" w:hAnsi="Times New Roman" w:cs="Times New Roman"/>
          <w:kern w:val="0"/>
          <w:sz w:val="24"/>
          <w:szCs w:val="24"/>
          <w:lang w:eastAsia="en-IN"/>
          <w14:ligatures w14:val="none"/>
        </w:rPr>
        <w:t>Enrollment</w:t>
      </w:r>
      <w:proofErr w:type="spellEnd"/>
      <w:r w:rsidRPr="00221228">
        <w:rPr>
          <w:rFonts w:ascii="Times New Roman" w:eastAsia="Times New Roman" w:hAnsi="Times New Roman" w:cs="Times New Roman"/>
          <w:kern w:val="0"/>
          <w:sz w:val="24"/>
          <w:szCs w:val="24"/>
          <w:lang w:eastAsia="en-IN"/>
          <w14:ligatures w14:val="none"/>
        </w:rPr>
        <w:t xml:space="preserve"> Ratio) and the number of bank branches on credit demonstrates a </w:t>
      </w:r>
      <w:proofErr w:type="spellStart"/>
      <w:r w:rsidRPr="00221228">
        <w:rPr>
          <w:rFonts w:ascii="Times New Roman" w:eastAsia="Times New Roman" w:hAnsi="Times New Roman" w:cs="Times New Roman"/>
          <w:kern w:val="0"/>
          <w:sz w:val="24"/>
          <w:szCs w:val="24"/>
          <w:lang w:eastAsia="en-IN"/>
          <w14:ligatures w14:val="none"/>
        </w:rPr>
        <w:t>favorable</w:t>
      </w:r>
      <w:proofErr w:type="spellEnd"/>
      <w:r w:rsidRPr="00221228">
        <w:rPr>
          <w:rFonts w:ascii="Times New Roman" w:eastAsia="Times New Roman" w:hAnsi="Times New Roman" w:cs="Times New Roman"/>
          <w:kern w:val="0"/>
          <w:sz w:val="24"/>
          <w:szCs w:val="24"/>
          <w:lang w:eastAsia="en-IN"/>
          <w14:ligatures w14:val="none"/>
        </w:rPr>
        <w:t xml:space="preserve"> correlation. Conversely, the presence of educational institutions has a detrimental effect on credit. This finding is analogous to the research conducted by Rani (2017). The study did not find a substantial influence of GSDP.</w:t>
      </w:r>
    </w:p>
    <w:p w14:paraId="7F2B119D" w14:textId="77777777" w:rsidR="00221228" w:rsidRPr="00300E1F" w:rsidRDefault="00221228" w:rsidP="000364B7">
      <w:pPr>
        <w:spacing w:after="0" w:line="480" w:lineRule="auto"/>
        <w:jc w:val="both"/>
        <w:rPr>
          <w:rFonts w:ascii="Times New Roman" w:eastAsia="Times New Roman" w:hAnsi="Times New Roman" w:cs="Times New Roman"/>
          <w:kern w:val="0"/>
          <w:sz w:val="24"/>
          <w:szCs w:val="24"/>
          <w:lang w:eastAsia="en-IN"/>
          <w14:ligatures w14:val="none"/>
        </w:rPr>
      </w:pPr>
    </w:p>
    <w:p w14:paraId="404A5619" w14:textId="77777777" w:rsidR="004E7604" w:rsidRDefault="004E7604" w:rsidP="000364B7">
      <w:pPr>
        <w:spacing w:before="100" w:beforeAutospacing="1" w:after="100" w:afterAutospacing="1" w:line="480" w:lineRule="auto"/>
        <w:jc w:val="both"/>
        <w:rPr>
          <w:rFonts w:ascii="Times New Roman" w:eastAsia="Times New Roman" w:hAnsi="Times New Roman" w:cs="Times New Roman"/>
          <w:b/>
          <w:bCs/>
          <w:kern w:val="0"/>
          <w:sz w:val="24"/>
          <w:szCs w:val="24"/>
          <w:lang w:eastAsia="en-IN"/>
          <w14:ligatures w14:val="none"/>
        </w:rPr>
      </w:pPr>
    </w:p>
    <w:p w14:paraId="46C554B5" w14:textId="5875F524" w:rsidR="00300E1F" w:rsidRDefault="00300E1F" w:rsidP="000364B7">
      <w:pPr>
        <w:spacing w:before="100" w:beforeAutospacing="1" w:after="100" w:afterAutospacing="1" w:line="480" w:lineRule="auto"/>
        <w:jc w:val="both"/>
        <w:rPr>
          <w:rFonts w:ascii="Times New Roman" w:eastAsia="Times New Roman" w:hAnsi="Times New Roman" w:cs="Times New Roman"/>
          <w:b/>
          <w:bCs/>
          <w:kern w:val="0"/>
          <w:sz w:val="24"/>
          <w:szCs w:val="24"/>
          <w:lang w:eastAsia="en-IN"/>
          <w14:ligatures w14:val="none"/>
        </w:rPr>
      </w:pPr>
      <w:r w:rsidRPr="00300E1F">
        <w:rPr>
          <w:rFonts w:ascii="Times New Roman" w:eastAsia="Times New Roman" w:hAnsi="Times New Roman" w:cs="Times New Roman"/>
          <w:b/>
          <w:bCs/>
          <w:kern w:val="0"/>
          <w:sz w:val="24"/>
          <w:szCs w:val="24"/>
          <w:lang w:eastAsia="en-IN"/>
          <w14:ligatures w14:val="none"/>
        </w:rPr>
        <w:t>4.0 Conclusion and Policy Recommendations</w:t>
      </w:r>
    </w:p>
    <w:p w14:paraId="47ED7ED7" w14:textId="611B557B" w:rsidR="004D6D90" w:rsidRDefault="00347AB4"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347AB4">
        <w:rPr>
          <w:rFonts w:ascii="Times New Roman" w:eastAsia="Times New Roman" w:hAnsi="Times New Roman" w:cs="Times New Roman"/>
          <w:kern w:val="0"/>
          <w:sz w:val="24"/>
          <w:szCs w:val="24"/>
          <w:lang w:eastAsia="en-IN"/>
          <w14:ligatures w14:val="none"/>
        </w:rPr>
        <w:t xml:space="preserve">This study examines the unequal allocation of educational credit among different states and unions. The variable chosen was the ratio of educational credit to total credit disbursed under priority sector lending. The analysis reveals a significant regional discrepancy in the allocation of credit throughout India. The Gini coefficient exhibits a decreasing pattern. Although there is a slight reduction in the regional difference in the distribution of educational credit in India, this is not a result of improved access in states with lower spending. This implies a possible change in the order of importance given to lending, rather than a complete elimination of the difference. Moreover, the adverse effect of the quantity of educational establishments on the expansion of credit demonstrates that the presence of educational institutions in close proximity can facilitate students' access to higher education without incurring substantial financial obligations. </w:t>
      </w:r>
    </w:p>
    <w:p w14:paraId="28E1FBE8" w14:textId="53A84DEF" w:rsidR="005F02CE" w:rsidRPr="004E7604" w:rsidRDefault="00347AB4" w:rsidP="004E7604">
      <w:pPr>
        <w:spacing w:after="240" w:line="480" w:lineRule="auto"/>
        <w:ind w:firstLine="720"/>
        <w:jc w:val="both"/>
        <w:rPr>
          <w:rFonts w:ascii="Times New Roman" w:eastAsia="Times New Roman" w:hAnsi="Times New Roman" w:cs="Times New Roman"/>
          <w:kern w:val="0"/>
          <w:sz w:val="24"/>
          <w:szCs w:val="24"/>
          <w:lang w:eastAsia="en-IN"/>
          <w14:ligatures w14:val="none"/>
        </w:rPr>
      </w:pPr>
      <w:r w:rsidRPr="00347AB4">
        <w:rPr>
          <w:rFonts w:ascii="Times New Roman" w:eastAsia="Times New Roman" w:hAnsi="Times New Roman" w:cs="Times New Roman"/>
          <w:kern w:val="0"/>
          <w:sz w:val="24"/>
          <w:szCs w:val="24"/>
          <w:lang w:eastAsia="en-IN"/>
          <w14:ligatures w14:val="none"/>
        </w:rPr>
        <w:lastRenderedPageBreak/>
        <w:t xml:space="preserve">Policy interventions that prioritize enhancing credit accessibility in underprivileged places and comprehending the counterintuitive correlation between institutions and credit are essential for attaining a fairer distribution and facilitating nationwide access to educational credit. This study establishes a direct correlation between the gross </w:t>
      </w:r>
      <w:r w:rsidR="004D6D90" w:rsidRPr="00347AB4">
        <w:rPr>
          <w:rFonts w:ascii="Times New Roman" w:eastAsia="Times New Roman" w:hAnsi="Times New Roman" w:cs="Times New Roman"/>
          <w:kern w:val="0"/>
          <w:sz w:val="24"/>
          <w:szCs w:val="24"/>
          <w:lang w:eastAsia="en-IN"/>
          <w14:ligatures w14:val="none"/>
        </w:rPr>
        <w:t>enrolment</w:t>
      </w:r>
      <w:r w:rsidRPr="00347AB4">
        <w:rPr>
          <w:rFonts w:ascii="Times New Roman" w:eastAsia="Times New Roman" w:hAnsi="Times New Roman" w:cs="Times New Roman"/>
          <w:kern w:val="0"/>
          <w:sz w:val="24"/>
          <w:szCs w:val="24"/>
          <w:lang w:eastAsia="en-IN"/>
          <w14:ligatures w14:val="none"/>
        </w:rPr>
        <w:t xml:space="preserve"> ratio and educational credit, indicating that enhancing the accessibility of convenient credit assistance may serve as a catalyst for motivating students to pursue higher education. Thus, we suggest facilitating convenient access to credit for students</w:t>
      </w:r>
      <w:r w:rsidR="00994EF3">
        <w:rPr>
          <w:rFonts w:ascii="Times New Roman" w:eastAsia="Times New Roman" w:hAnsi="Times New Roman" w:cs="Times New Roman"/>
          <w:kern w:val="0"/>
          <w:sz w:val="24"/>
          <w:szCs w:val="24"/>
          <w:lang w:eastAsia="en-IN"/>
          <w14:ligatures w14:val="none"/>
        </w:rPr>
        <w:t>,</w:t>
      </w:r>
      <w:r w:rsidRPr="00347AB4">
        <w:rPr>
          <w:rFonts w:ascii="Times New Roman" w:eastAsia="Times New Roman" w:hAnsi="Times New Roman" w:cs="Times New Roman"/>
          <w:kern w:val="0"/>
          <w:sz w:val="24"/>
          <w:szCs w:val="24"/>
          <w:lang w:eastAsia="en-IN"/>
          <w14:ligatures w14:val="none"/>
        </w:rPr>
        <w:t xml:space="preserve"> specifically for educational</w:t>
      </w:r>
      <w:r w:rsidR="006F26AA">
        <w:rPr>
          <w:rFonts w:ascii="Times New Roman" w:eastAsia="Times New Roman" w:hAnsi="Times New Roman" w:cs="Times New Roman"/>
          <w:kern w:val="0"/>
          <w:sz w:val="24"/>
          <w:szCs w:val="24"/>
          <w:lang w:eastAsia="en-IN"/>
          <w14:ligatures w14:val="none"/>
        </w:rPr>
        <w:t xml:space="preserve"> </w:t>
      </w:r>
      <w:r w:rsidR="004D6D90" w:rsidRPr="00347AB4">
        <w:rPr>
          <w:rFonts w:ascii="Times New Roman" w:eastAsia="Times New Roman" w:hAnsi="Times New Roman" w:cs="Times New Roman"/>
          <w:kern w:val="0"/>
          <w:sz w:val="24"/>
          <w:szCs w:val="24"/>
          <w:lang w:eastAsia="en-IN"/>
          <w14:ligatures w14:val="none"/>
        </w:rPr>
        <w:t>endeavours</w:t>
      </w:r>
      <w:r w:rsidRPr="00347AB4">
        <w:rPr>
          <w:rFonts w:ascii="Times New Roman" w:eastAsia="Times New Roman" w:hAnsi="Times New Roman" w:cs="Times New Roman"/>
          <w:kern w:val="0"/>
          <w:sz w:val="24"/>
          <w:szCs w:val="24"/>
          <w:lang w:eastAsia="en-IN"/>
          <w14:ligatures w14:val="none"/>
        </w:rPr>
        <w:t>.</w:t>
      </w:r>
      <w:r w:rsidR="00815E12">
        <w:rPr>
          <w:rFonts w:ascii="Times New Roman" w:eastAsia="Times New Roman" w:hAnsi="Times New Roman" w:cs="Times New Roman"/>
          <w:kern w:val="0"/>
          <w:sz w:val="24"/>
          <w:szCs w:val="24"/>
          <w:lang w:eastAsia="en-IN"/>
          <w14:ligatures w14:val="none"/>
        </w:rPr>
        <w:t xml:space="preserve"> However, raising credit limit alone will not be sufficient to address </w:t>
      </w:r>
      <w:r w:rsidR="00994EF3">
        <w:rPr>
          <w:rFonts w:ascii="Times New Roman" w:eastAsia="Times New Roman" w:hAnsi="Times New Roman" w:cs="Times New Roman"/>
          <w:kern w:val="0"/>
          <w:sz w:val="24"/>
          <w:szCs w:val="24"/>
          <w:lang w:eastAsia="en-IN"/>
          <w14:ligatures w14:val="none"/>
        </w:rPr>
        <w:t xml:space="preserve">the </w:t>
      </w:r>
      <w:r w:rsidR="00815E12">
        <w:rPr>
          <w:rFonts w:ascii="Times New Roman" w:eastAsia="Times New Roman" w:hAnsi="Times New Roman" w:cs="Times New Roman"/>
          <w:kern w:val="0"/>
          <w:sz w:val="24"/>
          <w:szCs w:val="24"/>
          <w:lang w:eastAsia="en-IN"/>
          <w14:ligatures w14:val="none"/>
        </w:rPr>
        <w:t>regional imbalance. The 2025 Priority Sector Lending (PLS) revision has introduced a differential weighted system in which districts with low per capita income receives 125 percent weightage for PLS whereas those districts with higher per capita income receives only 90 percent weightage (Anish et. al. 2025)</w:t>
      </w:r>
      <w:r w:rsidR="00994EF3">
        <w:rPr>
          <w:rFonts w:ascii="Times New Roman" w:eastAsia="Times New Roman" w:hAnsi="Times New Roman" w:cs="Times New Roman"/>
          <w:kern w:val="0"/>
          <w:sz w:val="24"/>
          <w:szCs w:val="24"/>
          <w:lang w:eastAsia="en-IN"/>
          <w14:ligatures w14:val="none"/>
        </w:rPr>
        <w:t xml:space="preserve">. This mechanism could be applied to education lending across underdeveloped states where both educational needs and credit deprivation are highest. Collateral free credit schemes specially designed for educational credit to underprivileged </w:t>
      </w:r>
      <w:proofErr w:type="gramStart"/>
      <w:r w:rsidR="00994EF3">
        <w:rPr>
          <w:rFonts w:ascii="Times New Roman" w:eastAsia="Times New Roman" w:hAnsi="Times New Roman" w:cs="Times New Roman"/>
          <w:kern w:val="0"/>
          <w:sz w:val="24"/>
          <w:szCs w:val="24"/>
          <w:lang w:eastAsia="en-IN"/>
          <w14:ligatures w14:val="none"/>
        </w:rPr>
        <w:t>region  could</w:t>
      </w:r>
      <w:proofErr w:type="gramEnd"/>
      <w:r w:rsidR="00994EF3">
        <w:rPr>
          <w:rFonts w:ascii="Times New Roman" w:eastAsia="Times New Roman" w:hAnsi="Times New Roman" w:cs="Times New Roman"/>
          <w:kern w:val="0"/>
          <w:sz w:val="24"/>
          <w:szCs w:val="24"/>
          <w:lang w:eastAsia="en-IN"/>
          <w14:ligatures w14:val="none"/>
        </w:rPr>
        <w:t xml:space="preserve"> also plat a significant role in this direction,</w:t>
      </w:r>
    </w:p>
    <w:p w14:paraId="49B36067" w14:textId="77777777" w:rsidR="00C73115" w:rsidRPr="00C73115" w:rsidRDefault="00C73115" w:rsidP="00C73115">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C73115">
        <w:rPr>
          <w:rFonts w:ascii="Times New Roman" w:eastAsia="Calibri" w:hAnsi="Times New Roman" w:cs="Times New Roman"/>
          <w:highlight w:val="yellow"/>
          <w:lang w:val="en-US"/>
          <w14:ligatures w14:val="none"/>
        </w:rPr>
        <w:t>Disclaimer (Artificial intelligence)</w:t>
      </w:r>
    </w:p>
    <w:p w14:paraId="01862AC2" w14:textId="77777777" w:rsidR="00C73115" w:rsidRPr="00C73115" w:rsidRDefault="00C73115" w:rsidP="00C73115">
      <w:pPr>
        <w:spacing w:after="0" w:line="240" w:lineRule="auto"/>
        <w:rPr>
          <w:rFonts w:ascii="Times New Roman" w:eastAsia="Calibri" w:hAnsi="Times New Roman" w:cs="Times New Roman"/>
          <w:highlight w:val="yellow"/>
          <w:lang w:val="en-US"/>
          <w14:ligatures w14:val="none"/>
        </w:rPr>
      </w:pPr>
    </w:p>
    <w:p w14:paraId="13231811" w14:textId="77777777" w:rsidR="00C73115" w:rsidRPr="00C73115" w:rsidRDefault="00C73115" w:rsidP="00C73115">
      <w:pPr>
        <w:spacing w:after="0" w:line="240" w:lineRule="auto"/>
        <w:rPr>
          <w:rFonts w:ascii="Times New Roman" w:eastAsia="Calibri" w:hAnsi="Times New Roman" w:cs="Times New Roman"/>
          <w:highlight w:val="yellow"/>
          <w:lang w:val="en-US"/>
          <w14:ligatures w14:val="none"/>
        </w:rPr>
      </w:pPr>
      <w:r w:rsidRPr="00C73115">
        <w:rPr>
          <w:rFonts w:ascii="Times New Roman" w:eastAsia="Calibri" w:hAnsi="Times New Roman" w:cs="Times New Roman"/>
          <w:highlight w:val="yellow"/>
          <w:lang w:val="en-US"/>
          <w14:ligatures w14:val="none"/>
        </w:rPr>
        <w:t xml:space="preserve">Author(s) hereby </w:t>
      </w:r>
      <w:proofErr w:type="gramStart"/>
      <w:r w:rsidRPr="00C73115">
        <w:rPr>
          <w:rFonts w:ascii="Times New Roman" w:eastAsia="Calibri" w:hAnsi="Times New Roman" w:cs="Times New Roman"/>
          <w:highlight w:val="yellow"/>
          <w:lang w:val="en-US"/>
          <w14:ligatures w14:val="none"/>
        </w:rPr>
        <w:t>declare</w:t>
      </w:r>
      <w:proofErr w:type="gramEnd"/>
      <w:r w:rsidRPr="00C73115">
        <w:rPr>
          <w:rFonts w:ascii="Times New Roman" w:eastAsia="Calibri" w:hAnsi="Times New Roman" w:cs="Times New Roman"/>
          <w:highlight w:val="yellow"/>
          <w:lang w:val="en-US"/>
          <w14:ligatures w14:val="none"/>
        </w:rPr>
        <w:t xml:space="preserve"> that NO generative AI technologies such as Large Language Models (ChatGPT, COPILOT, etc.) and text-to-image generators have been used during the writing or editing of this manuscript. </w:t>
      </w:r>
    </w:p>
    <w:bookmarkEnd w:id="1"/>
    <w:p w14:paraId="445EF182" w14:textId="77777777" w:rsidR="00C73115" w:rsidRPr="00C73115" w:rsidRDefault="00C73115" w:rsidP="00C73115">
      <w:pPr>
        <w:spacing w:after="200" w:line="276" w:lineRule="auto"/>
        <w:rPr>
          <w:rFonts w:ascii="Calibri" w:eastAsia="Calibri" w:hAnsi="Calibri" w:cs="Times New Roman"/>
          <w:kern w:val="0"/>
          <w:sz w:val="28"/>
          <w:lang w:val="en-US"/>
          <w14:ligatures w14:val="none"/>
        </w:rPr>
      </w:pPr>
    </w:p>
    <w:bookmarkEnd w:id="2"/>
    <w:p w14:paraId="1FB2697F" w14:textId="77777777" w:rsidR="00C73115" w:rsidRPr="00C73115" w:rsidRDefault="00C73115" w:rsidP="000364B7">
      <w:pPr>
        <w:spacing w:line="480" w:lineRule="auto"/>
        <w:jc w:val="both"/>
        <w:rPr>
          <w:rFonts w:ascii="Times New Roman" w:hAnsi="Times New Roman" w:cs="Times New Roman"/>
          <w:b/>
          <w:bCs/>
          <w:sz w:val="24"/>
          <w:szCs w:val="24"/>
          <w:lang w:val="en-US"/>
        </w:rPr>
      </w:pPr>
    </w:p>
    <w:p w14:paraId="60ED08C4" w14:textId="6A92E043" w:rsidR="004A1950" w:rsidRPr="007404DC"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References-</w:t>
      </w:r>
    </w:p>
    <w:p w14:paraId="533C8BCA" w14:textId="01408C27" w:rsidR="00AF5C8A" w:rsidRDefault="00AF5C8A" w:rsidP="000364B7">
      <w:pPr>
        <w:spacing w:line="480" w:lineRule="auto"/>
        <w:jc w:val="both"/>
        <w:rPr>
          <w:rFonts w:ascii="Times New Roman" w:hAnsi="Times New Roman" w:cs="Times New Roman"/>
          <w:sz w:val="24"/>
          <w:szCs w:val="24"/>
        </w:rPr>
      </w:pPr>
      <w:r w:rsidRPr="00AF5C8A">
        <w:rPr>
          <w:rFonts w:ascii="Times New Roman" w:hAnsi="Times New Roman" w:cs="Times New Roman"/>
          <w:sz w:val="24"/>
          <w:szCs w:val="24"/>
        </w:rPr>
        <w:t xml:space="preserve">Aneesh, M. R., Maya, K., &amp; Aneesh, K. A. (2024). Education inequality in India: An empirical analysis using National Sample Survey data. </w:t>
      </w:r>
      <w:r w:rsidRPr="00AF5C8A">
        <w:rPr>
          <w:rFonts w:ascii="Times New Roman" w:hAnsi="Times New Roman" w:cs="Times New Roman"/>
          <w:i/>
          <w:iCs/>
          <w:sz w:val="24"/>
          <w:szCs w:val="24"/>
        </w:rPr>
        <w:t>Indian Journal of Human Development</w:t>
      </w:r>
      <w:r w:rsidRPr="00AF5C8A">
        <w:rPr>
          <w:rFonts w:ascii="Times New Roman" w:hAnsi="Times New Roman" w:cs="Times New Roman"/>
          <w:sz w:val="24"/>
          <w:szCs w:val="24"/>
        </w:rPr>
        <w:t xml:space="preserve">, </w:t>
      </w:r>
      <w:r w:rsidRPr="00AF5C8A">
        <w:rPr>
          <w:rFonts w:ascii="Times New Roman" w:hAnsi="Times New Roman" w:cs="Times New Roman"/>
          <w:i/>
          <w:iCs/>
          <w:sz w:val="24"/>
          <w:szCs w:val="24"/>
        </w:rPr>
        <w:t>18</w:t>
      </w:r>
      <w:r w:rsidRPr="00AF5C8A">
        <w:rPr>
          <w:rFonts w:ascii="Times New Roman" w:hAnsi="Times New Roman" w:cs="Times New Roman"/>
          <w:sz w:val="24"/>
          <w:szCs w:val="24"/>
        </w:rPr>
        <w:t xml:space="preserve">(2), 267–279. </w:t>
      </w:r>
      <w:hyperlink r:id="rId9" w:history="1">
        <w:r w:rsidRPr="00AF5C8A">
          <w:rPr>
            <w:rStyle w:val="Hyperlink"/>
            <w:rFonts w:ascii="Times New Roman" w:hAnsi="Times New Roman" w:cs="Times New Roman"/>
            <w:sz w:val="24"/>
            <w:szCs w:val="24"/>
          </w:rPr>
          <w:t>https://doi.org/10.1177/09737030241280145</w:t>
        </w:r>
      </w:hyperlink>
    </w:p>
    <w:p w14:paraId="00762A90" w14:textId="24A46ED4" w:rsidR="004A1950" w:rsidRDefault="004A1950" w:rsidP="000364B7">
      <w:pPr>
        <w:spacing w:line="480" w:lineRule="auto"/>
        <w:jc w:val="both"/>
        <w:rPr>
          <w:rFonts w:ascii="Times New Roman" w:hAnsi="Times New Roman" w:cs="Times New Roman"/>
          <w:sz w:val="24"/>
          <w:szCs w:val="24"/>
        </w:rPr>
      </w:pPr>
      <w:r w:rsidRPr="00596792">
        <w:rPr>
          <w:rFonts w:ascii="Times New Roman" w:hAnsi="Times New Roman" w:cs="Times New Roman"/>
          <w:sz w:val="24"/>
          <w:szCs w:val="24"/>
        </w:rPr>
        <w:lastRenderedPageBreak/>
        <w:t xml:space="preserve">Bai, R., &amp; Lin, B. (2022). Access to credit and green innovation: Do green finance and digitalization levels </w:t>
      </w:r>
      <w:proofErr w:type="gramStart"/>
      <w:r w:rsidRPr="00596792">
        <w:rPr>
          <w:rFonts w:ascii="Times New Roman" w:hAnsi="Times New Roman" w:cs="Times New Roman"/>
          <w:sz w:val="24"/>
          <w:szCs w:val="24"/>
        </w:rPr>
        <w:t>matter?.</w:t>
      </w:r>
      <w:proofErr w:type="gramEnd"/>
      <w:r w:rsidRPr="00596792">
        <w:rPr>
          <w:rFonts w:ascii="Times New Roman" w:hAnsi="Times New Roman" w:cs="Times New Roman"/>
          <w:sz w:val="24"/>
          <w:szCs w:val="24"/>
        </w:rPr>
        <w:t> </w:t>
      </w:r>
      <w:r w:rsidRPr="00596792">
        <w:rPr>
          <w:rFonts w:ascii="Times New Roman" w:hAnsi="Times New Roman" w:cs="Times New Roman"/>
          <w:i/>
          <w:iCs/>
          <w:sz w:val="24"/>
          <w:szCs w:val="24"/>
        </w:rPr>
        <w:t>Journal of Global Information Management (JGIM)</w:t>
      </w:r>
      <w:r w:rsidRPr="00596792">
        <w:rPr>
          <w:rFonts w:ascii="Times New Roman" w:hAnsi="Times New Roman" w:cs="Times New Roman"/>
          <w:sz w:val="24"/>
          <w:szCs w:val="24"/>
        </w:rPr>
        <w:t>, </w:t>
      </w:r>
      <w:r w:rsidRPr="00596792">
        <w:rPr>
          <w:rFonts w:ascii="Times New Roman" w:hAnsi="Times New Roman" w:cs="Times New Roman"/>
          <w:i/>
          <w:iCs/>
          <w:sz w:val="24"/>
          <w:szCs w:val="24"/>
        </w:rPr>
        <w:t>30</w:t>
      </w:r>
      <w:r w:rsidRPr="00596792">
        <w:rPr>
          <w:rFonts w:ascii="Times New Roman" w:hAnsi="Times New Roman" w:cs="Times New Roman"/>
          <w:sz w:val="24"/>
          <w:szCs w:val="24"/>
        </w:rPr>
        <w:t>(1), 1-21.</w:t>
      </w:r>
    </w:p>
    <w:p w14:paraId="0984A2B6" w14:textId="67E4D580" w:rsidR="00AF5C8A" w:rsidRPr="002832DB" w:rsidRDefault="00AF5C8A" w:rsidP="000364B7">
      <w:pPr>
        <w:spacing w:line="480" w:lineRule="auto"/>
        <w:jc w:val="both"/>
        <w:rPr>
          <w:rFonts w:ascii="Times New Roman" w:hAnsi="Times New Roman" w:cs="Times New Roman"/>
          <w:sz w:val="24"/>
          <w:szCs w:val="24"/>
        </w:rPr>
      </w:pPr>
      <w:r w:rsidRPr="00AF5C8A">
        <w:rPr>
          <w:rFonts w:ascii="Times New Roman" w:hAnsi="Times New Roman" w:cs="Times New Roman"/>
          <w:sz w:val="24"/>
          <w:szCs w:val="24"/>
        </w:rPr>
        <w:t xml:space="preserve">Bhandary, R., Shenoy, S. S., Shetty, A., &amp; Shetty, A. D. (2024). Education loan repayment: A systematic literature review. </w:t>
      </w:r>
      <w:r w:rsidRPr="00AF5C8A">
        <w:rPr>
          <w:rFonts w:ascii="Times New Roman" w:hAnsi="Times New Roman" w:cs="Times New Roman"/>
          <w:i/>
          <w:iCs/>
          <w:sz w:val="24"/>
          <w:szCs w:val="24"/>
        </w:rPr>
        <w:t>Journal of Financial Services Marketing</w:t>
      </w:r>
      <w:r w:rsidRPr="00AF5C8A">
        <w:rPr>
          <w:rFonts w:ascii="Times New Roman" w:hAnsi="Times New Roman" w:cs="Times New Roman"/>
          <w:sz w:val="24"/>
          <w:szCs w:val="24"/>
        </w:rPr>
        <w:t xml:space="preserve">, </w:t>
      </w:r>
      <w:r w:rsidRPr="00AF5C8A">
        <w:rPr>
          <w:rFonts w:ascii="Times New Roman" w:hAnsi="Times New Roman" w:cs="Times New Roman"/>
          <w:i/>
          <w:iCs/>
          <w:sz w:val="24"/>
          <w:szCs w:val="24"/>
        </w:rPr>
        <w:t>29</w:t>
      </w:r>
      <w:r w:rsidRPr="00AF5C8A">
        <w:rPr>
          <w:rFonts w:ascii="Times New Roman" w:hAnsi="Times New Roman" w:cs="Times New Roman"/>
          <w:sz w:val="24"/>
          <w:szCs w:val="24"/>
        </w:rPr>
        <w:t xml:space="preserve">(4), 1365–1376. </w:t>
      </w:r>
      <w:hyperlink r:id="rId10" w:history="1">
        <w:r w:rsidRPr="00AF5C8A">
          <w:rPr>
            <w:rStyle w:val="Hyperlink"/>
            <w:rFonts w:ascii="Times New Roman" w:hAnsi="Times New Roman" w:cs="Times New Roman"/>
            <w:sz w:val="24"/>
            <w:szCs w:val="24"/>
          </w:rPr>
          <w:t>https://doi.org/10.1057/s41264-023-00248-2</w:t>
        </w:r>
      </w:hyperlink>
    </w:p>
    <w:p w14:paraId="6015758B" w14:textId="6178C7DF" w:rsidR="003260B1" w:rsidRPr="003260B1" w:rsidRDefault="004A1950" w:rsidP="000364B7">
      <w:pPr>
        <w:spacing w:line="480" w:lineRule="auto"/>
        <w:jc w:val="both"/>
        <w:rPr>
          <w:rFonts w:ascii="Times New Roman" w:hAnsi="Times New Roman" w:cs="Times New Roman"/>
          <w:color w:val="333333"/>
          <w:sz w:val="24"/>
          <w:szCs w:val="24"/>
          <w:shd w:val="clear" w:color="auto" w:fill="FFFFFF"/>
        </w:rPr>
      </w:pPr>
      <w:proofErr w:type="spellStart"/>
      <w:r w:rsidRPr="002832DB">
        <w:rPr>
          <w:rFonts w:ascii="Times New Roman" w:hAnsi="Times New Roman" w:cs="Times New Roman"/>
          <w:color w:val="333333"/>
          <w:sz w:val="24"/>
          <w:szCs w:val="24"/>
          <w:shd w:val="clear" w:color="auto" w:fill="FFFFFF"/>
        </w:rPr>
        <w:t>Chevaillier</w:t>
      </w:r>
      <w:proofErr w:type="spellEnd"/>
      <w:r w:rsidRPr="002832DB">
        <w:rPr>
          <w:rFonts w:ascii="Times New Roman" w:hAnsi="Times New Roman" w:cs="Times New Roman"/>
          <w:color w:val="333333"/>
          <w:sz w:val="24"/>
          <w:szCs w:val="24"/>
          <w:shd w:val="clear" w:color="auto" w:fill="FFFFFF"/>
        </w:rPr>
        <w:t>, T., &amp; Eicher, J. C. (2002). Higher Education Funding: A Decade of Changes. </w:t>
      </w:r>
      <w:r w:rsidRPr="002832DB">
        <w:rPr>
          <w:rFonts w:ascii="Times New Roman" w:hAnsi="Times New Roman" w:cs="Times New Roman"/>
          <w:i/>
          <w:iCs/>
          <w:color w:val="333333"/>
          <w:sz w:val="24"/>
          <w:szCs w:val="24"/>
          <w:shd w:val="clear" w:color="auto" w:fill="FFFFFF"/>
        </w:rPr>
        <w:t>Higher Education in Europe</w:t>
      </w:r>
      <w:r w:rsidRPr="002832DB">
        <w:rPr>
          <w:rFonts w:ascii="Times New Roman" w:hAnsi="Times New Roman" w:cs="Times New Roman"/>
          <w:color w:val="333333"/>
          <w:sz w:val="24"/>
          <w:szCs w:val="24"/>
          <w:shd w:val="clear" w:color="auto" w:fill="FFFFFF"/>
        </w:rPr>
        <w:t>, </w:t>
      </w:r>
      <w:r w:rsidRPr="002832DB">
        <w:rPr>
          <w:rFonts w:ascii="Times New Roman" w:hAnsi="Times New Roman" w:cs="Times New Roman"/>
          <w:i/>
          <w:iCs/>
          <w:color w:val="333333"/>
          <w:sz w:val="24"/>
          <w:szCs w:val="24"/>
          <w:shd w:val="clear" w:color="auto" w:fill="FFFFFF"/>
        </w:rPr>
        <w:t>27</w:t>
      </w:r>
      <w:r w:rsidRPr="002832DB">
        <w:rPr>
          <w:rFonts w:ascii="Times New Roman" w:hAnsi="Times New Roman" w:cs="Times New Roman"/>
          <w:color w:val="333333"/>
          <w:sz w:val="24"/>
          <w:szCs w:val="24"/>
          <w:shd w:val="clear" w:color="auto" w:fill="FFFFFF"/>
        </w:rPr>
        <w:t xml:space="preserve">(1–2), 89–99. </w:t>
      </w:r>
      <w:hyperlink r:id="rId11" w:history="1">
        <w:r w:rsidR="003260B1" w:rsidRPr="0078147F">
          <w:rPr>
            <w:rStyle w:val="Hyperlink"/>
            <w:rFonts w:ascii="Times New Roman" w:hAnsi="Times New Roman" w:cs="Times New Roman"/>
            <w:sz w:val="24"/>
            <w:szCs w:val="24"/>
            <w:shd w:val="clear" w:color="auto" w:fill="FFFFFF"/>
          </w:rPr>
          <w:t>https://doi.org/10.1080/0379772022000003242</w:t>
        </w:r>
      </w:hyperlink>
    </w:p>
    <w:p w14:paraId="7C1D259F" w14:textId="77777777" w:rsidR="004A1950" w:rsidRPr="002832DB" w:rsidRDefault="004A1950" w:rsidP="000364B7">
      <w:pPr>
        <w:spacing w:line="480" w:lineRule="auto"/>
        <w:jc w:val="both"/>
        <w:rPr>
          <w:rFonts w:ascii="Times New Roman" w:hAnsi="Times New Roman" w:cs="Times New Roman"/>
          <w:sz w:val="24"/>
          <w:szCs w:val="24"/>
        </w:rPr>
      </w:pPr>
      <w:r w:rsidRPr="002832DB">
        <w:rPr>
          <w:rFonts w:ascii="Times New Roman" w:hAnsi="Times New Roman" w:cs="Times New Roman"/>
          <w:color w:val="222222"/>
          <w:sz w:val="24"/>
          <w:szCs w:val="24"/>
          <w:shd w:val="clear" w:color="auto" w:fill="FFFFFF"/>
        </w:rPr>
        <w:t>Delaney, J. A., &amp; Doyle, W. R. (2018). Patterns and volatility in state funding for higher education, 1951–2006. </w:t>
      </w:r>
      <w:r w:rsidRPr="002832DB">
        <w:rPr>
          <w:rFonts w:ascii="Times New Roman" w:hAnsi="Times New Roman" w:cs="Times New Roman"/>
          <w:i/>
          <w:iCs/>
          <w:color w:val="222222"/>
          <w:sz w:val="24"/>
          <w:szCs w:val="24"/>
          <w:shd w:val="clear" w:color="auto" w:fill="FFFFFF"/>
        </w:rPr>
        <w:t>Teachers College Record</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120</w:t>
      </w:r>
      <w:r w:rsidRPr="002832DB">
        <w:rPr>
          <w:rFonts w:ascii="Times New Roman" w:hAnsi="Times New Roman" w:cs="Times New Roman"/>
          <w:color w:val="222222"/>
          <w:sz w:val="24"/>
          <w:szCs w:val="24"/>
          <w:shd w:val="clear" w:color="auto" w:fill="FFFFFF"/>
        </w:rPr>
        <w:t>(6), 1-42.</w:t>
      </w:r>
    </w:p>
    <w:p w14:paraId="05394E09"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Geetha Rani, P. (2014). Equity in the distribution of government subsidies on education in India. </w:t>
      </w:r>
      <w:r w:rsidRPr="002832DB">
        <w:rPr>
          <w:rFonts w:ascii="Times New Roman" w:hAnsi="Times New Roman" w:cs="Times New Roman"/>
          <w:i/>
          <w:iCs/>
          <w:color w:val="222222"/>
          <w:sz w:val="24"/>
          <w:szCs w:val="24"/>
          <w:shd w:val="clear" w:color="auto" w:fill="FFFFFF"/>
        </w:rPr>
        <w:t>International Journal of Education Economics and Development</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5</w:t>
      </w:r>
      <w:r w:rsidRPr="002832DB">
        <w:rPr>
          <w:rFonts w:ascii="Times New Roman" w:hAnsi="Times New Roman" w:cs="Times New Roman"/>
          <w:color w:val="222222"/>
          <w:sz w:val="24"/>
          <w:szCs w:val="24"/>
          <w:shd w:val="clear" w:color="auto" w:fill="FFFFFF"/>
        </w:rPr>
        <w:t>(1), 1-39.</w:t>
      </w:r>
    </w:p>
    <w:p w14:paraId="63D2A288" w14:textId="51A1EAB6" w:rsidR="003A72AB"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Geetha Rani, P. (2017). Financing higher education and education loans in India: Interstate differentials and determinants. </w:t>
      </w:r>
      <w:r w:rsidRPr="002832DB">
        <w:rPr>
          <w:rFonts w:ascii="Times New Roman" w:hAnsi="Times New Roman" w:cs="Times New Roman"/>
          <w:i/>
          <w:iCs/>
          <w:color w:val="222222"/>
          <w:sz w:val="24"/>
          <w:szCs w:val="24"/>
          <w:shd w:val="clear" w:color="auto" w:fill="FFFFFF"/>
        </w:rPr>
        <w:t>Journal of Social and Economic Development</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19</w:t>
      </w:r>
      <w:r w:rsidRPr="002832DB">
        <w:rPr>
          <w:rFonts w:ascii="Times New Roman" w:hAnsi="Times New Roman" w:cs="Times New Roman"/>
          <w:color w:val="222222"/>
          <w:sz w:val="24"/>
          <w:szCs w:val="24"/>
          <w:shd w:val="clear" w:color="auto" w:fill="FFFFFF"/>
        </w:rPr>
        <w:t>(1), 42-59.</w:t>
      </w:r>
    </w:p>
    <w:p w14:paraId="1E471A94"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Khan, K. (2015). Disparities in access to higher education in India. </w:t>
      </w:r>
      <w:r w:rsidRPr="002832DB">
        <w:rPr>
          <w:rFonts w:ascii="Times New Roman" w:hAnsi="Times New Roman" w:cs="Times New Roman"/>
          <w:i/>
          <w:iCs/>
          <w:color w:val="222222"/>
          <w:sz w:val="24"/>
          <w:szCs w:val="24"/>
          <w:shd w:val="clear" w:color="auto" w:fill="FFFFFF"/>
        </w:rPr>
        <w:t>Journal of Social Inclusion Studies</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1</w:t>
      </w:r>
      <w:r w:rsidRPr="002832DB">
        <w:rPr>
          <w:rFonts w:ascii="Times New Roman" w:hAnsi="Times New Roman" w:cs="Times New Roman"/>
          <w:color w:val="222222"/>
          <w:sz w:val="24"/>
          <w:szCs w:val="24"/>
          <w:shd w:val="clear" w:color="auto" w:fill="FFFFFF"/>
        </w:rPr>
        <w:t>(2), 168-178.</w:t>
      </w:r>
    </w:p>
    <w:p w14:paraId="28D374F7"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Kim, D. (2007). The effect of loans on students' degree attainment: Differences by student and institutional characteristics. </w:t>
      </w:r>
      <w:r w:rsidRPr="002832DB">
        <w:rPr>
          <w:rFonts w:ascii="Times New Roman" w:hAnsi="Times New Roman" w:cs="Times New Roman"/>
          <w:i/>
          <w:iCs/>
          <w:color w:val="222222"/>
          <w:sz w:val="24"/>
          <w:szCs w:val="24"/>
          <w:shd w:val="clear" w:color="auto" w:fill="FFFFFF"/>
        </w:rPr>
        <w:t>Harvard educational review</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77</w:t>
      </w:r>
      <w:r w:rsidRPr="002832DB">
        <w:rPr>
          <w:rFonts w:ascii="Times New Roman" w:hAnsi="Times New Roman" w:cs="Times New Roman"/>
          <w:color w:val="222222"/>
          <w:sz w:val="24"/>
          <w:szCs w:val="24"/>
          <w:shd w:val="clear" w:color="auto" w:fill="FFFFFF"/>
        </w:rPr>
        <w:t>(1), 64-100.</w:t>
      </w:r>
    </w:p>
    <w:p w14:paraId="533AE000"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proofErr w:type="spellStart"/>
      <w:r w:rsidRPr="00326C6F">
        <w:rPr>
          <w:rFonts w:ascii="Times New Roman" w:hAnsi="Times New Roman" w:cs="Times New Roman"/>
          <w:color w:val="222222"/>
          <w:sz w:val="24"/>
          <w:szCs w:val="24"/>
          <w:shd w:val="clear" w:color="auto" w:fill="FFFFFF"/>
        </w:rPr>
        <w:t>Krajňáková</w:t>
      </w:r>
      <w:proofErr w:type="spellEnd"/>
      <w:r w:rsidRPr="00326C6F">
        <w:rPr>
          <w:rFonts w:ascii="Times New Roman" w:hAnsi="Times New Roman" w:cs="Times New Roman"/>
          <w:color w:val="222222"/>
          <w:sz w:val="24"/>
          <w:szCs w:val="24"/>
          <w:shd w:val="clear" w:color="auto" w:fill="FFFFFF"/>
        </w:rPr>
        <w:t xml:space="preserve">, E., </w:t>
      </w:r>
      <w:proofErr w:type="spellStart"/>
      <w:r w:rsidRPr="00326C6F">
        <w:rPr>
          <w:rFonts w:ascii="Times New Roman" w:hAnsi="Times New Roman" w:cs="Times New Roman"/>
          <w:color w:val="222222"/>
          <w:sz w:val="24"/>
          <w:szCs w:val="24"/>
          <w:shd w:val="clear" w:color="auto" w:fill="FFFFFF"/>
        </w:rPr>
        <w:t>Pilinkienė</w:t>
      </w:r>
      <w:proofErr w:type="spellEnd"/>
      <w:r w:rsidRPr="00326C6F">
        <w:rPr>
          <w:rFonts w:ascii="Times New Roman" w:hAnsi="Times New Roman" w:cs="Times New Roman"/>
          <w:color w:val="222222"/>
          <w:sz w:val="24"/>
          <w:szCs w:val="24"/>
          <w:shd w:val="clear" w:color="auto" w:fill="FFFFFF"/>
        </w:rPr>
        <w:t>, V., &amp; Bulko, P. (2020). Determinants of economic development and employability of higher education institutions graduates. </w:t>
      </w:r>
      <w:r w:rsidRPr="00326C6F">
        <w:rPr>
          <w:rFonts w:ascii="Times New Roman" w:hAnsi="Times New Roman" w:cs="Times New Roman"/>
          <w:i/>
          <w:iCs/>
          <w:color w:val="222222"/>
          <w:sz w:val="24"/>
          <w:szCs w:val="24"/>
          <w:shd w:val="clear" w:color="auto" w:fill="FFFFFF"/>
        </w:rPr>
        <w:t>Engineering Economics</w:t>
      </w:r>
      <w:r w:rsidRPr="00326C6F">
        <w:rPr>
          <w:rFonts w:ascii="Times New Roman" w:hAnsi="Times New Roman" w:cs="Times New Roman"/>
          <w:color w:val="222222"/>
          <w:sz w:val="24"/>
          <w:szCs w:val="24"/>
          <w:shd w:val="clear" w:color="auto" w:fill="FFFFFF"/>
        </w:rPr>
        <w:t>, </w:t>
      </w:r>
      <w:r w:rsidRPr="00326C6F">
        <w:rPr>
          <w:rFonts w:ascii="Times New Roman" w:hAnsi="Times New Roman" w:cs="Times New Roman"/>
          <w:i/>
          <w:iCs/>
          <w:color w:val="222222"/>
          <w:sz w:val="24"/>
          <w:szCs w:val="24"/>
          <w:shd w:val="clear" w:color="auto" w:fill="FFFFFF"/>
        </w:rPr>
        <w:t>31</w:t>
      </w:r>
      <w:r w:rsidRPr="00326C6F">
        <w:rPr>
          <w:rFonts w:ascii="Times New Roman" w:hAnsi="Times New Roman" w:cs="Times New Roman"/>
          <w:color w:val="222222"/>
          <w:sz w:val="24"/>
          <w:szCs w:val="24"/>
          <w:shd w:val="clear" w:color="auto" w:fill="FFFFFF"/>
        </w:rPr>
        <w:t>(2), 211-220.</w:t>
      </w:r>
    </w:p>
    <w:p w14:paraId="4F0D6658" w14:textId="77777777" w:rsidR="004A1950" w:rsidRPr="002832DB" w:rsidRDefault="004A1950" w:rsidP="000364B7">
      <w:pPr>
        <w:pStyle w:val="Bibliography"/>
        <w:ind w:left="0" w:firstLine="0"/>
        <w:jc w:val="both"/>
        <w:rPr>
          <w:rFonts w:ascii="Times New Roman" w:hAnsi="Times New Roman" w:cs="Times New Roman"/>
          <w:sz w:val="24"/>
          <w:szCs w:val="24"/>
        </w:rPr>
      </w:pPr>
      <w:r w:rsidRPr="002832DB">
        <w:rPr>
          <w:rFonts w:ascii="Times New Roman" w:hAnsi="Times New Roman" w:cs="Times New Roman"/>
          <w:sz w:val="24"/>
          <w:szCs w:val="24"/>
        </w:rPr>
        <w:lastRenderedPageBreak/>
        <w:fldChar w:fldCharType="begin"/>
      </w:r>
      <w:r w:rsidRPr="002832DB">
        <w:rPr>
          <w:rFonts w:ascii="Times New Roman" w:hAnsi="Times New Roman" w:cs="Times New Roman"/>
          <w:sz w:val="24"/>
          <w:szCs w:val="24"/>
        </w:rPr>
        <w:instrText xml:space="preserve"> ADDIN ZOTERO_BIBL {"uncited":[],"omitted":[],"custom":[]} CSL_BIBLIOGRAPHY </w:instrText>
      </w:r>
      <w:r w:rsidRPr="002832DB">
        <w:rPr>
          <w:rFonts w:ascii="Times New Roman" w:hAnsi="Times New Roman" w:cs="Times New Roman"/>
          <w:sz w:val="24"/>
          <w:szCs w:val="24"/>
        </w:rPr>
        <w:fldChar w:fldCharType="separate"/>
      </w:r>
      <w:r w:rsidRPr="002832DB">
        <w:rPr>
          <w:rFonts w:ascii="Times New Roman" w:hAnsi="Times New Roman" w:cs="Times New Roman"/>
          <w:sz w:val="24"/>
          <w:szCs w:val="24"/>
        </w:rPr>
        <w:t xml:space="preserve">Kruss, G., McGrath, S., Petersen, I., &amp; Gastrow, M. (2015). Higher education and economic development: The importance of building technological capabilities. </w:t>
      </w:r>
      <w:r w:rsidRPr="002832DB">
        <w:rPr>
          <w:rFonts w:ascii="Times New Roman" w:hAnsi="Times New Roman" w:cs="Times New Roman"/>
          <w:i/>
          <w:iCs/>
          <w:sz w:val="24"/>
          <w:szCs w:val="24"/>
        </w:rPr>
        <w:t>International Journal of Educational Development</w:t>
      </w:r>
      <w:r w:rsidRPr="002832DB">
        <w:rPr>
          <w:rFonts w:ascii="Times New Roman" w:hAnsi="Times New Roman" w:cs="Times New Roman"/>
          <w:sz w:val="24"/>
          <w:szCs w:val="24"/>
        </w:rPr>
        <w:t xml:space="preserve">, </w:t>
      </w:r>
      <w:r w:rsidRPr="002832DB">
        <w:rPr>
          <w:rFonts w:ascii="Times New Roman" w:hAnsi="Times New Roman" w:cs="Times New Roman"/>
          <w:i/>
          <w:iCs/>
          <w:sz w:val="24"/>
          <w:szCs w:val="24"/>
        </w:rPr>
        <w:t>43</w:t>
      </w:r>
      <w:r w:rsidRPr="002832DB">
        <w:rPr>
          <w:rFonts w:ascii="Times New Roman" w:hAnsi="Times New Roman" w:cs="Times New Roman"/>
          <w:sz w:val="24"/>
          <w:szCs w:val="24"/>
        </w:rPr>
        <w:t>, 22–31. https://doi.org/10.1016/j.ijedudev.2015.04.011</w:t>
      </w:r>
    </w:p>
    <w:p w14:paraId="4683F2FB" w14:textId="5EF886D2" w:rsidR="004A1950" w:rsidRPr="004A1950" w:rsidRDefault="004A1950"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fldChar w:fldCharType="end"/>
      </w:r>
    </w:p>
    <w:p w14:paraId="14B049A7"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Kumari, A., &amp; Chalil, K. (2023). Inter-State Disparity in Education loans in India: An Intertemporal Analysis. </w:t>
      </w:r>
      <w:r w:rsidRPr="002832DB">
        <w:rPr>
          <w:rFonts w:ascii="Times New Roman" w:hAnsi="Times New Roman" w:cs="Times New Roman"/>
          <w:i/>
          <w:iCs/>
          <w:color w:val="222222"/>
          <w:sz w:val="24"/>
          <w:szCs w:val="24"/>
          <w:shd w:val="clear" w:color="auto" w:fill="FFFFFF"/>
        </w:rPr>
        <w:t>East African Journal of Education Studies</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6</w:t>
      </w:r>
      <w:r w:rsidRPr="002832DB">
        <w:rPr>
          <w:rFonts w:ascii="Times New Roman" w:hAnsi="Times New Roman" w:cs="Times New Roman"/>
          <w:color w:val="222222"/>
          <w:sz w:val="24"/>
          <w:szCs w:val="24"/>
          <w:shd w:val="clear" w:color="auto" w:fill="FFFFFF"/>
        </w:rPr>
        <w:t>(1), 297-310.</w:t>
      </w:r>
    </w:p>
    <w:p w14:paraId="4A06437D"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Manimala, M. J., &amp; Mitra, J. (2008). Higher education's role in entrepreneurship and economic development.</w:t>
      </w:r>
    </w:p>
    <w:p w14:paraId="06715D40" w14:textId="29151684" w:rsidR="003260B1" w:rsidRPr="002832DB" w:rsidRDefault="003260B1" w:rsidP="000364B7">
      <w:pPr>
        <w:spacing w:line="480" w:lineRule="auto"/>
        <w:jc w:val="both"/>
        <w:rPr>
          <w:rFonts w:ascii="Times New Roman" w:hAnsi="Times New Roman" w:cs="Times New Roman"/>
          <w:color w:val="222222"/>
          <w:sz w:val="24"/>
          <w:szCs w:val="24"/>
          <w:shd w:val="clear" w:color="auto" w:fill="FFFFFF"/>
        </w:rPr>
      </w:pPr>
      <w:r w:rsidRPr="003260B1">
        <w:rPr>
          <w:rFonts w:ascii="Times New Roman" w:hAnsi="Times New Roman" w:cs="Times New Roman"/>
          <w:color w:val="222222"/>
          <w:sz w:val="24"/>
          <w:szCs w:val="24"/>
          <w:shd w:val="clear" w:color="auto" w:fill="FFFFFF"/>
        </w:rPr>
        <w:t xml:space="preserve">Mitra, D., &amp; </w:t>
      </w:r>
      <w:proofErr w:type="spellStart"/>
      <w:r w:rsidRPr="003260B1">
        <w:rPr>
          <w:rFonts w:ascii="Times New Roman" w:hAnsi="Times New Roman" w:cs="Times New Roman"/>
          <w:color w:val="222222"/>
          <w:sz w:val="24"/>
          <w:szCs w:val="24"/>
          <w:shd w:val="clear" w:color="auto" w:fill="FFFFFF"/>
        </w:rPr>
        <w:t>Ghara</w:t>
      </w:r>
      <w:proofErr w:type="spellEnd"/>
      <w:r w:rsidRPr="003260B1">
        <w:rPr>
          <w:rFonts w:ascii="Times New Roman" w:hAnsi="Times New Roman" w:cs="Times New Roman"/>
          <w:color w:val="222222"/>
          <w:sz w:val="24"/>
          <w:szCs w:val="24"/>
          <w:shd w:val="clear" w:color="auto" w:fill="FFFFFF"/>
        </w:rPr>
        <w:t>, T. K. (2019). Gross enrolment ratio in higher education: a district level analysis of the state of West Bengal. </w:t>
      </w:r>
      <w:r w:rsidRPr="003260B1">
        <w:rPr>
          <w:rFonts w:ascii="Times New Roman" w:hAnsi="Times New Roman" w:cs="Times New Roman"/>
          <w:i/>
          <w:iCs/>
          <w:color w:val="222222"/>
          <w:sz w:val="24"/>
          <w:szCs w:val="24"/>
          <w:shd w:val="clear" w:color="auto" w:fill="FFFFFF"/>
        </w:rPr>
        <w:t>Asian Review of Social Sciences</w:t>
      </w:r>
      <w:r w:rsidRPr="003260B1">
        <w:rPr>
          <w:rFonts w:ascii="Times New Roman" w:hAnsi="Times New Roman" w:cs="Times New Roman"/>
          <w:color w:val="222222"/>
          <w:sz w:val="24"/>
          <w:szCs w:val="24"/>
          <w:shd w:val="clear" w:color="auto" w:fill="FFFFFF"/>
        </w:rPr>
        <w:t>, </w:t>
      </w:r>
      <w:r w:rsidRPr="003260B1">
        <w:rPr>
          <w:rFonts w:ascii="Times New Roman" w:hAnsi="Times New Roman" w:cs="Times New Roman"/>
          <w:i/>
          <w:iCs/>
          <w:color w:val="222222"/>
          <w:sz w:val="24"/>
          <w:szCs w:val="24"/>
          <w:shd w:val="clear" w:color="auto" w:fill="FFFFFF"/>
        </w:rPr>
        <w:t>8</w:t>
      </w:r>
      <w:r w:rsidRPr="003260B1">
        <w:rPr>
          <w:rFonts w:ascii="Times New Roman" w:hAnsi="Times New Roman" w:cs="Times New Roman"/>
          <w:color w:val="222222"/>
          <w:sz w:val="24"/>
          <w:szCs w:val="24"/>
          <w:shd w:val="clear" w:color="auto" w:fill="FFFFFF"/>
        </w:rPr>
        <w:t>(3), 37-41.</w:t>
      </w:r>
    </w:p>
    <w:p w14:paraId="6D57F89C" w14:textId="77777777" w:rsidR="004A1950" w:rsidRPr="002832DB" w:rsidRDefault="004A1950" w:rsidP="000364B7">
      <w:pPr>
        <w:spacing w:line="480" w:lineRule="auto"/>
        <w:jc w:val="both"/>
        <w:rPr>
          <w:rFonts w:ascii="Times New Roman" w:hAnsi="Times New Roman" w:cs="Times New Roman"/>
          <w:sz w:val="24"/>
          <w:szCs w:val="24"/>
        </w:rPr>
      </w:pPr>
      <w:proofErr w:type="spellStart"/>
      <w:r w:rsidRPr="003D29A0">
        <w:rPr>
          <w:rFonts w:ascii="Times New Roman" w:hAnsi="Times New Roman" w:cs="Times New Roman"/>
          <w:sz w:val="24"/>
          <w:szCs w:val="24"/>
        </w:rPr>
        <w:t>Nurjanah</w:t>
      </w:r>
      <w:proofErr w:type="spellEnd"/>
      <w:r w:rsidRPr="003D29A0">
        <w:rPr>
          <w:rFonts w:ascii="Times New Roman" w:hAnsi="Times New Roman" w:cs="Times New Roman"/>
          <w:sz w:val="24"/>
          <w:szCs w:val="24"/>
        </w:rPr>
        <w:t>, S. (2019). ANALYSIS OF FACTORS AFFECTING THE PARTICIPATION RATE IN INDONESIA SENIOR HIGH SCHOOL. </w:t>
      </w:r>
      <w:proofErr w:type="spellStart"/>
      <w:r w:rsidRPr="003D29A0">
        <w:rPr>
          <w:rFonts w:ascii="Times New Roman" w:hAnsi="Times New Roman" w:cs="Times New Roman"/>
          <w:i/>
          <w:iCs/>
          <w:sz w:val="24"/>
          <w:szCs w:val="24"/>
        </w:rPr>
        <w:t>Jurnal</w:t>
      </w:r>
      <w:proofErr w:type="spellEnd"/>
      <w:r w:rsidRPr="003D29A0">
        <w:rPr>
          <w:rFonts w:ascii="Times New Roman" w:hAnsi="Times New Roman" w:cs="Times New Roman"/>
          <w:i/>
          <w:iCs/>
          <w:sz w:val="24"/>
          <w:szCs w:val="24"/>
        </w:rPr>
        <w:t xml:space="preserve"> </w:t>
      </w:r>
      <w:proofErr w:type="spellStart"/>
      <w:r w:rsidRPr="003D29A0">
        <w:rPr>
          <w:rFonts w:ascii="Times New Roman" w:hAnsi="Times New Roman" w:cs="Times New Roman"/>
          <w:i/>
          <w:iCs/>
          <w:sz w:val="24"/>
          <w:szCs w:val="24"/>
        </w:rPr>
        <w:t>Ilmiah</w:t>
      </w:r>
      <w:proofErr w:type="spellEnd"/>
      <w:r w:rsidRPr="003D29A0">
        <w:rPr>
          <w:rFonts w:ascii="Times New Roman" w:hAnsi="Times New Roman" w:cs="Times New Roman"/>
          <w:i/>
          <w:iCs/>
          <w:sz w:val="24"/>
          <w:szCs w:val="24"/>
        </w:rPr>
        <w:t xml:space="preserve"> </w:t>
      </w:r>
      <w:proofErr w:type="spellStart"/>
      <w:r w:rsidRPr="003D29A0">
        <w:rPr>
          <w:rFonts w:ascii="Times New Roman" w:hAnsi="Times New Roman" w:cs="Times New Roman"/>
          <w:i/>
          <w:iCs/>
          <w:sz w:val="24"/>
          <w:szCs w:val="24"/>
        </w:rPr>
        <w:t>Econosains</w:t>
      </w:r>
      <w:proofErr w:type="spellEnd"/>
      <w:r w:rsidRPr="003D29A0">
        <w:rPr>
          <w:rFonts w:ascii="Times New Roman" w:hAnsi="Times New Roman" w:cs="Times New Roman"/>
          <w:sz w:val="24"/>
          <w:szCs w:val="24"/>
        </w:rPr>
        <w:t>, </w:t>
      </w:r>
      <w:r w:rsidRPr="003D29A0">
        <w:rPr>
          <w:rFonts w:ascii="Times New Roman" w:hAnsi="Times New Roman" w:cs="Times New Roman"/>
          <w:i/>
          <w:iCs/>
          <w:sz w:val="24"/>
          <w:szCs w:val="24"/>
        </w:rPr>
        <w:t>17</w:t>
      </w:r>
      <w:r w:rsidRPr="003D29A0">
        <w:rPr>
          <w:rFonts w:ascii="Times New Roman" w:hAnsi="Times New Roman" w:cs="Times New Roman"/>
          <w:sz w:val="24"/>
          <w:szCs w:val="24"/>
        </w:rPr>
        <w:t>(1), 89-99.</w:t>
      </w:r>
    </w:p>
    <w:p w14:paraId="62E96F95" w14:textId="77777777" w:rsidR="004A1950" w:rsidRPr="002832DB" w:rsidRDefault="004A1950" w:rsidP="000364B7">
      <w:pPr>
        <w:spacing w:line="480" w:lineRule="auto"/>
        <w:jc w:val="both"/>
        <w:rPr>
          <w:rFonts w:ascii="Times New Roman" w:hAnsi="Times New Roman" w:cs="Times New Roman"/>
          <w:sz w:val="24"/>
          <w:szCs w:val="24"/>
        </w:rPr>
      </w:pPr>
      <w:r w:rsidRPr="003D29A0">
        <w:rPr>
          <w:rFonts w:ascii="Times New Roman" w:hAnsi="Times New Roman" w:cs="Times New Roman"/>
          <w:sz w:val="24"/>
          <w:szCs w:val="24"/>
        </w:rPr>
        <w:t xml:space="preserve">Ramadhan, R., </w:t>
      </w:r>
      <w:proofErr w:type="spellStart"/>
      <w:r w:rsidRPr="003D29A0">
        <w:rPr>
          <w:rFonts w:ascii="Times New Roman" w:hAnsi="Times New Roman" w:cs="Times New Roman"/>
          <w:sz w:val="24"/>
          <w:szCs w:val="24"/>
        </w:rPr>
        <w:t>Awalluddin</w:t>
      </w:r>
      <w:proofErr w:type="spellEnd"/>
      <w:r w:rsidRPr="003D29A0">
        <w:rPr>
          <w:rFonts w:ascii="Times New Roman" w:hAnsi="Times New Roman" w:cs="Times New Roman"/>
          <w:sz w:val="24"/>
          <w:szCs w:val="24"/>
        </w:rPr>
        <w:t xml:space="preserve">, A. S., &amp; </w:t>
      </w:r>
      <w:proofErr w:type="spellStart"/>
      <w:r w:rsidRPr="003D29A0">
        <w:rPr>
          <w:rFonts w:ascii="Times New Roman" w:hAnsi="Times New Roman" w:cs="Times New Roman"/>
          <w:sz w:val="24"/>
          <w:szCs w:val="24"/>
        </w:rPr>
        <w:t>Cahyandari</w:t>
      </w:r>
      <w:proofErr w:type="spellEnd"/>
      <w:r w:rsidRPr="003D29A0">
        <w:rPr>
          <w:rFonts w:ascii="Times New Roman" w:hAnsi="Times New Roman" w:cs="Times New Roman"/>
          <w:sz w:val="24"/>
          <w:szCs w:val="24"/>
        </w:rPr>
        <w:t xml:space="preserve">, R. (2020, April). Multivariable Panel Data Cluster Analysis using Ward Method Gross </w:t>
      </w:r>
      <w:proofErr w:type="spellStart"/>
      <w:r w:rsidRPr="003D29A0">
        <w:rPr>
          <w:rFonts w:ascii="Times New Roman" w:hAnsi="Times New Roman" w:cs="Times New Roman"/>
          <w:sz w:val="24"/>
          <w:szCs w:val="24"/>
        </w:rPr>
        <w:t>Enrollment</w:t>
      </w:r>
      <w:proofErr w:type="spellEnd"/>
      <w:r w:rsidRPr="003D29A0">
        <w:rPr>
          <w:rFonts w:ascii="Times New Roman" w:hAnsi="Times New Roman" w:cs="Times New Roman"/>
          <w:sz w:val="24"/>
          <w:szCs w:val="24"/>
        </w:rPr>
        <w:t xml:space="preserve"> Ratio (GER) Data in West Java in the Year 2015-2018. In </w:t>
      </w:r>
      <w:r w:rsidRPr="003D29A0">
        <w:rPr>
          <w:rFonts w:ascii="Times New Roman" w:hAnsi="Times New Roman" w:cs="Times New Roman"/>
          <w:i/>
          <w:iCs/>
          <w:sz w:val="24"/>
          <w:szCs w:val="24"/>
        </w:rPr>
        <w:t>Proceeding International Conference on Science and Engineering</w:t>
      </w:r>
      <w:r w:rsidRPr="003D29A0">
        <w:rPr>
          <w:rFonts w:ascii="Times New Roman" w:hAnsi="Times New Roman" w:cs="Times New Roman"/>
          <w:sz w:val="24"/>
          <w:szCs w:val="24"/>
        </w:rPr>
        <w:t> (Vol. 3, pp. 291-296).</w:t>
      </w:r>
    </w:p>
    <w:p w14:paraId="306A8B29"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C73115">
        <w:rPr>
          <w:rFonts w:ascii="Times New Roman" w:hAnsi="Times New Roman" w:cs="Times New Roman"/>
          <w:color w:val="222222"/>
          <w:sz w:val="24"/>
          <w:szCs w:val="24"/>
          <w:shd w:val="clear" w:color="auto" w:fill="FFFFFF"/>
          <w:lang w:val="fr-FR"/>
        </w:rPr>
        <w:t xml:space="preserve">Rau, T., Rojas, E., &amp; </w:t>
      </w:r>
      <w:proofErr w:type="spellStart"/>
      <w:r w:rsidRPr="00C73115">
        <w:rPr>
          <w:rFonts w:ascii="Times New Roman" w:hAnsi="Times New Roman" w:cs="Times New Roman"/>
          <w:color w:val="222222"/>
          <w:sz w:val="24"/>
          <w:szCs w:val="24"/>
          <w:shd w:val="clear" w:color="auto" w:fill="FFFFFF"/>
          <w:lang w:val="fr-FR"/>
        </w:rPr>
        <w:t>Urzúa</w:t>
      </w:r>
      <w:proofErr w:type="spellEnd"/>
      <w:r w:rsidRPr="00C73115">
        <w:rPr>
          <w:rFonts w:ascii="Times New Roman" w:hAnsi="Times New Roman" w:cs="Times New Roman"/>
          <w:color w:val="222222"/>
          <w:sz w:val="24"/>
          <w:szCs w:val="24"/>
          <w:shd w:val="clear" w:color="auto" w:fill="FFFFFF"/>
          <w:lang w:val="fr-FR"/>
        </w:rPr>
        <w:t>, S. (2013). </w:t>
      </w:r>
      <w:r w:rsidRPr="002832DB">
        <w:rPr>
          <w:rFonts w:ascii="Times New Roman" w:hAnsi="Times New Roman" w:cs="Times New Roman"/>
          <w:i/>
          <w:iCs/>
          <w:color w:val="222222"/>
          <w:sz w:val="24"/>
          <w:szCs w:val="24"/>
          <w:shd w:val="clear" w:color="auto" w:fill="FFFFFF"/>
        </w:rPr>
        <w:t>Loans for Higher Education: Does the Dream Come True?</w:t>
      </w:r>
      <w:r w:rsidRPr="002832DB">
        <w:rPr>
          <w:rFonts w:ascii="Times New Roman" w:hAnsi="Times New Roman" w:cs="Times New Roman"/>
          <w:color w:val="222222"/>
          <w:sz w:val="24"/>
          <w:szCs w:val="24"/>
          <w:shd w:val="clear" w:color="auto" w:fill="FFFFFF"/>
        </w:rPr>
        <w:t> (No. w19138). National Bureau of Economic Research.</w:t>
      </w:r>
    </w:p>
    <w:p w14:paraId="02696A2E"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 xml:space="preserve">Tumen, S., &amp; </w:t>
      </w:r>
      <w:proofErr w:type="spellStart"/>
      <w:r w:rsidRPr="002832DB">
        <w:rPr>
          <w:rFonts w:ascii="Times New Roman" w:hAnsi="Times New Roman" w:cs="Times New Roman"/>
          <w:color w:val="222222"/>
          <w:sz w:val="24"/>
          <w:szCs w:val="24"/>
          <w:shd w:val="clear" w:color="auto" w:fill="FFFFFF"/>
        </w:rPr>
        <w:t>Shulruf</w:t>
      </w:r>
      <w:proofErr w:type="spellEnd"/>
      <w:r w:rsidRPr="002832DB">
        <w:rPr>
          <w:rFonts w:ascii="Times New Roman" w:hAnsi="Times New Roman" w:cs="Times New Roman"/>
          <w:color w:val="222222"/>
          <w:sz w:val="24"/>
          <w:szCs w:val="24"/>
          <w:shd w:val="clear" w:color="auto" w:fill="FFFFFF"/>
        </w:rPr>
        <w:t>, B. (2008). The effect of student loan schemes on students returning to study. </w:t>
      </w:r>
      <w:r w:rsidRPr="002832DB">
        <w:rPr>
          <w:rFonts w:ascii="Times New Roman" w:hAnsi="Times New Roman" w:cs="Times New Roman"/>
          <w:i/>
          <w:iCs/>
          <w:color w:val="222222"/>
          <w:sz w:val="24"/>
          <w:szCs w:val="24"/>
          <w:shd w:val="clear" w:color="auto" w:fill="FFFFFF"/>
        </w:rPr>
        <w:t>Journal of Higher Education Policy and Management</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30</w:t>
      </w:r>
      <w:r w:rsidRPr="002832DB">
        <w:rPr>
          <w:rFonts w:ascii="Times New Roman" w:hAnsi="Times New Roman" w:cs="Times New Roman"/>
          <w:color w:val="222222"/>
          <w:sz w:val="24"/>
          <w:szCs w:val="24"/>
          <w:shd w:val="clear" w:color="auto" w:fill="FFFFFF"/>
        </w:rPr>
        <w:t>(4), 401-414.</w:t>
      </w:r>
    </w:p>
    <w:p w14:paraId="2AA515C2" w14:textId="2232EDAC" w:rsidR="00573273" w:rsidRPr="002832DB" w:rsidRDefault="00573273" w:rsidP="000364B7">
      <w:pPr>
        <w:spacing w:line="480" w:lineRule="auto"/>
        <w:jc w:val="both"/>
        <w:rPr>
          <w:rFonts w:ascii="Times New Roman" w:hAnsi="Times New Roman" w:cs="Times New Roman"/>
          <w:color w:val="222222"/>
          <w:sz w:val="24"/>
          <w:szCs w:val="24"/>
          <w:shd w:val="clear" w:color="auto" w:fill="FFFFFF"/>
        </w:rPr>
      </w:pPr>
      <w:r w:rsidRPr="00573273">
        <w:rPr>
          <w:rFonts w:ascii="Times New Roman" w:hAnsi="Times New Roman" w:cs="Times New Roman"/>
          <w:color w:val="222222"/>
          <w:sz w:val="24"/>
          <w:szCs w:val="24"/>
          <w:shd w:val="clear" w:color="auto" w:fill="FFFFFF"/>
        </w:rPr>
        <w:t>Wagner, R. E., &amp; Weber, W. E. (1977). Wagner's law, fiscal institutions, and the growth of government. </w:t>
      </w:r>
      <w:r w:rsidRPr="00573273">
        <w:rPr>
          <w:rFonts w:ascii="Times New Roman" w:hAnsi="Times New Roman" w:cs="Times New Roman"/>
          <w:i/>
          <w:iCs/>
          <w:color w:val="222222"/>
          <w:sz w:val="24"/>
          <w:szCs w:val="24"/>
          <w:shd w:val="clear" w:color="auto" w:fill="FFFFFF"/>
        </w:rPr>
        <w:t>National Tax Journal</w:t>
      </w:r>
      <w:r w:rsidRPr="00573273">
        <w:rPr>
          <w:rFonts w:ascii="Times New Roman" w:hAnsi="Times New Roman" w:cs="Times New Roman"/>
          <w:color w:val="222222"/>
          <w:sz w:val="24"/>
          <w:szCs w:val="24"/>
          <w:shd w:val="clear" w:color="auto" w:fill="FFFFFF"/>
        </w:rPr>
        <w:t>, </w:t>
      </w:r>
      <w:r w:rsidRPr="00573273">
        <w:rPr>
          <w:rFonts w:ascii="Times New Roman" w:hAnsi="Times New Roman" w:cs="Times New Roman"/>
          <w:i/>
          <w:iCs/>
          <w:color w:val="222222"/>
          <w:sz w:val="24"/>
          <w:szCs w:val="24"/>
          <w:shd w:val="clear" w:color="auto" w:fill="FFFFFF"/>
        </w:rPr>
        <w:t>30</w:t>
      </w:r>
      <w:r w:rsidRPr="00573273">
        <w:rPr>
          <w:rFonts w:ascii="Times New Roman" w:hAnsi="Times New Roman" w:cs="Times New Roman"/>
          <w:color w:val="222222"/>
          <w:sz w:val="24"/>
          <w:szCs w:val="24"/>
          <w:shd w:val="clear" w:color="auto" w:fill="FFFFFF"/>
        </w:rPr>
        <w:t>(1), 59-68.</w:t>
      </w:r>
    </w:p>
    <w:p w14:paraId="211B28BA" w14:textId="77777777" w:rsidR="004A1950" w:rsidRPr="002832DB" w:rsidRDefault="004A1950" w:rsidP="000364B7">
      <w:pPr>
        <w:spacing w:line="480" w:lineRule="auto"/>
        <w:jc w:val="both"/>
        <w:rPr>
          <w:rFonts w:ascii="Times New Roman" w:hAnsi="Times New Roman" w:cs="Times New Roman"/>
          <w:sz w:val="24"/>
          <w:szCs w:val="24"/>
        </w:rPr>
      </w:pPr>
      <w:r w:rsidRPr="002832DB">
        <w:rPr>
          <w:rFonts w:ascii="Times New Roman" w:hAnsi="Times New Roman" w:cs="Times New Roman"/>
          <w:color w:val="222222"/>
          <w:sz w:val="24"/>
          <w:szCs w:val="24"/>
          <w:shd w:val="clear" w:color="auto" w:fill="FFFFFF"/>
        </w:rPr>
        <w:lastRenderedPageBreak/>
        <w:t xml:space="preserve">Ziberi, B., Gashi, R., &amp; </w:t>
      </w:r>
      <w:proofErr w:type="spellStart"/>
      <w:r w:rsidRPr="002832DB">
        <w:rPr>
          <w:rFonts w:ascii="Times New Roman" w:hAnsi="Times New Roman" w:cs="Times New Roman"/>
          <w:color w:val="222222"/>
          <w:sz w:val="24"/>
          <w:szCs w:val="24"/>
          <w:shd w:val="clear" w:color="auto" w:fill="FFFFFF"/>
        </w:rPr>
        <w:t>Hodaj</w:t>
      </w:r>
      <w:proofErr w:type="spellEnd"/>
      <w:r w:rsidRPr="002832DB">
        <w:rPr>
          <w:rFonts w:ascii="Times New Roman" w:hAnsi="Times New Roman" w:cs="Times New Roman"/>
          <w:color w:val="222222"/>
          <w:sz w:val="24"/>
          <w:szCs w:val="24"/>
          <w:shd w:val="clear" w:color="auto" w:fill="FFFFFF"/>
        </w:rPr>
        <w:t>, M. (2020). The Nexus Between Public Spending on Education and Economic Growth of Kosovo (Econometric Approach). </w:t>
      </w:r>
      <w:r w:rsidRPr="002832DB">
        <w:rPr>
          <w:rFonts w:ascii="Times New Roman" w:hAnsi="Times New Roman" w:cs="Times New Roman"/>
          <w:i/>
          <w:iCs/>
          <w:color w:val="222222"/>
          <w:sz w:val="24"/>
          <w:szCs w:val="24"/>
          <w:shd w:val="clear" w:color="auto" w:fill="FFFFFF"/>
        </w:rPr>
        <w:t>Economics and Business</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34</w:t>
      </w:r>
      <w:r w:rsidRPr="002832DB">
        <w:rPr>
          <w:rFonts w:ascii="Times New Roman" w:hAnsi="Times New Roman" w:cs="Times New Roman"/>
          <w:color w:val="222222"/>
          <w:sz w:val="24"/>
          <w:szCs w:val="24"/>
          <w:shd w:val="clear" w:color="auto" w:fill="FFFFFF"/>
        </w:rPr>
        <w:t>(1), 285-296.</w:t>
      </w:r>
    </w:p>
    <w:p w14:paraId="7D079B7F" w14:textId="77777777" w:rsidR="000F7EE5" w:rsidRPr="002832DB" w:rsidRDefault="000F7EE5" w:rsidP="000364B7">
      <w:pPr>
        <w:spacing w:line="480" w:lineRule="auto"/>
        <w:jc w:val="both"/>
        <w:rPr>
          <w:rFonts w:ascii="Times New Roman" w:hAnsi="Times New Roman" w:cs="Times New Roman"/>
          <w:sz w:val="24"/>
          <w:szCs w:val="24"/>
        </w:rPr>
      </w:pPr>
    </w:p>
    <w:p w14:paraId="25DB64C4" w14:textId="6A7B87FC" w:rsidR="000F7EE5"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Appendix-</w:t>
      </w:r>
    </w:p>
    <w:p w14:paraId="12D2AA7E" w14:textId="458EE98F" w:rsidR="00176E2F" w:rsidRDefault="00176E2F"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13F78">
        <w:rPr>
          <w:rFonts w:ascii="Times New Roman" w:hAnsi="Times New Roman" w:cs="Times New Roman"/>
          <w:b/>
          <w:bCs/>
          <w:sz w:val="24"/>
          <w:szCs w:val="24"/>
        </w:rPr>
        <w:t>1</w:t>
      </w:r>
      <w:r>
        <w:rPr>
          <w:rFonts w:ascii="Times New Roman" w:hAnsi="Times New Roman" w:cs="Times New Roman"/>
          <w:b/>
          <w:bCs/>
          <w:sz w:val="24"/>
          <w:szCs w:val="24"/>
        </w:rPr>
        <w:t xml:space="preserve">- </w:t>
      </w:r>
      <w:r w:rsidRPr="00176E2F">
        <w:rPr>
          <w:rFonts w:ascii="Times New Roman" w:hAnsi="Times New Roman" w:cs="Times New Roman"/>
          <w:b/>
          <w:bCs/>
          <w:sz w:val="24"/>
          <w:szCs w:val="24"/>
        </w:rPr>
        <w:t>Descriptive Statistics of the variables</w:t>
      </w:r>
    </w:p>
    <w:tbl>
      <w:tblPr>
        <w:tblStyle w:val="TableGrid"/>
        <w:tblW w:w="0" w:type="auto"/>
        <w:tblLook w:val="04A0" w:firstRow="1" w:lastRow="0" w:firstColumn="1" w:lastColumn="0" w:noHBand="0" w:noVBand="1"/>
      </w:tblPr>
      <w:tblGrid>
        <w:gridCol w:w="3005"/>
        <w:gridCol w:w="3005"/>
        <w:gridCol w:w="3006"/>
      </w:tblGrid>
      <w:tr w:rsidR="00176E2F" w14:paraId="3BFAE8D4" w14:textId="77777777" w:rsidTr="00102976">
        <w:tc>
          <w:tcPr>
            <w:tcW w:w="3005" w:type="dxa"/>
          </w:tcPr>
          <w:p w14:paraId="48CA877A"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Variable</w:t>
            </w:r>
          </w:p>
        </w:tc>
        <w:tc>
          <w:tcPr>
            <w:tcW w:w="3005" w:type="dxa"/>
          </w:tcPr>
          <w:p w14:paraId="1CBC27D8"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Mean</w:t>
            </w:r>
          </w:p>
        </w:tc>
        <w:tc>
          <w:tcPr>
            <w:tcW w:w="3006" w:type="dxa"/>
          </w:tcPr>
          <w:p w14:paraId="795138BF" w14:textId="77777777" w:rsidR="00176E2F" w:rsidRPr="00E41FAC" w:rsidRDefault="00176E2F" w:rsidP="000364B7">
            <w:pPr>
              <w:spacing w:line="480" w:lineRule="auto"/>
              <w:jc w:val="both"/>
              <w:rPr>
                <w:rFonts w:ascii="Times New Roman" w:hAnsi="Times New Roman" w:cs="Times New Roman"/>
                <w:sz w:val="24"/>
                <w:szCs w:val="24"/>
              </w:rPr>
            </w:pPr>
            <w:proofErr w:type="spellStart"/>
            <w:r w:rsidRPr="00E41FAC">
              <w:rPr>
                <w:rFonts w:ascii="Times New Roman" w:hAnsi="Times New Roman" w:cs="Times New Roman"/>
                <w:sz w:val="24"/>
                <w:szCs w:val="24"/>
              </w:rPr>
              <w:t>St.Dev</w:t>
            </w:r>
            <w:proofErr w:type="spellEnd"/>
            <w:r w:rsidRPr="00E41FAC">
              <w:rPr>
                <w:rFonts w:ascii="Times New Roman" w:hAnsi="Times New Roman" w:cs="Times New Roman"/>
                <w:sz w:val="24"/>
                <w:szCs w:val="24"/>
              </w:rPr>
              <w:t>.</w:t>
            </w:r>
          </w:p>
        </w:tc>
      </w:tr>
      <w:tr w:rsidR="00176E2F" w14:paraId="650916B0" w14:textId="77777777" w:rsidTr="00102976">
        <w:tc>
          <w:tcPr>
            <w:tcW w:w="3005" w:type="dxa"/>
          </w:tcPr>
          <w:p w14:paraId="23C2E728"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E41FAC">
              <w:rPr>
                <w:rFonts w:ascii="Times New Roman" w:hAnsi="Times New Roman" w:cs="Times New Roman"/>
                <w:sz w:val="24"/>
                <w:szCs w:val="24"/>
              </w:rPr>
              <w:t>redit</w:t>
            </w:r>
            <w:r>
              <w:rPr>
                <w:rFonts w:ascii="Times New Roman" w:hAnsi="Times New Roman" w:cs="Times New Roman"/>
                <w:sz w:val="24"/>
                <w:szCs w:val="24"/>
              </w:rPr>
              <w:t xml:space="preserve"> (Rs Crore)</w:t>
            </w:r>
          </w:p>
        </w:tc>
        <w:tc>
          <w:tcPr>
            <w:tcW w:w="3005" w:type="dxa"/>
          </w:tcPr>
          <w:p w14:paraId="072AB0B8"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2109.94</w:t>
            </w:r>
          </w:p>
        </w:tc>
        <w:tc>
          <w:tcPr>
            <w:tcW w:w="3006" w:type="dxa"/>
          </w:tcPr>
          <w:p w14:paraId="0BCA2564"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3176.415</w:t>
            </w:r>
          </w:p>
        </w:tc>
      </w:tr>
      <w:tr w:rsidR="00176E2F" w14:paraId="1AE96611" w14:textId="77777777" w:rsidTr="00102976">
        <w:tc>
          <w:tcPr>
            <w:tcW w:w="3005" w:type="dxa"/>
          </w:tcPr>
          <w:p w14:paraId="28B841F8"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GER</w:t>
            </w:r>
          </w:p>
        </w:tc>
        <w:tc>
          <w:tcPr>
            <w:tcW w:w="3005" w:type="dxa"/>
          </w:tcPr>
          <w:p w14:paraId="3FC78D60"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1.44</w:t>
            </w:r>
          </w:p>
        </w:tc>
        <w:tc>
          <w:tcPr>
            <w:tcW w:w="3006" w:type="dxa"/>
          </w:tcPr>
          <w:p w14:paraId="65878440"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0.453</w:t>
            </w:r>
          </w:p>
        </w:tc>
      </w:tr>
      <w:tr w:rsidR="00176E2F" w14:paraId="2D170746" w14:textId="77777777" w:rsidTr="00102976">
        <w:tc>
          <w:tcPr>
            <w:tcW w:w="3005" w:type="dxa"/>
          </w:tcPr>
          <w:p w14:paraId="06FD535A"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GSDP</w:t>
            </w:r>
          </w:p>
        </w:tc>
        <w:tc>
          <w:tcPr>
            <w:tcW w:w="3005" w:type="dxa"/>
          </w:tcPr>
          <w:p w14:paraId="3F734783"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4.01e+07</w:t>
            </w:r>
          </w:p>
        </w:tc>
        <w:tc>
          <w:tcPr>
            <w:tcW w:w="3006" w:type="dxa"/>
          </w:tcPr>
          <w:p w14:paraId="448B3FAF"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4.18e+07</w:t>
            </w:r>
          </w:p>
        </w:tc>
      </w:tr>
      <w:tr w:rsidR="00176E2F" w14:paraId="72D56B42" w14:textId="77777777" w:rsidTr="00102976">
        <w:tc>
          <w:tcPr>
            <w:tcW w:w="3005" w:type="dxa"/>
          </w:tcPr>
          <w:p w14:paraId="677ED514"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Bank B</w:t>
            </w:r>
            <w:r w:rsidRPr="00E41FAC">
              <w:rPr>
                <w:rFonts w:ascii="Times New Roman" w:hAnsi="Times New Roman" w:cs="Times New Roman"/>
                <w:sz w:val="24"/>
                <w:szCs w:val="24"/>
              </w:rPr>
              <w:t>ranch</w:t>
            </w:r>
          </w:p>
        </w:tc>
        <w:tc>
          <w:tcPr>
            <w:tcW w:w="3005" w:type="dxa"/>
          </w:tcPr>
          <w:p w14:paraId="07C15981"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4378.253</w:t>
            </w:r>
          </w:p>
        </w:tc>
        <w:tc>
          <w:tcPr>
            <w:tcW w:w="3006" w:type="dxa"/>
          </w:tcPr>
          <w:p w14:paraId="1F93594C"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4148.944</w:t>
            </w:r>
          </w:p>
        </w:tc>
      </w:tr>
      <w:tr w:rsidR="00176E2F" w14:paraId="022B9AF5" w14:textId="77777777" w:rsidTr="00102976">
        <w:tc>
          <w:tcPr>
            <w:tcW w:w="3005" w:type="dxa"/>
          </w:tcPr>
          <w:p w14:paraId="0080BB17"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Pr="00E41FAC">
              <w:rPr>
                <w:rFonts w:ascii="Times New Roman" w:hAnsi="Times New Roman" w:cs="Times New Roman"/>
                <w:sz w:val="24"/>
                <w:szCs w:val="24"/>
              </w:rPr>
              <w:t xml:space="preserve">ducational </w:t>
            </w:r>
            <w:r>
              <w:rPr>
                <w:rFonts w:ascii="Times New Roman" w:hAnsi="Times New Roman" w:cs="Times New Roman"/>
                <w:sz w:val="24"/>
                <w:szCs w:val="24"/>
              </w:rPr>
              <w:t>I</w:t>
            </w:r>
            <w:r w:rsidRPr="00E41FAC">
              <w:rPr>
                <w:rFonts w:ascii="Times New Roman" w:hAnsi="Times New Roman" w:cs="Times New Roman"/>
                <w:sz w:val="24"/>
                <w:szCs w:val="24"/>
              </w:rPr>
              <w:t>nstitutions</w:t>
            </w:r>
          </w:p>
        </w:tc>
        <w:tc>
          <w:tcPr>
            <w:tcW w:w="3005" w:type="dxa"/>
          </w:tcPr>
          <w:p w14:paraId="65961B6C"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29.88</w:t>
            </w:r>
          </w:p>
        </w:tc>
        <w:tc>
          <w:tcPr>
            <w:tcW w:w="3006" w:type="dxa"/>
          </w:tcPr>
          <w:p w14:paraId="4AA6F5AC"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22.76</w:t>
            </w:r>
          </w:p>
        </w:tc>
      </w:tr>
    </w:tbl>
    <w:p w14:paraId="29F0CD62" w14:textId="77777777" w:rsidR="00176E2F" w:rsidRDefault="00176E2F" w:rsidP="000364B7">
      <w:pPr>
        <w:spacing w:line="480" w:lineRule="auto"/>
        <w:jc w:val="both"/>
        <w:rPr>
          <w:rFonts w:ascii="Times New Roman" w:hAnsi="Times New Roman" w:cs="Times New Roman"/>
          <w:b/>
          <w:bCs/>
          <w:sz w:val="24"/>
          <w:szCs w:val="24"/>
        </w:rPr>
      </w:pPr>
      <w:r w:rsidRPr="00176E2F">
        <w:rPr>
          <w:rFonts w:ascii="Times New Roman" w:hAnsi="Times New Roman" w:cs="Times New Roman"/>
          <w:b/>
          <w:bCs/>
          <w:sz w:val="24"/>
          <w:szCs w:val="24"/>
        </w:rPr>
        <w:t>Source: Authors estimation, 2024.</w:t>
      </w:r>
    </w:p>
    <w:p w14:paraId="6EA1B047" w14:textId="77777777" w:rsidR="00CC5C2E" w:rsidRDefault="00CC5C2E" w:rsidP="00CC5C2E">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2832DB">
        <w:rPr>
          <w:rFonts w:ascii="Times New Roman" w:hAnsi="Times New Roman" w:cs="Times New Roman"/>
          <w:b/>
          <w:bCs/>
          <w:sz w:val="24"/>
          <w:szCs w:val="24"/>
        </w:rPr>
        <w:t>- Factors affecting credit to educational sector</w:t>
      </w:r>
    </w:p>
    <w:tbl>
      <w:tblPr>
        <w:tblStyle w:val="PlainTable1"/>
        <w:tblW w:w="9576" w:type="dxa"/>
        <w:tblLook w:val="04A0" w:firstRow="1" w:lastRow="0" w:firstColumn="1" w:lastColumn="0" w:noHBand="0" w:noVBand="1"/>
      </w:tblPr>
      <w:tblGrid>
        <w:gridCol w:w="1802"/>
        <w:gridCol w:w="944"/>
        <w:gridCol w:w="944"/>
        <w:gridCol w:w="1053"/>
        <w:gridCol w:w="945"/>
        <w:gridCol w:w="1053"/>
        <w:gridCol w:w="945"/>
        <w:gridCol w:w="945"/>
        <w:gridCol w:w="945"/>
      </w:tblGrid>
      <w:tr w:rsidR="006513B7" w:rsidRPr="006513B7" w14:paraId="1FA0F3A6" w14:textId="77777777" w:rsidTr="00CC5C2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37E7A7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State</w:t>
            </w:r>
          </w:p>
        </w:tc>
        <w:tc>
          <w:tcPr>
            <w:tcW w:w="944" w:type="dxa"/>
            <w:noWrap/>
            <w:hideMark/>
          </w:tcPr>
          <w:p w14:paraId="062E4C08"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id</w:t>
            </w:r>
          </w:p>
        </w:tc>
        <w:tc>
          <w:tcPr>
            <w:tcW w:w="944" w:type="dxa"/>
            <w:noWrap/>
            <w:hideMark/>
          </w:tcPr>
          <w:p w14:paraId="392785FB"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year</w:t>
            </w:r>
          </w:p>
        </w:tc>
        <w:tc>
          <w:tcPr>
            <w:tcW w:w="1053" w:type="dxa"/>
            <w:noWrap/>
            <w:hideMark/>
          </w:tcPr>
          <w:p w14:paraId="3C4BB511"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Credit (Rs Crore)</w:t>
            </w:r>
          </w:p>
        </w:tc>
        <w:tc>
          <w:tcPr>
            <w:tcW w:w="945" w:type="dxa"/>
            <w:noWrap/>
            <w:hideMark/>
          </w:tcPr>
          <w:p w14:paraId="3F6E2092"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GER</w:t>
            </w:r>
          </w:p>
        </w:tc>
        <w:tc>
          <w:tcPr>
            <w:tcW w:w="1053" w:type="dxa"/>
            <w:noWrap/>
            <w:hideMark/>
          </w:tcPr>
          <w:p w14:paraId="7EE4613E"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GSDP (Crore)</w:t>
            </w:r>
          </w:p>
        </w:tc>
        <w:tc>
          <w:tcPr>
            <w:tcW w:w="945" w:type="dxa"/>
            <w:noWrap/>
            <w:hideMark/>
          </w:tcPr>
          <w:p w14:paraId="1A73906C"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branch</w:t>
            </w:r>
          </w:p>
        </w:tc>
        <w:tc>
          <w:tcPr>
            <w:tcW w:w="945" w:type="dxa"/>
            <w:noWrap/>
            <w:hideMark/>
          </w:tcPr>
          <w:p w14:paraId="5E782D50"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6513B7">
              <w:rPr>
                <w:rFonts w:ascii="Calibri" w:eastAsia="Times New Roman" w:hAnsi="Calibri" w:cs="Calibri"/>
                <w:color w:val="000000"/>
                <w:kern w:val="0"/>
                <w:lang w:eastAsia="en-IN"/>
                <w14:ligatures w14:val="none"/>
              </w:rPr>
              <w:t>edu.ins</w:t>
            </w:r>
            <w:proofErr w:type="spellEnd"/>
          </w:p>
        </w:tc>
        <w:tc>
          <w:tcPr>
            <w:tcW w:w="945" w:type="dxa"/>
            <w:noWrap/>
            <w:hideMark/>
          </w:tcPr>
          <w:p w14:paraId="436F4B1A" w14:textId="77777777" w:rsidR="006513B7" w:rsidRPr="006513B7" w:rsidRDefault="006513B7" w:rsidP="006513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GER</w:t>
            </w:r>
          </w:p>
        </w:tc>
      </w:tr>
      <w:tr w:rsidR="006513B7" w:rsidRPr="006513B7" w14:paraId="23152C84"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CAFDA8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Andhra Pradesh</w:t>
            </w:r>
          </w:p>
        </w:tc>
        <w:tc>
          <w:tcPr>
            <w:tcW w:w="944" w:type="dxa"/>
            <w:noWrap/>
            <w:hideMark/>
          </w:tcPr>
          <w:p w14:paraId="01605CB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w:t>
            </w:r>
          </w:p>
        </w:tc>
        <w:tc>
          <w:tcPr>
            <w:tcW w:w="944" w:type="dxa"/>
            <w:noWrap/>
            <w:hideMark/>
          </w:tcPr>
          <w:p w14:paraId="68D1BE4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517EB0C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3461.2</w:t>
            </w:r>
          </w:p>
        </w:tc>
        <w:tc>
          <w:tcPr>
            <w:tcW w:w="945" w:type="dxa"/>
            <w:noWrap/>
            <w:hideMark/>
          </w:tcPr>
          <w:p w14:paraId="0450533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c>
          <w:tcPr>
            <w:tcW w:w="1053" w:type="dxa"/>
            <w:noWrap/>
            <w:hideMark/>
          </w:tcPr>
          <w:p w14:paraId="1895B3D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498606.3</w:t>
            </w:r>
          </w:p>
        </w:tc>
        <w:tc>
          <w:tcPr>
            <w:tcW w:w="945" w:type="dxa"/>
            <w:noWrap/>
            <w:hideMark/>
          </w:tcPr>
          <w:p w14:paraId="4221C5F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6567</w:t>
            </w:r>
          </w:p>
        </w:tc>
        <w:tc>
          <w:tcPr>
            <w:tcW w:w="945" w:type="dxa"/>
            <w:noWrap/>
            <w:hideMark/>
          </w:tcPr>
          <w:p w14:paraId="24B402F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w:t>
            </w:r>
          </w:p>
        </w:tc>
        <w:tc>
          <w:tcPr>
            <w:tcW w:w="945" w:type="dxa"/>
            <w:noWrap/>
            <w:hideMark/>
          </w:tcPr>
          <w:p w14:paraId="28E2E26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r>
      <w:tr w:rsidR="006513B7" w:rsidRPr="006513B7" w14:paraId="6003B823"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E59914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Arunachal Pradesh</w:t>
            </w:r>
          </w:p>
        </w:tc>
        <w:tc>
          <w:tcPr>
            <w:tcW w:w="944" w:type="dxa"/>
            <w:noWrap/>
            <w:hideMark/>
          </w:tcPr>
          <w:p w14:paraId="4D273C0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w:t>
            </w:r>
          </w:p>
        </w:tc>
        <w:tc>
          <w:tcPr>
            <w:tcW w:w="944" w:type="dxa"/>
            <w:noWrap/>
            <w:hideMark/>
          </w:tcPr>
          <w:p w14:paraId="75363C9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3CBF769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14.68</w:t>
            </w:r>
          </w:p>
        </w:tc>
        <w:tc>
          <w:tcPr>
            <w:tcW w:w="945" w:type="dxa"/>
            <w:noWrap/>
            <w:hideMark/>
          </w:tcPr>
          <w:p w14:paraId="1834B9D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28.9</w:t>
            </w:r>
          </w:p>
        </w:tc>
        <w:tc>
          <w:tcPr>
            <w:tcW w:w="1053" w:type="dxa"/>
            <w:noWrap/>
            <w:hideMark/>
          </w:tcPr>
          <w:p w14:paraId="39CA888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14240.46</w:t>
            </w:r>
          </w:p>
        </w:tc>
        <w:tc>
          <w:tcPr>
            <w:tcW w:w="945" w:type="dxa"/>
            <w:noWrap/>
            <w:hideMark/>
          </w:tcPr>
          <w:p w14:paraId="29E3B26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143</w:t>
            </w:r>
          </w:p>
        </w:tc>
        <w:tc>
          <w:tcPr>
            <w:tcW w:w="945" w:type="dxa"/>
            <w:noWrap/>
            <w:hideMark/>
          </w:tcPr>
          <w:p w14:paraId="1F40D93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5" w:type="dxa"/>
            <w:noWrap/>
            <w:hideMark/>
          </w:tcPr>
          <w:p w14:paraId="15D9CFC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28.9</w:t>
            </w:r>
          </w:p>
        </w:tc>
      </w:tr>
      <w:tr w:rsidR="006513B7" w:rsidRPr="006513B7" w14:paraId="4BF444AD"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9BC0A2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Assam</w:t>
            </w:r>
          </w:p>
        </w:tc>
        <w:tc>
          <w:tcPr>
            <w:tcW w:w="944" w:type="dxa"/>
            <w:noWrap/>
            <w:hideMark/>
          </w:tcPr>
          <w:p w14:paraId="0DDF5D0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4" w:type="dxa"/>
            <w:noWrap/>
            <w:hideMark/>
          </w:tcPr>
          <w:p w14:paraId="4D00B8F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2FC503B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432.71</w:t>
            </w:r>
          </w:p>
        </w:tc>
        <w:tc>
          <w:tcPr>
            <w:tcW w:w="945" w:type="dxa"/>
            <w:noWrap/>
            <w:hideMark/>
          </w:tcPr>
          <w:p w14:paraId="342C8CD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17.2</w:t>
            </w:r>
          </w:p>
        </w:tc>
        <w:tc>
          <w:tcPr>
            <w:tcW w:w="1053" w:type="dxa"/>
            <w:noWrap/>
            <w:hideMark/>
          </w:tcPr>
          <w:p w14:paraId="2C23527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191109</w:t>
            </w:r>
          </w:p>
        </w:tc>
        <w:tc>
          <w:tcPr>
            <w:tcW w:w="945" w:type="dxa"/>
            <w:noWrap/>
            <w:hideMark/>
          </w:tcPr>
          <w:p w14:paraId="621F9AE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2209</w:t>
            </w:r>
          </w:p>
        </w:tc>
        <w:tc>
          <w:tcPr>
            <w:tcW w:w="945" w:type="dxa"/>
            <w:noWrap/>
            <w:hideMark/>
          </w:tcPr>
          <w:p w14:paraId="7187BEC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5" w:type="dxa"/>
            <w:noWrap/>
            <w:hideMark/>
          </w:tcPr>
          <w:p w14:paraId="7FADDC9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17.2</w:t>
            </w:r>
          </w:p>
        </w:tc>
      </w:tr>
      <w:tr w:rsidR="006513B7" w:rsidRPr="006513B7" w14:paraId="52ED13AF"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4FB871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Bihar</w:t>
            </w:r>
          </w:p>
        </w:tc>
        <w:tc>
          <w:tcPr>
            <w:tcW w:w="944" w:type="dxa"/>
            <w:noWrap/>
            <w:hideMark/>
          </w:tcPr>
          <w:p w14:paraId="707BAE2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4" w:type="dxa"/>
            <w:noWrap/>
            <w:hideMark/>
          </w:tcPr>
          <w:p w14:paraId="53D47AE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197C22C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3086.26</w:t>
            </w:r>
          </w:p>
        </w:tc>
        <w:tc>
          <w:tcPr>
            <w:tcW w:w="945" w:type="dxa"/>
            <w:noWrap/>
            <w:hideMark/>
          </w:tcPr>
          <w:p w14:paraId="4A4ECF8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14.4</w:t>
            </w:r>
          </w:p>
        </w:tc>
        <w:tc>
          <w:tcPr>
            <w:tcW w:w="1053" w:type="dxa"/>
            <w:noWrap/>
            <w:hideMark/>
          </w:tcPr>
          <w:p w14:paraId="4C7B964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296488.2</w:t>
            </w:r>
          </w:p>
        </w:tc>
        <w:tc>
          <w:tcPr>
            <w:tcW w:w="945" w:type="dxa"/>
            <w:noWrap/>
            <w:hideMark/>
          </w:tcPr>
          <w:p w14:paraId="3C41ED4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6445</w:t>
            </w:r>
          </w:p>
        </w:tc>
        <w:tc>
          <w:tcPr>
            <w:tcW w:w="945" w:type="dxa"/>
            <w:noWrap/>
            <w:hideMark/>
          </w:tcPr>
          <w:p w14:paraId="4838867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5" w:type="dxa"/>
            <w:noWrap/>
            <w:hideMark/>
          </w:tcPr>
          <w:p w14:paraId="3B8AB27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14.4</w:t>
            </w:r>
          </w:p>
        </w:tc>
      </w:tr>
      <w:tr w:rsidR="006513B7" w:rsidRPr="006513B7" w14:paraId="6B8CA274"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C1910F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Chandigarh</w:t>
            </w:r>
          </w:p>
        </w:tc>
        <w:tc>
          <w:tcPr>
            <w:tcW w:w="944" w:type="dxa"/>
            <w:noWrap/>
            <w:hideMark/>
          </w:tcPr>
          <w:p w14:paraId="18ACBF4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4" w:type="dxa"/>
            <w:noWrap/>
            <w:hideMark/>
          </w:tcPr>
          <w:p w14:paraId="3631ED4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34681C9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437.51</w:t>
            </w:r>
          </w:p>
        </w:tc>
        <w:tc>
          <w:tcPr>
            <w:tcW w:w="945" w:type="dxa"/>
            <w:noWrap/>
            <w:hideMark/>
          </w:tcPr>
          <w:p w14:paraId="191D093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56.1</w:t>
            </w:r>
          </w:p>
        </w:tc>
        <w:tc>
          <w:tcPr>
            <w:tcW w:w="1053" w:type="dxa"/>
            <w:noWrap/>
            <w:hideMark/>
          </w:tcPr>
          <w:p w14:paraId="09F69C2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24932.24</w:t>
            </w:r>
          </w:p>
        </w:tc>
        <w:tc>
          <w:tcPr>
            <w:tcW w:w="945" w:type="dxa"/>
            <w:noWrap/>
            <w:hideMark/>
          </w:tcPr>
          <w:p w14:paraId="54D2627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433</w:t>
            </w:r>
          </w:p>
        </w:tc>
        <w:tc>
          <w:tcPr>
            <w:tcW w:w="945" w:type="dxa"/>
            <w:noWrap/>
            <w:hideMark/>
          </w:tcPr>
          <w:p w14:paraId="261802D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0232A26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56.1</w:t>
            </w:r>
          </w:p>
        </w:tc>
      </w:tr>
      <w:tr w:rsidR="006513B7" w:rsidRPr="006513B7" w14:paraId="0CCB514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D412AF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Chhattisgarh</w:t>
            </w:r>
          </w:p>
        </w:tc>
        <w:tc>
          <w:tcPr>
            <w:tcW w:w="944" w:type="dxa"/>
            <w:noWrap/>
            <w:hideMark/>
          </w:tcPr>
          <w:p w14:paraId="181A02A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4" w:type="dxa"/>
            <w:noWrap/>
            <w:hideMark/>
          </w:tcPr>
          <w:p w14:paraId="38E467A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2D6876B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155.29</w:t>
            </w:r>
          </w:p>
        </w:tc>
        <w:tc>
          <w:tcPr>
            <w:tcW w:w="945" w:type="dxa"/>
            <w:noWrap/>
            <w:hideMark/>
          </w:tcPr>
          <w:p w14:paraId="1B9EFB3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16.1</w:t>
            </w:r>
          </w:p>
        </w:tc>
        <w:tc>
          <w:tcPr>
            <w:tcW w:w="1053" w:type="dxa"/>
            <w:noWrap/>
            <w:hideMark/>
          </w:tcPr>
          <w:p w14:paraId="3D17167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190583.8</w:t>
            </w:r>
          </w:p>
        </w:tc>
        <w:tc>
          <w:tcPr>
            <w:tcW w:w="945" w:type="dxa"/>
            <w:noWrap/>
            <w:hideMark/>
          </w:tcPr>
          <w:p w14:paraId="39C5854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2346</w:t>
            </w:r>
          </w:p>
        </w:tc>
        <w:tc>
          <w:tcPr>
            <w:tcW w:w="945" w:type="dxa"/>
            <w:noWrap/>
            <w:hideMark/>
          </w:tcPr>
          <w:p w14:paraId="699701E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5" w:type="dxa"/>
            <w:noWrap/>
            <w:hideMark/>
          </w:tcPr>
          <w:p w14:paraId="6130161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16.1</w:t>
            </w:r>
          </w:p>
        </w:tc>
      </w:tr>
      <w:tr w:rsidR="006513B7" w:rsidRPr="006513B7" w14:paraId="6D49DDDD"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EFA1F7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Delhi</w:t>
            </w:r>
          </w:p>
        </w:tc>
        <w:tc>
          <w:tcPr>
            <w:tcW w:w="944" w:type="dxa"/>
            <w:noWrap/>
            <w:hideMark/>
          </w:tcPr>
          <w:p w14:paraId="0C959F5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w:t>
            </w:r>
          </w:p>
        </w:tc>
        <w:tc>
          <w:tcPr>
            <w:tcW w:w="944" w:type="dxa"/>
            <w:noWrap/>
            <w:hideMark/>
          </w:tcPr>
          <w:p w14:paraId="630EFD0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510F1F9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1061.38</w:t>
            </w:r>
          </w:p>
        </w:tc>
        <w:tc>
          <w:tcPr>
            <w:tcW w:w="945" w:type="dxa"/>
            <w:noWrap/>
            <w:hideMark/>
          </w:tcPr>
          <w:p w14:paraId="4C3B8FF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45.3</w:t>
            </w:r>
          </w:p>
        </w:tc>
        <w:tc>
          <w:tcPr>
            <w:tcW w:w="1053" w:type="dxa"/>
            <w:noWrap/>
            <w:hideMark/>
          </w:tcPr>
          <w:p w14:paraId="240FB63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475622.5</w:t>
            </w:r>
          </w:p>
        </w:tc>
        <w:tc>
          <w:tcPr>
            <w:tcW w:w="945" w:type="dxa"/>
            <w:noWrap/>
            <w:hideMark/>
          </w:tcPr>
          <w:p w14:paraId="09CE965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3511</w:t>
            </w:r>
          </w:p>
        </w:tc>
        <w:tc>
          <w:tcPr>
            <w:tcW w:w="945" w:type="dxa"/>
            <w:noWrap/>
            <w:hideMark/>
          </w:tcPr>
          <w:p w14:paraId="5569E46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5" w:type="dxa"/>
            <w:noWrap/>
            <w:hideMark/>
          </w:tcPr>
          <w:p w14:paraId="5A6B9BE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45.3</w:t>
            </w:r>
          </w:p>
        </w:tc>
      </w:tr>
      <w:tr w:rsidR="006513B7" w:rsidRPr="006513B7" w14:paraId="73D9F81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5D1506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Goa</w:t>
            </w:r>
          </w:p>
        </w:tc>
        <w:tc>
          <w:tcPr>
            <w:tcW w:w="944" w:type="dxa"/>
            <w:noWrap/>
            <w:hideMark/>
          </w:tcPr>
          <w:p w14:paraId="0A069FF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w:t>
            </w:r>
          </w:p>
        </w:tc>
        <w:tc>
          <w:tcPr>
            <w:tcW w:w="944" w:type="dxa"/>
            <w:noWrap/>
            <w:hideMark/>
          </w:tcPr>
          <w:p w14:paraId="3B34909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6A9AD47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100.95</w:t>
            </w:r>
          </w:p>
        </w:tc>
        <w:tc>
          <w:tcPr>
            <w:tcW w:w="945" w:type="dxa"/>
            <w:noWrap/>
            <w:hideMark/>
          </w:tcPr>
          <w:p w14:paraId="50D6494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28.1</w:t>
            </w:r>
          </w:p>
        </w:tc>
        <w:tc>
          <w:tcPr>
            <w:tcW w:w="1053" w:type="dxa"/>
            <w:noWrap/>
            <w:hideMark/>
          </w:tcPr>
          <w:p w14:paraId="47C6E7E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46090.86</w:t>
            </w:r>
          </w:p>
        </w:tc>
        <w:tc>
          <w:tcPr>
            <w:tcW w:w="945" w:type="dxa"/>
            <w:noWrap/>
            <w:hideMark/>
          </w:tcPr>
          <w:p w14:paraId="34BBC6C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670</w:t>
            </w:r>
          </w:p>
        </w:tc>
        <w:tc>
          <w:tcPr>
            <w:tcW w:w="945" w:type="dxa"/>
            <w:noWrap/>
            <w:hideMark/>
          </w:tcPr>
          <w:p w14:paraId="22C5F18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w:t>
            </w:r>
          </w:p>
        </w:tc>
        <w:tc>
          <w:tcPr>
            <w:tcW w:w="945" w:type="dxa"/>
            <w:noWrap/>
            <w:hideMark/>
          </w:tcPr>
          <w:p w14:paraId="1ECE853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28.1</w:t>
            </w:r>
          </w:p>
        </w:tc>
      </w:tr>
      <w:tr w:rsidR="006513B7" w:rsidRPr="006513B7" w14:paraId="12392E50"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C0F1AB1"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Gujarat</w:t>
            </w:r>
          </w:p>
        </w:tc>
        <w:tc>
          <w:tcPr>
            <w:tcW w:w="944" w:type="dxa"/>
            <w:noWrap/>
            <w:hideMark/>
          </w:tcPr>
          <w:p w14:paraId="3A7FC2D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4" w:type="dxa"/>
            <w:noWrap/>
            <w:hideMark/>
          </w:tcPr>
          <w:p w14:paraId="52631B2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3F14BD7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1368.6</w:t>
            </w:r>
          </w:p>
        </w:tc>
        <w:tc>
          <w:tcPr>
            <w:tcW w:w="945" w:type="dxa"/>
            <w:noWrap/>
            <w:hideMark/>
          </w:tcPr>
          <w:p w14:paraId="19B48CF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w:t>
            </w:r>
          </w:p>
        </w:tc>
        <w:tc>
          <w:tcPr>
            <w:tcW w:w="1053" w:type="dxa"/>
            <w:noWrap/>
            <w:hideMark/>
          </w:tcPr>
          <w:p w14:paraId="3E8FBAD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894465.3</w:t>
            </w:r>
          </w:p>
        </w:tc>
        <w:tc>
          <w:tcPr>
            <w:tcW w:w="945" w:type="dxa"/>
            <w:noWrap/>
            <w:hideMark/>
          </w:tcPr>
          <w:p w14:paraId="2AFE9F6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7432</w:t>
            </w:r>
          </w:p>
        </w:tc>
        <w:tc>
          <w:tcPr>
            <w:tcW w:w="945" w:type="dxa"/>
            <w:noWrap/>
            <w:hideMark/>
          </w:tcPr>
          <w:p w14:paraId="0536AE4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62</w:t>
            </w:r>
          </w:p>
        </w:tc>
        <w:tc>
          <w:tcPr>
            <w:tcW w:w="945" w:type="dxa"/>
            <w:noWrap/>
            <w:hideMark/>
          </w:tcPr>
          <w:p w14:paraId="1DC7BA0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w:t>
            </w:r>
          </w:p>
        </w:tc>
      </w:tr>
      <w:tr w:rsidR="006513B7" w:rsidRPr="006513B7" w14:paraId="4341DBF2"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6B25F4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Haryana</w:t>
            </w:r>
          </w:p>
        </w:tc>
        <w:tc>
          <w:tcPr>
            <w:tcW w:w="944" w:type="dxa"/>
            <w:noWrap/>
            <w:hideMark/>
          </w:tcPr>
          <w:p w14:paraId="73FDBA5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4" w:type="dxa"/>
            <w:noWrap/>
            <w:hideMark/>
          </w:tcPr>
          <w:p w14:paraId="67E2D1D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0398A8A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991.62</w:t>
            </w:r>
          </w:p>
        </w:tc>
        <w:tc>
          <w:tcPr>
            <w:tcW w:w="945" w:type="dxa"/>
            <w:noWrap/>
            <w:hideMark/>
          </w:tcPr>
          <w:p w14:paraId="1289F09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1053" w:type="dxa"/>
            <w:noWrap/>
            <w:hideMark/>
          </w:tcPr>
          <w:p w14:paraId="50DEE0D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413404.8</w:t>
            </w:r>
          </w:p>
        </w:tc>
        <w:tc>
          <w:tcPr>
            <w:tcW w:w="945" w:type="dxa"/>
            <w:noWrap/>
            <w:hideMark/>
          </w:tcPr>
          <w:p w14:paraId="11645CB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4567</w:t>
            </w:r>
          </w:p>
        </w:tc>
        <w:tc>
          <w:tcPr>
            <w:tcW w:w="945" w:type="dxa"/>
            <w:noWrap/>
            <w:hideMark/>
          </w:tcPr>
          <w:p w14:paraId="5246A72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w:t>
            </w:r>
          </w:p>
        </w:tc>
        <w:tc>
          <w:tcPr>
            <w:tcW w:w="945" w:type="dxa"/>
            <w:noWrap/>
            <w:hideMark/>
          </w:tcPr>
          <w:p w14:paraId="7B889ED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r>
      <w:tr w:rsidR="006513B7" w:rsidRPr="006513B7" w14:paraId="14B320DC"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09F9DE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Himachal Pradesh</w:t>
            </w:r>
          </w:p>
        </w:tc>
        <w:tc>
          <w:tcPr>
            <w:tcW w:w="944" w:type="dxa"/>
            <w:noWrap/>
            <w:hideMark/>
          </w:tcPr>
          <w:p w14:paraId="167A136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w:t>
            </w:r>
          </w:p>
        </w:tc>
        <w:tc>
          <w:tcPr>
            <w:tcW w:w="944" w:type="dxa"/>
            <w:noWrap/>
            <w:hideMark/>
          </w:tcPr>
          <w:p w14:paraId="6446C70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0A4F5B3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341</w:t>
            </w:r>
          </w:p>
        </w:tc>
        <w:tc>
          <w:tcPr>
            <w:tcW w:w="945" w:type="dxa"/>
            <w:noWrap/>
            <w:hideMark/>
          </w:tcPr>
          <w:p w14:paraId="216B6C3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36.7</w:t>
            </w:r>
          </w:p>
        </w:tc>
        <w:tc>
          <w:tcPr>
            <w:tcW w:w="1053" w:type="dxa"/>
            <w:noWrap/>
            <w:hideMark/>
          </w:tcPr>
          <w:p w14:paraId="3122E03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96274.06</w:t>
            </w:r>
          </w:p>
        </w:tc>
        <w:tc>
          <w:tcPr>
            <w:tcW w:w="945" w:type="dxa"/>
            <w:noWrap/>
            <w:hideMark/>
          </w:tcPr>
          <w:p w14:paraId="2200188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1510</w:t>
            </w:r>
          </w:p>
        </w:tc>
        <w:tc>
          <w:tcPr>
            <w:tcW w:w="945" w:type="dxa"/>
            <w:noWrap/>
            <w:hideMark/>
          </w:tcPr>
          <w:p w14:paraId="78B9297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5" w:type="dxa"/>
            <w:noWrap/>
            <w:hideMark/>
          </w:tcPr>
          <w:p w14:paraId="727885D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36.7</w:t>
            </w:r>
          </w:p>
        </w:tc>
      </w:tr>
      <w:tr w:rsidR="006513B7" w:rsidRPr="006513B7" w14:paraId="620C3C0B"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70061B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Jammu and Kashmir</w:t>
            </w:r>
          </w:p>
        </w:tc>
        <w:tc>
          <w:tcPr>
            <w:tcW w:w="944" w:type="dxa"/>
            <w:noWrap/>
            <w:hideMark/>
          </w:tcPr>
          <w:p w14:paraId="24B1F33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w:t>
            </w:r>
          </w:p>
        </w:tc>
        <w:tc>
          <w:tcPr>
            <w:tcW w:w="944" w:type="dxa"/>
            <w:noWrap/>
            <w:hideMark/>
          </w:tcPr>
          <w:p w14:paraId="59CB516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67FDC10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273.54</w:t>
            </w:r>
          </w:p>
        </w:tc>
        <w:tc>
          <w:tcPr>
            <w:tcW w:w="945" w:type="dxa"/>
            <w:noWrap/>
            <w:hideMark/>
          </w:tcPr>
          <w:p w14:paraId="0CE29AE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25.6</w:t>
            </w:r>
          </w:p>
        </w:tc>
        <w:tc>
          <w:tcPr>
            <w:tcW w:w="1053" w:type="dxa"/>
            <w:noWrap/>
            <w:hideMark/>
          </w:tcPr>
          <w:p w14:paraId="6C5E8C8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97001.34</w:t>
            </w:r>
          </w:p>
        </w:tc>
        <w:tc>
          <w:tcPr>
            <w:tcW w:w="945" w:type="dxa"/>
            <w:noWrap/>
            <w:hideMark/>
          </w:tcPr>
          <w:p w14:paraId="0242F33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1706</w:t>
            </w:r>
          </w:p>
        </w:tc>
        <w:tc>
          <w:tcPr>
            <w:tcW w:w="945" w:type="dxa"/>
            <w:noWrap/>
            <w:hideMark/>
          </w:tcPr>
          <w:p w14:paraId="5D7A21E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w:t>
            </w:r>
          </w:p>
        </w:tc>
        <w:tc>
          <w:tcPr>
            <w:tcW w:w="945" w:type="dxa"/>
            <w:noWrap/>
            <w:hideMark/>
          </w:tcPr>
          <w:p w14:paraId="31749F3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25.6</w:t>
            </w:r>
          </w:p>
        </w:tc>
      </w:tr>
      <w:tr w:rsidR="006513B7" w:rsidRPr="006513B7" w14:paraId="3B76501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A686E0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lastRenderedPageBreak/>
              <w:t>Jharkhand</w:t>
            </w:r>
          </w:p>
        </w:tc>
        <w:tc>
          <w:tcPr>
            <w:tcW w:w="944" w:type="dxa"/>
            <w:noWrap/>
            <w:hideMark/>
          </w:tcPr>
          <w:p w14:paraId="6350E7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c>
          <w:tcPr>
            <w:tcW w:w="944" w:type="dxa"/>
            <w:noWrap/>
            <w:hideMark/>
          </w:tcPr>
          <w:p w14:paraId="31CBB40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6EC6C33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1439.43</w:t>
            </w:r>
          </w:p>
        </w:tc>
        <w:tc>
          <w:tcPr>
            <w:tcW w:w="945" w:type="dxa"/>
            <w:noWrap/>
            <w:hideMark/>
          </w:tcPr>
          <w:p w14:paraId="5A3CF2A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17.7</w:t>
            </w:r>
          </w:p>
        </w:tc>
        <w:tc>
          <w:tcPr>
            <w:tcW w:w="1053" w:type="dxa"/>
            <w:noWrap/>
            <w:hideMark/>
          </w:tcPr>
          <w:p w14:paraId="6F367F8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174881.2</w:t>
            </w:r>
          </w:p>
        </w:tc>
        <w:tc>
          <w:tcPr>
            <w:tcW w:w="945" w:type="dxa"/>
            <w:noWrap/>
            <w:hideMark/>
          </w:tcPr>
          <w:p w14:paraId="18C7767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2840</w:t>
            </w:r>
          </w:p>
        </w:tc>
        <w:tc>
          <w:tcPr>
            <w:tcW w:w="945" w:type="dxa"/>
            <w:noWrap/>
            <w:hideMark/>
          </w:tcPr>
          <w:p w14:paraId="3717DEF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945" w:type="dxa"/>
            <w:noWrap/>
            <w:hideMark/>
          </w:tcPr>
          <w:p w14:paraId="29D069C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17.7</w:t>
            </w:r>
          </w:p>
        </w:tc>
      </w:tr>
      <w:tr w:rsidR="006513B7" w:rsidRPr="006513B7" w14:paraId="56F9FEE8"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4EBF5B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Karnataka</w:t>
            </w:r>
          </w:p>
        </w:tc>
        <w:tc>
          <w:tcPr>
            <w:tcW w:w="944" w:type="dxa"/>
            <w:noWrap/>
            <w:hideMark/>
          </w:tcPr>
          <w:p w14:paraId="2B3E92D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w:t>
            </w:r>
          </w:p>
        </w:tc>
        <w:tc>
          <w:tcPr>
            <w:tcW w:w="944" w:type="dxa"/>
            <w:noWrap/>
            <w:hideMark/>
          </w:tcPr>
          <w:p w14:paraId="1A94641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49D1080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4610.26</w:t>
            </w:r>
          </w:p>
        </w:tc>
        <w:tc>
          <w:tcPr>
            <w:tcW w:w="945" w:type="dxa"/>
            <w:noWrap/>
            <w:hideMark/>
          </w:tcPr>
          <w:p w14:paraId="732E7C9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26.5</w:t>
            </w:r>
          </w:p>
        </w:tc>
        <w:tc>
          <w:tcPr>
            <w:tcW w:w="1053" w:type="dxa"/>
            <w:noWrap/>
            <w:hideMark/>
          </w:tcPr>
          <w:p w14:paraId="596E8A9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831329.9</w:t>
            </w:r>
          </w:p>
        </w:tc>
        <w:tc>
          <w:tcPr>
            <w:tcW w:w="945" w:type="dxa"/>
            <w:noWrap/>
            <w:hideMark/>
          </w:tcPr>
          <w:p w14:paraId="00C7A5B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9640</w:t>
            </w:r>
          </w:p>
        </w:tc>
        <w:tc>
          <w:tcPr>
            <w:tcW w:w="945" w:type="dxa"/>
            <w:noWrap/>
            <w:hideMark/>
          </w:tcPr>
          <w:p w14:paraId="062C1AD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55</w:t>
            </w:r>
          </w:p>
        </w:tc>
        <w:tc>
          <w:tcPr>
            <w:tcW w:w="945" w:type="dxa"/>
            <w:noWrap/>
            <w:hideMark/>
          </w:tcPr>
          <w:p w14:paraId="650DA18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26.5</w:t>
            </w:r>
          </w:p>
        </w:tc>
      </w:tr>
      <w:tr w:rsidR="006513B7" w:rsidRPr="006513B7" w14:paraId="02E5A753"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FB4DC7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Kerala</w:t>
            </w:r>
          </w:p>
        </w:tc>
        <w:tc>
          <w:tcPr>
            <w:tcW w:w="944" w:type="dxa"/>
            <w:noWrap/>
            <w:hideMark/>
          </w:tcPr>
          <w:p w14:paraId="687B181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4" w:type="dxa"/>
            <w:noWrap/>
            <w:hideMark/>
          </w:tcPr>
          <w:p w14:paraId="55595B5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6012F38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8385.58</w:t>
            </w:r>
          </w:p>
        </w:tc>
        <w:tc>
          <w:tcPr>
            <w:tcW w:w="945" w:type="dxa"/>
            <w:noWrap/>
            <w:hideMark/>
          </w:tcPr>
          <w:p w14:paraId="5215355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34.2</w:t>
            </w:r>
          </w:p>
        </w:tc>
        <w:tc>
          <w:tcPr>
            <w:tcW w:w="1053" w:type="dxa"/>
            <w:noWrap/>
            <w:hideMark/>
          </w:tcPr>
          <w:p w14:paraId="12AD414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451210</w:t>
            </w:r>
          </w:p>
        </w:tc>
        <w:tc>
          <w:tcPr>
            <w:tcW w:w="945" w:type="dxa"/>
            <w:noWrap/>
            <w:hideMark/>
          </w:tcPr>
          <w:p w14:paraId="1BACEF8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6299</w:t>
            </w:r>
          </w:p>
        </w:tc>
        <w:tc>
          <w:tcPr>
            <w:tcW w:w="945" w:type="dxa"/>
            <w:noWrap/>
            <w:hideMark/>
          </w:tcPr>
          <w:p w14:paraId="546D8EC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5" w:type="dxa"/>
            <w:noWrap/>
            <w:hideMark/>
          </w:tcPr>
          <w:p w14:paraId="0A0BD48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34.2</w:t>
            </w:r>
          </w:p>
        </w:tc>
      </w:tr>
      <w:tr w:rsidR="006513B7" w:rsidRPr="006513B7" w14:paraId="428038E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F50D1E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Madhya Pradesh</w:t>
            </w:r>
          </w:p>
        </w:tc>
        <w:tc>
          <w:tcPr>
            <w:tcW w:w="944" w:type="dxa"/>
            <w:noWrap/>
            <w:hideMark/>
          </w:tcPr>
          <w:p w14:paraId="1A92427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w:t>
            </w:r>
          </w:p>
        </w:tc>
        <w:tc>
          <w:tcPr>
            <w:tcW w:w="944" w:type="dxa"/>
            <w:noWrap/>
            <w:hideMark/>
          </w:tcPr>
          <w:p w14:paraId="780CF07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23724DF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1854.37</w:t>
            </w:r>
          </w:p>
        </w:tc>
        <w:tc>
          <w:tcPr>
            <w:tcW w:w="945" w:type="dxa"/>
            <w:noWrap/>
            <w:hideMark/>
          </w:tcPr>
          <w:p w14:paraId="7325C7E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c>
          <w:tcPr>
            <w:tcW w:w="1053" w:type="dxa"/>
            <w:noWrap/>
            <w:hideMark/>
          </w:tcPr>
          <w:p w14:paraId="0B720A1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418735.7</w:t>
            </w:r>
          </w:p>
        </w:tc>
        <w:tc>
          <w:tcPr>
            <w:tcW w:w="945" w:type="dxa"/>
            <w:noWrap/>
            <w:hideMark/>
          </w:tcPr>
          <w:p w14:paraId="30F8BD1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6209</w:t>
            </w:r>
          </w:p>
        </w:tc>
        <w:tc>
          <w:tcPr>
            <w:tcW w:w="945" w:type="dxa"/>
            <w:noWrap/>
            <w:hideMark/>
          </w:tcPr>
          <w:p w14:paraId="517AD47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w:t>
            </w:r>
          </w:p>
        </w:tc>
        <w:tc>
          <w:tcPr>
            <w:tcW w:w="945" w:type="dxa"/>
            <w:noWrap/>
            <w:hideMark/>
          </w:tcPr>
          <w:p w14:paraId="7035295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r>
      <w:tr w:rsidR="006513B7" w:rsidRPr="006513B7" w14:paraId="4EAA3638"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C142CF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Maharashtra</w:t>
            </w:r>
          </w:p>
        </w:tc>
        <w:tc>
          <w:tcPr>
            <w:tcW w:w="944" w:type="dxa"/>
            <w:noWrap/>
            <w:hideMark/>
          </w:tcPr>
          <w:p w14:paraId="3D0DF64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c>
          <w:tcPr>
            <w:tcW w:w="944" w:type="dxa"/>
            <w:noWrap/>
            <w:hideMark/>
          </w:tcPr>
          <w:p w14:paraId="5BAD762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289B96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4928.27</w:t>
            </w:r>
          </w:p>
        </w:tc>
        <w:tc>
          <w:tcPr>
            <w:tcW w:w="945" w:type="dxa"/>
            <w:noWrap/>
            <w:hideMark/>
          </w:tcPr>
          <w:p w14:paraId="73EE891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30.2</w:t>
            </w:r>
          </w:p>
        </w:tc>
        <w:tc>
          <w:tcPr>
            <w:tcW w:w="1053" w:type="dxa"/>
            <w:noWrap/>
            <w:hideMark/>
          </w:tcPr>
          <w:p w14:paraId="210EE33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1654284</w:t>
            </w:r>
          </w:p>
        </w:tc>
        <w:tc>
          <w:tcPr>
            <w:tcW w:w="945" w:type="dxa"/>
            <w:noWrap/>
            <w:hideMark/>
          </w:tcPr>
          <w:p w14:paraId="532FB27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12058</w:t>
            </w:r>
          </w:p>
        </w:tc>
        <w:tc>
          <w:tcPr>
            <w:tcW w:w="945" w:type="dxa"/>
            <w:noWrap/>
            <w:hideMark/>
          </w:tcPr>
          <w:p w14:paraId="67DF226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w:t>
            </w:r>
          </w:p>
        </w:tc>
        <w:tc>
          <w:tcPr>
            <w:tcW w:w="945" w:type="dxa"/>
            <w:noWrap/>
            <w:hideMark/>
          </w:tcPr>
          <w:p w14:paraId="76379DB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30.2</w:t>
            </w:r>
          </w:p>
        </w:tc>
      </w:tr>
      <w:tr w:rsidR="006513B7" w:rsidRPr="006513B7" w14:paraId="510A417F"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2EED9C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Manipur</w:t>
            </w:r>
          </w:p>
        </w:tc>
        <w:tc>
          <w:tcPr>
            <w:tcW w:w="944" w:type="dxa"/>
            <w:noWrap/>
            <w:hideMark/>
          </w:tcPr>
          <w:p w14:paraId="5025CCE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944" w:type="dxa"/>
            <w:noWrap/>
            <w:hideMark/>
          </w:tcPr>
          <w:p w14:paraId="5531E46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7614F9C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35.17</w:t>
            </w:r>
          </w:p>
        </w:tc>
        <w:tc>
          <w:tcPr>
            <w:tcW w:w="945" w:type="dxa"/>
            <w:noWrap/>
            <w:hideMark/>
          </w:tcPr>
          <w:p w14:paraId="1DBEE20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w:t>
            </w:r>
          </w:p>
        </w:tc>
        <w:tc>
          <w:tcPr>
            <w:tcW w:w="1053" w:type="dxa"/>
            <w:noWrap/>
            <w:hideMark/>
          </w:tcPr>
          <w:p w14:paraId="3EF293F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16423.68</w:t>
            </w:r>
          </w:p>
        </w:tc>
        <w:tc>
          <w:tcPr>
            <w:tcW w:w="945" w:type="dxa"/>
            <w:noWrap/>
            <w:hideMark/>
          </w:tcPr>
          <w:p w14:paraId="7B24428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150</w:t>
            </w:r>
          </w:p>
        </w:tc>
        <w:tc>
          <w:tcPr>
            <w:tcW w:w="945" w:type="dxa"/>
            <w:noWrap/>
            <w:hideMark/>
          </w:tcPr>
          <w:p w14:paraId="3918106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5" w:type="dxa"/>
            <w:noWrap/>
            <w:hideMark/>
          </w:tcPr>
          <w:p w14:paraId="6B3AFD0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w:t>
            </w:r>
          </w:p>
        </w:tc>
      </w:tr>
      <w:tr w:rsidR="006513B7" w:rsidRPr="006513B7" w14:paraId="1E893494"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17F8F7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Mizoram</w:t>
            </w:r>
          </w:p>
        </w:tc>
        <w:tc>
          <w:tcPr>
            <w:tcW w:w="944" w:type="dxa"/>
            <w:noWrap/>
            <w:hideMark/>
          </w:tcPr>
          <w:p w14:paraId="65AF720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w:t>
            </w:r>
          </w:p>
        </w:tc>
        <w:tc>
          <w:tcPr>
            <w:tcW w:w="944" w:type="dxa"/>
            <w:noWrap/>
            <w:hideMark/>
          </w:tcPr>
          <w:p w14:paraId="16B6D11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7E80F31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62.67</w:t>
            </w:r>
          </w:p>
        </w:tc>
        <w:tc>
          <w:tcPr>
            <w:tcW w:w="945" w:type="dxa"/>
            <w:noWrap/>
            <w:hideMark/>
          </w:tcPr>
          <w:p w14:paraId="33FAA3F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24.5</w:t>
            </w:r>
          </w:p>
        </w:tc>
        <w:tc>
          <w:tcPr>
            <w:tcW w:w="1053" w:type="dxa"/>
            <w:noWrap/>
            <w:hideMark/>
          </w:tcPr>
          <w:p w14:paraId="317199F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12323.59</w:t>
            </w:r>
          </w:p>
        </w:tc>
        <w:tc>
          <w:tcPr>
            <w:tcW w:w="945" w:type="dxa"/>
            <w:noWrap/>
            <w:hideMark/>
          </w:tcPr>
          <w:p w14:paraId="6E2B908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167</w:t>
            </w:r>
          </w:p>
        </w:tc>
        <w:tc>
          <w:tcPr>
            <w:tcW w:w="945" w:type="dxa"/>
            <w:noWrap/>
            <w:hideMark/>
          </w:tcPr>
          <w:p w14:paraId="1853C2E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60685B7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24.5</w:t>
            </w:r>
          </w:p>
        </w:tc>
      </w:tr>
      <w:tr w:rsidR="006513B7" w:rsidRPr="006513B7" w14:paraId="415C031A"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0B2D78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Nagaland</w:t>
            </w:r>
          </w:p>
        </w:tc>
        <w:tc>
          <w:tcPr>
            <w:tcW w:w="944" w:type="dxa"/>
            <w:noWrap/>
            <w:hideMark/>
          </w:tcPr>
          <w:p w14:paraId="38030DA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c>
          <w:tcPr>
            <w:tcW w:w="944" w:type="dxa"/>
            <w:noWrap/>
            <w:hideMark/>
          </w:tcPr>
          <w:p w14:paraId="682F1DE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7299F74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10.16</w:t>
            </w:r>
          </w:p>
        </w:tc>
        <w:tc>
          <w:tcPr>
            <w:tcW w:w="945" w:type="dxa"/>
            <w:noWrap/>
            <w:hideMark/>
          </w:tcPr>
          <w:p w14:paraId="17B08E5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16.6</w:t>
            </w:r>
          </w:p>
        </w:tc>
        <w:tc>
          <w:tcPr>
            <w:tcW w:w="1053" w:type="dxa"/>
            <w:noWrap/>
            <w:hideMark/>
          </w:tcPr>
          <w:p w14:paraId="6B51DCA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14660.49</w:t>
            </w:r>
          </w:p>
        </w:tc>
        <w:tc>
          <w:tcPr>
            <w:tcW w:w="945" w:type="dxa"/>
            <w:noWrap/>
            <w:hideMark/>
          </w:tcPr>
          <w:p w14:paraId="3E8AB0D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150</w:t>
            </w:r>
          </w:p>
        </w:tc>
        <w:tc>
          <w:tcPr>
            <w:tcW w:w="945" w:type="dxa"/>
            <w:noWrap/>
            <w:hideMark/>
          </w:tcPr>
          <w:p w14:paraId="69AFB8C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1550370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16.6</w:t>
            </w:r>
          </w:p>
        </w:tc>
      </w:tr>
      <w:tr w:rsidR="006513B7" w:rsidRPr="006513B7" w14:paraId="32DE101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1EFC41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Odisha</w:t>
            </w:r>
          </w:p>
        </w:tc>
        <w:tc>
          <w:tcPr>
            <w:tcW w:w="944" w:type="dxa"/>
            <w:noWrap/>
            <w:hideMark/>
          </w:tcPr>
          <w:p w14:paraId="6641FF9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4" w:type="dxa"/>
            <w:noWrap/>
            <w:hideMark/>
          </w:tcPr>
          <w:p w14:paraId="0CF82DC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280068C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1581.8</w:t>
            </w:r>
          </w:p>
        </w:tc>
        <w:tc>
          <w:tcPr>
            <w:tcW w:w="945" w:type="dxa"/>
            <w:noWrap/>
            <w:hideMark/>
          </w:tcPr>
          <w:p w14:paraId="32BFA8E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1053" w:type="dxa"/>
            <w:noWrap/>
            <w:hideMark/>
          </w:tcPr>
          <w:p w14:paraId="7DC06CC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292228.9</w:t>
            </w:r>
          </w:p>
        </w:tc>
        <w:tc>
          <w:tcPr>
            <w:tcW w:w="945" w:type="dxa"/>
            <w:noWrap/>
            <w:hideMark/>
          </w:tcPr>
          <w:p w14:paraId="5A190E1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4567</w:t>
            </w:r>
          </w:p>
        </w:tc>
        <w:tc>
          <w:tcPr>
            <w:tcW w:w="945" w:type="dxa"/>
            <w:noWrap/>
            <w:hideMark/>
          </w:tcPr>
          <w:p w14:paraId="0E3E6A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5" w:type="dxa"/>
            <w:noWrap/>
            <w:hideMark/>
          </w:tcPr>
          <w:p w14:paraId="0B861B9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r>
      <w:tr w:rsidR="006513B7" w:rsidRPr="006513B7" w14:paraId="4E6CD1D8"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C1CACE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Puducherry</w:t>
            </w:r>
          </w:p>
        </w:tc>
        <w:tc>
          <w:tcPr>
            <w:tcW w:w="944" w:type="dxa"/>
            <w:noWrap/>
            <w:hideMark/>
          </w:tcPr>
          <w:p w14:paraId="4321221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4" w:type="dxa"/>
            <w:noWrap/>
            <w:hideMark/>
          </w:tcPr>
          <w:p w14:paraId="6926550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7E97D01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282.7</w:t>
            </w:r>
          </w:p>
        </w:tc>
        <w:tc>
          <w:tcPr>
            <w:tcW w:w="945" w:type="dxa"/>
            <w:noWrap/>
            <w:hideMark/>
          </w:tcPr>
          <w:p w14:paraId="2117F70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43.1</w:t>
            </w:r>
          </w:p>
        </w:tc>
        <w:tc>
          <w:tcPr>
            <w:tcW w:w="1053" w:type="dxa"/>
            <w:noWrap/>
            <w:hideMark/>
          </w:tcPr>
          <w:p w14:paraId="2F6D73C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19060.24</w:t>
            </w:r>
          </w:p>
        </w:tc>
        <w:tc>
          <w:tcPr>
            <w:tcW w:w="945" w:type="dxa"/>
            <w:noWrap/>
            <w:hideMark/>
          </w:tcPr>
          <w:p w14:paraId="14FF932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234</w:t>
            </w:r>
          </w:p>
        </w:tc>
        <w:tc>
          <w:tcPr>
            <w:tcW w:w="945" w:type="dxa"/>
            <w:noWrap/>
            <w:hideMark/>
          </w:tcPr>
          <w:p w14:paraId="2BBC19C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6A36ABE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43.1</w:t>
            </w:r>
          </w:p>
        </w:tc>
      </w:tr>
      <w:tr w:rsidR="006513B7" w:rsidRPr="006513B7" w14:paraId="22C73552"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FBB360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Punjab</w:t>
            </w:r>
          </w:p>
        </w:tc>
        <w:tc>
          <w:tcPr>
            <w:tcW w:w="944" w:type="dxa"/>
            <w:noWrap/>
            <w:hideMark/>
          </w:tcPr>
          <w:p w14:paraId="0C141C8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4" w:type="dxa"/>
            <w:noWrap/>
            <w:hideMark/>
          </w:tcPr>
          <w:p w14:paraId="7A97688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1D918B5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1026.84</w:t>
            </w:r>
          </w:p>
        </w:tc>
        <w:tc>
          <w:tcPr>
            <w:tcW w:w="945" w:type="dxa"/>
            <w:noWrap/>
            <w:hideMark/>
          </w:tcPr>
          <w:p w14:paraId="739C288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28.6</w:t>
            </w:r>
          </w:p>
        </w:tc>
        <w:tc>
          <w:tcPr>
            <w:tcW w:w="1053" w:type="dxa"/>
            <w:noWrap/>
            <w:hideMark/>
          </w:tcPr>
          <w:p w14:paraId="48CCAB2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330051.9</w:t>
            </w:r>
          </w:p>
        </w:tc>
        <w:tc>
          <w:tcPr>
            <w:tcW w:w="945" w:type="dxa"/>
            <w:noWrap/>
            <w:hideMark/>
          </w:tcPr>
          <w:p w14:paraId="6ECEA9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6168</w:t>
            </w:r>
          </w:p>
        </w:tc>
        <w:tc>
          <w:tcPr>
            <w:tcW w:w="945" w:type="dxa"/>
            <w:noWrap/>
            <w:hideMark/>
          </w:tcPr>
          <w:p w14:paraId="09474FB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0FC8BB5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28.6</w:t>
            </w:r>
          </w:p>
        </w:tc>
      </w:tr>
      <w:tr w:rsidR="006513B7" w:rsidRPr="006513B7" w14:paraId="23747B75"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F55604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Rajasthan</w:t>
            </w:r>
          </w:p>
        </w:tc>
        <w:tc>
          <w:tcPr>
            <w:tcW w:w="944" w:type="dxa"/>
            <w:noWrap/>
            <w:hideMark/>
          </w:tcPr>
          <w:p w14:paraId="195B8DA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4" w:type="dxa"/>
            <w:noWrap/>
            <w:hideMark/>
          </w:tcPr>
          <w:p w14:paraId="68566EA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56DECEF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1411.8</w:t>
            </w:r>
          </w:p>
        </w:tc>
        <w:tc>
          <w:tcPr>
            <w:tcW w:w="945" w:type="dxa"/>
            <w:noWrap/>
            <w:hideMark/>
          </w:tcPr>
          <w:p w14:paraId="3CB771B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20.5</w:t>
            </w:r>
          </w:p>
        </w:tc>
        <w:tc>
          <w:tcPr>
            <w:tcW w:w="1053" w:type="dxa"/>
            <w:noWrap/>
            <w:hideMark/>
          </w:tcPr>
          <w:p w14:paraId="6493317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563339.5</w:t>
            </w:r>
          </w:p>
        </w:tc>
        <w:tc>
          <w:tcPr>
            <w:tcW w:w="945" w:type="dxa"/>
            <w:noWrap/>
            <w:hideMark/>
          </w:tcPr>
          <w:p w14:paraId="7DDE230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6805</w:t>
            </w:r>
          </w:p>
        </w:tc>
        <w:tc>
          <w:tcPr>
            <w:tcW w:w="945" w:type="dxa"/>
            <w:noWrap/>
            <w:hideMark/>
          </w:tcPr>
          <w:p w14:paraId="4DF1F01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78</w:t>
            </w:r>
          </w:p>
        </w:tc>
        <w:tc>
          <w:tcPr>
            <w:tcW w:w="945" w:type="dxa"/>
            <w:noWrap/>
            <w:hideMark/>
          </w:tcPr>
          <w:p w14:paraId="5593D58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20.5</w:t>
            </w:r>
          </w:p>
        </w:tc>
      </w:tr>
      <w:tr w:rsidR="006513B7" w:rsidRPr="006513B7" w14:paraId="2E1770C9"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6B10D4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Tamil Nadu</w:t>
            </w:r>
          </w:p>
        </w:tc>
        <w:tc>
          <w:tcPr>
            <w:tcW w:w="944" w:type="dxa"/>
            <w:noWrap/>
            <w:hideMark/>
          </w:tcPr>
          <w:p w14:paraId="1157F5A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4" w:type="dxa"/>
            <w:noWrap/>
            <w:hideMark/>
          </w:tcPr>
          <w:p w14:paraId="7676CCD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469E675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15297.5</w:t>
            </w:r>
          </w:p>
        </w:tc>
        <w:tc>
          <w:tcPr>
            <w:tcW w:w="945" w:type="dxa"/>
            <w:noWrap/>
            <w:hideMark/>
          </w:tcPr>
          <w:p w14:paraId="45F071C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46.9</w:t>
            </w:r>
          </w:p>
        </w:tc>
        <w:tc>
          <w:tcPr>
            <w:tcW w:w="1053" w:type="dxa"/>
            <w:noWrap/>
            <w:hideMark/>
          </w:tcPr>
          <w:p w14:paraId="3449464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967562.5</w:t>
            </w:r>
          </w:p>
        </w:tc>
        <w:tc>
          <w:tcPr>
            <w:tcW w:w="945" w:type="dxa"/>
            <w:noWrap/>
            <w:hideMark/>
          </w:tcPr>
          <w:p w14:paraId="7A19854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10164</w:t>
            </w:r>
          </w:p>
        </w:tc>
        <w:tc>
          <w:tcPr>
            <w:tcW w:w="945" w:type="dxa"/>
            <w:noWrap/>
            <w:hideMark/>
          </w:tcPr>
          <w:p w14:paraId="401AE82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58</w:t>
            </w:r>
          </w:p>
        </w:tc>
        <w:tc>
          <w:tcPr>
            <w:tcW w:w="945" w:type="dxa"/>
            <w:noWrap/>
            <w:hideMark/>
          </w:tcPr>
          <w:p w14:paraId="634A226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46.9</w:t>
            </w:r>
          </w:p>
        </w:tc>
      </w:tr>
      <w:tr w:rsidR="006513B7" w:rsidRPr="006513B7" w14:paraId="654296C0"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44EA9E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Tripura</w:t>
            </w:r>
          </w:p>
        </w:tc>
        <w:tc>
          <w:tcPr>
            <w:tcW w:w="944" w:type="dxa"/>
            <w:noWrap/>
            <w:hideMark/>
          </w:tcPr>
          <w:p w14:paraId="68D90FC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4" w:type="dxa"/>
            <w:noWrap/>
            <w:hideMark/>
          </w:tcPr>
          <w:p w14:paraId="6A3F581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1B22CAB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98.59</w:t>
            </w:r>
          </w:p>
        </w:tc>
        <w:tc>
          <w:tcPr>
            <w:tcW w:w="945" w:type="dxa"/>
            <w:noWrap/>
            <w:hideMark/>
          </w:tcPr>
          <w:p w14:paraId="20C8757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w:t>
            </w:r>
          </w:p>
        </w:tc>
        <w:tc>
          <w:tcPr>
            <w:tcW w:w="1053" w:type="dxa"/>
            <w:noWrap/>
            <w:hideMark/>
          </w:tcPr>
          <w:p w14:paraId="454F815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26786.9</w:t>
            </w:r>
          </w:p>
        </w:tc>
        <w:tc>
          <w:tcPr>
            <w:tcW w:w="945" w:type="dxa"/>
            <w:noWrap/>
            <w:hideMark/>
          </w:tcPr>
          <w:p w14:paraId="1622C7E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424</w:t>
            </w:r>
          </w:p>
        </w:tc>
        <w:tc>
          <w:tcPr>
            <w:tcW w:w="945" w:type="dxa"/>
            <w:noWrap/>
            <w:hideMark/>
          </w:tcPr>
          <w:p w14:paraId="4F5B606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7F8D27F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w:t>
            </w:r>
          </w:p>
        </w:tc>
      </w:tr>
      <w:tr w:rsidR="006513B7" w:rsidRPr="006513B7" w14:paraId="6B5A940E"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69E3F2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 Pradesh</w:t>
            </w:r>
          </w:p>
        </w:tc>
        <w:tc>
          <w:tcPr>
            <w:tcW w:w="944" w:type="dxa"/>
            <w:noWrap/>
            <w:hideMark/>
          </w:tcPr>
          <w:p w14:paraId="3FE9C19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4" w:type="dxa"/>
            <w:noWrap/>
            <w:hideMark/>
          </w:tcPr>
          <w:p w14:paraId="05B4927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7B63226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3300.37</w:t>
            </w:r>
          </w:p>
        </w:tc>
        <w:tc>
          <w:tcPr>
            <w:tcW w:w="945" w:type="dxa"/>
            <w:noWrap/>
            <w:hideMark/>
          </w:tcPr>
          <w:p w14:paraId="252B1D4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24.9</w:t>
            </w:r>
          </w:p>
        </w:tc>
        <w:tc>
          <w:tcPr>
            <w:tcW w:w="1053" w:type="dxa"/>
            <w:noWrap/>
            <w:hideMark/>
          </w:tcPr>
          <w:p w14:paraId="020F53F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908241.3</w:t>
            </w:r>
          </w:p>
        </w:tc>
        <w:tc>
          <w:tcPr>
            <w:tcW w:w="945" w:type="dxa"/>
            <w:noWrap/>
            <w:hideMark/>
          </w:tcPr>
          <w:p w14:paraId="2114C11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16264</w:t>
            </w:r>
          </w:p>
        </w:tc>
        <w:tc>
          <w:tcPr>
            <w:tcW w:w="945" w:type="dxa"/>
            <w:noWrap/>
            <w:hideMark/>
          </w:tcPr>
          <w:p w14:paraId="343F3B3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72</w:t>
            </w:r>
          </w:p>
        </w:tc>
        <w:tc>
          <w:tcPr>
            <w:tcW w:w="945" w:type="dxa"/>
            <w:noWrap/>
            <w:hideMark/>
          </w:tcPr>
          <w:p w14:paraId="78D0550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24.9</w:t>
            </w:r>
          </w:p>
        </w:tc>
      </w:tr>
      <w:tr w:rsidR="006513B7" w:rsidRPr="006513B7" w14:paraId="7C034D71"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CEEC50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Uttarakhand</w:t>
            </w:r>
          </w:p>
        </w:tc>
        <w:tc>
          <w:tcPr>
            <w:tcW w:w="944" w:type="dxa"/>
            <w:noWrap/>
            <w:hideMark/>
          </w:tcPr>
          <w:p w14:paraId="3F08DB8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4" w:type="dxa"/>
            <w:noWrap/>
            <w:hideMark/>
          </w:tcPr>
          <w:p w14:paraId="51DAC94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5168463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843.17</w:t>
            </w:r>
          </w:p>
        </w:tc>
        <w:tc>
          <w:tcPr>
            <w:tcW w:w="945" w:type="dxa"/>
            <w:noWrap/>
            <w:hideMark/>
          </w:tcPr>
          <w:p w14:paraId="285B7AC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33.4</w:t>
            </w:r>
          </w:p>
        </w:tc>
        <w:tc>
          <w:tcPr>
            <w:tcW w:w="1053" w:type="dxa"/>
            <w:noWrap/>
            <w:hideMark/>
          </w:tcPr>
          <w:p w14:paraId="5881543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152698.7</w:t>
            </w:r>
          </w:p>
        </w:tc>
        <w:tc>
          <w:tcPr>
            <w:tcW w:w="945" w:type="dxa"/>
            <w:noWrap/>
            <w:hideMark/>
          </w:tcPr>
          <w:p w14:paraId="7487D55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1978</w:t>
            </w:r>
          </w:p>
        </w:tc>
        <w:tc>
          <w:tcPr>
            <w:tcW w:w="945" w:type="dxa"/>
            <w:noWrap/>
            <w:hideMark/>
          </w:tcPr>
          <w:p w14:paraId="1A100F8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7531367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33.4</w:t>
            </w:r>
          </w:p>
        </w:tc>
      </w:tr>
      <w:tr w:rsidR="006513B7" w:rsidRPr="006513B7" w14:paraId="5C7FF040"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5BEDC91"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West Bengal</w:t>
            </w:r>
          </w:p>
        </w:tc>
        <w:tc>
          <w:tcPr>
            <w:tcW w:w="944" w:type="dxa"/>
            <w:noWrap/>
            <w:hideMark/>
          </w:tcPr>
          <w:p w14:paraId="26206B8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944" w:type="dxa"/>
            <w:noWrap/>
            <w:hideMark/>
          </w:tcPr>
          <w:p w14:paraId="44CA3DD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2016</w:t>
            </w:r>
          </w:p>
        </w:tc>
        <w:tc>
          <w:tcPr>
            <w:tcW w:w="1053" w:type="dxa"/>
            <w:noWrap/>
            <w:hideMark/>
          </w:tcPr>
          <w:p w14:paraId="1DB3172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1573.38</w:t>
            </w:r>
          </w:p>
        </w:tc>
        <w:tc>
          <w:tcPr>
            <w:tcW w:w="945" w:type="dxa"/>
            <w:noWrap/>
            <w:hideMark/>
          </w:tcPr>
          <w:p w14:paraId="7A8B256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w:t>
            </w:r>
          </w:p>
        </w:tc>
        <w:tc>
          <w:tcPr>
            <w:tcW w:w="1053" w:type="dxa"/>
            <w:noWrap/>
            <w:hideMark/>
          </w:tcPr>
          <w:p w14:paraId="4726C72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609544.8</w:t>
            </w:r>
          </w:p>
        </w:tc>
        <w:tc>
          <w:tcPr>
            <w:tcW w:w="945" w:type="dxa"/>
            <w:noWrap/>
            <w:hideMark/>
          </w:tcPr>
          <w:p w14:paraId="35B2B17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7660</w:t>
            </w:r>
          </w:p>
        </w:tc>
        <w:tc>
          <w:tcPr>
            <w:tcW w:w="945" w:type="dxa"/>
            <w:noWrap/>
            <w:hideMark/>
          </w:tcPr>
          <w:p w14:paraId="234F89C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w:t>
            </w:r>
          </w:p>
        </w:tc>
        <w:tc>
          <w:tcPr>
            <w:tcW w:w="945" w:type="dxa"/>
            <w:noWrap/>
            <w:hideMark/>
          </w:tcPr>
          <w:p w14:paraId="3D64BBA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w:t>
            </w:r>
          </w:p>
        </w:tc>
      </w:tr>
      <w:tr w:rsidR="006513B7" w:rsidRPr="006513B7" w14:paraId="1986373E"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330A76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Andhra Pradesh</w:t>
            </w:r>
          </w:p>
        </w:tc>
        <w:tc>
          <w:tcPr>
            <w:tcW w:w="944" w:type="dxa"/>
            <w:noWrap/>
            <w:hideMark/>
          </w:tcPr>
          <w:p w14:paraId="6C92362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w:t>
            </w:r>
          </w:p>
        </w:tc>
        <w:tc>
          <w:tcPr>
            <w:tcW w:w="944" w:type="dxa"/>
            <w:noWrap/>
            <w:hideMark/>
          </w:tcPr>
          <w:p w14:paraId="4034C1C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42F9AA2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3389.86</w:t>
            </w:r>
          </w:p>
        </w:tc>
        <w:tc>
          <w:tcPr>
            <w:tcW w:w="945" w:type="dxa"/>
            <w:noWrap/>
            <w:hideMark/>
          </w:tcPr>
          <w:p w14:paraId="7F019E5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30.9</w:t>
            </w:r>
          </w:p>
        </w:tc>
        <w:tc>
          <w:tcPr>
            <w:tcW w:w="1053" w:type="dxa"/>
            <w:noWrap/>
            <w:hideMark/>
          </w:tcPr>
          <w:p w14:paraId="7C24595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540211.8</w:t>
            </w:r>
          </w:p>
        </w:tc>
        <w:tc>
          <w:tcPr>
            <w:tcW w:w="945" w:type="dxa"/>
            <w:noWrap/>
            <w:hideMark/>
          </w:tcPr>
          <w:p w14:paraId="1983D0B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6839</w:t>
            </w:r>
          </w:p>
        </w:tc>
        <w:tc>
          <w:tcPr>
            <w:tcW w:w="945" w:type="dxa"/>
            <w:noWrap/>
            <w:hideMark/>
          </w:tcPr>
          <w:p w14:paraId="70EBF22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w:t>
            </w:r>
          </w:p>
        </w:tc>
        <w:tc>
          <w:tcPr>
            <w:tcW w:w="945" w:type="dxa"/>
            <w:noWrap/>
            <w:hideMark/>
          </w:tcPr>
          <w:p w14:paraId="26B56F9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30.9</w:t>
            </w:r>
          </w:p>
        </w:tc>
      </w:tr>
      <w:tr w:rsidR="006513B7" w:rsidRPr="006513B7" w14:paraId="18E9FD09"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D01FB0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Arunachal Pradesh</w:t>
            </w:r>
          </w:p>
        </w:tc>
        <w:tc>
          <w:tcPr>
            <w:tcW w:w="944" w:type="dxa"/>
            <w:noWrap/>
            <w:hideMark/>
          </w:tcPr>
          <w:p w14:paraId="6007E32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w:t>
            </w:r>
          </w:p>
        </w:tc>
        <w:tc>
          <w:tcPr>
            <w:tcW w:w="944" w:type="dxa"/>
            <w:noWrap/>
            <w:hideMark/>
          </w:tcPr>
          <w:p w14:paraId="29A338E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75CB8E1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16.17</w:t>
            </w:r>
          </w:p>
        </w:tc>
        <w:tc>
          <w:tcPr>
            <w:tcW w:w="945" w:type="dxa"/>
            <w:noWrap/>
            <w:hideMark/>
          </w:tcPr>
          <w:p w14:paraId="1D164EA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29.7</w:t>
            </w:r>
          </w:p>
        </w:tc>
        <w:tc>
          <w:tcPr>
            <w:tcW w:w="1053" w:type="dxa"/>
            <w:noWrap/>
            <w:hideMark/>
          </w:tcPr>
          <w:p w14:paraId="7BD488A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14892.66</w:t>
            </w:r>
          </w:p>
        </w:tc>
        <w:tc>
          <w:tcPr>
            <w:tcW w:w="945" w:type="dxa"/>
            <w:noWrap/>
            <w:hideMark/>
          </w:tcPr>
          <w:p w14:paraId="238A5D2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151</w:t>
            </w:r>
          </w:p>
        </w:tc>
        <w:tc>
          <w:tcPr>
            <w:tcW w:w="945" w:type="dxa"/>
            <w:noWrap/>
            <w:hideMark/>
          </w:tcPr>
          <w:p w14:paraId="0E24AB4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5" w:type="dxa"/>
            <w:noWrap/>
            <w:hideMark/>
          </w:tcPr>
          <w:p w14:paraId="2FCAFA1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29.7</w:t>
            </w:r>
          </w:p>
        </w:tc>
      </w:tr>
      <w:tr w:rsidR="006513B7" w:rsidRPr="006513B7" w14:paraId="3684668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39CF53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Assam</w:t>
            </w:r>
          </w:p>
        </w:tc>
        <w:tc>
          <w:tcPr>
            <w:tcW w:w="944" w:type="dxa"/>
            <w:noWrap/>
            <w:hideMark/>
          </w:tcPr>
          <w:p w14:paraId="177852F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4" w:type="dxa"/>
            <w:noWrap/>
            <w:hideMark/>
          </w:tcPr>
          <w:p w14:paraId="7E139D9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51920EE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448.99</w:t>
            </w:r>
          </w:p>
        </w:tc>
        <w:tc>
          <w:tcPr>
            <w:tcW w:w="945" w:type="dxa"/>
            <w:noWrap/>
            <w:hideMark/>
          </w:tcPr>
          <w:p w14:paraId="6B52E51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18.2</w:t>
            </w:r>
          </w:p>
        </w:tc>
        <w:tc>
          <w:tcPr>
            <w:tcW w:w="1053" w:type="dxa"/>
            <w:noWrap/>
            <w:hideMark/>
          </w:tcPr>
          <w:p w14:paraId="662CC65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202080.8</w:t>
            </w:r>
          </w:p>
        </w:tc>
        <w:tc>
          <w:tcPr>
            <w:tcW w:w="945" w:type="dxa"/>
            <w:noWrap/>
            <w:hideMark/>
          </w:tcPr>
          <w:p w14:paraId="5EC260B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2306</w:t>
            </w:r>
          </w:p>
        </w:tc>
        <w:tc>
          <w:tcPr>
            <w:tcW w:w="945" w:type="dxa"/>
            <w:noWrap/>
            <w:hideMark/>
          </w:tcPr>
          <w:p w14:paraId="6204DCD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5" w:type="dxa"/>
            <w:noWrap/>
            <w:hideMark/>
          </w:tcPr>
          <w:p w14:paraId="6F98085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18.2</w:t>
            </w:r>
          </w:p>
        </w:tc>
      </w:tr>
      <w:tr w:rsidR="006513B7" w:rsidRPr="006513B7" w14:paraId="47CF5F7A"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05DB44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Bihar</w:t>
            </w:r>
          </w:p>
        </w:tc>
        <w:tc>
          <w:tcPr>
            <w:tcW w:w="944" w:type="dxa"/>
            <w:noWrap/>
            <w:hideMark/>
          </w:tcPr>
          <w:p w14:paraId="75DA48A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4" w:type="dxa"/>
            <w:noWrap/>
            <w:hideMark/>
          </w:tcPr>
          <w:p w14:paraId="522243B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078C0EC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3154.04</w:t>
            </w:r>
          </w:p>
        </w:tc>
        <w:tc>
          <w:tcPr>
            <w:tcW w:w="945" w:type="dxa"/>
            <w:noWrap/>
            <w:hideMark/>
          </w:tcPr>
          <w:p w14:paraId="2320DA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c>
          <w:tcPr>
            <w:tcW w:w="1053" w:type="dxa"/>
            <w:noWrap/>
            <w:hideMark/>
          </w:tcPr>
          <w:p w14:paraId="3E68E03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318797.5</w:t>
            </w:r>
          </w:p>
        </w:tc>
        <w:tc>
          <w:tcPr>
            <w:tcW w:w="945" w:type="dxa"/>
            <w:noWrap/>
            <w:hideMark/>
          </w:tcPr>
          <w:p w14:paraId="586E7C8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6602</w:t>
            </w:r>
          </w:p>
        </w:tc>
        <w:tc>
          <w:tcPr>
            <w:tcW w:w="945" w:type="dxa"/>
            <w:noWrap/>
            <w:hideMark/>
          </w:tcPr>
          <w:p w14:paraId="21AC9CD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5" w:type="dxa"/>
            <w:noWrap/>
            <w:hideMark/>
          </w:tcPr>
          <w:p w14:paraId="7608B9D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r>
      <w:tr w:rsidR="006513B7" w:rsidRPr="006513B7" w14:paraId="3F4E9770"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98E9F7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Chandigarh</w:t>
            </w:r>
          </w:p>
        </w:tc>
        <w:tc>
          <w:tcPr>
            <w:tcW w:w="944" w:type="dxa"/>
            <w:noWrap/>
            <w:hideMark/>
          </w:tcPr>
          <w:p w14:paraId="6F88716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4" w:type="dxa"/>
            <w:noWrap/>
            <w:hideMark/>
          </w:tcPr>
          <w:p w14:paraId="60730F8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39276DC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165.06</w:t>
            </w:r>
          </w:p>
        </w:tc>
        <w:tc>
          <w:tcPr>
            <w:tcW w:w="945" w:type="dxa"/>
            <w:noWrap/>
            <w:hideMark/>
          </w:tcPr>
          <w:p w14:paraId="38AC67C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56.4</w:t>
            </w:r>
          </w:p>
        </w:tc>
        <w:tc>
          <w:tcPr>
            <w:tcW w:w="1053" w:type="dxa"/>
            <w:noWrap/>
            <w:hideMark/>
          </w:tcPr>
          <w:p w14:paraId="4916255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26917.21</w:t>
            </w:r>
          </w:p>
        </w:tc>
        <w:tc>
          <w:tcPr>
            <w:tcW w:w="945" w:type="dxa"/>
            <w:noWrap/>
            <w:hideMark/>
          </w:tcPr>
          <w:p w14:paraId="71A46C7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444</w:t>
            </w:r>
          </w:p>
        </w:tc>
        <w:tc>
          <w:tcPr>
            <w:tcW w:w="945" w:type="dxa"/>
            <w:noWrap/>
            <w:hideMark/>
          </w:tcPr>
          <w:p w14:paraId="4BE167C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2157C5D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56.4</w:t>
            </w:r>
          </w:p>
        </w:tc>
      </w:tr>
      <w:tr w:rsidR="006513B7" w:rsidRPr="006513B7" w14:paraId="6A5810E0"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514699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Chhattisgarh</w:t>
            </w:r>
          </w:p>
        </w:tc>
        <w:tc>
          <w:tcPr>
            <w:tcW w:w="944" w:type="dxa"/>
            <w:noWrap/>
            <w:hideMark/>
          </w:tcPr>
          <w:p w14:paraId="3B23D81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4" w:type="dxa"/>
            <w:noWrap/>
            <w:hideMark/>
          </w:tcPr>
          <w:p w14:paraId="6926BFF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0E9ED14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493.09</w:t>
            </w:r>
          </w:p>
        </w:tc>
        <w:tc>
          <w:tcPr>
            <w:tcW w:w="945" w:type="dxa"/>
            <w:noWrap/>
            <w:hideMark/>
          </w:tcPr>
          <w:p w14:paraId="7DD052C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18.4</w:t>
            </w:r>
          </w:p>
        </w:tc>
        <w:tc>
          <w:tcPr>
            <w:tcW w:w="1053" w:type="dxa"/>
            <w:noWrap/>
            <w:hideMark/>
          </w:tcPr>
          <w:p w14:paraId="3C03C9D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213704.8</w:t>
            </w:r>
          </w:p>
        </w:tc>
        <w:tc>
          <w:tcPr>
            <w:tcW w:w="945" w:type="dxa"/>
            <w:noWrap/>
            <w:hideMark/>
          </w:tcPr>
          <w:p w14:paraId="7864515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2443</w:t>
            </w:r>
          </w:p>
        </w:tc>
        <w:tc>
          <w:tcPr>
            <w:tcW w:w="945" w:type="dxa"/>
            <w:noWrap/>
            <w:hideMark/>
          </w:tcPr>
          <w:p w14:paraId="3B9174E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5" w:type="dxa"/>
            <w:noWrap/>
            <w:hideMark/>
          </w:tcPr>
          <w:p w14:paraId="563FD84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18.4</w:t>
            </w:r>
          </w:p>
        </w:tc>
      </w:tr>
      <w:tr w:rsidR="006513B7" w:rsidRPr="006513B7" w14:paraId="131C588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F8C445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Delhi</w:t>
            </w:r>
          </w:p>
        </w:tc>
        <w:tc>
          <w:tcPr>
            <w:tcW w:w="944" w:type="dxa"/>
            <w:noWrap/>
            <w:hideMark/>
          </w:tcPr>
          <w:p w14:paraId="53272EE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w:t>
            </w:r>
          </w:p>
        </w:tc>
        <w:tc>
          <w:tcPr>
            <w:tcW w:w="944" w:type="dxa"/>
            <w:noWrap/>
            <w:hideMark/>
          </w:tcPr>
          <w:p w14:paraId="213E1CB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66E0946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1111.28</w:t>
            </w:r>
          </w:p>
        </w:tc>
        <w:tc>
          <w:tcPr>
            <w:tcW w:w="945" w:type="dxa"/>
            <w:noWrap/>
            <w:hideMark/>
          </w:tcPr>
          <w:p w14:paraId="50AA6A9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c>
          <w:tcPr>
            <w:tcW w:w="1053" w:type="dxa"/>
            <w:noWrap/>
            <w:hideMark/>
          </w:tcPr>
          <w:p w14:paraId="34C90D8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511765.2</w:t>
            </w:r>
          </w:p>
        </w:tc>
        <w:tc>
          <w:tcPr>
            <w:tcW w:w="945" w:type="dxa"/>
            <w:noWrap/>
            <w:hideMark/>
          </w:tcPr>
          <w:p w14:paraId="2018137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3615</w:t>
            </w:r>
          </w:p>
        </w:tc>
        <w:tc>
          <w:tcPr>
            <w:tcW w:w="945" w:type="dxa"/>
            <w:noWrap/>
            <w:hideMark/>
          </w:tcPr>
          <w:p w14:paraId="56AF6A8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5" w:type="dxa"/>
            <w:noWrap/>
            <w:hideMark/>
          </w:tcPr>
          <w:p w14:paraId="2296ED5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r>
      <w:tr w:rsidR="006513B7" w:rsidRPr="006513B7" w14:paraId="5205184C"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17D342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Goa</w:t>
            </w:r>
          </w:p>
        </w:tc>
        <w:tc>
          <w:tcPr>
            <w:tcW w:w="944" w:type="dxa"/>
            <w:noWrap/>
            <w:hideMark/>
          </w:tcPr>
          <w:p w14:paraId="7B46480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w:t>
            </w:r>
          </w:p>
        </w:tc>
        <w:tc>
          <w:tcPr>
            <w:tcW w:w="944" w:type="dxa"/>
            <w:noWrap/>
            <w:hideMark/>
          </w:tcPr>
          <w:p w14:paraId="5245430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4629365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126.41</w:t>
            </w:r>
          </w:p>
        </w:tc>
        <w:tc>
          <w:tcPr>
            <w:tcW w:w="945" w:type="dxa"/>
            <w:noWrap/>
            <w:hideMark/>
          </w:tcPr>
          <w:p w14:paraId="3616766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1053" w:type="dxa"/>
            <w:noWrap/>
            <w:hideMark/>
          </w:tcPr>
          <w:p w14:paraId="16CA371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51249.24</w:t>
            </w:r>
          </w:p>
        </w:tc>
        <w:tc>
          <w:tcPr>
            <w:tcW w:w="945" w:type="dxa"/>
            <w:noWrap/>
            <w:hideMark/>
          </w:tcPr>
          <w:p w14:paraId="66B08B7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686</w:t>
            </w:r>
          </w:p>
        </w:tc>
        <w:tc>
          <w:tcPr>
            <w:tcW w:w="945" w:type="dxa"/>
            <w:noWrap/>
            <w:hideMark/>
          </w:tcPr>
          <w:p w14:paraId="1DE2C50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1FAD2F8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r>
      <w:tr w:rsidR="006513B7" w:rsidRPr="006513B7" w14:paraId="4813DB41"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881F5A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Gujarat</w:t>
            </w:r>
          </w:p>
        </w:tc>
        <w:tc>
          <w:tcPr>
            <w:tcW w:w="944" w:type="dxa"/>
            <w:noWrap/>
            <w:hideMark/>
          </w:tcPr>
          <w:p w14:paraId="1CBAAE1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4" w:type="dxa"/>
            <w:noWrap/>
            <w:hideMark/>
          </w:tcPr>
          <w:p w14:paraId="40B468D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6426CF7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2286.52</w:t>
            </w:r>
          </w:p>
        </w:tc>
        <w:tc>
          <w:tcPr>
            <w:tcW w:w="945" w:type="dxa"/>
            <w:noWrap/>
            <w:hideMark/>
          </w:tcPr>
          <w:p w14:paraId="3FF17CB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w:t>
            </w:r>
          </w:p>
        </w:tc>
        <w:tc>
          <w:tcPr>
            <w:tcW w:w="1053" w:type="dxa"/>
            <w:noWrap/>
            <w:hideMark/>
          </w:tcPr>
          <w:p w14:paraId="2E496D3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981342</w:t>
            </w:r>
          </w:p>
        </w:tc>
        <w:tc>
          <w:tcPr>
            <w:tcW w:w="945" w:type="dxa"/>
            <w:noWrap/>
            <w:hideMark/>
          </w:tcPr>
          <w:p w14:paraId="51EEB0F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7697</w:t>
            </w:r>
          </w:p>
        </w:tc>
        <w:tc>
          <w:tcPr>
            <w:tcW w:w="945" w:type="dxa"/>
            <w:noWrap/>
            <w:hideMark/>
          </w:tcPr>
          <w:p w14:paraId="4D06D39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w:t>
            </w:r>
          </w:p>
        </w:tc>
        <w:tc>
          <w:tcPr>
            <w:tcW w:w="945" w:type="dxa"/>
            <w:noWrap/>
            <w:hideMark/>
          </w:tcPr>
          <w:p w14:paraId="19F0DB2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w:t>
            </w:r>
          </w:p>
        </w:tc>
      </w:tr>
      <w:tr w:rsidR="006513B7" w:rsidRPr="006513B7" w14:paraId="319E34A1"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CCF2B0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Haryana</w:t>
            </w:r>
          </w:p>
        </w:tc>
        <w:tc>
          <w:tcPr>
            <w:tcW w:w="944" w:type="dxa"/>
            <w:noWrap/>
            <w:hideMark/>
          </w:tcPr>
          <w:p w14:paraId="72B259E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4" w:type="dxa"/>
            <w:noWrap/>
            <w:hideMark/>
          </w:tcPr>
          <w:p w14:paraId="3F309D4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470EB86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1015.59</w:t>
            </w:r>
          </w:p>
        </w:tc>
        <w:tc>
          <w:tcPr>
            <w:tcW w:w="945" w:type="dxa"/>
            <w:noWrap/>
            <w:hideMark/>
          </w:tcPr>
          <w:p w14:paraId="1AC470A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28.7</w:t>
            </w:r>
          </w:p>
        </w:tc>
        <w:tc>
          <w:tcPr>
            <w:tcW w:w="1053" w:type="dxa"/>
            <w:noWrap/>
            <w:hideMark/>
          </w:tcPr>
          <w:p w14:paraId="7D22837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456709.1</w:t>
            </w:r>
          </w:p>
        </w:tc>
        <w:tc>
          <w:tcPr>
            <w:tcW w:w="945" w:type="dxa"/>
            <w:noWrap/>
            <w:hideMark/>
          </w:tcPr>
          <w:p w14:paraId="301A736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4762</w:t>
            </w:r>
          </w:p>
        </w:tc>
        <w:tc>
          <w:tcPr>
            <w:tcW w:w="945" w:type="dxa"/>
            <w:noWrap/>
            <w:hideMark/>
          </w:tcPr>
          <w:p w14:paraId="01CA03F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40</w:t>
            </w:r>
          </w:p>
        </w:tc>
        <w:tc>
          <w:tcPr>
            <w:tcW w:w="945" w:type="dxa"/>
            <w:noWrap/>
            <w:hideMark/>
          </w:tcPr>
          <w:p w14:paraId="3E071AD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28.7</w:t>
            </w:r>
          </w:p>
        </w:tc>
      </w:tr>
      <w:tr w:rsidR="006513B7" w:rsidRPr="006513B7" w14:paraId="4B641F90"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D55D2A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Himachal Pradesh</w:t>
            </w:r>
          </w:p>
        </w:tc>
        <w:tc>
          <w:tcPr>
            <w:tcW w:w="944" w:type="dxa"/>
            <w:noWrap/>
            <w:hideMark/>
          </w:tcPr>
          <w:p w14:paraId="007EA25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w:t>
            </w:r>
          </w:p>
        </w:tc>
        <w:tc>
          <w:tcPr>
            <w:tcW w:w="944" w:type="dxa"/>
            <w:noWrap/>
            <w:hideMark/>
          </w:tcPr>
          <w:p w14:paraId="152799E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2B47539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345.07</w:t>
            </w:r>
          </w:p>
        </w:tc>
        <w:tc>
          <w:tcPr>
            <w:tcW w:w="945" w:type="dxa"/>
            <w:noWrap/>
            <w:hideMark/>
          </w:tcPr>
          <w:p w14:paraId="6A5F6B3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37.9</w:t>
            </w:r>
          </w:p>
        </w:tc>
        <w:tc>
          <w:tcPr>
            <w:tcW w:w="1053" w:type="dxa"/>
            <w:noWrap/>
            <w:hideMark/>
          </w:tcPr>
          <w:p w14:paraId="69A0EF8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103055</w:t>
            </w:r>
          </w:p>
        </w:tc>
        <w:tc>
          <w:tcPr>
            <w:tcW w:w="945" w:type="dxa"/>
            <w:noWrap/>
            <w:hideMark/>
          </w:tcPr>
          <w:p w14:paraId="5E11648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1542</w:t>
            </w:r>
          </w:p>
        </w:tc>
        <w:tc>
          <w:tcPr>
            <w:tcW w:w="945" w:type="dxa"/>
            <w:noWrap/>
            <w:hideMark/>
          </w:tcPr>
          <w:p w14:paraId="5C4A9D7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5" w:type="dxa"/>
            <w:noWrap/>
            <w:hideMark/>
          </w:tcPr>
          <w:p w14:paraId="35885CF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37.9</w:t>
            </w:r>
          </w:p>
        </w:tc>
      </w:tr>
      <w:tr w:rsidR="006513B7" w:rsidRPr="006513B7" w14:paraId="68BB0742"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B1BC65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Jammu and Kashmir</w:t>
            </w:r>
          </w:p>
        </w:tc>
        <w:tc>
          <w:tcPr>
            <w:tcW w:w="944" w:type="dxa"/>
            <w:noWrap/>
            <w:hideMark/>
          </w:tcPr>
          <w:p w14:paraId="5395723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w:t>
            </w:r>
          </w:p>
        </w:tc>
        <w:tc>
          <w:tcPr>
            <w:tcW w:w="944" w:type="dxa"/>
            <w:noWrap/>
            <w:hideMark/>
          </w:tcPr>
          <w:p w14:paraId="274C7E8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3C9FD2B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281.55</w:t>
            </w:r>
          </w:p>
        </w:tc>
        <w:tc>
          <w:tcPr>
            <w:tcW w:w="945" w:type="dxa"/>
            <w:noWrap/>
            <w:hideMark/>
          </w:tcPr>
          <w:p w14:paraId="5A64B5F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27.7</w:t>
            </w:r>
          </w:p>
        </w:tc>
        <w:tc>
          <w:tcPr>
            <w:tcW w:w="1053" w:type="dxa"/>
            <w:noWrap/>
            <w:hideMark/>
          </w:tcPr>
          <w:p w14:paraId="64A590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100202.9</w:t>
            </w:r>
          </w:p>
        </w:tc>
        <w:tc>
          <w:tcPr>
            <w:tcW w:w="945" w:type="dxa"/>
            <w:noWrap/>
            <w:hideMark/>
          </w:tcPr>
          <w:p w14:paraId="3EAA70C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1741</w:t>
            </w:r>
          </w:p>
        </w:tc>
        <w:tc>
          <w:tcPr>
            <w:tcW w:w="945" w:type="dxa"/>
            <w:noWrap/>
            <w:hideMark/>
          </w:tcPr>
          <w:p w14:paraId="2BB4E7D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w:t>
            </w:r>
          </w:p>
        </w:tc>
        <w:tc>
          <w:tcPr>
            <w:tcW w:w="945" w:type="dxa"/>
            <w:noWrap/>
            <w:hideMark/>
          </w:tcPr>
          <w:p w14:paraId="562F1EB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27.7</w:t>
            </w:r>
          </w:p>
        </w:tc>
      </w:tr>
      <w:tr w:rsidR="006513B7" w:rsidRPr="006513B7" w14:paraId="67DA1A4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A125D9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Jharkhand</w:t>
            </w:r>
          </w:p>
        </w:tc>
        <w:tc>
          <w:tcPr>
            <w:tcW w:w="944" w:type="dxa"/>
            <w:noWrap/>
            <w:hideMark/>
          </w:tcPr>
          <w:p w14:paraId="5D9C87C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c>
          <w:tcPr>
            <w:tcW w:w="944" w:type="dxa"/>
            <w:noWrap/>
            <w:hideMark/>
          </w:tcPr>
          <w:p w14:paraId="591199A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1341B7D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1516.19</w:t>
            </w:r>
          </w:p>
        </w:tc>
        <w:tc>
          <w:tcPr>
            <w:tcW w:w="945" w:type="dxa"/>
            <w:noWrap/>
            <w:hideMark/>
          </w:tcPr>
          <w:p w14:paraId="5B36E18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1053" w:type="dxa"/>
            <w:noWrap/>
            <w:hideMark/>
          </w:tcPr>
          <w:p w14:paraId="63773F9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193173.9</w:t>
            </w:r>
          </w:p>
        </w:tc>
        <w:tc>
          <w:tcPr>
            <w:tcW w:w="945" w:type="dxa"/>
            <w:noWrap/>
            <w:hideMark/>
          </w:tcPr>
          <w:p w14:paraId="70CEDF7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2910</w:t>
            </w:r>
          </w:p>
        </w:tc>
        <w:tc>
          <w:tcPr>
            <w:tcW w:w="945" w:type="dxa"/>
            <w:noWrap/>
            <w:hideMark/>
          </w:tcPr>
          <w:p w14:paraId="4B5EC14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5" w:type="dxa"/>
            <w:noWrap/>
            <w:hideMark/>
          </w:tcPr>
          <w:p w14:paraId="0D288DF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r>
      <w:tr w:rsidR="006513B7" w:rsidRPr="006513B7" w14:paraId="175C1F11"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52F442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Karnataka</w:t>
            </w:r>
          </w:p>
        </w:tc>
        <w:tc>
          <w:tcPr>
            <w:tcW w:w="944" w:type="dxa"/>
            <w:noWrap/>
            <w:hideMark/>
          </w:tcPr>
          <w:p w14:paraId="715659A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w:t>
            </w:r>
          </w:p>
        </w:tc>
        <w:tc>
          <w:tcPr>
            <w:tcW w:w="944" w:type="dxa"/>
            <w:noWrap/>
            <w:hideMark/>
          </w:tcPr>
          <w:p w14:paraId="18B9E1B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2E15DE9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4621.62</w:t>
            </w:r>
          </w:p>
        </w:tc>
        <w:tc>
          <w:tcPr>
            <w:tcW w:w="945" w:type="dxa"/>
            <w:noWrap/>
            <w:hideMark/>
          </w:tcPr>
          <w:p w14:paraId="1807F80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27.8</w:t>
            </w:r>
          </w:p>
        </w:tc>
        <w:tc>
          <w:tcPr>
            <w:tcW w:w="1053" w:type="dxa"/>
            <w:noWrap/>
            <w:hideMark/>
          </w:tcPr>
          <w:p w14:paraId="04C3FE5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941774.1</w:t>
            </w:r>
          </w:p>
        </w:tc>
        <w:tc>
          <w:tcPr>
            <w:tcW w:w="945" w:type="dxa"/>
            <w:noWrap/>
            <w:hideMark/>
          </w:tcPr>
          <w:p w14:paraId="6E010D7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10037</w:t>
            </w:r>
          </w:p>
        </w:tc>
        <w:tc>
          <w:tcPr>
            <w:tcW w:w="945" w:type="dxa"/>
            <w:noWrap/>
            <w:hideMark/>
          </w:tcPr>
          <w:p w14:paraId="396F9C5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60</w:t>
            </w:r>
          </w:p>
        </w:tc>
        <w:tc>
          <w:tcPr>
            <w:tcW w:w="945" w:type="dxa"/>
            <w:noWrap/>
            <w:hideMark/>
          </w:tcPr>
          <w:p w14:paraId="09CCF83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27.8</w:t>
            </w:r>
          </w:p>
        </w:tc>
      </w:tr>
      <w:tr w:rsidR="006513B7" w:rsidRPr="006513B7" w14:paraId="718F62A7"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420A00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Kerala</w:t>
            </w:r>
          </w:p>
        </w:tc>
        <w:tc>
          <w:tcPr>
            <w:tcW w:w="944" w:type="dxa"/>
            <w:noWrap/>
            <w:hideMark/>
          </w:tcPr>
          <w:p w14:paraId="32A7DFA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4" w:type="dxa"/>
            <w:noWrap/>
            <w:hideMark/>
          </w:tcPr>
          <w:p w14:paraId="6D3B922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2162105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7852.71</w:t>
            </w:r>
          </w:p>
        </w:tc>
        <w:tc>
          <w:tcPr>
            <w:tcW w:w="945" w:type="dxa"/>
            <w:noWrap/>
            <w:hideMark/>
          </w:tcPr>
          <w:p w14:paraId="4A19F2A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36.2</w:t>
            </w:r>
          </w:p>
        </w:tc>
        <w:tc>
          <w:tcPr>
            <w:tcW w:w="1053" w:type="dxa"/>
            <w:noWrap/>
            <w:hideMark/>
          </w:tcPr>
          <w:p w14:paraId="608000E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485301.5</w:t>
            </w:r>
          </w:p>
        </w:tc>
        <w:tc>
          <w:tcPr>
            <w:tcW w:w="945" w:type="dxa"/>
            <w:noWrap/>
            <w:hideMark/>
          </w:tcPr>
          <w:p w14:paraId="29B0B71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6452</w:t>
            </w:r>
          </w:p>
        </w:tc>
        <w:tc>
          <w:tcPr>
            <w:tcW w:w="945" w:type="dxa"/>
            <w:noWrap/>
            <w:hideMark/>
          </w:tcPr>
          <w:p w14:paraId="7B6D37F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5" w:type="dxa"/>
            <w:noWrap/>
            <w:hideMark/>
          </w:tcPr>
          <w:p w14:paraId="2808B83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36.2</w:t>
            </w:r>
          </w:p>
        </w:tc>
      </w:tr>
      <w:tr w:rsidR="006513B7" w:rsidRPr="006513B7" w14:paraId="46D7C1FE"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4C8909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Madhya Pradesh</w:t>
            </w:r>
          </w:p>
        </w:tc>
        <w:tc>
          <w:tcPr>
            <w:tcW w:w="944" w:type="dxa"/>
            <w:noWrap/>
            <w:hideMark/>
          </w:tcPr>
          <w:p w14:paraId="3D6098E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w:t>
            </w:r>
          </w:p>
        </w:tc>
        <w:tc>
          <w:tcPr>
            <w:tcW w:w="944" w:type="dxa"/>
            <w:noWrap/>
            <w:hideMark/>
          </w:tcPr>
          <w:p w14:paraId="3DD67C6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68706FB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1908.08</w:t>
            </w:r>
          </w:p>
        </w:tc>
        <w:tc>
          <w:tcPr>
            <w:tcW w:w="945" w:type="dxa"/>
            <w:noWrap/>
            <w:hideMark/>
          </w:tcPr>
          <w:p w14:paraId="3C7B6F1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21.2</w:t>
            </w:r>
          </w:p>
        </w:tc>
        <w:tc>
          <w:tcPr>
            <w:tcW w:w="1053" w:type="dxa"/>
            <w:noWrap/>
            <w:hideMark/>
          </w:tcPr>
          <w:p w14:paraId="66619F7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470669.2</w:t>
            </w:r>
          </w:p>
        </w:tc>
        <w:tc>
          <w:tcPr>
            <w:tcW w:w="945" w:type="dxa"/>
            <w:noWrap/>
            <w:hideMark/>
          </w:tcPr>
          <w:p w14:paraId="4A30925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6411</w:t>
            </w:r>
          </w:p>
        </w:tc>
        <w:tc>
          <w:tcPr>
            <w:tcW w:w="945" w:type="dxa"/>
            <w:noWrap/>
            <w:hideMark/>
          </w:tcPr>
          <w:p w14:paraId="446A1CB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w:t>
            </w:r>
          </w:p>
        </w:tc>
        <w:tc>
          <w:tcPr>
            <w:tcW w:w="945" w:type="dxa"/>
            <w:noWrap/>
            <w:hideMark/>
          </w:tcPr>
          <w:p w14:paraId="35DBA86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21.2</w:t>
            </w:r>
          </w:p>
        </w:tc>
      </w:tr>
      <w:tr w:rsidR="006513B7" w:rsidRPr="006513B7" w14:paraId="736F3B67"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E3A19E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Maharashtra</w:t>
            </w:r>
          </w:p>
        </w:tc>
        <w:tc>
          <w:tcPr>
            <w:tcW w:w="944" w:type="dxa"/>
            <w:noWrap/>
            <w:hideMark/>
          </w:tcPr>
          <w:p w14:paraId="760134B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c>
          <w:tcPr>
            <w:tcW w:w="944" w:type="dxa"/>
            <w:noWrap/>
            <w:hideMark/>
          </w:tcPr>
          <w:p w14:paraId="27515E3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7797AA0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5094.68</w:t>
            </w:r>
          </w:p>
        </w:tc>
        <w:tc>
          <w:tcPr>
            <w:tcW w:w="945" w:type="dxa"/>
            <w:noWrap/>
            <w:hideMark/>
          </w:tcPr>
          <w:p w14:paraId="1063F1F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31.1</w:t>
            </w:r>
          </w:p>
        </w:tc>
        <w:tc>
          <w:tcPr>
            <w:tcW w:w="1053" w:type="dxa"/>
            <w:noWrap/>
            <w:hideMark/>
          </w:tcPr>
          <w:p w14:paraId="6547708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1807046</w:t>
            </w:r>
          </w:p>
        </w:tc>
        <w:tc>
          <w:tcPr>
            <w:tcW w:w="945" w:type="dxa"/>
            <w:noWrap/>
            <w:hideMark/>
          </w:tcPr>
          <w:p w14:paraId="00B4709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12392</w:t>
            </w:r>
          </w:p>
        </w:tc>
        <w:tc>
          <w:tcPr>
            <w:tcW w:w="945" w:type="dxa"/>
            <w:noWrap/>
            <w:hideMark/>
          </w:tcPr>
          <w:p w14:paraId="2550154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w:t>
            </w:r>
          </w:p>
        </w:tc>
        <w:tc>
          <w:tcPr>
            <w:tcW w:w="945" w:type="dxa"/>
            <w:noWrap/>
            <w:hideMark/>
          </w:tcPr>
          <w:p w14:paraId="0C4CA55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31.1</w:t>
            </w:r>
          </w:p>
        </w:tc>
      </w:tr>
      <w:tr w:rsidR="006513B7" w:rsidRPr="006513B7" w14:paraId="3D03F3E8"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D46C33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Manipur</w:t>
            </w:r>
          </w:p>
        </w:tc>
        <w:tc>
          <w:tcPr>
            <w:tcW w:w="944" w:type="dxa"/>
            <w:noWrap/>
            <w:hideMark/>
          </w:tcPr>
          <w:p w14:paraId="6EBCAAB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944" w:type="dxa"/>
            <w:noWrap/>
            <w:hideMark/>
          </w:tcPr>
          <w:p w14:paraId="56EEFB9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29377FB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31.41</w:t>
            </w:r>
          </w:p>
        </w:tc>
        <w:tc>
          <w:tcPr>
            <w:tcW w:w="945" w:type="dxa"/>
            <w:noWrap/>
            <w:hideMark/>
          </w:tcPr>
          <w:p w14:paraId="512A71F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31.8</w:t>
            </w:r>
          </w:p>
        </w:tc>
        <w:tc>
          <w:tcPr>
            <w:tcW w:w="1053" w:type="dxa"/>
            <w:noWrap/>
            <w:hideMark/>
          </w:tcPr>
          <w:p w14:paraId="64638B5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17081.92</w:t>
            </w:r>
          </w:p>
        </w:tc>
        <w:tc>
          <w:tcPr>
            <w:tcW w:w="945" w:type="dxa"/>
            <w:noWrap/>
            <w:hideMark/>
          </w:tcPr>
          <w:p w14:paraId="59E65F2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159</w:t>
            </w:r>
          </w:p>
        </w:tc>
        <w:tc>
          <w:tcPr>
            <w:tcW w:w="945" w:type="dxa"/>
            <w:noWrap/>
            <w:hideMark/>
          </w:tcPr>
          <w:p w14:paraId="75DE2CD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676C339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31.8</w:t>
            </w:r>
          </w:p>
        </w:tc>
      </w:tr>
      <w:tr w:rsidR="006513B7" w:rsidRPr="006513B7" w14:paraId="43AED996"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BB0F321"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Mizoram</w:t>
            </w:r>
          </w:p>
        </w:tc>
        <w:tc>
          <w:tcPr>
            <w:tcW w:w="944" w:type="dxa"/>
            <w:noWrap/>
            <w:hideMark/>
          </w:tcPr>
          <w:p w14:paraId="2E6C2FC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w:t>
            </w:r>
          </w:p>
        </w:tc>
        <w:tc>
          <w:tcPr>
            <w:tcW w:w="944" w:type="dxa"/>
            <w:noWrap/>
            <w:hideMark/>
          </w:tcPr>
          <w:p w14:paraId="0770AEC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08ED832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16.92</w:t>
            </w:r>
          </w:p>
        </w:tc>
        <w:tc>
          <w:tcPr>
            <w:tcW w:w="945" w:type="dxa"/>
            <w:noWrap/>
            <w:hideMark/>
          </w:tcPr>
          <w:p w14:paraId="1ACC280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22.9</w:t>
            </w:r>
          </w:p>
        </w:tc>
        <w:tc>
          <w:tcPr>
            <w:tcW w:w="1053" w:type="dxa"/>
            <w:noWrap/>
            <w:hideMark/>
          </w:tcPr>
          <w:p w14:paraId="2527B63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13595.21</w:t>
            </w:r>
          </w:p>
        </w:tc>
        <w:tc>
          <w:tcPr>
            <w:tcW w:w="945" w:type="dxa"/>
            <w:noWrap/>
            <w:hideMark/>
          </w:tcPr>
          <w:p w14:paraId="7F85F52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w:t>
            </w:r>
          </w:p>
        </w:tc>
        <w:tc>
          <w:tcPr>
            <w:tcW w:w="945" w:type="dxa"/>
            <w:noWrap/>
            <w:hideMark/>
          </w:tcPr>
          <w:p w14:paraId="511ADA9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0E3FE13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22.9</w:t>
            </w:r>
          </w:p>
        </w:tc>
      </w:tr>
      <w:tr w:rsidR="006513B7" w:rsidRPr="006513B7" w14:paraId="00328F45"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5DE1F9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Nagaland</w:t>
            </w:r>
          </w:p>
        </w:tc>
        <w:tc>
          <w:tcPr>
            <w:tcW w:w="944" w:type="dxa"/>
            <w:noWrap/>
            <w:hideMark/>
          </w:tcPr>
          <w:p w14:paraId="556EC45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c>
          <w:tcPr>
            <w:tcW w:w="944" w:type="dxa"/>
            <w:noWrap/>
            <w:hideMark/>
          </w:tcPr>
          <w:p w14:paraId="156FFBD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041CB7E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12.12</w:t>
            </w:r>
          </w:p>
        </w:tc>
        <w:tc>
          <w:tcPr>
            <w:tcW w:w="945" w:type="dxa"/>
            <w:noWrap/>
            <w:hideMark/>
          </w:tcPr>
          <w:p w14:paraId="5CC7E21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17.8</w:t>
            </w:r>
          </w:p>
        </w:tc>
        <w:tc>
          <w:tcPr>
            <w:tcW w:w="1053" w:type="dxa"/>
            <w:noWrap/>
            <w:hideMark/>
          </w:tcPr>
          <w:p w14:paraId="7B3AAAD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15649.92</w:t>
            </w:r>
          </w:p>
        </w:tc>
        <w:tc>
          <w:tcPr>
            <w:tcW w:w="945" w:type="dxa"/>
            <w:noWrap/>
            <w:hideMark/>
          </w:tcPr>
          <w:p w14:paraId="14B98D7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157</w:t>
            </w:r>
          </w:p>
        </w:tc>
        <w:tc>
          <w:tcPr>
            <w:tcW w:w="945" w:type="dxa"/>
            <w:noWrap/>
            <w:hideMark/>
          </w:tcPr>
          <w:p w14:paraId="2D74FC7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7C05A90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17.8</w:t>
            </w:r>
          </w:p>
        </w:tc>
      </w:tr>
      <w:tr w:rsidR="006513B7" w:rsidRPr="006513B7" w14:paraId="3B253F1F"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EAF0B2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Odisha</w:t>
            </w:r>
          </w:p>
        </w:tc>
        <w:tc>
          <w:tcPr>
            <w:tcW w:w="944" w:type="dxa"/>
            <w:noWrap/>
            <w:hideMark/>
          </w:tcPr>
          <w:p w14:paraId="0C4CB7A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4" w:type="dxa"/>
            <w:noWrap/>
            <w:hideMark/>
          </w:tcPr>
          <w:p w14:paraId="762D947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4DA6B36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1568.42</w:t>
            </w:r>
          </w:p>
        </w:tc>
        <w:tc>
          <w:tcPr>
            <w:tcW w:w="945" w:type="dxa"/>
            <w:noWrap/>
            <w:hideMark/>
          </w:tcPr>
          <w:p w14:paraId="0F3CC27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22.45</w:t>
            </w:r>
          </w:p>
        </w:tc>
        <w:tc>
          <w:tcPr>
            <w:tcW w:w="1053" w:type="dxa"/>
            <w:noWrap/>
            <w:hideMark/>
          </w:tcPr>
          <w:p w14:paraId="28FE3A5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337348.1</w:t>
            </w:r>
          </w:p>
        </w:tc>
        <w:tc>
          <w:tcPr>
            <w:tcW w:w="945" w:type="dxa"/>
            <w:noWrap/>
            <w:hideMark/>
          </w:tcPr>
          <w:p w14:paraId="3C10B18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4748</w:t>
            </w:r>
          </w:p>
        </w:tc>
        <w:tc>
          <w:tcPr>
            <w:tcW w:w="945" w:type="dxa"/>
            <w:noWrap/>
            <w:hideMark/>
          </w:tcPr>
          <w:p w14:paraId="67789D4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5" w:type="dxa"/>
            <w:noWrap/>
            <w:hideMark/>
          </w:tcPr>
          <w:p w14:paraId="1935AC7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22.45</w:t>
            </w:r>
          </w:p>
        </w:tc>
      </w:tr>
      <w:tr w:rsidR="006513B7" w:rsidRPr="006513B7" w14:paraId="16A0433D"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EF35A7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Puducherry</w:t>
            </w:r>
          </w:p>
        </w:tc>
        <w:tc>
          <w:tcPr>
            <w:tcW w:w="944" w:type="dxa"/>
            <w:noWrap/>
            <w:hideMark/>
          </w:tcPr>
          <w:p w14:paraId="78E21E4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4" w:type="dxa"/>
            <w:noWrap/>
            <w:hideMark/>
          </w:tcPr>
          <w:p w14:paraId="15B194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5898818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283.69</w:t>
            </w:r>
          </w:p>
        </w:tc>
        <w:tc>
          <w:tcPr>
            <w:tcW w:w="945" w:type="dxa"/>
            <w:noWrap/>
            <w:hideMark/>
          </w:tcPr>
          <w:p w14:paraId="6DACEC2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30.3</w:t>
            </w:r>
          </w:p>
        </w:tc>
        <w:tc>
          <w:tcPr>
            <w:tcW w:w="1053" w:type="dxa"/>
            <w:noWrap/>
            <w:hideMark/>
          </w:tcPr>
          <w:p w14:paraId="1DECA08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20474.37</w:t>
            </w:r>
          </w:p>
        </w:tc>
        <w:tc>
          <w:tcPr>
            <w:tcW w:w="945" w:type="dxa"/>
            <w:noWrap/>
            <w:hideMark/>
          </w:tcPr>
          <w:p w14:paraId="19D67D4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241</w:t>
            </w:r>
          </w:p>
        </w:tc>
        <w:tc>
          <w:tcPr>
            <w:tcW w:w="945" w:type="dxa"/>
            <w:noWrap/>
            <w:hideMark/>
          </w:tcPr>
          <w:p w14:paraId="5492109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0294843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30.3</w:t>
            </w:r>
          </w:p>
        </w:tc>
      </w:tr>
      <w:tr w:rsidR="006513B7" w:rsidRPr="006513B7" w14:paraId="710F5075"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D40432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Punjab</w:t>
            </w:r>
          </w:p>
        </w:tc>
        <w:tc>
          <w:tcPr>
            <w:tcW w:w="944" w:type="dxa"/>
            <w:noWrap/>
            <w:hideMark/>
          </w:tcPr>
          <w:p w14:paraId="455DA87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4" w:type="dxa"/>
            <w:noWrap/>
            <w:hideMark/>
          </w:tcPr>
          <w:p w14:paraId="3514503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675550C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1067.48</w:t>
            </w:r>
          </w:p>
        </w:tc>
        <w:tc>
          <w:tcPr>
            <w:tcW w:w="945" w:type="dxa"/>
            <w:noWrap/>
            <w:hideMark/>
          </w:tcPr>
          <w:p w14:paraId="4F08A82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21.7</w:t>
            </w:r>
          </w:p>
        </w:tc>
        <w:tc>
          <w:tcPr>
            <w:tcW w:w="1053" w:type="dxa"/>
            <w:noWrap/>
            <w:hideMark/>
          </w:tcPr>
          <w:p w14:paraId="1A26B88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352720.6</w:t>
            </w:r>
          </w:p>
        </w:tc>
        <w:tc>
          <w:tcPr>
            <w:tcW w:w="945" w:type="dxa"/>
            <w:noWrap/>
            <w:hideMark/>
          </w:tcPr>
          <w:p w14:paraId="5A82ECC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6366</w:t>
            </w:r>
          </w:p>
        </w:tc>
        <w:tc>
          <w:tcPr>
            <w:tcW w:w="945" w:type="dxa"/>
            <w:noWrap/>
            <w:hideMark/>
          </w:tcPr>
          <w:p w14:paraId="6BC1D22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w:t>
            </w:r>
          </w:p>
        </w:tc>
        <w:tc>
          <w:tcPr>
            <w:tcW w:w="945" w:type="dxa"/>
            <w:noWrap/>
            <w:hideMark/>
          </w:tcPr>
          <w:p w14:paraId="05A6F4F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21.7</w:t>
            </w:r>
          </w:p>
        </w:tc>
      </w:tr>
      <w:tr w:rsidR="006513B7" w:rsidRPr="006513B7" w14:paraId="271FBD3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38E9E5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Rajasthan</w:t>
            </w:r>
          </w:p>
        </w:tc>
        <w:tc>
          <w:tcPr>
            <w:tcW w:w="944" w:type="dxa"/>
            <w:noWrap/>
            <w:hideMark/>
          </w:tcPr>
          <w:p w14:paraId="415CBFE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4" w:type="dxa"/>
            <w:noWrap/>
            <w:hideMark/>
          </w:tcPr>
          <w:p w14:paraId="1E39D99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2C5DD1F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1388.22</w:t>
            </w:r>
          </w:p>
        </w:tc>
        <w:tc>
          <w:tcPr>
            <w:tcW w:w="945" w:type="dxa"/>
            <w:noWrap/>
            <w:hideMark/>
          </w:tcPr>
          <w:p w14:paraId="264DF0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37.4</w:t>
            </w:r>
          </w:p>
        </w:tc>
        <w:tc>
          <w:tcPr>
            <w:tcW w:w="1053" w:type="dxa"/>
            <w:noWrap/>
            <w:hideMark/>
          </w:tcPr>
          <w:p w14:paraId="170DD97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596745.5</w:t>
            </w:r>
          </w:p>
        </w:tc>
        <w:tc>
          <w:tcPr>
            <w:tcW w:w="945" w:type="dxa"/>
            <w:noWrap/>
            <w:hideMark/>
          </w:tcPr>
          <w:p w14:paraId="095DAAB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7011</w:t>
            </w:r>
          </w:p>
        </w:tc>
        <w:tc>
          <w:tcPr>
            <w:tcW w:w="945" w:type="dxa"/>
            <w:noWrap/>
            <w:hideMark/>
          </w:tcPr>
          <w:p w14:paraId="6969FBB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w:t>
            </w:r>
          </w:p>
        </w:tc>
        <w:tc>
          <w:tcPr>
            <w:tcW w:w="945" w:type="dxa"/>
            <w:noWrap/>
            <w:hideMark/>
          </w:tcPr>
          <w:p w14:paraId="21E9F31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37.4</w:t>
            </w:r>
          </w:p>
        </w:tc>
      </w:tr>
      <w:tr w:rsidR="006513B7" w:rsidRPr="006513B7" w14:paraId="73260428"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7AB4E4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Tamil Nadu</w:t>
            </w:r>
          </w:p>
        </w:tc>
        <w:tc>
          <w:tcPr>
            <w:tcW w:w="944" w:type="dxa"/>
            <w:noWrap/>
            <w:hideMark/>
          </w:tcPr>
          <w:p w14:paraId="51E715C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4" w:type="dxa"/>
            <w:noWrap/>
            <w:hideMark/>
          </w:tcPr>
          <w:p w14:paraId="293BED5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7B0C8E8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15725.98</w:t>
            </w:r>
          </w:p>
        </w:tc>
        <w:tc>
          <w:tcPr>
            <w:tcW w:w="945" w:type="dxa"/>
            <w:noWrap/>
            <w:hideMark/>
          </w:tcPr>
          <w:p w14:paraId="2BC490C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48.6</w:t>
            </w:r>
          </w:p>
        </w:tc>
        <w:tc>
          <w:tcPr>
            <w:tcW w:w="1053" w:type="dxa"/>
            <w:noWrap/>
            <w:hideMark/>
          </w:tcPr>
          <w:p w14:paraId="2EF41ED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1036762</w:t>
            </w:r>
          </w:p>
        </w:tc>
        <w:tc>
          <w:tcPr>
            <w:tcW w:w="945" w:type="dxa"/>
            <w:noWrap/>
            <w:hideMark/>
          </w:tcPr>
          <w:p w14:paraId="6650803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10487</w:t>
            </w:r>
          </w:p>
        </w:tc>
        <w:tc>
          <w:tcPr>
            <w:tcW w:w="945" w:type="dxa"/>
            <w:noWrap/>
            <w:hideMark/>
          </w:tcPr>
          <w:p w14:paraId="3954855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58</w:t>
            </w:r>
          </w:p>
        </w:tc>
        <w:tc>
          <w:tcPr>
            <w:tcW w:w="945" w:type="dxa"/>
            <w:noWrap/>
            <w:hideMark/>
          </w:tcPr>
          <w:p w14:paraId="7A8C4AF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48.6</w:t>
            </w:r>
          </w:p>
        </w:tc>
      </w:tr>
      <w:tr w:rsidR="006513B7" w:rsidRPr="006513B7" w14:paraId="2A5C4C9A"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47A658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Tripura</w:t>
            </w:r>
          </w:p>
        </w:tc>
        <w:tc>
          <w:tcPr>
            <w:tcW w:w="944" w:type="dxa"/>
            <w:noWrap/>
            <w:hideMark/>
          </w:tcPr>
          <w:p w14:paraId="36967EC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4" w:type="dxa"/>
            <w:noWrap/>
            <w:hideMark/>
          </w:tcPr>
          <w:p w14:paraId="468B819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70F79F7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98.7</w:t>
            </w:r>
          </w:p>
        </w:tc>
        <w:tc>
          <w:tcPr>
            <w:tcW w:w="945" w:type="dxa"/>
            <w:noWrap/>
            <w:hideMark/>
          </w:tcPr>
          <w:p w14:paraId="66ADDD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21.2</w:t>
            </w:r>
          </w:p>
        </w:tc>
        <w:tc>
          <w:tcPr>
            <w:tcW w:w="1053" w:type="dxa"/>
            <w:noWrap/>
            <w:hideMark/>
          </w:tcPr>
          <w:p w14:paraId="371514E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30537.59</w:t>
            </w:r>
          </w:p>
        </w:tc>
        <w:tc>
          <w:tcPr>
            <w:tcW w:w="945" w:type="dxa"/>
            <w:noWrap/>
            <w:hideMark/>
          </w:tcPr>
          <w:p w14:paraId="3ECF245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442</w:t>
            </w:r>
          </w:p>
        </w:tc>
        <w:tc>
          <w:tcPr>
            <w:tcW w:w="945" w:type="dxa"/>
            <w:noWrap/>
            <w:hideMark/>
          </w:tcPr>
          <w:p w14:paraId="2BB1788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52693D2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21.2</w:t>
            </w:r>
          </w:p>
        </w:tc>
      </w:tr>
      <w:tr w:rsidR="006513B7" w:rsidRPr="006513B7" w14:paraId="15BAA89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1F3695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 Pradesh</w:t>
            </w:r>
          </w:p>
        </w:tc>
        <w:tc>
          <w:tcPr>
            <w:tcW w:w="944" w:type="dxa"/>
            <w:noWrap/>
            <w:hideMark/>
          </w:tcPr>
          <w:p w14:paraId="621D0DB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4" w:type="dxa"/>
            <w:noWrap/>
            <w:hideMark/>
          </w:tcPr>
          <w:p w14:paraId="0FA3060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7C2B4CB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3427.39</w:t>
            </w:r>
          </w:p>
        </w:tc>
        <w:tc>
          <w:tcPr>
            <w:tcW w:w="945" w:type="dxa"/>
            <w:noWrap/>
            <w:hideMark/>
          </w:tcPr>
          <w:p w14:paraId="242B640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25.9</w:t>
            </w:r>
          </w:p>
        </w:tc>
        <w:tc>
          <w:tcPr>
            <w:tcW w:w="1053" w:type="dxa"/>
            <w:noWrap/>
            <w:hideMark/>
          </w:tcPr>
          <w:p w14:paraId="2FA8F5C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1011500</w:t>
            </w:r>
          </w:p>
        </w:tc>
        <w:tc>
          <w:tcPr>
            <w:tcW w:w="945" w:type="dxa"/>
            <w:noWrap/>
            <w:hideMark/>
          </w:tcPr>
          <w:p w14:paraId="7FE889B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16774</w:t>
            </w:r>
          </w:p>
        </w:tc>
        <w:tc>
          <w:tcPr>
            <w:tcW w:w="945" w:type="dxa"/>
            <w:noWrap/>
            <w:hideMark/>
          </w:tcPr>
          <w:p w14:paraId="16F8D9F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76</w:t>
            </w:r>
          </w:p>
        </w:tc>
        <w:tc>
          <w:tcPr>
            <w:tcW w:w="945" w:type="dxa"/>
            <w:noWrap/>
            <w:hideMark/>
          </w:tcPr>
          <w:p w14:paraId="63CEF5D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25.9</w:t>
            </w:r>
          </w:p>
        </w:tc>
      </w:tr>
      <w:tr w:rsidR="006513B7" w:rsidRPr="006513B7" w14:paraId="75CEEEBA"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4E1FD5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lastRenderedPageBreak/>
              <w:t>Uttarakhand</w:t>
            </w:r>
          </w:p>
        </w:tc>
        <w:tc>
          <w:tcPr>
            <w:tcW w:w="944" w:type="dxa"/>
            <w:noWrap/>
            <w:hideMark/>
          </w:tcPr>
          <w:p w14:paraId="5CC01E8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4" w:type="dxa"/>
            <w:noWrap/>
            <w:hideMark/>
          </w:tcPr>
          <w:p w14:paraId="51604F4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76CD302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649.28</w:t>
            </w:r>
          </w:p>
        </w:tc>
        <w:tc>
          <w:tcPr>
            <w:tcW w:w="945" w:type="dxa"/>
            <w:noWrap/>
            <w:hideMark/>
          </w:tcPr>
          <w:p w14:paraId="38BD233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36.3</w:t>
            </w:r>
          </w:p>
        </w:tc>
        <w:tc>
          <w:tcPr>
            <w:tcW w:w="1053" w:type="dxa"/>
            <w:noWrap/>
            <w:hideMark/>
          </w:tcPr>
          <w:p w14:paraId="4AFC766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167703.3</w:t>
            </w:r>
          </w:p>
        </w:tc>
        <w:tc>
          <w:tcPr>
            <w:tcW w:w="945" w:type="dxa"/>
            <w:noWrap/>
            <w:hideMark/>
          </w:tcPr>
          <w:p w14:paraId="5257389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2029</w:t>
            </w:r>
          </w:p>
        </w:tc>
        <w:tc>
          <w:tcPr>
            <w:tcW w:w="945" w:type="dxa"/>
            <w:noWrap/>
            <w:hideMark/>
          </w:tcPr>
          <w:p w14:paraId="7721E2C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w:t>
            </w:r>
          </w:p>
        </w:tc>
        <w:tc>
          <w:tcPr>
            <w:tcW w:w="945" w:type="dxa"/>
            <w:noWrap/>
            <w:hideMark/>
          </w:tcPr>
          <w:p w14:paraId="6A05A66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36.3</w:t>
            </w:r>
          </w:p>
        </w:tc>
      </w:tr>
      <w:tr w:rsidR="006513B7" w:rsidRPr="006513B7" w14:paraId="71E58AA7"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EA93FD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West Bengal</w:t>
            </w:r>
          </w:p>
        </w:tc>
        <w:tc>
          <w:tcPr>
            <w:tcW w:w="944" w:type="dxa"/>
            <w:noWrap/>
            <w:hideMark/>
          </w:tcPr>
          <w:p w14:paraId="5E0224A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944" w:type="dxa"/>
            <w:noWrap/>
            <w:hideMark/>
          </w:tcPr>
          <w:p w14:paraId="1344A11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2017</w:t>
            </w:r>
          </w:p>
        </w:tc>
        <w:tc>
          <w:tcPr>
            <w:tcW w:w="1053" w:type="dxa"/>
            <w:noWrap/>
            <w:hideMark/>
          </w:tcPr>
          <w:p w14:paraId="4AE5A0D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1630.73</w:t>
            </w:r>
          </w:p>
        </w:tc>
        <w:tc>
          <w:tcPr>
            <w:tcW w:w="945" w:type="dxa"/>
            <w:noWrap/>
            <w:hideMark/>
          </w:tcPr>
          <w:p w14:paraId="665820A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c>
          <w:tcPr>
            <w:tcW w:w="1053" w:type="dxa"/>
            <w:noWrap/>
            <w:hideMark/>
          </w:tcPr>
          <w:p w14:paraId="5DE8E07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653415.9</w:t>
            </w:r>
          </w:p>
        </w:tc>
        <w:tc>
          <w:tcPr>
            <w:tcW w:w="945" w:type="dxa"/>
            <w:noWrap/>
            <w:hideMark/>
          </w:tcPr>
          <w:p w14:paraId="49F7E12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7903</w:t>
            </w:r>
          </w:p>
        </w:tc>
        <w:tc>
          <w:tcPr>
            <w:tcW w:w="945" w:type="dxa"/>
            <w:noWrap/>
            <w:hideMark/>
          </w:tcPr>
          <w:p w14:paraId="4584E67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w:t>
            </w:r>
          </w:p>
        </w:tc>
        <w:tc>
          <w:tcPr>
            <w:tcW w:w="945" w:type="dxa"/>
            <w:noWrap/>
            <w:hideMark/>
          </w:tcPr>
          <w:p w14:paraId="168B1D0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r>
      <w:tr w:rsidR="006513B7" w:rsidRPr="006513B7" w14:paraId="6512086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E05253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Andhra Pradesh</w:t>
            </w:r>
          </w:p>
        </w:tc>
        <w:tc>
          <w:tcPr>
            <w:tcW w:w="944" w:type="dxa"/>
            <w:noWrap/>
            <w:hideMark/>
          </w:tcPr>
          <w:p w14:paraId="7670EB2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w:t>
            </w:r>
          </w:p>
        </w:tc>
        <w:tc>
          <w:tcPr>
            <w:tcW w:w="944" w:type="dxa"/>
            <w:noWrap/>
            <w:hideMark/>
          </w:tcPr>
          <w:p w14:paraId="64FAC21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02F3B9F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3353.69</w:t>
            </w:r>
          </w:p>
        </w:tc>
        <w:tc>
          <w:tcPr>
            <w:tcW w:w="945" w:type="dxa"/>
            <w:noWrap/>
            <w:hideMark/>
          </w:tcPr>
          <w:p w14:paraId="5B318CD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c>
          <w:tcPr>
            <w:tcW w:w="1053" w:type="dxa"/>
            <w:noWrap/>
            <w:hideMark/>
          </w:tcPr>
          <w:p w14:paraId="16F4439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594736.5</w:t>
            </w:r>
          </w:p>
        </w:tc>
        <w:tc>
          <w:tcPr>
            <w:tcW w:w="945" w:type="dxa"/>
            <w:noWrap/>
            <w:hideMark/>
          </w:tcPr>
          <w:p w14:paraId="33D0ABA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6935</w:t>
            </w:r>
          </w:p>
        </w:tc>
        <w:tc>
          <w:tcPr>
            <w:tcW w:w="945" w:type="dxa"/>
            <w:noWrap/>
            <w:hideMark/>
          </w:tcPr>
          <w:p w14:paraId="6756E6C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w:t>
            </w:r>
          </w:p>
        </w:tc>
        <w:tc>
          <w:tcPr>
            <w:tcW w:w="945" w:type="dxa"/>
            <w:noWrap/>
            <w:hideMark/>
          </w:tcPr>
          <w:p w14:paraId="0BE180A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r>
      <w:tr w:rsidR="006513B7" w:rsidRPr="006513B7" w14:paraId="492CC6C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FD9EB1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Arunachal Pradesh</w:t>
            </w:r>
          </w:p>
        </w:tc>
        <w:tc>
          <w:tcPr>
            <w:tcW w:w="944" w:type="dxa"/>
            <w:noWrap/>
            <w:hideMark/>
          </w:tcPr>
          <w:p w14:paraId="661C41E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w:t>
            </w:r>
          </w:p>
        </w:tc>
        <w:tc>
          <w:tcPr>
            <w:tcW w:w="944" w:type="dxa"/>
            <w:noWrap/>
            <w:hideMark/>
          </w:tcPr>
          <w:p w14:paraId="6519C4B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289B787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15.62</w:t>
            </w:r>
          </w:p>
        </w:tc>
        <w:tc>
          <w:tcPr>
            <w:tcW w:w="945" w:type="dxa"/>
            <w:noWrap/>
            <w:hideMark/>
          </w:tcPr>
          <w:p w14:paraId="6F6A4A7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29.7</w:t>
            </w:r>
          </w:p>
        </w:tc>
        <w:tc>
          <w:tcPr>
            <w:tcW w:w="1053" w:type="dxa"/>
            <w:noWrap/>
            <w:hideMark/>
          </w:tcPr>
          <w:p w14:paraId="5BB7CF7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15572.22</w:t>
            </w:r>
          </w:p>
        </w:tc>
        <w:tc>
          <w:tcPr>
            <w:tcW w:w="945" w:type="dxa"/>
            <w:noWrap/>
            <w:hideMark/>
          </w:tcPr>
          <w:p w14:paraId="359FA57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153</w:t>
            </w:r>
          </w:p>
        </w:tc>
        <w:tc>
          <w:tcPr>
            <w:tcW w:w="945" w:type="dxa"/>
            <w:noWrap/>
            <w:hideMark/>
          </w:tcPr>
          <w:p w14:paraId="489C4CE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5" w:type="dxa"/>
            <w:noWrap/>
            <w:hideMark/>
          </w:tcPr>
          <w:p w14:paraId="2F4019D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29.7</w:t>
            </w:r>
          </w:p>
        </w:tc>
      </w:tr>
      <w:tr w:rsidR="006513B7" w:rsidRPr="006513B7" w14:paraId="0050545A"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5D22FB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Assam</w:t>
            </w:r>
          </w:p>
        </w:tc>
        <w:tc>
          <w:tcPr>
            <w:tcW w:w="944" w:type="dxa"/>
            <w:noWrap/>
            <w:hideMark/>
          </w:tcPr>
          <w:p w14:paraId="7B7E13A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4" w:type="dxa"/>
            <w:noWrap/>
            <w:hideMark/>
          </w:tcPr>
          <w:p w14:paraId="2EC54ED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626DEE6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421.3</w:t>
            </w:r>
          </w:p>
        </w:tc>
        <w:tc>
          <w:tcPr>
            <w:tcW w:w="945" w:type="dxa"/>
            <w:noWrap/>
            <w:hideMark/>
          </w:tcPr>
          <w:p w14:paraId="2E60125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c>
          <w:tcPr>
            <w:tcW w:w="1053" w:type="dxa"/>
            <w:noWrap/>
            <w:hideMark/>
          </w:tcPr>
          <w:p w14:paraId="36ACE93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219919.4</w:t>
            </w:r>
          </w:p>
        </w:tc>
        <w:tc>
          <w:tcPr>
            <w:tcW w:w="945" w:type="dxa"/>
            <w:noWrap/>
            <w:hideMark/>
          </w:tcPr>
          <w:p w14:paraId="227C2A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2370</w:t>
            </w:r>
          </w:p>
        </w:tc>
        <w:tc>
          <w:tcPr>
            <w:tcW w:w="945" w:type="dxa"/>
            <w:noWrap/>
            <w:hideMark/>
          </w:tcPr>
          <w:p w14:paraId="1074F8C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5" w:type="dxa"/>
            <w:noWrap/>
            <w:hideMark/>
          </w:tcPr>
          <w:p w14:paraId="7277FDC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r>
      <w:tr w:rsidR="006513B7" w:rsidRPr="006513B7" w14:paraId="1983812B"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4C0C11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Bihar</w:t>
            </w:r>
          </w:p>
        </w:tc>
        <w:tc>
          <w:tcPr>
            <w:tcW w:w="944" w:type="dxa"/>
            <w:noWrap/>
            <w:hideMark/>
          </w:tcPr>
          <w:p w14:paraId="11BB376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4" w:type="dxa"/>
            <w:noWrap/>
            <w:hideMark/>
          </w:tcPr>
          <w:p w14:paraId="5649B30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6464EA8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3031.39</w:t>
            </w:r>
          </w:p>
        </w:tc>
        <w:tc>
          <w:tcPr>
            <w:tcW w:w="945" w:type="dxa"/>
            <w:noWrap/>
            <w:hideMark/>
          </w:tcPr>
          <w:p w14:paraId="0E85391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w:t>
            </w:r>
          </w:p>
        </w:tc>
        <w:tc>
          <w:tcPr>
            <w:tcW w:w="1053" w:type="dxa"/>
            <w:noWrap/>
            <w:hideMark/>
          </w:tcPr>
          <w:p w14:paraId="27EC2C9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344027.8</w:t>
            </w:r>
          </w:p>
        </w:tc>
        <w:tc>
          <w:tcPr>
            <w:tcW w:w="945" w:type="dxa"/>
            <w:noWrap/>
            <w:hideMark/>
          </w:tcPr>
          <w:p w14:paraId="2A7701F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6711</w:t>
            </w:r>
          </w:p>
        </w:tc>
        <w:tc>
          <w:tcPr>
            <w:tcW w:w="945" w:type="dxa"/>
            <w:noWrap/>
            <w:hideMark/>
          </w:tcPr>
          <w:p w14:paraId="3292E5D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w:t>
            </w:r>
          </w:p>
        </w:tc>
        <w:tc>
          <w:tcPr>
            <w:tcW w:w="945" w:type="dxa"/>
            <w:noWrap/>
            <w:hideMark/>
          </w:tcPr>
          <w:p w14:paraId="4887B6F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w:t>
            </w:r>
          </w:p>
        </w:tc>
      </w:tr>
      <w:tr w:rsidR="006513B7" w:rsidRPr="006513B7" w14:paraId="6B78F9A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4FF1B1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Chandigarh</w:t>
            </w:r>
          </w:p>
        </w:tc>
        <w:tc>
          <w:tcPr>
            <w:tcW w:w="944" w:type="dxa"/>
            <w:noWrap/>
            <w:hideMark/>
          </w:tcPr>
          <w:p w14:paraId="29C05F9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4" w:type="dxa"/>
            <w:noWrap/>
            <w:hideMark/>
          </w:tcPr>
          <w:p w14:paraId="541ECEF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3CF771D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164.72</w:t>
            </w:r>
          </w:p>
        </w:tc>
        <w:tc>
          <w:tcPr>
            <w:tcW w:w="945" w:type="dxa"/>
            <w:noWrap/>
            <w:hideMark/>
          </w:tcPr>
          <w:p w14:paraId="7BD6115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50.6</w:t>
            </w:r>
          </w:p>
        </w:tc>
        <w:tc>
          <w:tcPr>
            <w:tcW w:w="1053" w:type="dxa"/>
            <w:noWrap/>
            <w:hideMark/>
          </w:tcPr>
          <w:p w14:paraId="5E648CE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28479.68</w:t>
            </w:r>
          </w:p>
        </w:tc>
        <w:tc>
          <w:tcPr>
            <w:tcW w:w="945" w:type="dxa"/>
            <w:noWrap/>
            <w:hideMark/>
          </w:tcPr>
          <w:p w14:paraId="527E404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441</w:t>
            </w:r>
          </w:p>
        </w:tc>
        <w:tc>
          <w:tcPr>
            <w:tcW w:w="945" w:type="dxa"/>
            <w:noWrap/>
            <w:hideMark/>
          </w:tcPr>
          <w:p w14:paraId="5074ACC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2714FEA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50.6</w:t>
            </w:r>
          </w:p>
        </w:tc>
      </w:tr>
      <w:tr w:rsidR="006513B7" w:rsidRPr="006513B7" w14:paraId="41F274F2"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B0F022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Chhattisgarh</w:t>
            </w:r>
          </w:p>
        </w:tc>
        <w:tc>
          <w:tcPr>
            <w:tcW w:w="944" w:type="dxa"/>
            <w:noWrap/>
            <w:hideMark/>
          </w:tcPr>
          <w:p w14:paraId="29D2040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4" w:type="dxa"/>
            <w:noWrap/>
            <w:hideMark/>
          </w:tcPr>
          <w:p w14:paraId="78F08DE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3F80B43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560.49</w:t>
            </w:r>
          </w:p>
        </w:tc>
        <w:tc>
          <w:tcPr>
            <w:tcW w:w="945" w:type="dxa"/>
            <w:noWrap/>
            <w:hideMark/>
          </w:tcPr>
          <w:p w14:paraId="478E0E4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w:t>
            </w:r>
          </w:p>
        </w:tc>
        <w:tc>
          <w:tcPr>
            <w:tcW w:w="1053" w:type="dxa"/>
            <w:noWrap/>
            <w:hideMark/>
          </w:tcPr>
          <w:p w14:paraId="2FC6760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220135.7</w:t>
            </w:r>
          </w:p>
        </w:tc>
        <w:tc>
          <w:tcPr>
            <w:tcW w:w="945" w:type="dxa"/>
            <w:noWrap/>
            <w:hideMark/>
          </w:tcPr>
          <w:p w14:paraId="6BAB129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2516</w:t>
            </w:r>
          </w:p>
        </w:tc>
        <w:tc>
          <w:tcPr>
            <w:tcW w:w="945" w:type="dxa"/>
            <w:noWrap/>
            <w:hideMark/>
          </w:tcPr>
          <w:p w14:paraId="1CF5AE4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182AEDD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w:t>
            </w:r>
          </w:p>
        </w:tc>
      </w:tr>
      <w:tr w:rsidR="006513B7" w:rsidRPr="006513B7" w14:paraId="50B369D7"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D7D31B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Delhi</w:t>
            </w:r>
          </w:p>
        </w:tc>
        <w:tc>
          <w:tcPr>
            <w:tcW w:w="944" w:type="dxa"/>
            <w:noWrap/>
            <w:hideMark/>
          </w:tcPr>
          <w:p w14:paraId="16E9367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w:t>
            </w:r>
          </w:p>
        </w:tc>
        <w:tc>
          <w:tcPr>
            <w:tcW w:w="944" w:type="dxa"/>
            <w:noWrap/>
            <w:hideMark/>
          </w:tcPr>
          <w:p w14:paraId="0BDB25D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714640F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1404.06</w:t>
            </w:r>
          </w:p>
        </w:tc>
        <w:tc>
          <w:tcPr>
            <w:tcW w:w="945" w:type="dxa"/>
            <w:noWrap/>
            <w:hideMark/>
          </w:tcPr>
          <w:p w14:paraId="2F379B4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c>
          <w:tcPr>
            <w:tcW w:w="1053" w:type="dxa"/>
            <w:noWrap/>
            <w:hideMark/>
          </w:tcPr>
          <w:p w14:paraId="034DA2C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542015</w:t>
            </w:r>
          </w:p>
        </w:tc>
        <w:tc>
          <w:tcPr>
            <w:tcW w:w="945" w:type="dxa"/>
            <w:noWrap/>
            <w:hideMark/>
          </w:tcPr>
          <w:p w14:paraId="546A82E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3613</w:t>
            </w:r>
          </w:p>
        </w:tc>
        <w:tc>
          <w:tcPr>
            <w:tcW w:w="945" w:type="dxa"/>
            <w:noWrap/>
            <w:hideMark/>
          </w:tcPr>
          <w:p w14:paraId="152CFD9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5" w:type="dxa"/>
            <w:noWrap/>
            <w:hideMark/>
          </w:tcPr>
          <w:p w14:paraId="7A09454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r>
      <w:tr w:rsidR="006513B7" w:rsidRPr="006513B7" w14:paraId="3560DB4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DF04E0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Goa</w:t>
            </w:r>
          </w:p>
        </w:tc>
        <w:tc>
          <w:tcPr>
            <w:tcW w:w="944" w:type="dxa"/>
            <w:noWrap/>
            <w:hideMark/>
          </w:tcPr>
          <w:p w14:paraId="56EE0BC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w:t>
            </w:r>
          </w:p>
        </w:tc>
        <w:tc>
          <w:tcPr>
            <w:tcW w:w="944" w:type="dxa"/>
            <w:noWrap/>
            <w:hideMark/>
          </w:tcPr>
          <w:p w14:paraId="0545C13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6011DCC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132.02</w:t>
            </w:r>
          </w:p>
        </w:tc>
        <w:tc>
          <w:tcPr>
            <w:tcW w:w="945" w:type="dxa"/>
            <w:noWrap/>
            <w:hideMark/>
          </w:tcPr>
          <w:p w14:paraId="284FA5E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30.1</w:t>
            </w:r>
          </w:p>
        </w:tc>
        <w:tc>
          <w:tcPr>
            <w:tcW w:w="1053" w:type="dxa"/>
            <w:noWrap/>
            <w:hideMark/>
          </w:tcPr>
          <w:p w14:paraId="129D0A3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52652.69</w:t>
            </w:r>
          </w:p>
        </w:tc>
        <w:tc>
          <w:tcPr>
            <w:tcW w:w="945" w:type="dxa"/>
            <w:noWrap/>
            <w:hideMark/>
          </w:tcPr>
          <w:p w14:paraId="2D9E357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684</w:t>
            </w:r>
          </w:p>
        </w:tc>
        <w:tc>
          <w:tcPr>
            <w:tcW w:w="945" w:type="dxa"/>
            <w:noWrap/>
            <w:hideMark/>
          </w:tcPr>
          <w:p w14:paraId="2975699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185FFC5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30.1</w:t>
            </w:r>
          </w:p>
        </w:tc>
      </w:tr>
      <w:tr w:rsidR="006513B7" w:rsidRPr="006513B7" w14:paraId="5F180C3E"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FC89FF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Gujarat</w:t>
            </w:r>
          </w:p>
        </w:tc>
        <w:tc>
          <w:tcPr>
            <w:tcW w:w="944" w:type="dxa"/>
            <w:noWrap/>
            <w:hideMark/>
          </w:tcPr>
          <w:p w14:paraId="2EAE700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4" w:type="dxa"/>
            <w:noWrap/>
            <w:hideMark/>
          </w:tcPr>
          <w:p w14:paraId="750D4C9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1A40C4C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1639.88</w:t>
            </w:r>
          </w:p>
        </w:tc>
        <w:tc>
          <w:tcPr>
            <w:tcW w:w="945" w:type="dxa"/>
            <w:noWrap/>
            <w:hideMark/>
          </w:tcPr>
          <w:p w14:paraId="41C8F01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20.4</w:t>
            </w:r>
          </w:p>
        </w:tc>
        <w:tc>
          <w:tcPr>
            <w:tcW w:w="1053" w:type="dxa"/>
            <w:noWrap/>
            <w:hideMark/>
          </w:tcPr>
          <w:p w14:paraId="54AE686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1086570</w:t>
            </w:r>
          </w:p>
        </w:tc>
        <w:tc>
          <w:tcPr>
            <w:tcW w:w="945" w:type="dxa"/>
            <w:noWrap/>
            <w:hideMark/>
          </w:tcPr>
          <w:p w14:paraId="41E757E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7922</w:t>
            </w:r>
          </w:p>
        </w:tc>
        <w:tc>
          <w:tcPr>
            <w:tcW w:w="945" w:type="dxa"/>
            <w:noWrap/>
            <w:hideMark/>
          </w:tcPr>
          <w:p w14:paraId="6323629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72</w:t>
            </w:r>
          </w:p>
        </w:tc>
        <w:tc>
          <w:tcPr>
            <w:tcW w:w="945" w:type="dxa"/>
            <w:noWrap/>
            <w:hideMark/>
          </w:tcPr>
          <w:p w14:paraId="5F8A7E3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20.4</w:t>
            </w:r>
          </w:p>
        </w:tc>
      </w:tr>
      <w:tr w:rsidR="006513B7" w:rsidRPr="006513B7" w14:paraId="6D578FAE"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89A9CB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Haryana</w:t>
            </w:r>
          </w:p>
        </w:tc>
        <w:tc>
          <w:tcPr>
            <w:tcW w:w="944" w:type="dxa"/>
            <w:noWrap/>
            <w:hideMark/>
          </w:tcPr>
          <w:p w14:paraId="1E79D09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4" w:type="dxa"/>
            <w:noWrap/>
            <w:hideMark/>
          </w:tcPr>
          <w:p w14:paraId="4243599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2CCFD21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1064.74</w:t>
            </w:r>
          </w:p>
        </w:tc>
        <w:tc>
          <w:tcPr>
            <w:tcW w:w="945" w:type="dxa"/>
            <w:noWrap/>
            <w:hideMark/>
          </w:tcPr>
          <w:p w14:paraId="3BBA871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29.2</w:t>
            </w:r>
          </w:p>
        </w:tc>
        <w:tc>
          <w:tcPr>
            <w:tcW w:w="1053" w:type="dxa"/>
            <w:noWrap/>
            <w:hideMark/>
          </w:tcPr>
          <w:p w14:paraId="7DDDE1B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482036.2</w:t>
            </w:r>
          </w:p>
        </w:tc>
        <w:tc>
          <w:tcPr>
            <w:tcW w:w="945" w:type="dxa"/>
            <w:noWrap/>
            <w:hideMark/>
          </w:tcPr>
          <w:p w14:paraId="4429DBB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4842</w:t>
            </w:r>
          </w:p>
        </w:tc>
        <w:tc>
          <w:tcPr>
            <w:tcW w:w="945" w:type="dxa"/>
            <w:noWrap/>
            <w:hideMark/>
          </w:tcPr>
          <w:p w14:paraId="14DEBD0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w:t>
            </w:r>
          </w:p>
        </w:tc>
        <w:tc>
          <w:tcPr>
            <w:tcW w:w="945" w:type="dxa"/>
            <w:noWrap/>
            <w:hideMark/>
          </w:tcPr>
          <w:p w14:paraId="4007265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29.2</w:t>
            </w:r>
          </w:p>
        </w:tc>
      </w:tr>
      <w:tr w:rsidR="006513B7" w:rsidRPr="006513B7" w14:paraId="6F464766"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32FF481"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Himachal Pradesh</w:t>
            </w:r>
          </w:p>
        </w:tc>
        <w:tc>
          <w:tcPr>
            <w:tcW w:w="944" w:type="dxa"/>
            <w:noWrap/>
            <w:hideMark/>
          </w:tcPr>
          <w:p w14:paraId="71C3E11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w:t>
            </w:r>
          </w:p>
        </w:tc>
        <w:tc>
          <w:tcPr>
            <w:tcW w:w="944" w:type="dxa"/>
            <w:noWrap/>
            <w:hideMark/>
          </w:tcPr>
          <w:p w14:paraId="029EFC3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283F4B5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360.03</w:t>
            </w:r>
          </w:p>
        </w:tc>
        <w:tc>
          <w:tcPr>
            <w:tcW w:w="945" w:type="dxa"/>
            <w:noWrap/>
            <w:hideMark/>
          </w:tcPr>
          <w:p w14:paraId="1F3ADFC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36.6</w:t>
            </w:r>
          </w:p>
        </w:tc>
        <w:tc>
          <w:tcPr>
            <w:tcW w:w="1053" w:type="dxa"/>
            <w:noWrap/>
            <w:hideMark/>
          </w:tcPr>
          <w:p w14:paraId="30A8314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109406.3</w:t>
            </w:r>
          </w:p>
        </w:tc>
        <w:tc>
          <w:tcPr>
            <w:tcW w:w="945" w:type="dxa"/>
            <w:noWrap/>
            <w:hideMark/>
          </w:tcPr>
          <w:p w14:paraId="3F777C6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1531</w:t>
            </w:r>
          </w:p>
        </w:tc>
        <w:tc>
          <w:tcPr>
            <w:tcW w:w="945" w:type="dxa"/>
            <w:noWrap/>
            <w:hideMark/>
          </w:tcPr>
          <w:p w14:paraId="65EBA4A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5" w:type="dxa"/>
            <w:noWrap/>
            <w:hideMark/>
          </w:tcPr>
          <w:p w14:paraId="1C18677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36.6</w:t>
            </w:r>
          </w:p>
        </w:tc>
      </w:tr>
      <w:tr w:rsidR="006513B7" w:rsidRPr="006513B7" w14:paraId="6B98FDA7"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62E07F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Jammu and Kashmir</w:t>
            </w:r>
          </w:p>
        </w:tc>
        <w:tc>
          <w:tcPr>
            <w:tcW w:w="944" w:type="dxa"/>
            <w:noWrap/>
            <w:hideMark/>
          </w:tcPr>
          <w:p w14:paraId="5EF48EE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w:t>
            </w:r>
          </w:p>
        </w:tc>
        <w:tc>
          <w:tcPr>
            <w:tcW w:w="944" w:type="dxa"/>
            <w:noWrap/>
            <w:hideMark/>
          </w:tcPr>
          <w:p w14:paraId="671C389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40B3196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336.64</w:t>
            </w:r>
          </w:p>
        </w:tc>
        <w:tc>
          <w:tcPr>
            <w:tcW w:w="945" w:type="dxa"/>
            <w:noWrap/>
            <w:hideMark/>
          </w:tcPr>
          <w:p w14:paraId="31E2282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30.9</w:t>
            </w:r>
          </w:p>
        </w:tc>
        <w:tc>
          <w:tcPr>
            <w:tcW w:w="1053" w:type="dxa"/>
            <w:noWrap/>
            <w:hideMark/>
          </w:tcPr>
          <w:p w14:paraId="4C2B790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106624.1</w:t>
            </w:r>
          </w:p>
        </w:tc>
        <w:tc>
          <w:tcPr>
            <w:tcW w:w="945" w:type="dxa"/>
            <w:noWrap/>
            <w:hideMark/>
          </w:tcPr>
          <w:p w14:paraId="3ACEA3A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1783</w:t>
            </w:r>
          </w:p>
        </w:tc>
        <w:tc>
          <w:tcPr>
            <w:tcW w:w="945" w:type="dxa"/>
            <w:noWrap/>
            <w:hideMark/>
          </w:tcPr>
          <w:p w14:paraId="2468707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5" w:type="dxa"/>
            <w:noWrap/>
            <w:hideMark/>
          </w:tcPr>
          <w:p w14:paraId="55B0682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30.9</w:t>
            </w:r>
          </w:p>
        </w:tc>
      </w:tr>
      <w:tr w:rsidR="006513B7" w:rsidRPr="006513B7" w14:paraId="3CF40CBF"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747ED2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Jharkhand</w:t>
            </w:r>
          </w:p>
        </w:tc>
        <w:tc>
          <w:tcPr>
            <w:tcW w:w="944" w:type="dxa"/>
            <w:noWrap/>
            <w:hideMark/>
          </w:tcPr>
          <w:p w14:paraId="4D62946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c>
          <w:tcPr>
            <w:tcW w:w="944" w:type="dxa"/>
            <w:noWrap/>
            <w:hideMark/>
          </w:tcPr>
          <w:p w14:paraId="59E481C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2E53458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1614.39</w:t>
            </w:r>
          </w:p>
        </w:tc>
        <w:tc>
          <w:tcPr>
            <w:tcW w:w="945" w:type="dxa"/>
            <w:noWrap/>
            <w:hideMark/>
          </w:tcPr>
          <w:p w14:paraId="4B9FE3A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w:t>
            </w:r>
          </w:p>
        </w:tc>
        <w:tc>
          <w:tcPr>
            <w:tcW w:w="1053" w:type="dxa"/>
            <w:noWrap/>
            <w:hideMark/>
          </w:tcPr>
          <w:p w14:paraId="4FEE393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210587.3</w:t>
            </w:r>
          </w:p>
        </w:tc>
        <w:tc>
          <w:tcPr>
            <w:tcW w:w="945" w:type="dxa"/>
            <w:noWrap/>
            <w:hideMark/>
          </w:tcPr>
          <w:p w14:paraId="0114E26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2954</w:t>
            </w:r>
          </w:p>
        </w:tc>
        <w:tc>
          <w:tcPr>
            <w:tcW w:w="945" w:type="dxa"/>
            <w:noWrap/>
            <w:hideMark/>
          </w:tcPr>
          <w:p w14:paraId="193D1AA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5" w:type="dxa"/>
            <w:noWrap/>
            <w:hideMark/>
          </w:tcPr>
          <w:p w14:paraId="583323D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w:t>
            </w:r>
          </w:p>
        </w:tc>
      </w:tr>
      <w:tr w:rsidR="006513B7" w:rsidRPr="006513B7" w14:paraId="5C1BAA72"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999DEB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Karnataka</w:t>
            </w:r>
          </w:p>
        </w:tc>
        <w:tc>
          <w:tcPr>
            <w:tcW w:w="944" w:type="dxa"/>
            <w:noWrap/>
            <w:hideMark/>
          </w:tcPr>
          <w:p w14:paraId="1F02F35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w:t>
            </w:r>
          </w:p>
        </w:tc>
        <w:tc>
          <w:tcPr>
            <w:tcW w:w="944" w:type="dxa"/>
            <w:noWrap/>
            <w:hideMark/>
          </w:tcPr>
          <w:p w14:paraId="4F3D519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7E705F5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4744.91</w:t>
            </w:r>
          </w:p>
        </w:tc>
        <w:tc>
          <w:tcPr>
            <w:tcW w:w="945" w:type="dxa"/>
            <w:noWrap/>
            <w:hideMark/>
          </w:tcPr>
          <w:p w14:paraId="3806FAC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28.8</w:t>
            </w:r>
          </w:p>
        </w:tc>
        <w:tc>
          <w:tcPr>
            <w:tcW w:w="1053" w:type="dxa"/>
            <w:noWrap/>
            <w:hideMark/>
          </w:tcPr>
          <w:p w14:paraId="7ED0751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1019708</w:t>
            </w:r>
          </w:p>
        </w:tc>
        <w:tc>
          <w:tcPr>
            <w:tcW w:w="945" w:type="dxa"/>
            <w:noWrap/>
            <w:hideMark/>
          </w:tcPr>
          <w:p w14:paraId="1E2905C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10041</w:t>
            </w:r>
          </w:p>
        </w:tc>
        <w:tc>
          <w:tcPr>
            <w:tcW w:w="945" w:type="dxa"/>
            <w:noWrap/>
            <w:hideMark/>
          </w:tcPr>
          <w:p w14:paraId="26CF075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w:t>
            </w:r>
          </w:p>
        </w:tc>
        <w:tc>
          <w:tcPr>
            <w:tcW w:w="945" w:type="dxa"/>
            <w:noWrap/>
            <w:hideMark/>
          </w:tcPr>
          <w:p w14:paraId="6F599E5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28.8</w:t>
            </w:r>
          </w:p>
        </w:tc>
      </w:tr>
      <w:tr w:rsidR="006513B7" w:rsidRPr="006513B7" w14:paraId="46F84623"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C66BE9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Kerala</w:t>
            </w:r>
          </w:p>
        </w:tc>
        <w:tc>
          <w:tcPr>
            <w:tcW w:w="944" w:type="dxa"/>
            <w:noWrap/>
            <w:hideMark/>
          </w:tcPr>
          <w:p w14:paraId="7CAA854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4" w:type="dxa"/>
            <w:noWrap/>
            <w:hideMark/>
          </w:tcPr>
          <w:p w14:paraId="34C7567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5E4C3E0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7957.76</w:t>
            </w:r>
          </w:p>
        </w:tc>
        <w:tc>
          <w:tcPr>
            <w:tcW w:w="945" w:type="dxa"/>
            <w:noWrap/>
            <w:hideMark/>
          </w:tcPr>
          <w:p w14:paraId="2DF4CB5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w:t>
            </w:r>
          </w:p>
        </w:tc>
        <w:tc>
          <w:tcPr>
            <w:tcW w:w="1053" w:type="dxa"/>
            <w:noWrap/>
            <w:hideMark/>
          </w:tcPr>
          <w:p w14:paraId="2328B96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516189.8</w:t>
            </w:r>
          </w:p>
        </w:tc>
        <w:tc>
          <w:tcPr>
            <w:tcW w:w="945" w:type="dxa"/>
            <w:noWrap/>
            <w:hideMark/>
          </w:tcPr>
          <w:p w14:paraId="6C5E134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6382</w:t>
            </w:r>
          </w:p>
        </w:tc>
        <w:tc>
          <w:tcPr>
            <w:tcW w:w="945" w:type="dxa"/>
            <w:noWrap/>
            <w:hideMark/>
          </w:tcPr>
          <w:p w14:paraId="7016DA6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5" w:type="dxa"/>
            <w:noWrap/>
            <w:hideMark/>
          </w:tcPr>
          <w:p w14:paraId="37C6214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w:t>
            </w:r>
          </w:p>
        </w:tc>
      </w:tr>
      <w:tr w:rsidR="006513B7" w:rsidRPr="006513B7" w14:paraId="6480A9F6"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DA78B4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Madhya Pradesh</w:t>
            </w:r>
          </w:p>
        </w:tc>
        <w:tc>
          <w:tcPr>
            <w:tcW w:w="944" w:type="dxa"/>
            <w:noWrap/>
            <w:hideMark/>
          </w:tcPr>
          <w:p w14:paraId="5F96DF1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w:t>
            </w:r>
          </w:p>
        </w:tc>
        <w:tc>
          <w:tcPr>
            <w:tcW w:w="944" w:type="dxa"/>
            <w:noWrap/>
            <w:hideMark/>
          </w:tcPr>
          <w:p w14:paraId="39FA177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4A63892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1942.26</w:t>
            </w:r>
          </w:p>
        </w:tc>
        <w:tc>
          <w:tcPr>
            <w:tcW w:w="945" w:type="dxa"/>
            <w:noWrap/>
            <w:hideMark/>
          </w:tcPr>
          <w:p w14:paraId="67914AD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21.5</w:t>
            </w:r>
          </w:p>
        </w:tc>
        <w:tc>
          <w:tcPr>
            <w:tcW w:w="1053" w:type="dxa"/>
            <w:noWrap/>
            <w:hideMark/>
          </w:tcPr>
          <w:p w14:paraId="4BF2459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497101.7</w:t>
            </w:r>
          </w:p>
        </w:tc>
        <w:tc>
          <w:tcPr>
            <w:tcW w:w="945" w:type="dxa"/>
            <w:noWrap/>
            <w:hideMark/>
          </w:tcPr>
          <w:p w14:paraId="2863D5D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6581</w:t>
            </w:r>
          </w:p>
        </w:tc>
        <w:tc>
          <w:tcPr>
            <w:tcW w:w="945" w:type="dxa"/>
            <w:noWrap/>
            <w:hideMark/>
          </w:tcPr>
          <w:p w14:paraId="190F973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w:t>
            </w:r>
          </w:p>
        </w:tc>
        <w:tc>
          <w:tcPr>
            <w:tcW w:w="945" w:type="dxa"/>
            <w:noWrap/>
            <w:hideMark/>
          </w:tcPr>
          <w:p w14:paraId="0628C0F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21.5</w:t>
            </w:r>
          </w:p>
        </w:tc>
      </w:tr>
      <w:tr w:rsidR="006513B7" w:rsidRPr="006513B7" w14:paraId="24B3E5B9"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7052C7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Maharashtra</w:t>
            </w:r>
          </w:p>
        </w:tc>
        <w:tc>
          <w:tcPr>
            <w:tcW w:w="944" w:type="dxa"/>
            <w:noWrap/>
            <w:hideMark/>
          </w:tcPr>
          <w:p w14:paraId="5C87B2D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c>
          <w:tcPr>
            <w:tcW w:w="944" w:type="dxa"/>
            <w:noWrap/>
            <w:hideMark/>
          </w:tcPr>
          <w:p w14:paraId="5CE595C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6EAF2C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5581.7</w:t>
            </w:r>
          </w:p>
        </w:tc>
        <w:tc>
          <w:tcPr>
            <w:tcW w:w="945" w:type="dxa"/>
            <w:noWrap/>
            <w:hideMark/>
          </w:tcPr>
          <w:p w14:paraId="5150380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1053" w:type="dxa"/>
            <w:noWrap/>
            <w:hideMark/>
          </w:tcPr>
          <w:p w14:paraId="0D82B4C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1888706</w:t>
            </w:r>
          </w:p>
        </w:tc>
        <w:tc>
          <w:tcPr>
            <w:tcW w:w="945" w:type="dxa"/>
            <w:noWrap/>
            <w:hideMark/>
          </w:tcPr>
          <w:p w14:paraId="6A5DBAF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12462</w:t>
            </w:r>
          </w:p>
        </w:tc>
        <w:tc>
          <w:tcPr>
            <w:tcW w:w="945" w:type="dxa"/>
            <w:noWrap/>
            <w:hideMark/>
          </w:tcPr>
          <w:p w14:paraId="28D96D1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5" w:type="dxa"/>
            <w:noWrap/>
            <w:hideMark/>
          </w:tcPr>
          <w:p w14:paraId="383A03E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r>
      <w:tr w:rsidR="006513B7" w:rsidRPr="006513B7" w14:paraId="4AE3A08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4809DE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Manipur</w:t>
            </w:r>
          </w:p>
        </w:tc>
        <w:tc>
          <w:tcPr>
            <w:tcW w:w="944" w:type="dxa"/>
            <w:noWrap/>
            <w:hideMark/>
          </w:tcPr>
          <w:p w14:paraId="7536B3D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944" w:type="dxa"/>
            <w:noWrap/>
            <w:hideMark/>
          </w:tcPr>
          <w:p w14:paraId="4E9ECBF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3D02F8A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26.58</w:t>
            </w:r>
          </w:p>
        </w:tc>
        <w:tc>
          <w:tcPr>
            <w:tcW w:w="945" w:type="dxa"/>
            <w:noWrap/>
            <w:hideMark/>
          </w:tcPr>
          <w:p w14:paraId="3608F9A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33.7</w:t>
            </w:r>
          </w:p>
        </w:tc>
        <w:tc>
          <w:tcPr>
            <w:tcW w:w="1053" w:type="dxa"/>
            <w:noWrap/>
            <w:hideMark/>
          </w:tcPr>
          <w:p w14:paraId="115F3CB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18750.74</w:t>
            </w:r>
          </w:p>
        </w:tc>
        <w:tc>
          <w:tcPr>
            <w:tcW w:w="945" w:type="dxa"/>
            <w:noWrap/>
            <w:hideMark/>
          </w:tcPr>
          <w:p w14:paraId="0DA9DEC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176</w:t>
            </w:r>
          </w:p>
        </w:tc>
        <w:tc>
          <w:tcPr>
            <w:tcW w:w="945" w:type="dxa"/>
            <w:noWrap/>
            <w:hideMark/>
          </w:tcPr>
          <w:p w14:paraId="48D5248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5" w:type="dxa"/>
            <w:noWrap/>
            <w:hideMark/>
          </w:tcPr>
          <w:p w14:paraId="33E748E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33.7</w:t>
            </w:r>
          </w:p>
        </w:tc>
      </w:tr>
      <w:tr w:rsidR="006513B7" w:rsidRPr="006513B7" w14:paraId="1413C47E"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9931FA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Mizoram</w:t>
            </w:r>
          </w:p>
        </w:tc>
        <w:tc>
          <w:tcPr>
            <w:tcW w:w="944" w:type="dxa"/>
            <w:noWrap/>
            <w:hideMark/>
          </w:tcPr>
          <w:p w14:paraId="3C315E9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w:t>
            </w:r>
          </w:p>
        </w:tc>
        <w:tc>
          <w:tcPr>
            <w:tcW w:w="944" w:type="dxa"/>
            <w:noWrap/>
            <w:hideMark/>
          </w:tcPr>
          <w:p w14:paraId="4D06D7C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1A905F4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12.34</w:t>
            </w:r>
          </w:p>
        </w:tc>
        <w:tc>
          <w:tcPr>
            <w:tcW w:w="945" w:type="dxa"/>
            <w:noWrap/>
            <w:hideMark/>
          </w:tcPr>
          <w:p w14:paraId="2FA4284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25.7</w:t>
            </w:r>
          </w:p>
        </w:tc>
        <w:tc>
          <w:tcPr>
            <w:tcW w:w="1053" w:type="dxa"/>
            <w:noWrap/>
            <w:hideMark/>
          </w:tcPr>
          <w:p w14:paraId="47A9B41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14757.78</w:t>
            </w:r>
          </w:p>
        </w:tc>
        <w:tc>
          <w:tcPr>
            <w:tcW w:w="945" w:type="dxa"/>
            <w:noWrap/>
            <w:hideMark/>
          </w:tcPr>
          <w:p w14:paraId="546F763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190</w:t>
            </w:r>
          </w:p>
        </w:tc>
        <w:tc>
          <w:tcPr>
            <w:tcW w:w="945" w:type="dxa"/>
            <w:noWrap/>
            <w:hideMark/>
          </w:tcPr>
          <w:p w14:paraId="53178A0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49170B2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25.7</w:t>
            </w:r>
          </w:p>
        </w:tc>
      </w:tr>
      <w:tr w:rsidR="006513B7" w:rsidRPr="006513B7" w14:paraId="70194A87"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565C9C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Nagaland</w:t>
            </w:r>
          </w:p>
        </w:tc>
        <w:tc>
          <w:tcPr>
            <w:tcW w:w="944" w:type="dxa"/>
            <w:noWrap/>
            <w:hideMark/>
          </w:tcPr>
          <w:p w14:paraId="3CFA8D0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c>
          <w:tcPr>
            <w:tcW w:w="944" w:type="dxa"/>
            <w:noWrap/>
            <w:hideMark/>
          </w:tcPr>
          <w:p w14:paraId="7300B55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7D3A5B4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11.21</w:t>
            </w:r>
          </w:p>
        </w:tc>
        <w:tc>
          <w:tcPr>
            <w:tcW w:w="945" w:type="dxa"/>
            <w:noWrap/>
            <w:hideMark/>
          </w:tcPr>
          <w:p w14:paraId="42CC3F9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c>
          <w:tcPr>
            <w:tcW w:w="1053" w:type="dxa"/>
            <w:noWrap/>
            <w:hideMark/>
          </w:tcPr>
          <w:p w14:paraId="30B0F98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16439.83</w:t>
            </w:r>
          </w:p>
        </w:tc>
        <w:tc>
          <w:tcPr>
            <w:tcW w:w="945" w:type="dxa"/>
            <w:noWrap/>
            <w:hideMark/>
          </w:tcPr>
          <w:p w14:paraId="10623A5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160</w:t>
            </w:r>
          </w:p>
        </w:tc>
        <w:tc>
          <w:tcPr>
            <w:tcW w:w="945" w:type="dxa"/>
            <w:noWrap/>
            <w:hideMark/>
          </w:tcPr>
          <w:p w14:paraId="2364E43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7093C5D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r>
      <w:tr w:rsidR="006513B7" w:rsidRPr="006513B7" w14:paraId="2CB9F1EC"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54D084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Odisha</w:t>
            </w:r>
          </w:p>
        </w:tc>
        <w:tc>
          <w:tcPr>
            <w:tcW w:w="944" w:type="dxa"/>
            <w:noWrap/>
            <w:hideMark/>
          </w:tcPr>
          <w:p w14:paraId="4742EFD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4" w:type="dxa"/>
            <w:noWrap/>
            <w:hideMark/>
          </w:tcPr>
          <w:p w14:paraId="6DF814D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6143B6F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1475.14</w:t>
            </w:r>
          </w:p>
        </w:tc>
        <w:tc>
          <w:tcPr>
            <w:tcW w:w="945" w:type="dxa"/>
            <w:noWrap/>
            <w:hideMark/>
          </w:tcPr>
          <w:p w14:paraId="7DCE491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22.1</w:t>
            </w:r>
          </w:p>
        </w:tc>
        <w:tc>
          <w:tcPr>
            <w:tcW w:w="1053" w:type="dxa"/>
            <w:noWrap/>
            <w:hideMark/>
          </w:tcPr>
          <w:p w14:paraId="6DD6D5C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361116.7</w:t>
            </w:r>
          </w:p>
        </w:tc>
        <w:tc>
          <w:tcPr>
            <w:tcW w:w="945" w:type="dxa"/>
            <w:noWrap/>
            <w:hideMark/>
          </w:tcPr>
          <w:p w14:paraId="65D394F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4839</w:t>
            </w:r>
          </w:p>
        </w:tc>
        <w:tc>
          <w:tcPr>
            <w:tcW w:w="945" w:type="dxa"/>
            <w:noWrap/>
            <w:hideMark/>
          </w:tcPr>
          <w:p w14:paraId="0105F28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5C365DD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22.1</w:t>
            </w:r>
          </w:p>
        </w:tc>
      </w:tr>
      <w:tr w:rsidR="006513B7" w:rsidRPr="006513B7" w14:paraId="33A323A0"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482A54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Puducherry</w:t>
            </w:r>
          </w:p>
        </w:tc>
        <w:tc>
          <w:tcPr>
            <w:tcW w:w="944" w:type="dxa"/>
            <w:noWrap/>
            <w:hideMark/>
          </w:tcPr>
          <w:p w14:paraId="530A832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4" w:type="dxa"/>
            <w:noWrap/>
            <w:hideMark/>
          </w:tcPr>
          <w:p w14:paraId="555584F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4CDBF5B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273.34</w:t>
            </w:r>
          </w:p>
        </w:tc>
        <w:tc>
          <w:tcPr>
            <w:tcW w:w="945" w:type="dxa"/>
            <w:noWrap/>
            <w:hideMark/>
          </w:tcPr>
          <w:p w14:paraId="2D6E477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46.4</w:t>
            </w:r>
          </w:p>
        </w:tc>
        <w:tc>
          <w:tcPr>
            <w:tcW w:w="1053" w:type="dxa"/>
            <w:noWrap/>
            <w:hideMark/>
          </w:tcPr>
          <w:p w14:paraId="7AB8A63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22317.68</w:t>
            </w:r>
          </w:p>
        </w:tc>
        <w:tc>
          <w:tcPr>
            <w:tcW w:w="945" w:type="dxa"/>
            <w:noWrap/>
            <w:hideMark/>
          </w:tcPr>
          <w:p w14:paraId="18CCEA0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245</w:t>
            </w:r>
          </w:p>
        </w:tc>
        <w:tc>
          <w:tcPr>
            <w:tcW w:w="945" w:type="dxa"/>
            <w:noWrap/>
            <w:hideMark/>
          </w:tcPr>
          <w:p w14:paraId="083B50B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6693154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46.4</w:t>
            </w:r>
          </w:p>
        </w:tc>
      </w:tr>
      <w:tr w:rsidR="006513B7" w:rsidRPr="006513B7" w14:paraId="34D5BA7D"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49A6FC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Punjab</w:t>
            </w:r>
          </w:p>
        </w:tc>
        <w:tc>
          <w:tcPr>
            <w:tcW w:w="944" w:type="dxa"/>
            <w:noWrap/>
            <w:hideMark/>
          </w:tcPr>
          <w:p w14:paraId="03BE865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4" w:type="dxa"/>
            <w:noWrap/>
            <w:hideMark/>
          </w:tcPr>
          <w:p w14:paraId="3F34DD7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6A2230D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1293.81</w:t>
            </w:r>
          </w:p>
        </w:tc>
        <w:tc>
          <w:tcPr>
            <w:tcW w:w="945" w:type="dxa"/>
            <w:noWrap/>
            <w:hideMark/>
          </w:tcPr>
          <w:p w14:paraId="3CB7C06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29.5</w:t>
            </w:r>
          </w:p>
        </w:tc>
        <w:tc>
          <w:tcPr>
            <w:tcW w:w="1053" w:type="dxa"/>
            <w:noWrap/>
            <w:hideMark/>
          </w:tcPr>
          <w:p w14:paraId="705D20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375405.6</w:t>
            </w:r>
          </w:p>
        </w:tc>
        <w:tc>
          <w:tcPr>
            <w:tcW w:w="945" w:type="dxa"/>
            <w:noWrap/>
            <w:hideMark/>
          </w:tcPr>
          <w:p w14:paraId="3FB9D24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6474</w:t>
            </w:r>
          </w:p>
        </w:tc>
        <w:tc>
          <w:tcPr>
            <w:tcW w:w="945" w:type="dxa"/>
            <w:noWrap/>
            <w:hideMark/>
          </w:tcPr>
          <w:p w14:paraId="56C599B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945" w:type="dxa"/>
            <w:noWrap/>
            <w:hideMark/>
          </w:tcPr>
          <w:p w14:paraId="75A778E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29.5</w:t>
            </w:r>
          </w:p>
        </w:tc>
      </w:tr>
      <w:tr w:rsidR="006513B7" w:rsidRPr="006513B7" w14:paraId="3B9C6813"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6602A6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Rajasthan</w:t>
            </w:r>
          </w:p>
        </w:tc>
        <w:tc>
          <w:tcPr>
            <w:tcW w:w="944" w:type="dxa"/>
            <w:noWrap/>
            <w:hideMark/>
          </w:tcPr>
          <w:p w14:paraId="32474E7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4" w:type="dxa"/>
            <w:noWrap/>
            <w:hideMark/>
          </w:tcPr>
          <w:p w14:paraId="749AFD8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78FD285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1395.66</w:t>
            </w:r>
          </w:p>
        </w:tc>
        <w:tc>
          <w:tcPr>
            <w:tcW w:w="945" w:type="dxa"/>
            <w:noWrap/>
            <w:hideMark/>
          </w:tcPr>
          <w:p w14:paraId="23026F9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1053" w:type="dxa"/>
            <w:noWrap/>
            <w:hideMark/>
          </w:tcPr>
          <w:p w14:paraId="2F80052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628020</w:t>
            </w:r>
          </w:p>
        </w:tc>
        <w:tc>
          <w:tcPr>
            <w:tcW w:w="945" w:type="dxa"/>
            <w:noWrap/>
            <w:hideMark/>
          </w:tcPr>
          <w:p w14:paraId="5D5217A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7184</w:t>
            </w:r>
          </w:p>
        </w:tc>
        <w:tc>
          <w:tcPr>
            <w:tcW w:w="945" w:type="dxa"/>
            <w:noWrap/>
            <w:hideMark/>
          </w:tcPr>
          <w:p w14:paraId="31618EB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83</w:t>
            </w:r>
          </w:p>
        </w:tc>
        <w:tc>
          <w:tcPr>
            <w:tcW w:w="945" w:type="dxa"/>
            <w:noWrap/>
            <w:hideMark/>
          </w:tcPr>
          <w:p w14:paraId="06AD262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r>
      <w:tr w:rsidR="006513B7" w:rsidRPr="006513B7" w14:paraId="75A36FA2"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A51818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Tamil Nadu</w:t>
            </w:r>
          </w:p>
        </w:tc>
        <w:tc>
          <w:tcPr>
            <w:tcW w:w="944" w:type="dxa"/>
            <w:noWrap/>
            <w:hideMark/>
          </w:tcPr>
          <w:p w14:paraId="23E430E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4" w:type="dxa"/>
            <w:noWrap/>
            <w:hideMark/>
          </w:tcPr>
          <w:p w14:paraId="0435D62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206673A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15017.51</w:t>
            </w:r>
          </w:p>
        </w:tc>
        <w:tc>
          <w:tcPr>
            <w:tcW w:w="945" w:type="dxa"/>
            <w:noWrap/>
            <w:hideMark/>
          </w:tcPr>
          <w:p w14:paraId="156EEE4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w:t>
            </w:r>
          </w:p>
        </w:tc>
        <w:tc>
          <w:tcPr>
            <w:tcW w:w="1053" w:type="dxa"/>
            <w:noWrap/>
            <w:hideMark/>
          </w:tcPr>
          <w:p w14:paraId="5BB8379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1125793</w:t>
            </w:r>
          </w:p>
        </w:tc>
        <w:tc>
          <w:tcPr>
            <w:tcW w:w="945" w:type="dxa"/>
            <w:noWrap/>
            <w:hideMark/>
          </w:tcPr>
          <w:p w14:paraId="45398A3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10851</w:t>
            </w:r>
          </w:p>
        </w:tc>
        <w:tc>
          <w:tcPr>
            <w:tcW w:w="945" w:type="dxa"/>
            <w:noWrap/>
            <w:hideMark/>
          </w:tcPr>
          <w:p w14:paraId="4B789BE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59</w:t>
            </w:r>
          </w:p>
        </w:tc>
        <w:tc>
          <w:tcPr>
            <w:tcW w:w="945" w:type="dxa"/>
            <w:noWrap/>
            <w:hideMark/>
          </w:tcPr>
          <w:p w14:paraId="6D01B5A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w:t>
            </w:r>
          </w:p>
        </w:tc>
      </w:tr>
      <w:tr w:rsidR="006513B7" w:rsidRPr="006513B7" w14:paraId="6FB3E5CC"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9FE864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Tripura</w:t>
            </w:r>
          </w:p>
        </w:tc>
        <w:tc>
          <w:tcPr>
            <w:tcW w:w="944" w:type="dxa"/>
            <w:noWrap/>
            <w:hideMark/>
          </w:tcPr>
          <w:p w14:paraId="5471FEF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4" w:type="dxa"/>
            <w:noWrap/>
            <w:hideMark/>
          </w:tcPr>
          <w:p w14:paraId="344F849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699EE23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88.87</w:t>
            </w:r>
          </w:p>
        </w:tc>
        <w:tc>
          <w:tcPr>
            <w:tcW w:w="945" w:type="dxa"/>
            <w:noWrap/>
            <w:hideMark/>
          </w:tcPr>
          <w:p w14:paraId="0F59ECE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c>
          <w:tcPr>
            <w:tcW w:w="1053" w:type="dxa"/>
            <w:noWrap/>
            <w:hideMark/>
          </w:tcPr>
          <w:p w14:paraId="07E2B40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36753.96</w:t>
            </w:r>
          </w:p>
        </w:tc>
        <w:tc>
          <w:tcPr>
            <w:tcW w:w="945" w:type="dxa"/>
            <w:noWrap/>
            <w:hideMark/>
          </w:tcPr>
          <w:p w14:paraId="1F218DB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455</w:t>
            </w:r>
          </w:p>
        </w:tc>
        <w:tc>
          <w:tcPr>
            <w:tcW w:w="945" w:type="dxa"/>
            <w:noWrap/>
            <w:hideMark/>
          </w:tcPr>
          <w:p w14:paraId="65478F0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0546298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r>
      <w:tr w:rsidR="006513B7" w:rsidRPr="006513B7" w14:paraId="735BC043"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383C76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 Pradesh</w:t>
            </w:r>
          </w:p>
        </w:tc>
        <w:tc>
          <w:tcPr>
            <w:tcW w:w="944" w:type="dxa"/>
            <w:noWrap/>
            <w:hideMark/>
          </w:tcPr>
          <w:p w14:paraId="5186BEC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4" w:type="dxa"/>
            <w:noWrap/>
            <w:hideMark/>
          </w:tcPr>
          <w:p w14:paraId="3951766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05389B1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2728.86</w:t>
            </w:r>
          </w:p>
        </w:tc>
        <w:tc>
          <w:tcPr>
            <w:tcW w:w="945" w:type="dxa"/>
            <w:noWrap/>
            <w:hideMark/>
          </w:tcPr>
          <w:p w14:paraId="67A2D8B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25.8</w:t>
            </w:r>
          </w:p>
        </w:tc>
        <w:tc>
          <w:tcPr>
            <w:tcW w:w="1053" w:type="dxa"/>
            <w:noWrap/>
            <w:hideMark/>
          </w:tcPr>
          <w:p w14:paraId="6D6094A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1097353</w:t>
            </w:r>
          </w:p>
        </w:tc>
        <w:tc>
          <w:tcPr>
            <w:tcW w:w="945" w:type="dxa"/>
            <w:noWrap/>
            <w:hideMark/>
          </w:tcPr>
          <w:p w14:paraId="2D33E95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17022</w:t>
            </w:r>
          </w:p>
        </w:tc>
        <w:tc>
          <w:tcPr>
            <w:tcW w:w="945" w:type="dxa"/>
            <w:noWrap/>
            <w:hideMark/>
          </w:tcPr>
          <w:p w14:paraId="3B8C8A3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w:t>
            </w:r>
          </w:p>
        </w:tc>
        <w:tc>
          <w:tcPr>
            <w:tcW w:w="945" w:type="dxa"/>
            <w:noWrap/>
            <w:hideMark/>
          </w:tcPr>
          <w:p w14:paraId="199E923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25.8</w:t>
            </w:r>
          </w:p>
        </w:tc>
      </w:tr>
      <w:tr w:rsidR="006513B7" w:rsidRPr="006513B7" w14:paraId="7510D1F8"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1EBAF5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Uttarakhand</w:t>
            </w:r>
          </w:p>
        </w:tc>
        <w:tc>
          <w:tcPr>
            <w:tcW w:w="944" w:type="dxa"/>
            <w:noWrap/>
            <w:hideMark/>
          </w:tcPr>
          <w:p w14:paraId="69B2971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4" w:type="dxa"/>
            <w:noWrap/>
            <w:hideMark/>
          </w:tcPr>
          <w:p w14:paraId="035C0CB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7D600EB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1261.62</w:t>
            </w:r>
          </w:p>
        </w:tc>
        <w:tc>
          <w:tcPr>
            <w:tcW w:w="945" w:type="dxa"/>
            <w:noWrap/>
            <w:hideMark/>
          </w:tcPr>
          <w:p w14:paraId="6921343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39.1</w:t>
            </w:r>
          </w:p>
        </w:tc>
        <w:tc>
          <w:tcPr>
            <w:tcW w:w="1053" w:type="dxa"/>
            <w:noWrap/>
            <w:hideMark/>
          </w:tcPr>
          <w:p w14:paraId="39DDACA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186082.6</w:t>
            </w:r>
          </w:p>
        </w:tc>
        <w:tc>
          <w:tcPr>
            <w:tcW w:w="945" w:type="dxa"/>
            <w:noWrap/>
            <w:hideMark/>
          </w:tcPr>
          <w:p w14:paraId="083547C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2049</w:t>
            </w:r>
          </w:p>
        </w:tc>
        <w:tc>
          <w:tcPr>
            <w:tcW w:w="945" w:type="dxa"/>
            <w:noWrap/>
            <w:hideMark/>
          </w:tcPr>
          <w:p w14:paraId="7F0E7CB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w:t>
            </w:r>
          </w:p>
        </w:tc>
        <w:tc>
          <w:tcPr>
            <w:tcW w:w="945" w:type="dxa"/>
            <w:noWrap/>
            <w:hideMark/>
          </w:tcPr>
          <w:p w14:paraId="69D3953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39.1</w:t>
            </w:r>
          </w:p>
        </w:tc>
      </w:tr>
      <w:tr w:rsidR="006513B7" w:rsidRPr="006513B7" w14:paraId="2C2B36E7"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154199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West Bengal</w:t>
            </w:r>
          </w:p>
        </w:tc>
        <w:tc>
          <w:tcPr>
            <w:tcW w:w="944" w:type="dxa"/>
            <w:noWrap/>
            <w:hideMark/>
          </w:tcPr>
          <w:p w14:paraId="3267AC6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944" w:type="dxa"/>
            <w:noWrap/>
            <w:hideMark/>
          </w:tcPr>
          <w:p w14:paraId="4E4E85E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2018</w:t>
            </w:r>
          </w:p>
        </w:tc>
        <w:tc>
          <w:tcPr>
            <w:tcW w:w="1053" w:type="dxa"/>
            <w:noWrap/>
            <w:hideMark/>
          </w:tcPr>
          <w:p w14:paraId="35739A2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1667.31</w:t>
            </w:r>
          </w:p>
        </w:tc>
        <w:tc>
          <w:tcPr>
            <w:tcW w:w="945" w:type="dxa"/>
            <w:noWrap/>
            <w:hideMark/>
          </w:tcPr>
          <w:p w14:paraId="2EED9C9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19.3</w:t>
            </w:r>
          </w:p>
        </w:tc>
        <w:tc>
          <w:tcPr>
            <w:tcW w:w="1053" w:type="dxa"/>
            <w:noWrap/>
            <w:hideMark/>
          </w:tcPr>
          <w:p w14:paraId="6C9D1F3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738920.4</w:t>
            </w:r>
          </w:p>
        </w:tc>
        <w:tc>
          <w:tcPr>
            <w:tcW w:w="945" w:type="dxa"/>
            <w:noWrap/>
            <w:hideMark/>
          </w:tcPr>
          <w:p w14:paraId="62C2D94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7988</w:t>
            </w:r>
          </w:p>
        </w:tc>
        <w:tc>
          <w:tcPr>
            <w:tcW w:w="945" w:type="dxa"/>
            <w:noWrap/>
            <w:hideMark/>
          </w:tcPr>
          <w:p w14:paraId="6815FBB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w:t>
            </w:r>
          </w:p>
        </w:tc>
        <w:tc>
          <w:tcPr>
            <w:tcW w:w="945" w:type="dxa"/>
            <w:noWrap/>
            <w:hideMark/>
          </w:tcPr>
          <w:p w14:paraId="2E66788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19.3</w:t>
            </w:r>
          </w:p>
        </w:tc>
      </w:tr>
      <w:tr w:rsidR="006513B7" w:rsidRPr="006513B7" w14:paraId="4331771F"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0E5FD8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Andhra Pradesh</w:t>
            </w:r>
          </w:p>
        </w:tc>
        <w:tc>
          <w:tcPr>
            <w:tcW w:w="944" w:type="dxa"/>
            <w:noWrap/>
            <w:hideMark/>
          </w:tcPr>
          <w:p w14:paraId="623D0EE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w:t>
            </w:r>
          </w:p>
        </w:tc>
        <w:tc>
          <w:tcPr>
            <w:tcW w:w="944" w:type="dxa"/>
            <w:noWrap/>
            <w:hideMark/>
          </w:tcPr>
          <w:p w14:paraId="5B72418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94806E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3387.28</w:t>
            </w:r>
          </w:p>
        </w:tc>
        <w:tc>
          <w:tcPr>
            <w:tcW w:w="945" w:type="dxa"/>
            <w:noWrap/>
            <w:hideMark/>
          </w:tcPr>
          <w:p w14:paraId="6B3D63E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c>
          <w:tcPr>
            <w:tcW w:w="1053" w:type="dxa"/>
            <w:noWrap/>
            <w:hideMark/>
          </w:tcPr>
          <w:p w14:paraId="2D2E26D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626614.2</w:t>
            </w:r>
          </w:p>
        </w:tc>
        <w:tc>
          <w:tcPr>
            <w:tcW w:w="945" w:type="dxa"/>
            <w:noWrap/>
            <w:hideMark/>
          </w:tcPr>
          <w:p w14:paraId="5E94566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7087</w:t>
            </w:r>
          </w:p>
        </w:tc>
        <w:tc>
          <w:tcPr>
            <w:tcW w:w="945" w:type="dxa"/>
            <w:noWrap/>
            <w:hideMark/>
          </w:tcPr>
          <w:p w14:paraId="7BC2860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w:t>
            </w:r>
          </w:p>
        </w:tc>
        <w:tc>
          <w:tcPr>
            <w:tcW w:w="945" w:type="dxa"/>
            <w:noWrap/>
            <w:hideMark/>
          </w:tcPr>
          <w:p w14:paraId="709C9C9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r>
      <w:tr w:rsidR="006513B7" w:rsidRPr="006513B7" w14:paraId="0CE1D945"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BB3C7B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Arunachal Pradesh</w:t>
            </w:r>
          </w:p>
        </w:tc>
        <w:tc>
          <w:tcPr>
            <w:tcW w:w="944" w:type="dxa"/>
            <w:noWrap/>
            <w:hideMark/>
          </w:tcPr>
          <w:p w14:paraId="1B02719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w:t>
            </w:r>
          </w:p>
        </w:tc>
        <w:tc>
          <w:tcPr>
            <w:tcW w:w="944" w:type="dxa"/>
            <w:noWrap/>
            <w:hideMark/>
          </w:tcPr>
          <w:p w14:paraId="47CC256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7DC3330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14.9</w:t>
            </w:r>
          </w:p>
        </w:tc>
        <w:tc>
          <w:tcPr>
            <w:tcW w:w="945" w:type="dxa"/>
            <w:noWrap/>
            <w:hideMark/>
          </w:tcPr>
          <w:p w14:paraId="4488D11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29.7</w:t>
            </w:r>
          </w:p>
        </w:tc>
        <w:tc>
          <w:tcPr>
            <w:tcW w:w="1053" w:type="dxa"/>
            <w:noWrap/>
            <w:hideMark/>
          </w:tcPr>
          <w:p w14:paraId="4FC9E81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16668.38</w:t>
            </w:r>
          </w:p>
        </w:tc>
        <w:tc>
          <w:tcPr>
            <w:tcW w:w="945" w:type="dxa"/>
            <w:noWrap/>
            <w:hideMark/>
          </w:tcPr>
          <w:p w14:paraId="0FDAD0C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155</w:t>
            </w:r>
          </w:p>
        </w:tc>
        <w:tc>
          <w:tcPr>
            <w:tcW w:w="945" w:type="dxa"/>
            <w:noWrap/>
            <w:hideMark/>
          </w:tcPr>
          <w:p w14:paraId="5887D16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5" w:type="dxa"/>
            <w:noWrap/>
            <w:hideMark/>
          </w:tcPr>
          <w:p w14:paraId="6D7A6E2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29.7</w:t>
            </w:r>
          </w:p>
        </w:tc>
      </w:tr>
      <w:tr w:rsidR="006513B7" w:rsidRPr="006513B7" w14:paraId="0E745928"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F58D79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Assam</w:t>
            </w:r>
          </w:p>
        </w:tc>
        <w:tc>
          <w:tcPr>
            <w:tcW w:w="944" w:type="dxa"/>
            <w:noWrap/>
            <w:hideMark/>
          </w:tcPr>
          <w:p w14:paraId="1E53F6E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4" w:type="dxa"/>
            <w:noWrap/>
            <w:hideMark/>
          </w:tcPr>
          <w:p w14:paraId="1632D79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3785FBD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421.3</w:t>
            </w:r>
          </w:p>
        </w:tc>
        <w:tc>
          <w:tcPr>
            <w:tcW w:w="945" w:type="dxa"/>
            <w:noWrap/>
            <w:hideMark/>
          </w:tcPr>
          <w:p w14:paraId="2A1A8F1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c>
          <w:tcPr>
            <w:tcW w:w="1053" w:type="dxa"/>
            <w:noWrap/>
            <w:hideMark/>
          </w:tcPr>
          <w:p w14:paraId="57EF489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231039.6</w:t>
            </w:r>
          </w:p>
        </w:tc>
        <w:tc>
          <w:tcPr>
            <w:tcW w:w="945" w:type="dxa"/>
            <w:noWrap/>
            <w:hideMark/>
          </w:tcPr>
          <w:p w14:paraId="11C13C7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2404</w:t>
            </w:r>
          </w:p>
        </w:tc>
        <w:tc>
          <w:tcPr>
            <w:tcW w:w="945" w:type="dxa"/>
            <w:noWrap/>
            <w:hideMark/>
          </w:tcPr>
          <w:p w14:paraId="3D38CEF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5" w:type="dxa"/>
            <w:noWrap/>
            <w:hideMark/>
          </w:tcPr>
          <w:p w14:paraId="47687C4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r>
      <w:tr w:rsidR="006513B7" w:rsidRPr="006513B7" w14:paraId="5C7E914F"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08D113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Bihar</w:t>
            </w:r>
          </w:p>
        </w:tc>
        <w:tc>
          <w:tcPr>
            <w:tcW w:w="944" w:type="dxa"/>
            <w:noWrap/>
            <w:hideMark/>
          </w:tcPr>
          <w:p w14:paraId="5ED997C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4" w:type="dxa"/>
            <w:noWrap/>
            <w:hideMark/>
          </w:tcPr>
          <w:p w14:paraId="5CA1C89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5988A3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3031.39</w:t>
            </w:r>
          </w:p>
        </w:tc>
        <w:tc>
          <w:tcPr>
            <w:tcW w:w="945" w:type="dxa"/>
            <w:noWrap/>
            <w:hideMark/>
          </w:tcPr>
          <w:p w14:paraId="07FB3F8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w:t>
            </w:r>
          </w:p>
        </w:tc>
        <w:tc>
          <w:tcPr>
            <w:tcW w:w="1053" w:type="dxa"/>
            <w:noWrap/>
            <w:hideMark/>
          </w:tcPr>
          <w:p w14:paraId="4CC0752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381382.5</w:t>
            </w:r>
          </w:p>
        </w:tc>
        <w:tc>
          <w:tcPr>
            <w:tcW w:w="945" w:type="dxa"/>
            <w:noWrap/>
            <w:hideMark/>
          </w:tcPr>
          <w:p w14:paraId="0E5A6C7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6917</w:t>
            </w:r>
          </w:p>
        </w:tc>
        <w:tc>
          <w:tcPr>
            <w:tcW w:w="945" w:type="dxa"/>
            <w:noWrap/>
            <w:hideMark/>
          </w:tcPr>
          <w:p w14:paraId="3DFF3C1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w:t>
            </w:r>
          </w:p>
        </w:tc>
        <w:tc>
          <w:tcPr>
            <w:tcW w:w="945" w:type="dxa"/>
            <w:noWrap/>
            <w:hideMark/>
          </w:tcPr>
          <w:p w14:paraId="03B1F13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w:t>
            </w:r>
          </w:p>
        </w:tc>
      </w:tr>
      <w:tr w:rsidR="006513B7" w:rsidRPr="006513B7" w14:paraId="6B3CA6C1"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E99597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Chandigarh</w:t>
            </w:r>
          </w:p>
        </w:tc>
        <w:tc>
          <w:tcPr>
            <w:tcW w:w="944" w:type="dxa"/>
            <w:noWrap/>
            <w:hideMark/>
          </w:tcPr>
          <w:p w14:paraId="5C0B0FC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4" w:type="dxa"/>
            <w:noWrap/>
            <w:hideMark/>
          </w:tcPr>
          <w:p w14:paraId="2F698A2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7EE4F45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164.72</w:t>
            </w:r>
          </w:p>
        </w:tc>
        <w:tc>
          <w:tcPr>
            <w:tcW w:w="945" w:type="dxa"/>
            <w:noWrap/>
            <w:hideMark/>
          </w:tcPr>
          <w:p w14:paraId="307EC47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50.6</w:t>
            </w:r>
          </w:p>
        </w:tc>
        <w:tc>
          <w:tcPr>
            <w:tcW w:w="1053" w:type="dxa"/>
            <w:noWrap/>
            <w:hideMark/>
          </w:tcPr>
          <w:p w14:paraId="0A42C8E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29865.79</w:t>
            </w:r>
          </w:p>
        </w:tc>
        <w:tc>
          <w:tcPr>
            <w:tcW w:w="945" w:type="dxa"/>
            <w:noWrap/>
            <w:hideMark/>
          </w:tcPr>
          <w:p w14:paraId="3F21A24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442</w:t>
            </w:r>
          </w:p>
        </w:tc>
        <w:tc>
          <w:tcPr>
            <w:tcW w:w="945" w:type="dxa"/>
            <w:noWrap/>
            <w:hideMark/>
          </w:tcPr>
          <w:p w14:paraId="085A5FC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0E18DF5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50.6</w:t>
            </w:r>
          </w:p>
        </w:tc>
      </w:tr>
      <w:tr w:rsidR="006513B7" w:rsidRPr="006513B7" w14:paraId="2330BAA7"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0D6230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Chhattisgarh</w:t>
            </w:r>
          </w:p>
        </w:tc>
        <w:tc>
          <w:tcPr>
            <w:tcW w:w="944" w:type="dxa"/>
            <w:noWrap/>
            <w:hideMark/>
          </w:tcPr>
          <w:p w14:paraId="020A0F5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4" w:type="dxa"/>
            <w:noWrap/>
            <w:hideMark/>
          </w:tcPr>
          <w:p w14:paraId="56FA7F7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62F9381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560.49</w:t>
            </w:r>
          </w:p>
        </w:tc>
        <w:tc>
          <w:tcPr>
            <w:tcW w:w="945" w:type="dxa"/>
            <w:noWrap/>
            <w:hideMark/>
          </w:tcPr>
          <w:p w14:paraId="0DEAF51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w:t>
            </w:r>
          </w:p>
        </w:tc>
        <w:tc>
          <w:tcPr>
            <w:tcW w:w="1053" w:type="dxa"/>
            <w:noWrap/>
            <w:hideMark/>
          </w:tcPr>
          <w:p w14:paraId="09C89E6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244579.2</w:t>
            </w:r>
          </w:p>
        </w:tc>
        <w:tc>
          <w:tcPr>
            <w:tcW w:w="945" w:type="dxa"/>
            <w:noWrap/>
            <w:hideMark/>
          </w:tcPr>
          <w:p w14:paraId="7071168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2634</w:t>
            </w:r>
          </w:p>
        </w:tc>
        <w:tc>
          <w:tcPr>
            <w:tcW w:w="945" w:type="dxa"/>
            <w:noWrap/>
            <w:hideMark/>
          </w:tcPr>
          <w:p w14:paraId="3D7B103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3529E48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w:t>
            </w:r>
          </w:p>
        </w:tc>
      </w:tr>
      <w:tr w:rsidR="006513B7" w:rsidRPr="006513B7" w14:paraId="0D44910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F75679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Delhi</w:t>
            </w:r>
          </w:p>
        </w:tc>
        <w:tc>
          <w:tcPr>
            <w:tcW w:w="944" w:type="dxa"/>
            <w:noWrap/>
            <w:hideMark/>
          </w:tcPr>
          <w:p w14:paraId="761309C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w:t>
            </w:r>
          </w:p>
        </w:tc>
        <w:tc>
          <w:tcPr>
            <w:tcW w:w="944" w:type="dxa"/>
            <w:noWrap/>
            <w:hideMark/>
          </w:tcPr>
          <w:p w14:paraId="536B0AE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C8E4A9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1379.26</w:t>
            </w:r>
          </w:p>
        </w:tc>
        <w:tc>
          <w:tcPr>
            <w:tcW w:w="945" w:type="dxa"/>
            <w:noWrap/>
            <w:hideMark/>
          </w:tcPr>
          <w:p w14:paraId="09D124D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c>
          <w:tcPr>
            <w:tcW w:w="1053" w:type="dxa"/>
            <w:noWrap/>
            <w:hideMark/>
          </w:tcPr>
          <w:p w14:paraId="377EB0E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565326.9</w:t>
            </w:r>
          </w:p>
        </w:tc>
        <w:tc>
          <w:tcPr>
            <w:tcW w:w="945" w:type="dxa"/>
            <w:noWrap/>
            <w:hideMark/>
          </w:tcPr>
          <w:p w14:paraId="1255909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3716</w:t>
            </w:r>
          </w:p>
        </w:tc>
        <w:tc>
          <w:tcPr>
            <w:tcW w:w="945" w:type="dxa"/>
            <w:noWrap/>
            <w:hideMark/>
          </w:tcPr>
          <w:p w14:paraId="7798E8A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5" w:type="dxa"/>
            <w:noWrap/>
            <w:hideMark/>
          </w:tcPr>
          <w:p w14:paraId="4022AC9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r>
      <w:tr w:rsidR="006513B7" w:rsidRPr="006513B7" w14:paraId="2B7389E5"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A7D51E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Goa</w:t>
            </w:r>
          </w:p>
        </w:tc>
        <w:tc>
          <w:tcPr>
            <w:tcW w:w="944" w:type="dxa"/>
            <w:noWrap/>
            <w:hideMark/>
          </w:tcPr>
          <w:p w14:paraId="54BCBF6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w:t>
            </w:r>
          </w:p>
        </w:tc>
        <w:tc>
          <w:tcPr>
            <w:tcW w:w="944" w:type="dxa"/>
            <w:noWrap/>
            <w:hideMark/>
          </w:tcPr>
          <w:p w14:paraId="68077EC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0297602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132.02</w:t>
            </w:r>
          </w:p>
        </w:tc>
        <w:tc>
          <w:tcPr>
            <w:tcW w:w="945" w:type="dxa"/>
            <w:noWrap/>
            <w:hideMark/>
          </w:tcPr>
          <w:p w14:paraId="0450731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30.1</w:t>
            </w:r>
          </w:p>
        </w:tc>
        <w:tc>
          <w:tcPr>
            <w:tcW w:w="1053" w:type="dxa"/>
            <w:noWrap/>
            <w:hideMark/>
          </w:tcPr>
          <w:p w14:paraId="1D5AFDD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53063.01</w:t>
            </w:r>
          </w:p>
        </w:tc>
        <w:tc>
          <w:tcPr>
            <w:tcW w:w="945" w:type="dxa"/>
            <w:noWrap/>
            <w:hideMark/>
          </w:tcPr>
          <w:p w14:paraId="46C7EC9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697</w:t>
            </w:r>
          </w:p>
        </w:tc>
        <w:tc>
          <w:tcPr>
            <w:tcW w:w="945" w:type="dxa"/>
            <w:noWrap/>
            <w:hideMark/>
          </w:tcPr>
          <w:p w14:paraId="7ECC5E3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0147682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30.1</w:t>
            </w:r>
          </w:p>
        </w:tc>
      </w:tr>
      <w:tr w:rsidR="006513B7" w:rsidRPr="006513B7" w14:paraId="1FDDD8D1"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A7DD4F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Gujarat</w:t>
            </w:r>
          </w:p>
        </w:tc>
        <w:tc>
          <w:tcPr>
            <w:tcW w:w="944" w:type="dxa"/>
            <w:noWrap/>
            <w:hideMark/>
          </w:tcPr>
          <w:p w14:paraId="18608EC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4" w:type="dxa"/>
            <w:noWrap/>
            <w:hideMark/>
          </w:tcPr>
          <w:p w14:paraId="4B51D4C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1D5C90C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1639.88</w:t>
            </w:r>
          </w:p>
        </w:tc>
        <w:tc>
          <w:tcPr>
            <w:tcW w:w="945" w:type="dxa"/>
            <w:noWrap/>
            <w:hideMark/>
          </w:tcPr>
          <w:p w14:paraId="032AE03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20.4</w:t>
            </w:r>
          </w:p>
        </w:tc>
        <w:tc>
          <w:tcPr>
            <w:tcW w:w="1053" w:type="dxa"/>
            <w:noWrap/>
            <w:hideMark/>
          </w:tcPr>
          <w:p w14:paraId="1EE7464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1183020</w:t>
            </w:r>
          </w:p>
        </w:tc>
        <w:tc>
          <w:tcPr>
            <w:tcW w:w="945" w:type="dxa"/>
            <w:noWrap/>
            <w:hideMark/>
          </w:tcPr>
          <w:p w14:paraId="297F545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8150</w:t>
            </w:r>
          </w:p>
        </w:tc>
        <w:tc>
          <w:tcPr>
            <w:tcW w:w="945" w:type="dxa"/>
            <w:noWrap/>
            <w:hideMark/>
          </w:tcPr>
          <w:p w14:paraId="14D3F3A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72</w:t>
            </w:r>
          </w:p>
        </w:tc>
        <w:tc>
          <w:tcPr>
            <w:tcW w:w="945" w:type="dxa"/>
            <w:noWrap/>
            <w:hideMark/>
          </w:tcPr>
          <w:p w14:paraId="2236801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20.4</w:t>
            </w:r>
          </w:p>
        </w:tc>
      </w:tr>
      <w:tr w:rsidR="006513B7" w:rsidRPr="006513B7" w14:paraId="70DCB084"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CD37C3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Haryana</w:t>
            </w:r>
          </w:p>
        </w:tc>
        <w:tc>
          <w:tcPr>
            <w:tcW w:w="944" w:type="dxa"/>
            <w:noWrap/>
            <w:hideMark/>
          </w:tcPr>
          <w:p w14:paraId="7850AC2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4" w:type="dxa"/>
            <w:noWrap/>
            <w:hideMark/>
          </w:tcPr>
          <w:p w14:paraId="49E96F7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1B67237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1064.74</w:t>
            </w:r>
          </w:p>
        </w:tc>
        <w:tc>
          <w:tcPr>
            <w:tcW w:w="945" w:type="dxa"/>
            <w:noWrap/>
            <w:hideMark/>
          </w:tcPr>
          <w:p w14:paraId="5EC78AC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29.2</w:t>
            </w:r>
          </w:p>
        </w:tc>
        <w:tc>
          <w:tcPr>
            <w:tcW w:w="1053" w:type="dxa"/>
            <w:noWrap/>
            <w:hideMark/>
          </w:tcPr>
          <w:p w14:paraId="2822ECC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532996</w:t>
            </w:r>
          </w:p>
        </w:tc>
        <w:tc>
          <w:tcPr>
            <w:tcW w:w="945" w:type="dxa"/>
            <w:noWrap/>
            <w:hideMark/>
          </w:tcPr>
          <w:p w14:paraId="5EE1450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5008</w:t>
            </w:r>
          </w:p>
        </w:tc>
        <w:tc>
          <w:tcPr>
            <w:tcW w:w="945" w:type="dxa"/>
            <w:noWrap/>
            <w:hideMark/>
          </w:tcPr>
          <w:p w14:paraId="0322487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w:t>
            </w:r>
          </w:p>
        </w:tc>
        <w:tc>
          <w:tcPr>
            <w:tcW w:w="945" w:type="dxa"/>
            <w:noWrap/>
            <w:hideMark/>
          </w:tcPr>
          <w:p w14:paraId="5542705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29.2</w:t>
            </w:r>
          </w:p>
        </w:tc>
      </w:tr>
      <w:tr w:rsidR="006513B7" w:rsidRPr="006513B7" w14:paraId="5BED3FA2"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D6CB2E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Himachal Pradesh</w:t>
            </w:r>
          </w:p>
        </w:tc>
        <w:tc>
          <w:tcPr>
            <w:tcW w:w="944" w:type="dxa"/>
            <w:noWrap/>
            <w:hideMark/>
          </w:tcPr>
          <w:p w14:paraId="2E18715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w:t>
            </w:r>
          </w:p>
        </w:tc>
        <w:tc>
          <w:tcPr>
            <w:tcW w:w="944" w:type="dxa"/>
            <w:noWrap/>
            <w:hideMark/>
          </w:tcPr>
          <w:p w14:paraId="7AC097C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98C901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360.03</w:t>
            </w:r>
          </w:p>
        </w:tc>
        <w:tc>
          <w:tcPr>
            <w:tcW w:w="945" w:type="dxa"/>
            <w:noWrap/>
            <w:hideMark/>
          </w:tcPr>
          <w:p w14:paraId="30802BC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39.6</w:t>
            </w:r>
          </w:p>
        </w:tc>
        <w:tc>
          <w:tcPr>
            <w:tcW w:w="1053" w:type="dxa"/>
            <w:noWrap/>
            <w:hideMark/>
          </w:tcPr>
          <w:p w14:paraId="401D3DD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116414</w:t>
            </w:r>
          </w:p>
        </w:tc>
        <w:tc>
          <w:tcPr>
            <w:tcW w:w="945" w:type="dxa"/>
            <w:noWrap/>
            <w:hideMark/>
          </w:tcPr>
          <w:p w14:paraId="3CD9A62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1635</w:t>
            </w:r>
          </w:p>
        </w:tc>
        <w:tc>
          <w:tcPr>
            <w:tcW w:w="945" w:type="dxa"/>
            <w:noWrap/>
            <w:hideMark/>
          </w:tcPr>
          <w:p w14:paraId="04C7686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5" w:type="dxa"/>
            <w:noWrap/>
            <w:hideMark/>
          </w:tcPr>
          <w:p w14:paraId="70FE040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39.6</w:t>
            </w:r>
          </w:p>
        </w:tc>
      </w:tr>
      <w:tr w:rsidR="006513B7" w:rsidRPr="006513B7" w14:paraId="215B46AF"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7AF019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lastRenderedPageBreak/>
              <w:t>Jammu and Kashmir</w:t>
            </w:r>
          </w:p>
        </w:tc>
        <w:tc>
          <w:tcPr>
            <w:tcW w:w="944" w:type="dxa"/>
            <w:noWrap/>
            <w:hideMark/>
          </w:tcPr>
          <w:p w14:paraId="4FDCF29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w:t>
            </w:r>
          </w:p>
        </w:tc>
        <w:tc>
          <w:tcPr>
            <w:tcW w:w="944" w:type="dxa"/>
            <w:noWrap/>
            <w:hideMark/>
          </w:tcPr>
          <w:p w14:paraId="6A538AE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2204D06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336.64</w:t>
            </w:r>
          </w:p>
        </w:tc>
        <w:tc>
          <w:tcPr>
            <w:tcW w:w="945" w:type="dxa"/>
            <w:noWrap/>
            <w:hideMark/>
          </w:tcPr>
          <w:p w14:paraId="2DBAFAD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30.9</w:t>
            </w:r>
          </w:p>
        </w:tc>
        <w:tc>
          <w:tcPr>
            <w:tcW w:w="1053" w:type="dxa"/>
            <w:noWrap/>
            <w:hideMark/>
          </w:tcPr>
          <w:p w14:paraId="79370A7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115062</w:t>
            </w:r>
          </w:p>
        </w:tc>
        <w:tc>
          <w:tcPr>
            <w:tcW w:w="945" w:type="dxa"/>
            <w:noWrap/>
            <w:hideMark/>
          </w:tcPr>
          <w:p w14:paraId="4F9A303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1830</w:t>
            </w:r>
          </w:p>
        </w:tc>
        <w:tc>
          <w:tcPr>
            <w:tcW w:w="945" w:type="dxa"/>
            <w:noWrap/>
            <w:hideMark/>
          </w:tcPr>
          <w:p w14:paraId="6938302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5" w:type="dxa"/>
            <w:noWrap/>
            <w:hideMark/>
          </w:tcPr>
          <w:p w14:paraId="2B9C2C4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30.9</w:t>
            </w:r>
          </w:p>
        </w:tc>
      </w:tr>
      <w:tr w:rsidR="006513B7" w:rsidRPr="006513B7" w14:paraId="48B4D84F"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5B3657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Jharkhand</w:t>
            </w:r>
          </w:p>
        </w:tc>
        <w:tc>
          <w:tcPr>
            <w:tcW w:w="944" w:type="dxa"/>
            <w:noWrap/>
            <w:hideMark/>
          </w:tcPr>
          <w:p w14:paraId="0E48616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c>
          <w:tcPr>
            <w:tcW w:w="944" w:type="dxa"/>
            <w:noWrap/>
            <w:hideMark/>
          </w:tcPr>
          <w:p w14:paraId="09CE21E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3F6B70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1614.39</w:t>
            </w:r>
          </w:p>
        </w:tc>
        <w:tc>
          <w:tcPr>
            <w:tcW w:w="945" w:type="dxa"/>
            <w:noWrap/>
            <w:hideMark/>
          </w:tcPr>
          <w:p w14:paraId="6AD8CF9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w:t>
            </w:r>
          </w:p>
        </w:tc>
        <w:tc>
          <w:tcPr>
            <w:tcW w:w="1053" w:type="dxa"/>
            <w:noWrap/>
            <w:hideMark/>
          </w:tcPr>
          <w:p w14:paraId="1AA1200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229274.5</w:t>
            </w:r>
          </w:p>
        </w:tc>
        <w:tc>
          <w:tcPr>
            <w:tcW w:w="945" w:type="dxa"/>
            <w:noWrap/>
            <w:hideMark/>
          </w:tcPr>
          <w:p w14:paraId="3256D21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3051</w:t>
            </w:r>
          </w:p>
        </w:tc>
        <w:tc>
          <w:tcPr>
            <w:tcW w:w="945" w:type="dxa"/>
            <w:noWrap/>
            <w:hideMark/>
          </w:tcPr>
          <w:p w14:paraId="47C56CA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5" w:type="dxa"/>
            <w:noWrap/>
            <w:hideMark/>
          </w:tcPr>
          <w:p w14:paraId="7BE62F6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w:t>
            </w:r>
          </w:p>
        </w:tc>
      </w:tr>
      <w:tr w:rsidR="006513B7" w:rsidRPr="006513B7" w14:paraId="6A491D0A"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CDB258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Karnataka</w:t>
            </w:r>
          </w:p>
        </w:tc>
        <w:tc>
          <w:tcPr>
            <w:tcW w:w="944" w:type="dxa"/>
            <w:noWrap/>
            <w:hideMark/>
          </w:tcPr>
          <w:p w14:paraId="5E3C0CF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w:t>
            </w:r>
          </w:p>
        </w:tc>
        <w:tc>
          <w:tcPr>
            <w:tcW w:w="944" w:type="dxa"/>
            <w:noWrap/>
            <w:hideMark/>
          </w:tcPr>
          <w:p w14:paraId="40CAB79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3BF24E2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4744.91</w:t>
            </w:r>
          </w:p>
        </w:tc>
        <w:tc>
          <w:tcPr>
            <w:tcW w:w="945" w:type="dxa"/>
            <w:noWrap/>
            <w:hideMark/>
          </w:tcPr>
          <w:p w14:paraId="59AE469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28.8</w:t>
            </w:r>
          </w:p>
        </w:tc>
        <w:tc>
          <w:tcPr>
            <w:tcW w:w="1053" w:type="dxa"/>
            <w:noWrap/>
            <w:hideMark/>
          </w:tcPr>
          <w:p w14:paraId="0DD7608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1085101</w:t>
            </w:r>
          </w:p>
        </w:tc>
        <w:tc>
          <w:tcPr>
            <w:tcW w:w="945" w:type="dxa"/>
            <w:noWrap/>
            <w:hideMark/>
          </w:tcPr>
          <w:p w14:paraId="1A9E178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10285</w:t>
            </w:r>
          </w:p>
        </w:tc>
        <w:tc>
          <w:tcPr>
            <w:tcW w:w="945" w:type="dxa"/>
            <w:noWrap/>
            <w:hideMark/>
          </w:tcPr>
          <w:p w14:paraId="3DFA11C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w:t>
            </w:r>
          </w:p>
        </w:tc>
        <w:tc>
          <w:tcPr>
            <w:tcW w:w="945" w:type="dxa"/>
            <w:noWrap/>
            <w:hideMark/>
          </w:tcPr>
          <w:p w14:paraId="3D89CB4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28.8</w:t>
            </w:r>
          </w:p>
        </w:tc>
      </w:tr>
      <w:tr w:rsidR="006513B7" w:rsidRPr="006513B7" w14:paraId="4988A1BB"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1EC013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Kerala</w:t>
            </w:r>
          </w:p>
        </w:tc>
        <w:tc>
          <w:tcPr>
            <w:tcW w:w="944" w:type="dxa"/>
            <w:noWrap/>
            <w:hideMark/>
          </w:tcPr>
          <w:p w14:paraId="25F6989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4" w:type="dxa"/>
            <w:noWrap/>
            <w:hideMark/>
          </w:tcPr>
          <w:p w14:paraId="00494A0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16AAA31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7957.79</w:t>
            </w:r>
          </w:p>
        </w:tc>
        <w:tc>
          <w:tcPr>
            <w:tcW w:w="945" w:type="dxa"/>
            <w:noWrap/>
            <w:hideMark/>
          </w:tcPr>
          <w:p w14:paraId="2B3FCFC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w:t>
            </w:r>
          </w:p>
        </w:tc>
        <w:tc>
          <w:tcPr>
            <w:tcW w:w="1053" w:type="dxa"/>
            <w:noWrap/>
            <w:hideMark/>
          </w:tcPr>
          <w:p w14:paraId="4A12B10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554228.3</w:t>
            </w:r>
          </w:p>
        </w:tc>
        <w:tc>
          <w:tcPr>
            <w:tcW w:w="945" w:type="dxa"/>
            <w:noWrap/>
            <w:hideMark/>
          </w:tcPr>
          <w:p w14:paraId="4A1E649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6622</w:t>
            </w:r>
          </w:p>
        </w:tc>
        <w:tc>
          <w:tcPr>
            <w:tcW w:w="945" w:type="dxa"/>
            <w:noWrap/>
            <w:hideMark/>
          </w:tcPr>
          <w:p w14:paraId="0B06934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5" w:type="dxa"/>
            <w:noWrap/>
            <w:hideMark/>
          </w:tcPr>
          <w:p w14:paraId="164E00F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w:t>
            </w:r>
          </w:p>
        </w:tc>
      </w:tr>
      <w:tr w:rsidR="006513B7" w:rsidRPr="006513B7" w14:paraId="4C7AFBCC"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9B1692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Madhya Pradesh</w:t>
            </w:r>
          </w:p>
        </w:tc>
        <w:tc>
          <w:tcPr>
            <w:tcW w:w="944" w:type="dxa"/>
            <w:noWrap/>
            <w:hideMark/>
          </w:tcPr>
          <w:p w14:paraId="461B344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w:t>
            </w:r>
          </w:p>
        </w:tc>
        <w:tc>
          <w:tcPr>
            <w:tcW w:w="944" w:type="dxa"/>
            <w:noWrap/>
            <w:hideMark/>
          </w:tcPr>
          <w:p w14:paraId="1CB0D24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6806CE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2126.81</w:t>
            </w:r>
          </w:p>
        </w:tc>
        <w:tc>
          <w:tcPr>
            <w:tcW w:w="945" w:type="dxa"/>
            <w:noWrap/>
            <w:hideMark/>
          </w:tcPr>
          <w:p w14:paraId="47DF863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21.5</w:t>
            </w:r>
          </w:p>
        </w:tc>
        <w:tc>
          <w:tcPr>
            <w:tcW w:w="1053" w:type="dxa"/>
            <w:noWrap/>
            <w:hideMark/>
          </w:tcPr>
          <w:p w14:paraId="652D5FD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543272</w:t>
            </w:r>
          </w:p>
        </w:tc>
        <w:tc>
          <w:tcPr>
            <w:tcW w:w="945" w:type="dxa"/>
            <w:noWrap/>
            <w:hideMark/>
          </w:tcPr>
          <w:p w14:paraId="18C3D11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6747</w:t>
            </w:r>
          </w:p>
        </w:tc>
        <w:tc>
          <w:tcPr>
            <w:tcW w:w="945" w:type="dxa"/>
            <w:noWrap/>
            <w:hideMark/>
          </w:tcPr>
          <w:p w14:paraId="2B3857F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w:t>
            </w:r>
          </w:p>
        </w:tc>
        <w:tc>
          <w:tcPr>
            <w:tcW w:w="945" w:type="dxa"/>
            <w:noWrap/>
            <w:hideMark/>
          </w:tcPr>
          <w:p w14:paraId="2B93499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21.5</w:t>
            </w:r>
          </w:p>
        </w:tc>
      </w:tr>
      <w:tr w:rsidR="006513B7" w:rsidRPr="006513B7" w14:paraId="150E0C87"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51AA81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Maharashtra</w:t>
            </w:r>
          </w:p>
        </w:tc>
        <w:tc>
          <w:tcPr>
            <w:tcW w:w="944" w:type="dxa"/>
            <w:noWrap/>
            <w:hideMark/>
          </w:tcPr>
          <w:p w14:paraId="0AAE375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c>
          <w:tcPr>
            <w:tcW w:w="944" w:type="dxa"/>
            <w:noWrap/>
            <w:hideMark/>
          </w:tcPr>
          <w:p w14:paraId="588CFF8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3433EDD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5581.7</w:t>
            </w:r>
          </w:p>
        </w:tc>
        <w:tc>
          <w:tcPr>
            <w:tcW w:w="945" w:type="dxa"/>
            <w:noWrap/>
            <w:hideMark/>
          </w:tcPr>
          <w:p w14:paraId="4737CDA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1053" w:type="dxa"/>
            <w:noWrap/>
            <w:hideMark/>
          </w:tcPr>
          <w:p w14:paraId="42D9989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1957381</w:t>
            </w:r>
          </w:p>
        </w:tc>
        <w:tc>
          <w:tcPr>
            <w:tcW w:w="945" w:type="dxa"/>
            <w:noWrap/>
            <w:hideMark/>
          </w:tcPr>
          <w:p w14:paraId="30BFF50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12943</w:t>
            </w:r>
          </w:p>
        </w:tc>
        <w:tc>
          <w:tcPr>
            <w:tcW w:w="945" w:type="dxa"/>
            <w:noWrap/>
            <w:hideMark/>
          </w:tcPr>
          <w:p w14:paraId="4F2715E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62</w:t>
            </w:r>
          </w:p>
        </w:tc>
        <w:tc>
          <w:tcPr>
            <w:tcW w:w="945" w:type="dxa"/>
            <w:noWrap/>
            <w:hideMark/>
          </w:tcPr>
          <w:p w14:paraId="297F55D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r>
      <w:tr w:rsidR="006513B7" w:rsidRPr="006513B7" w14:paraId="7B033B2C"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703599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Manipur</w:t>
            </w:r>
          </w:p>
        </w:tc>
        <w:tc>
          <w:tcPr>
            <w:tcW w:w="944" w:type="dxa"/>
            <w:noWrap/>
            <w:hideMark/>
          </w:tcPr>
          <w:p w14:paraId="369067F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944" w:type="dxa"/>
            <w:noWrap/>
            <w:hideMark/>
          </w:tcPr>
          <w:p w14:paraId="5CF2645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59FF90F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26.58</w:t>
            </w:r>
          </w:p>
        </w:tc>
        <w:tc>
          <w:tcPr>
            <w:tcW w:w="945" w:type="dxa"/>
            <w:noWrap/>
            <w:hideMark/>
          </w:tcPr>
          <w:p w14:paraId="3C68C17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33.7</w:t>
            </w:r>
          </w:p>
        </w:tc>
        <w:tc>
          <w:tcPr>
            <w:tcW w:w="1053" w:type="dxa"/>
            <w:noWrap/>
            <w:hideMark/>
          </w:tcPr>
          <w:p w14:paraId="19D2265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18262.22</w:t>
            </w:r>
          </w:p>
        </w:tc>
        <w:tc>
          <w:tcPr>
            <w:tcW w:w="945" w:type="dxa"/>
            <w:noWrap/>
            <w:hideMark/>
          </w:tcPr>
          <w:p w14:paraId="2E153E4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c>
          <w:tcPr>
            <w:tcW w:w="945" w:type="dxa"/>
            <w:noWrap/>
            <w:hideMark/>
          </w:tcPr>
          <w:p w14:paraId="00031AD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5" w:type="dxa"/>
            <w:noWrap/>
            <w:hideMark/>
          </w:tcPr>
          <w:p w14:paraId="122A476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33.7</w:t>
            </w:r>
          </w:p>
        </w:tc>
      </w:tr>
      <w:tr w:rsidR="006513B7" w:rsidRPr="006513B7" w14:paraId="0168AD2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6020A7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Mizoram</w:t>
            </w:r>
          </w:p>
        </w:tc>
        <w:tc>
          <w:tcPr>
            <w:tcW w:w="944" w:type="dxa"/>
            <w:noWrap/>
            <w:hideMark/>
          </w:tcPr>
          <w:p w14:paraId="5757989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w:t>
            </w:r>
          </w:p>
        </w:tc>
        <w:tc>
          <w:tcPr>
            <w:tcW w:w="944" w:type="dxa"/>
            <w:noWrap/>
            <w:hideMark/>
          </w:tcPr>
          <w:p w14:paraId="5685EF9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6B461F3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12.34</w:t>
            </w:r>
          </w:p>
        </w:tc>
        <w:tc>
          <w:tcPr>
            <w:tcW w:w="945" w:type="dxa"/>
            <w:noWrap/>
            <w:hideMark/>
          </w:tcPr>
          <w:p w14:paraId="7C278DB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25.7</w:t>
            </w:r>
          </w:p>
        </w:tc>
        <w:tc>
          <w:tcPr>
            <w:tcW w:w="1053" w:type="dxa"/>
            <w:noWrap/>
            <w:hideMark/>
          </w:tcPr>
          <w:p w14:paraId="14757E1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16100.37</w:t>
            </w:r>
          </w:p>
        </w:tc>
        <w:tc>
          <w:tcPr>
            <w:tcW w:w="945" w:type="dxa"/>
            <w:noWrap/>
            <w:hideMark/>
          </w:tcPr>
          <w:p w14:paraId="7A7286D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c>
          <w:tcPr>
            <w:tcW w:w="945" w:type="dxa"/>
            <w:noWrap/>
            <w:hideMark/>
          </w:tcPr>
          <w:p w14:paraId="16AB4A6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445163A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25.7</w:t>
            </w:r>
          </w:p>
        </w:tc>
      </w:tr>
      <w:tr w:rsidR="006513B7" w:rsidRPr="006513B7" w14:paraId="5386F433"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7C850F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Nagaland</w:t>
            </w:r>
          </w:p>
        </w:tc>
        <w:tc>
          <w:tcPr>
            <w:tcW w:w="944" w:type="dxa"/>
            <w:noWrap/>
            <w:hideMark/>
          </w:tcPr>
          <w:p w14:paraId="4AD707B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c>
          <w:tcPr>
            <w:tcW w:w="944" w:type="dxa"/>
            <w:noWrap/>
            <w:hideMark/>
          </w:tcPr>
          <w:p w14:paraId="36500A1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379F768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11.21</w:t>
            </w:r>
          </w:p>
        </w:tc>
        <w:tc>
          <w:tcPr>
            <w:tcW w:w="945" w:type="dxa"/>
            <w:noWrap/>
            <w:hideMark/>
          </w:tcPr>
          <w:p w14:paraId="7B93345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c>
          <w:tcPr>
            <w:tcW w:w="1053" w:type="dxa"/>
            <w:noWrap/>
            <w:hideMark/>
          </w:tcPr>
          <w:p w14:paraId="594CE8B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16867.71</w:t>
            </w:r>
          </w:p>
        </w:tc>
        <w:tc>
          <w:tcPr>
            <w:tcW w:w="945" w:type="dxa"/>
            <w:noWrap/>
            <w:hideMark/>
          </w:tcPr>
          <w:p w14:paraId="76899EC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164</w:t>
            </w:r>
          </w:p>
        </w:tc>
        <w:tc>
          <w:tcPr>
            <w:tcW w:w="945" w:type="dxa"/>
            <w:noWrap/>
            <w:hideMark/>
          </w:tcPr>
          <w:p w14:paraId="189C5B3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4164CFD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18.7</w:t>
            </w:r>
          </w:p>
        </w:tc>
      </w:tr>
      <w:tr w:rsidR="006513B7" w:rsidRPr="006513B7" w14:paraId="29FD8176"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B533B1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Odisha</w:t>
            </w:r>
          </w:p>
        </w:tc>
        <w:tc>
          <w:tcPr>
            <w:tcW w:w="944" w:type="dxa"/>
            <w:noWrap/>
            <w:hideMark/>
          </w:tcPr>
          <w:p w14:paraId="430ED72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4" w:type="dxa"/>
            <w:noWrap/>
            <w:hideMark/>
          </w:tcPr>
          <w:p w14:paraId="2B606E9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2D7FBA5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1442.45</w:t>
            </w:r>
          </w:p>
        </w:tc>
        <w:tc>
          <w:tcPr>
            <w:tcW w:w="945" w:type="dxa"/>
            <w:noWrap/>
            <w:hideMark/>
          </w:tcPr>
          <w:p w14:paraId="181CCF3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22.1</w:t>
            </w:r>
          </w:p>
        </w:tc>
        <w:tc>
          <w:tcPr>
            <w:tcW w:w="1053" w:type="dxa"/>
            <w:noWrap/>
            <w:hideMark/>
          </w:tcPr>
          <w:p w14:paraId="24460D2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386732.9</w:t>
            </w:r>
          </w:p>
        </w:tc>
        <w:tc>
          <w:tcPr>
            <w:tcW w:w="945" w:type="dxa"/>
            <w:noWrap/>
            <w:hideMark/>
          </w:tcPr>
          <w:p w14:paraId="2E73766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4914</w:t>
            </w:r>
          </w:p>
        </w:tc>
        <w:tc>
          <w:tcPr>
            <w:tcW w:w="945" w:type="dxa"/>
            <w:noWrap/>
            <w:hideMark/>
          </w:tcPr>
          <w:p w14:paraId="1E91E9B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5EC0EAD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22.1</w:t>
            </w:r>
          </w:p>
        </w:tc>
      </w:tr>
      <w:tr w:rsidR="006513B7" w:rsidRPr="006513B7" w14:paraId="54E94A3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D5C596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Puducherry</w:t>
            </w:r>
          </w:p>
        </w:tc>
        <w:tc>
          <w:tcPr>
            <w:tcW w:w="944" w:type="dxa"/>
            <w:noWrap/>
            <w:hideMark/>
          </w:tcPr>
          <w:p w14:paraId="5ADF37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4" w:type="dxa"/>
            <w:noWrap/>
            <w:hideMark/>
          </w:tcPr>
          <w:p w14:paraId="4066331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2BC1FEA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273.34</w:t>
            </w:r>
          </w:p>
        </w:tc>
        <w:tc>
          <w:tcPr>
            <w:tcW w:w="945" w:type="dxa"/>
            <w:noWrap/>
            <w:hideMark/>
          </w:tcPr>
          <w:p w14:paraId="4C5205B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46.4</w:t>
            </w:r>
          </w:p>
        </w:tc>
        <w:tc>
          <w:tcPr>
            <w:tcW w:w="1053" w:type="dxa"/>
            <w:noWrap/>
            <w:hideMark/>
          </w:tcPr>
          <w:p w14:paraId="01B2CD5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26208.89</w:t>
            </w:r>
          </w:p>
        </w:tc>
        <w:tc>
          <w:tcPr>
            <w:tcW w:w="945" w:type="dxa"/>
            <w:noWrap/>
            <w:hideMark/>
          </w:tcPr>
          <w:p w14:paraId="437B9C5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253</w:t>
            </w:r>
          </w:p>
        </w:tc>
        <w:tc>
          <w:tcPr>
            <w:tcW w:w="945" w:type="dxa"/>
            <w:noWrap/>
            <w:hideMark/>
          </w:tcPr>
          <w:p w14:paraId="78291EA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5C8AD3B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46.4</w:t>
            </w:r>
          </w:p>
        </w:tc>
      </w:tr>
      <w:tr w:rsidR="006513B7" w:rsidRPr="006513B7" w14:paraId="30D89716"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4D1941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Punjab</w:t>
            </w:r>
          </w:p>
        </w:tc>
        <w:tc>
          <w:tcPr>
            <w:tcW w:w="944" w:type="dxa"/>
            <w:noWrap/>
            <w:hideMark/>
          </w:tcPr>
          <w:p w14:paraId="472B54A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4" w:type="dxa"/>
            <w:noWrap/>
            <w:hideMark/>
          </w:tcPr>
          <w:p w14:paraId="645C69A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84D3E3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1293.81</w:t>
            </w:r>
          </w:p>
        </w:tc>
        <w:tc>
          <w:tcPr>
            <w:tcW w:w="945" w:type="dxa"/>
            <w:noWrap/>
            <w:hideMark/>
          </w:tcPr>
          <w:p w14:paraId="5657F5E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29.5</w:t>
            </w:r>
          </w:p>
        </w:tc>
        <w:tc>
          <w:tcPr>
            <w:tcW w:w="1053" w:type="dxa"/>
            <w:noWrap/>
            <w:hideMark/>
          </w:tcPr>
          <w:p w14:paraId="078194C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397018.9</w:t>
            </w:r>
          </w:p>
        </w:tc>
        <w:tc>
          <w:tcPr>
            <w:tcW w:w="945" w:type="dxa"/>
            <w:noWrap/>
            <w:hideMark/>
          </w:tcPr>
          <w:p w14:paraId="11358BC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6614</w:t>
            </w:r>
          </w:p>
        </w:tc>
        <w:tc>
          <w:tcPr>
            <w:tcW w:w="945" w:type="dxa"/>
            <w:noWrap/>
            <w:hideMark/>
          </w:tcPr>
          <w:p w14:paraId="4E404A4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945" w:type="dxa"/>
            <w:noWrap/>
            <w:hideMark/>
          </w:tcPr>
          <w:p w14:paraId="136F533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29.5</w:t>
            </w:r>
          </w:p>
        </w:tc>
      </w:tr>
      <w:tr w:rsidR="006513B7" w:rsidRPr="006513B7" w14:paraId="457E1F66"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028F79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Rajasthan</w:t>
            </w:r>
          </w:p>
        </w:tc>
        <w:tc>
          <w:tcPr>
            <w:tcW w:w="944" w:type="dxa"/>
            <w:noWrap/>
            <w:hideMark/>
          </w:tcPr>
          <w:p w14:paraId="3EB02CF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4" w:type="dxa"/>
            <w:noWrap/>
            <w:hideMark/>
          </w:tcPr>
          <w:p w14:paraId="07B9949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75852D3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1395.66</w:t>
            </w:r>
          </w:p>
        </w:tc>
        <w:tc>
          <w:tcPr>
            <w:tcW w:w="945" w:type="dxa"/>
            <w:noWrap/>
            <w:hideMark/>
          </w:tcPr>
          <w:p w14:paraId="11241C6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1053" w:type="dxa"/>
            <w:noWrap/>
            <w:hideMark/>
          </w:tcPr>
          <w:p w14:paraId="31616BB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643278.3</w:t>
            </w:r>
          </w:p>
        </w:tc>
        <w:tc>
          <w:tcPr>
            <w:tcW w:w="945" w:type="dxa"/>
            <w:noWrap/>
            <w:hideMark/>
          </w:tcPr>
          <w:p w14:paraId="016E00F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7391</w:t>
            </w:r>
          </w:p>
        </w:tc>
        <w:tc>
          <w:tcPr>
            <w:tcW w:w="945" w:type="dxa"/>
            <w:noWrap/>
            <w:hideMark/>
          </w:tcPr>
          <w:p w14:paraId="74286B2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83</w:t>
            </w:r>
          </w:p>
        </w:tc>
        <w:tc>
          <w:tcPr>
            <w:tcW w:w="945" w:type="dxa"/>
            <w:noWrap/>
            <w:hideMark/>
          </w:tcPr>
          <w:p w14:paraId="4DA4C74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r>
      <w:tr w:rsidR="006513B7" w:rsidRPr="006513B7" w14:paraId="794A78B3"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2876AC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Tamil Nadu</w:t>
            </w:r>
          </w:p>
        </w:tc>
        <w:tc>
          <w:tcPr>
            <w:tcW w:w="944" w:type="dxa"/>
            <w:noWrap/>
            <w:hideMark/>
          </w:tcPr>
          <w:p w14:paraId="7017AB7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4" w:type="dxa"/>
            <w:noWrap/>
            <w:hideMark/>
          </w:tcPr>
          <w:p w14:paraId="5719819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088C7E6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15017.51</w:t>
            </w:r>
          </w:p>
        </w:tc>
        <w:tc>
          <w:tcPr>
            <w:tcW w:w="945" w:type="dxa"/>
            <w:noWrap/>
            <w:hideMark/>
          </w:tcPr>
          <w:p w14:paraId="10DA106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w:t>
            </w:r>
          </w:p>
        </w:tc>
        <w:tc>
          <w:tcPr>
            <w:tcW w:w="1053" w:type="dxa"/>
            <w:noWrap/>
            <w:hideMark/>
          </w:tcPr>
          <w:p w14:paraId="18B346B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1204667</w:t>
            </w:r>
          </w:p>
        </w:tc>
        <w:tc>
          <w:tcPr>
            <w:tcW w:w="945" w:type="dxa"/>
            <w:noWrap/>
            <w:hideMark/>
          </w:tcPr>
          <w:p w14:paraId="30AC760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11206</w:t>
            </w:r>
          </w:p>
        </w:tc>
        <w:tc>
          <w:tcPr>
            <w:tcW w:w="945" w:type="dxa"/>
            <w:noWrap/>
            <w:hideMark/>
          </w:tcPr>
          <w:p w14:paraId="6339CAE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59</w:t>
            </w:r>
          </w:p>
        </w:tc>
        <w:tc>
          <w:tcPr>
            <w:tcW w:w="945" w:type="dxa"/>
            <w:noWrap/>
            <w:hideMark/>
          </w:tcPr>
          <w:p w14:paraId="3B2AF01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49</w:t>
            </w:r>
          </w:p>
        </w:tc>
      </w:tr>
      <w:tr w:rsidR="006513B7" w:rsidRPr="006513B7" w14:paraId="624C600A"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905680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Tripura</w:t>
            </w:r>
          </w:p>
        </w:tc>
        <w:tc>
          <w:tcPr>
            <w:tcW w:w="944" w:type="dxa"/>
            <w:noWrap/>
            <w:hideMark/>
          </w:tcPr>
          <w:p w14:paraId="1F73EDA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4" w:type="dxa"/>
            <w:noWrap/>
            <w:hideMark/>
          </w:tcPr>
          <w:p w14:paraId="3D7183E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46DDF30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88.87</w:t>
            </w:r>
          </w:p>
        </w:tc>
        <w:tc>
          <w:tcPr>
            <w:tcW w:w="945" w:type="dxa"/>
            <w:noWrap/>
            <w:hideMark/>
          </w:tcPr>
          <w:p w14:paraId="4BC16A0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c>
          <w:tcPr>
            <w:tcW w:w="1053" w:type="dxa"/>
            <w:noWrap/>
            <w:hideMark/>
          </w:tcPr>
          <w:p w14:paraId="560C51A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36753.96</w:t>
            </w:r>
          </w:p>
        </w:tc>
        <w:tc>
          <w:tcPr>
            <w:tcW w:w="945" w:type="dxa"/>
            <w:noWrap/>
            <w:hideMark/>
          </w:tcPr>
          <w:p w14:paraId="31A52A5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c>
          <w:tcPr>
            <w:tcW w:w="945" w:type="dxa"/>
            <w:noWrap/>
            <w:hideMark/>
          </w:tcPr>
          <w:p w14:paraId="2857228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31D5633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r>
      <w:tr w:rsidR="006513B7" w:rsidRPr="006513B7" w14:paraId="5545465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70D53C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 Pradesh</w:t>
            </w:r>
          </w:p>
        </w:tc>
        <w:tc>
          <w:tcPr>
            <w:tcW w:w="944" w:type="dxa"/>
            <w:noWrap/>
            <w:hideMark/>
          </w:tcPr>
          <w:p w14:paraId="45539B3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4" w:type="dxa"/>
            <w:noWrap/>
            <w:hideMark/>
          </w:tcPr>
          <w:p w14:paraId="3377318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7EB2DA2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2728.86</w:t>
            </w:r>
          </w:p>
        </w:tc>
        <w:tc>
          <w:tcPr>
            <w:tcW w:w="945" w:type="dxa"/>
            <w:noWrap/>
            <w:hideMark/>
          </w:tcPr>
          <w:p w14:paraId="2E67340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25.8</w:t>
            </w:r>
          </w:p>
        </w:tc>
        <w:tc>
          <w:tcPr>
            <w:tcW w:w="1053" w:type="dxa"/>
            <w:noWrap/>
            <w:hideMark/>
          </w:tcPr>
          <w:p w14:paraId="4842C25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1097353</w:t>
            </w:r>
          </w:p>
        </w:tc>
        <w:tc>
          <w:tcPr>
            <w:tcW w:w="945" w:type="dxa"/>
            <w:noWrap/>
            <w:hideMark/>
          </w:tcPr>
          <w:p w14:paraId="44262B0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17462</w:t>
            </w:r>
          </w:p>
        </w:tc>
        <w:tc>
          <w:tcPr>
            <w:tcW w:w="945" w:type="dxa"/>
            <w:noWrap/>
            <w:hideMark/>
          </w:tcPr>
          <w:p w14:paraId="074D272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w:t>
            </w:r>
          </w:p>
        </w:tc>
        <w:tc>
          <w:tcPr>
            <w:tcW w:w="945" w:type="dxa"/>
            <w:noWrap/>
            <w:hideMark/>
          </w:tcPr>
          <w:p w14:paraId="35E2B4F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25.8</w:t>
            </w:r>
          </w:p>
        </w:tc>
      </w:tr>
      <w:tr w:rsidR="006513B7" w:rsidRPr="006513B7" w14:paraId="169D88C9"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DA9476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Uttarakhand</w:t>
            </w:r>
          </w:p>
        </w:tc>
        <w:tc>
          <w:tcPr>
            <w:tcW w:w="944" w:type="dxa"/>
            <w:noWrap/>
            <w:hideMark/>
          </w:tcPr>
          <w:p w14:paraId="42264B8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4" w:type="dxa"/>
            <w:noWrap/>
            <w:hideMark/>
          </w:tcPr>
          <w:p w14:paraId="522BA06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6EB66C8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1261.62</w:t>
            </w:r>
          </w:p>
        </w:tc>
        <w:tc>
          <w:tcPr>
            <w:tcW w:w="945" w:type="dxa"/>
            <w:noWrap/>
            <w:hideMark/>
          </w:tcPr>
          <w:p w14:paraId="676D9B2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39.1</w:t>
            </w:r>
          </w:p>
        </w:tc>
        <w:tc>
          <w:tcPr>
            <w:tcW w:w="1053" w:type="dxa"/>
            <w:noWrap/>
            <w:hideMark/>
          </w:tcPr>
          <w:p w14:paraId="72E7198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186082.6</w:t>
            </w:r>
          </w:p>
        </w:tc>
        <w:tc>
          <w:tcPr>
            <w:tcW w:w="945" w:type="dxa"/>
            <w:noWrap/>
            <w:hideMark/>
          </w:tcPr>
          <w:p w14:paraId="26CB973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2126</w:t>
            </w:r>
          </w:p>
        </w:tc>
        <w:tc>
          <w:tcPr>
            <w:tcW w:w="945" w:type="dxa"/>
            <w:noWrap/>
            <w:hideMark/>
          </w:tcPr>
          <w:p w14:paraId="6B74783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w:t>
            </w:r>
          </w:p>
        </w:tc>
        <w:tc>
          <w:tcPr>
            <w:tcW w:w="945" w:type="dxa"/>
            <w:noWrap/>
            <w:hideMark/>
          </w:tcPr>
          <w:p w14:paraId="6E35878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39.1</w:t>
            </w:r>
          </w:p>
        </w:tc>
      </w:tr>
      <w:tr w:rsidR="006513B7" w:rsidRPr="006513B7" w14:paraId="4933719B"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4953DC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West Bengal</w:t>
            </w:r>
          </w:p>
        </w:tc>
        <w:tc>
          <w:tcPr>
            <w:tcW w:w="944" w:type="dxa"/>
            <w:noWrap/>
            <w:hideMark/>
          </w:tcPr>
          <w:p w14:paraId="5C70661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944" w:type="dxa"/>
            <w:noWrap/>
            <w:hideMark/>
          </w:tcPr>
          <w:p w14:paraId="5F0A70C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2019</w:t>
            </w:r>
          </w:p>
        </w:tc>
        <w:tc>
          <w:tcPr>
            <w:tcW w:w="1053" w:type="dxa"/>
            <w:noWrap/>
            <w:hideMark/>
          </w:tcPr>
          <w:p w14:paraId="2E95610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1667.31</w:t>
            </w:r>
          </w:p>
        </w:tc>
        <w:tc>
          <w:tcPr>
            <w:tcW w:w="945" w:type="dxa"/>
            <w:noWrap/>
            <w:hideMark/>
          </w:tcPr>
          <w:p w14:paraId="33B72D9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19.3</w:t>
            </w:r>
          </w:p>
        </w:tc>
        <w:tc>
          <w:tcPr>
            <w:tcW w:w="1053" w:type="dxa"/>
            <w:noWrap/>
            <w:hideMark/>
          </w:tcPr>
          <w:p w14:paraId="155DE07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738920.4</w:t>
            </w:r>
          </w:p>
        </w:tc>
        <w:tc>
          <w:tcPr>
            <w:tcW w:w="945" w:type="dxa"/>
            <w:noWrap/>
            <w:hideMark/>
          </w:tcPr>
          <w:p w14:paraId="4D78F57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8170</w:t>
            </w:r>
          </w:p>
        </w:tc>
        <w:tc>
          <w:tcPr>
            <w:tcW w:w="945" w:type="dxa"/>
            <w:noWrap/>
            <w:hideMark/>
          </w:tcPr>
          <w:p w14:paraId="346CE37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w:t>
            </w:r>
          </w:p>
        </w:tc>
        <w:tc>
          <w:tcPr>
            <w:tcW w:w="945" w:type="dxa"/>
            <w:noWrap/>
            <w:hideMark/>
          </w:tcPr>
          <w:p w14:paraId="505E356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19.3</w:t>
            </w:r>
          </w:p>
        </w:tc>
      </w:tr>
      <w:tr w:rsidR="006513B7" w:rsidRPr="006513B7" w14:paraId="217F8CA6"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59A223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Andhra Pradesh</w:t>
            </w:r>
          </w:p>
        </w:tc>
        <w:tc>
          <w:tcPr>
            <w:tcW w:w="944" w:type="dxa"/>
            <w:noWrap/>
            <w:hideMark/>
          </w:tcPr>
          <w:p w14:paraId="151EBEA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w:t>
            </w:r>
          </w:p>
        </w:tc>
        <w:tc>
          <w:tcPr>
            <w:tcW w:w="944" w:type="dxa"/>
            <w:noWrap/>
            <w:hideMark/>
          </w:tcPr>
          <w:p w14:paraId="57856C2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3493F42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3738.48</w:t>
            </w:r>
          </w:p>
        </w:tc>
        <w:tc>
          <w:tcPr>
            <w:tcW w:w="945" w:type="dxa"/>
            <w:noWrap/>
            <w:hideMark/>
          </w:tcPr>
          <w:p w14:paraId="2B0B6FE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35.2</w:t>
            </w:r>
          </w:p>
        </w:tc>
        <w:tc>
          <w:tcPr>
            <w:tcW w:w="1053" w:type="dxa"/>
            <w:noWrap/>
            <w:hideMark/>
          </w:tcPr>
          <w:p w14:paraId="70D035D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649810.4</w:t>
            </w:r>
          </w:p>
        </w:tc>
        <w:tc>
          <w:tcPr>
            <w:tcW w:w="945" w:type="dxa"/>
            <w:noWrap/>
            <w:hideMark/>
          </w:tcPr>
          <w:p w14:paraId="7EAFA71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7252</w:t>
            </w:r>
          </w:p>
        </w:tc>
        <w:tc>
          <w:tcPr>
            <w:tcW w:w="945" w:type="dxa"/>
            <w:noWrap/>
            <w:hideMark/>
          </w:tcPr>
          <w:p w14:paraId="33AB148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w:t>
            </w:r>
          </w:p>
        </w:tc>
        <w:tc>
          <w:tcPr>
            <w:tcW w:w="945" w:type="dxa"/>
            <w:noWrap/>
            <w:hideMark/>
          </w:tcPr>
          <w:p w14:paraId="453F1E7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35.2</w:t>
            </w:r>
          </w:p>
        </w:tc>
      </w:tr>
      <w:tr w:rsidR="006513B7" w:rsidRPr="006513B7" w14:paraId="20D22E93"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5438D9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Arunachal Pradesh</w:t>
            </w:r>
          </w:p>
        </w:tc>
        <w:tc>
          <w:tcPr>
            <w:tcW w:w="944" w:type="dxa"/>
            <w:noWrap/>
            <w:hideMark/>
          </w:tcPr>
          <w:p w14:paraId="7B9C29D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w:t>
            </w:r>
          </w:p>
        </w:tc>
        <w:tc>
          <w:tcPr>
            <w:tcW w:w="944" w:type="dxa"/>
            <w:noWrap/>
            <w:hideMark/>
          </w:tcPr>
          <w:p w14:paraId="30FE996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324F5B4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13.62</w:t>
            </w:r>
          </w:p>
        </w:tc>
        <w:tc>
          <w:tcPr>
            <w:tcW w:w="945" w:type="dxa"/>
            <w:noWrap/>
            <w:hideMark/>
          </w:tcPr>
          <w:p w14:paraId="296DBDB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35.4</w:t>
            </w:r>
          </w:p>
        </w:tc>
        <w:tc>
          <w:tcPr>
            <w:tcW w:w="1053" w:type="dxa"/>
            <w:noWrap/>
            <w:hideMark/>
          </w:tcPr>
          <w:p w14:paraId="7213BFD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19140.31</w:t>
            </w:r>
          </w:p>
        </w:tc>
        <w:tc>
          <w:tcPr>
            <w:tcW w:w="945" w:type="dxa"/>
            <w:noWrap/>
            <w:hideMark/>
          </w:tcPr>
          <w:p w14:paraId="7AB2807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164</w:t>
            </w:r>
          </w:p>
        </w:tc>
        <w:tc>
          <w:tcPr>
            <w:tcW w:w="945" w:type="dxa"/>
            <w:noWrap/>
            <w:hideMark/>
          </w:tcPr>
          <w:p w14:paraId="2CF6BF9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5" w:type="dxa"/>
            <w:noWrap/>
            <w:hideMark/>
          </w:tcPr>
          <w:p w14:paraId="112057B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35.4</w:t>
            </w:r>
          </w:p>
        </w:tc>
      </w:tr>
      <w:tr w:rsidR="006513B7" w:rsidRPr="006513B7" w14:paraId="405B6AB1"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A51732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Assam</w:t>
            </w:r>
          </w:p>
        </w:tc>
        <w:tc>
          <w:tcPr>
            <w:tcW w:w="944" w:type="dxa"/>
            <w:noWrap/>
            <w:hideMark/>
          </w:tcPr>
          <w:p w14:paraId="61BA758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4" w:type="dxa"/>
            <w:noWrap/>
            <w:hideMark/>
          </w:tcPr>
          <w:p w14:paraId="493BB34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12589E1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422.77</w:t>
            </w:r>
          </w:p>
        </w:tc>
        <w:tc>
          <w:tcPr>
            <w:tcW w:w="945" w:type="dxa"/>
            <w:noWrap/>
            <w:hideMark/>
          </w:tcPr>
          <w:p w14:paraId="6CB53A7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17.3</w:t>
            </w:r>
          </w:p>
        </w:tc>
        <w:tc>
          <w:tcPr>
            <w:tcW w:w="1053" w:type="dxa"/>
            <w:noWrap/>
            <w:hideMark/>
          </w:tcPr>
          <w:p w14:paraId="7F90887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240707.2</w:t>
            </w:r>
          </w:p>
        </w:tc>
        <w:tc>
          <w:tcPr>
            <w:tcW w:w="945" w:type="dxa"/>
            <w:noWrap/>
            <w:hideMark/>
          </w:tcPr>
          <w:p w14:paraId="66D162D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2957</w:t>
            </w:r>
          </w:p>
        </w:tc>
        <w:tc>
          <w:tcPr>
            <w:tcW w:w="945" w:type="dxa"/>
            <w:noWrap/>
            <w:hideMark/>
          </w:tcPr>
          <w:p w14:paraId="09CA22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5" w:type="dxa"/>
            <w:noWrap/>
            <w:hideMark/>
          </w:tcPr>
          <w:p w14:paraId="2A9F67B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17.3</w:t>
            </w:r>
          </w:p>
        </w:tc>
      </w:tr>
      <w:tr w:rsidR="006513B7" w:rsidRPr="006513B7" w14:paraId="0B3A8520"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E18E88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Bihar</w:t>
            </w:r>
          </w:p>
        </w:tc>
        <w:tc>
          <w:tcPr>
            <w:tcW w:w="944" w:type="dxa"/>
            <w:noWrap/>
            <w:hideMark/>
          </w:tcPr>
          <w:p w14:paraId="6C9CA5C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4" w:type="dxa"/>
            <w:noWrap/>
            <w:hideMark/>
          </w:tcPr>
          <w:p w14:paraId="508FD7D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395867B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2691.92</w:t>
            </w:r>
          </w:p>
        </w:tc>
        <w:tc>
          <w:tcPr>
            <w:tcW w:w="945" w:type="dxa"/>
            <w:noWrap/>
            <w:hideMark/>
          </w:tcPr>
          <w:p w14:paraId="0F8EAC3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14.9</w:t>
            </w:r>
          </w:p>
        </w:tc>
        <w:tc>
          <w:tcPr>
            <w:tcW w:w="1053" w:type="dxa"/>
            <w:noWrap/>
            <w:hideMark/>
          </w:tcPr>
          <w:p w14:paraId="6F70CB2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398329.2</w:t>
            </w:r>
          </w:p>
        </w:tc>
        <w:tc>
          <w:tcPr>
            <w:tcW w:w="945" w:type="dxa"/>
            <w:noWrap/>
            <w:hideMark/>
          </w:tcPr>
          <w:p w14:paraId="552ECB4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7463</w:t>
            </w:r>
          </w:p>
        </w:tc>
        <w:tc>
          <w:tcPr>
            <w:tcW w:w="945" w:type="dxa"/>
            <w:noWrap/>
            <w:hideMark/>
          </w:tcPr>
          <w:p w14:paraId="7F39EF8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w:t>
            </w:r>
          </w:p>
        </w:tc>
        <w:tc>
          <w:tcPr>
            <w:tcW w:w="945" w:type="dxa"/>
            <w:noWrap/>
            <w:hideMark/>
          </w:tcPr>
          <w:p w14:paraId="6CA82FB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14.9</w:t>
            </w:r>
          </w:p>
        </w:tc>
      </w:tr>
      <w:tr w:rsidR="006513B7" w:rsidRPr="006513B7" w14:paraId="6528D8B7"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F11DEC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Chandigarh</w:t>
            </w:r>
          </w:p>
        </w:tc>
        <w:tc>
          <w:tcPr>
            <w:tcW w:w="944" w:type="dxa"/>
            <w:noWrap/>
            <w:hideMark/>
          </w:tcPr>
          <w:p w14:paraId="4B9CADC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4" w:type="dxa"/>
            <w:noWrap/>
            <w:hideMark/>
          </w:tcPr>
          <w:p w14:paraId="54C335D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5FF603D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173.14</w:t>
            </w:r>
          </w:p>
        </w:tc>
        <w:tc>
          <w:tcPr>
            <w:tcW w:w="945" w:type="dxa"/>
            <w:noWrap/>
            <w:hideMark/>
          </w:tcPr>
          <w:p w14:paraId="7BFE8E3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52.1</w:t>
            </w:r>
          </w:p>
        </w:tc>
        <w:tc>
          <w:tcPr>
            <w:tcW w:w="1053" w:type="dxa"/>
            <w:noWrap/>
            <w:hideMark/>
          </w:tcPr>
          <w:p w14:paraId="6FA3EEB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31679.34</w:t>
            </w:r>
          </w:p>
        </w:tc>
        <w:tc>
          <w:tcPr>
            <w:tcW w:w="945" w:type="dxa"/>
            <w:noWrap/>
            <w:hideMark/>
          </w:tcPr>
          <w:p w14:paraId="7F0A993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454</w:t>
            </w:r>
          </w:p>
        </w:tc>
        <w:tc>
          <w:tcPr>
            <w:tcW w:w="945" w:type="dxa"/>
            <w:noWrap/>
            <w:hideMark/>
          </w:tcPr>
          <w:p w14:paraId="54A46A4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428E38E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52.1</w:t>
            </w:r>
          </w:p>
        </w:tc>
      </w:tr>
      <w:tr w:rsidR="006513B7" w:rsidRPr="006513B7" w14:paraId="37E15A2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B0EE18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Chhattisgarh</w:t>
            </w:r>
          </w:p>
        </w:tc>
        <w:tc>
          <w:tcPr>
            <w:tcW w:w="944" w:type="dxa"/>
            <w:noWrap/>
            <w:hideMark/>
          </w:tcPr>
          <w:p w14:paraId="34EF24A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4" w:type="dxa"/>
            <w:noWrap/>
            <w:hideMark/>
          </w:tcPr>
          <w:p w14:paraId="555EEDD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35D8428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587.08</w:t>
            </w:r>
          </w:p>
        </w:tc>
        <w:tc>
          <w:tcPr>
            <w:tcW w:w="945" w:type="dxa"/>
            <w:noWrap/>
            <w:hideMark/>
          </w:tcPr>
          <w:p w14:paraId="447C151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w:t>
            </w:r>
          </w:p>
        </w:tc>
        <w:tc>
          <w:tcPr>
            <w:tcW w:w="1053" w:type="dxa"/>
            <w:noWrap/>
            <w:hideMark/>
          </w:tcPr>
          <w:p w14:paraId="674134F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251324.7</w:t>
            </w:r>
          </w:p>
        </w:tc>
        <w:tc>
          <w:tcPr>
            <w:tcW w:w="945" w:type="dxa"/>
            <w:noWrap/>
            <w:hideMark/>
          </w:tcPr>
          <w:p w14:paraId="4B9906D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2823</w:t>
            </w:r>
          </w:p>
        </w:tc>
        <w:tc>
          <w:tcPr>
            <w:tcW w:w="945" w:type="dxa"/>
            <w:noWrap/>
            <w:hideMark/>
          </w:tcPr>
          <w:p w14:paraId="48A891F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05F58AF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w:t>
            </w:r>
          </w:p>
        </w:tc>
      </w:tr>
      <w:tr w:rsidR="006513B7" w:rsidRPr="006513B7" w14:paraId="1F53E384"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B4C995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Delhi</w:t>
            </w:r>
          </w:p>
        </w:tc>
        <w:tc>
          <w:tcPr>
            <w:tcW w:w="944" w:type="dxa"/>
            <w:noWrap/>
            <w:hideMark/>
          </w:tcPr>
          <w:p w14:paraId="24A4165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w:t>
            </w:r>
          </w:p>
        </w:tc>
        <w:tc>
          <w:tcPr>
            <w:tcW w:w="944" w:type="dxa"/>
            <w:noWrap/>
            <w:hideMark/>
          </w:tcPr>
          <w:p w14:paraId="45F90E9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7EB1D00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1404.06</w:t>
            </w:r>
          </w:p>
        </w:tc>
        <w:tc>
          <w:tcPr>
            <w:tcW w:w="945" w:type="dxa"/>
            <w:noWrap/>
            <w:hideMark/>
          </w:tcPr>
          <w:p w14:paraId="0685C10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w:t>
            </w:r>
          </w:p>
        </w:tc>
        <w:tc>
          <w:tcPr>
            <w:tcW w:w="1053" w:type="dxa"/>
            <w:noWrap/>
            <w:hideMark/>
          </w:tcPr>
          <w:p w14:paraId="544C185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586168.4</w:t>
            </w:r>
          </w:p>
        </w:tc>
        <w:tc>
          <w:tcPr>
            <w:tcW w:w="945" w:type="dxa"/>
            <w:noWrap/>
            <w:hideMark/>
          </w:tcPr>
          <w:p w14:paraId="064DBA4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3825</w:t>
            </w:r>
          </w:p>
        </w:tc>
        <w:tc>
          <w:tcPr>
            <w:tcW w:w="945" w:type="dxa"/>
            <w:noWrap/>
            <w:hideMark/>
          </w:tcPr>
          <w:p w14:paraId="6EF05AB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15D4C9F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48</w:t>
            </w:r>
          </w:p>
        </w:tc>
      </w:tr>
      <w:tr w:rsidR="006513B7" w:rsidRPr="006513B7" w14:paraId="3A80FAB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04C04E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Goa</w:t>
            </w:r>
          </w:p>
        </w:tc>
        <w:tc>
          <w:tcPr>
            <w:tcW w:w="944" w:type="dxa"/>
            <w:noWrap/>
            <w:hideMark/>
          </w:tcPr>
          <w:p w14:paraId="2F6637B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w:t>
            </w:r>
          </w:p>
        </w:tc>
        <w:tc>
          <w:tcPr>
            <w:tcW w:w="944" w:type="dxa"/>
            <w:noWrap/>
            <w:hideMark/>
          </w:tcPr>
          <w:p w14:paraId="7F73464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045D29B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167.79</w:t>
            </w:r>
          </w:p>
        </w:tc>
        <w:tc>
          <w:tcPr>
            <w:tcW w:w="945" w:type="dxa"/>
            <w:noWrap/>
            <w:hideMark/>
          </w:tcPr>
          <w:p w14:paraId="0515B28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28.4</w:t>
            </w:r>
          </w:p>
        </w:tc>
        <w:tc>
          <w:tcPr>
            <w:tcW w:w="1053" w:type="dxa"/>
            <w:noWrap/>
            <w:hideMark/>
          </w:tcPr>
          <w:p w14:paraId="2C6F0AF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54811.54</w:t>
            </w:r>
          </w:p>
        </w:tc>
        <w:tc>
          <w:tcPr>
            <w:tcW w:w="945" w:type="dxa"/>
            <w:noWrap/>
            <w:hideMark/>
          </w:tcPr>
          <w:p w14:paraId="3B03528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697</w:t>
            </w:r>
          </w:p>
        </w:tc>
        <w:tc>
          <w:tcPr>
            <w:tcW w:w="945" w:type="dxa"/>
            <w:noWrap/>
            <w:hideMark/>
          </w:tcPr>
          <w:p w14:paraId="09811D5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394F83D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28.4</w:t>
            </w:r>
          </w:p>
        </w:tc>
      </w:tr>
      <w:tr w:rsidR="006513B7" w:rsidRPr="006513B7" w14:paraId="3881828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11FEA4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Gujarat</w:t>
            </w:r>
          </w:p>
        </w:tc>
        <w:tc>
          <w:tcPr>
            <w:tcW w:w="944" w:type="dxa"/>
            <w:noWrap/>
            <w:hideMark/>
          </w:tcPr>
          <w:p w14:paraId="406B291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4" w:type="dxa"/>
            <w:noWrap/>
            <w:hideMark/>
          </w:tcPr>
          <w:p w14:paraId="6A1430E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23A4A8D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1784.16</w:t>
            </w:r>
          </w:p>
        </w:tc>
        <w:tc>
          <w:tcPr>
            <w:tcW w:w="945" w:type="dxa"/>
            <w:noWrap/>
            <w:hideMark/>
          </w:tcPr>
          <w:p w14:paraId="7EED3BC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21.3</w:t>
            </w:r>
          </w:p>
        </w:tc>
        <w:tc>
          <w:tcPr>
            <w:tcW w:w="1053" w:type="dxa"/>
            <w:noWrap/>
            <w:hideMark/>
          </w:tcPr>
          <w:p w14:paraId="6E1B4A0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1265277</w:t>
            </w:r>
          </w:p>
        </w:tc>
        <w:tc>
          <w:tcPr>
            <w:tcW w:w="945" w:type="dxa"/>
            <w:noWrap/>
            <w:hideMark/>
          </w:tcPr>
          <w:p w14:paraId="27F4282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8626</w:t>
            </w:r>
          </w:p>
        </w:tc>
        <w:tc>
          <w:tcPr>
            <w:tcW w:w="945" w:type="dxa"/>
            <w:noWrap/>
            <w:hideMark/>
          </w:tcPr>
          <w:p w14:paraId="5CB4C41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76</w:t>
            </w:r>
          </w:p>
        </w:tc>
        <w:tc>
          <w:tcPr>
            <w:tcW w:w="945" w:type="dxa"/>
            <w:noWrap/>
            <w:hideMark/>
          </w:tcPr>
          <w:p w14:paraId="1DD2BBF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21.3</w:t>
            </w:r>
          </w:p>
        </w:tc>
      </w:tr>
      <w:tr w:rsidR="006513B7" w:rsidRPr="006513B7" w14:paraId="56D4F563"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B79CE7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Haryana</w:t>
            </w:r>
          </w:p>
        </w:tc>
        <w:tc>
          <w:tcPr>
            <w:tcW w:w="944" w:type="dxa"/>
            <w:noWrap/>
            <w:hideMark/>
          </w:tcPr>
          <w:p w14:paraId="6AF3498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4" w:type="dxa"/>
            <w:noWrap/>
            <w:hideMark/>
          </w:tcPr>
          <w:p w14:paraId="1258C21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721BDF5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1107.1</w:t>
            </w:r>
          </w:p>
        </w:tc>
        <w:tc>
          <w:tcPr>
            <w:tcW w:w="945" w:type="dxa"/>
            <w:noWrap/>
            <w:hideMark/>
          </w:tcPr>
          <w:p w14:paraId="3253589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29.3</w:t>
            </w:r>
          </w:p>
        </w:tc>
        <w:tc>
          <w:tcPr>
            <w:tcW w:w="1053" w:type="dxa"/>
            <w:noWrap/>
            <w:hideMark/>
          </w:tcPr>
          <w:p w14:paraId="427B0A0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544275.4</w:t>
            </w:r>
          </w:p>
        </w:tc>
        <w:tc>
          <w:tcPr>
            <w:tcW w:w="945" w:type="dxa"/>
            <w:noWrap/>
            <w:hideMark/>
          </w:tcPr>
          <w:p w14:paraId="053D631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5224</w:t>
            </w:r>
          </w:p>
        </w:tc>
        <w:tc>
          <w:tcPr>
            <w:tcW w:w="945" w:type="dxa"/>
            <w:noWrap/>
            <w:hideMark/>
          </w:tcPr>
          <w:p w14:paraId="1F0F8FC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53</w:t>
            </w:r>
          </w:p>
        </w:tc>
        <w:tc>
          <w:tcPr>
            <w:tcW w:w="945" w:type="dxa"/>
            <w:noWrap/>
            <w:hideMark/>
          </w:tcPr>
          <w:p w14:paraId="330B62A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29.3</w:t>
            </w:r>
          </w:p>
        </w:tc>
      </w:tr>
      <w:tr w:rsidR="006513B7" w:rsidRPr="006513B7" w14:paraId="76380219"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2D6CAC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Himachal Pradesh</w:t>
            </w:r>
          </w:p>
        </w:tc>
        <w:tc>
          <w:tcPr>
            <w:tcW w:w="944" w:type="dxa"/>
            <w:noWrap/>
            <w:hideMark/>
          </w:tcPr>
          <w:p w14:paraId="452F13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w:t>
            </w:r>
          </w:p>
        </w:tc>
        <w:tc>
          <w:tcPr>
            <w:tcW w:w="944" w:type="dxa"/>
            <w:noWrap/>
            <w:hideMark/>
          </w:tcPr>
          <w:p w14:paraId="3A10FCA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38BA55F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372.69</w:t>
            </w:r>
          </w:p>
        </w:tc>
        <w:tc>
          <w:tcPr>
            <w:tcW w:w="945" w:type="dxa"/>
            <w:noWrap/>
            <w:hideMark/>
          </w:tcPr>
          <w:p w14:paraId="5F8175E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40.8</w:t>
            </w:r>
          </w:p>
        </w:tc>
        <w:tc>
          <w:tcPr>
            <w:tcW w:w="1053" w:type="dxa"/>
            <w:noWrap/>
            <w:hideMark/>
          </w:tcPr>
          <w:p w14:paraId="04959C4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121187</w:t>
            </w:r>
          </w:p>
        </w:tc>
        <w:tc>
          <w:tcPr>
            <w:tcW w:w="945" w:type="dxa"/>
            <w:noWrap/>
            <w:hideMark/>
          </w:tcPr>
          <w:p w14:paraId="7A9821F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1652</w:t>
            </w:r>
          </w:p>
        </w:tc>
        <w:tc>
          <w:tcPr>
            <w:tcW w:w="945" w:type="dxa"/>
            <w:noWrap/>
            <w:hideMark/>
          </w:tcPr>
          <w:p w14:paraId="395BA49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5" w:type="dxa"/>
            <w:noWrap/>
            <w:hideMark/>
          </w:tcPr>
          <w:p w14:paraId="0BC741E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40.8</w:t>
            </w:r>
          </w:p>
        </w:tc>
      </w:tr>
      <w:tr w:rsidR="006513B7" w:rsidRPr="006513B7" w14:paraId="4B38ABE1"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DB5685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Jammu and Kashmir</w:t>
            </w:r>
          </w:p>
        </w:tc>
        <w:tc>
          <w:tcPr>
            <w:tcW w:w="944" w:type="dxa"/>
            <w:noWrap/>
            <w:hideMark/>
          </w:tcPr>
          <w:p w14:paraId="1371147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w:t>
            </w:r>
          </w:p>
        </w:tc>
        <w:tc>
          <w:tcPr>
            <w:tcW w:w="944" w:type="dxa"/>
            <w:noWrap/>
            <w:hideMark/>
          </w:tcPr>
          <w:p w14:paraId="742C10C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598C3E1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365.7</w:t>
            </w:r>
          </w:p>
        </w:tc>
        <w:tc>
          <w:tcPr>
            <w:tcW w:w="945" w:type="dxa"/>
            <w:noWrap/>
            <w:hideMark/>
          </w:tcPr>
          <w:p w14:paraId="7436E12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c>
          <w:tcPr>
            <w:tcW w:w="1053" w:type="dxa"/>
            <w:noWrap/>
            <w:hideMark/>
          </w:tcPr>
          <w:p w14:paraId="78697FF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113919.1</w:t>
            </w:r>
          </w:p>
        </w:tc>
        <w:tc>
          <w:tcPr>
            <w:tcW w:w="945" w:type="dxa"/>
            <w:noWrap/>
            <w:hideMark/>
          </w:tcPr>
          <w:p w14:paraId="025F3A6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1767</w:t>
            </w:r>
          </w:p>
        </w:tc>
        <w:tc>
          <w:tcPr>
            <w:tcW w:w="945" w:type="dxa"/>
            <w:noWrap/>
            <w:hideMark/>
          </w:tcPr>
          <w:p w14:paraId="1A50CEF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5" w:type="dxa"/>
            <w:noWrap/>
            <w:hideMark/>
          </w:tcPr>
          <w:p w14:paraId="291FFCF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32.4</w:t>
            </w:r>
          </w:p>
        </w:tc>
      </w:tr>
      <w:tr w:rsidR="006513B7" w:rsidRPr="006513B7" w14:paraId="542EE03B"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826C54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Jharkhand</w:t>
            </w:r>
          </w:p>
        </w:tc>
        <w:tc>
          <w:tcPr>
            <w:tcW w:w="944" w:type="dxa"/>
            <w:noWrap/>
            <w:hideMark/>
          </w:tcPr>
          <w:p w14:paraId="626A4BB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c>
          <w:tcPr>
            <w:tcW w:w="944" w:type="dxa"/>
            <w:noWrap/>
            <w:hideMark/>
          </w:tcPr>
          <w:p w14:paraId="22E89EE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5124C67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178.93</w:t>
            </w:r>
          </w:p>
        </w:tc>
        <w:tc>
          <w:tcPr>
            <w:tcW w:w="945" w:type="dxa"/>
            <w:noWrap/>
            <w:hideMark/>
          </w:tcPr>
          <w:p w14:paraId="0ADE355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20.9</w:t>
            </w:r>
          </w:p>
        </w:tc>
        <w:tc>
          <w:tcPr>
            <w:tcW w:w="1053" w:type="dxa"/>
            <w:noWrap/>
            <w:hideMark/>
          </w:tcPr>
          <w:p w14:paraId="09B2403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231755.4</w:t>
            </w:r>
          </w:p>
        </w:tc>
        <w:tc>
          <w:tcPr>
            <w:tcW w:w="945" w:type="dxa"/>
            <w:noWrap/>
            <w:hideMark/>
          </w:tcPr>
          <w:p w14:paraId="1655B15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3169</w:t>
            </w:r>
          </w:p>
        </w:tc>
        <w:tc>
          <w:tcPr>
            <w:tcW w:w="945" w:type="dxa"/>
            <w:noWrap/>
            <w:hideMark/>
          </w:tcPr>
          <w:p w14:paraId="7080C45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945" w:type="dxa"/>
            <w:noWrap/>
            <w:hideMark/>
          </w:tcPr>
          <w:p w14:paraId="16F871B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20.9</w:t>
            </w:r>
          </w:p>
        </w:tc>
      </w:tr>
      <w:tr w:rsidR="006513B7" w:rsidRPr="006513B7" w14:paraId="32BD440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55D091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Karnataka</w:t>
            </w:r>
          </w:p>
        </w:tc>
        <w:tc>
          <w:tcPr>
            <w:tcW w:w="944" w:type="dxa"/>
            <w:noWrap/>
            <w:hideMark/>
          </w:tcPr>
          <w:p w14:paraId="7D332A3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w:t>
            </w:r>
          </w:p>
        </w:tc>
        <w:tc>
          <w:tcPr>
            <w:tcW w:w="944" w:type="dxa"/>
            <w:noWrap/>
            <w:hideMark/>
          </w:tcPr>
          <w:p w14:paraId="2EE6B4C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63B11BD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4726.91</w:t>
            </w:r>
          </w:p>
        </w:tc>
        <w:tc>
          <w:tcPr>
            <w:tcW w:w="945" w:type="dxa"/>
            <w:noWrap/>
            <w:hideMark/>
          </w:tcPr>
          <w:p w14:paraId="1C86DFA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1053" w:type="dxa"/>
            <w:noWrap/>
            <w:hideMark/>
          </w:tcPr>
          <w:p w14:paraId="7D3DDE0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1148806</w:t>
            </w:r>
          </w:p>
        </w:tc>
        <w:tc>
          <w:tcPr>
            <w:tcW w:w="945" w:type="dxa"/>
            <w:noWrap/>
            <w:hideMark/>
          </w:tcPr>
          <w:p w14:paraId="497AC73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10778</w:t>
            </w:r>
          </w:p>
        </w:tc>
        <w:tc>
          <w:tcPr>
            <w:tcW w:w="945" w:type="dxa"/>
            <w:noWrap/>
            <w:hideMark/>
          </w:tcPr>
          <w:p w14:paraId="063A918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69</w:t>
            </w:r>
          </w:p>
        </w:tc>
        <w:tc>
          <w:tcPr>
            <w:tcW w:w="945" w:type="dxa"/>
            <w:noWrap/>
            <w:hideMark/>
          </w:tcPr>
          <w:p w14:paraId="0FEDD97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r>
      <w:tr w:rsidR="006513B7" w:rsidRPr="006513B7" w14:paraId="35E34DF5"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1E7ECE1"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Kerala</w:t>
            </w:r>
          </w:p>
        </w:tc>
        <w:tc>
          <w:tcPr>
            <w:tcW w:w="944" w:type="dxa"/>
            <w:noWrap/>
            <w:hideMark/>
          </w:tcPr>
          <w:p w14:paraId="597744E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4" w:type="dxa"/>
            <w:noWrap/>
            <w:hideMark/>
          </w:tcPr>
          <w:p w14:paraId="4F9A877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764ABEC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7870.6</w:t>
            </w:r>
          </w:p>
        </w:tc>
        <w:tc>
          <w:tcPr>
            <w:tcW w:w="945" w:type="dxa"/>
            <w:noWrap/>
            <w:hideMark/>
          </w:tcPr>
          <w:p w14:paraId="2C8507F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38.8</w:t>
            </w:r>
          </w:p>
        </w:tc>
        <w:tc>
          <w:tcPr>
            <w:tcW w:w="1053" w:type="dxa"/>
            <w:noWrap/>
            <w:hideMark/>
          </w:tcPr>
          <w:p w14:paraId="068F99B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559194.2</w:t>
            </w:r>
          </w:p>
        </w:tc>
        <w:tc>
          <w:tcPr>
            <w:tcW w:w="945" w:type="dxa"/>
            <w:noWrap/>
            <w:hideMark/>
          </w:tcPr>
          <w:p w14:paraId="4E0925D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6801</w:t>
            </w:r>
          </w:p>
        </w:tc>
        <w:tc>
          <w:tcPr>
            <w:tcW w:w="945" w:type="dxa"/>
            <w:noWrap/>
            <w:hideMark/>
          </w:tcPr>
          <w:p w14:paraId="4FFEC9C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5" w:type="dxa"/>
            <w:noWrap/>
            <w:hideMark/>
          </w:tcPr>
          <w:p w14:paraId="7C8FDB7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38.8</w:t>
            </w:r>
          </w:p>
        </w:tc>
      </w:tr>
      <w:tr w:rsidR="006513B7" w:rsidRPr="006513B7" w14:paraId="13F3C8D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C326ED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Madhya Pradesh</w:t>
            </w:r>
          </w:p>
        </w:tc>
        <w:tc>
          <w:tcPr>
            <w:tcW w:w="944" w:type="dxa"/>
            <w:noWrap/>
            <w:hideMark/>
          </w:tcPr>
          <w:p w14:paraId="65D423B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w:t>
            </w:r>
          </w:p>
        </w:tc>
        <w:tc>
          <w:tcPr>
            <w:tcW w:w="944" w:type="dxa"/>
            <w:noWrap/>
            <w:hideMark/>
          </w:tcPr>
          <w:p w14:paraId="166A56F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0897A39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1988.03</w:t>
            </w:r>
          </w:p>
        </w:tc>
        <w:tc>
          <w:tcPr>
            <w:tcW w:w="945" w:type="dxa"/>
            <w:noWrap/>
            <w:hideMark/>
          </w:tcPr>
          <w:p w14:paraId="3C6AB6F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24.2</w:t>
            </w:r>
          </w:p>
        </w:tc>
        <w:tc>
          <w:tcPr>
            <w:tcW w:w="1053" w:type="dxa"/>
            <w:noWrap/>
            <w:hideMark/>
          </w:tcPr>
          <w:p w14:paraId="64FABC0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567525</w:t>
            </w:r>
          </w:p>
        </w:tc>
        <w:tc>
          <w:tcPr>
            <w:tcW w:w="945" w:type="dxa"/>
            <w:noWrap/>
            <w:hideMark/>
          </w:tcPr>
          <w:p w14:paraId="020D757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7234</w:t>
            </w:r>
          </w:p>
        </w:tc>
        <w:tc>
          <w:tcPr>
            <w:tcW w:w="945" w:type="dxa"/>
            <w:noWrap/>
            <w:hideMark/>
          </w:tcPr>
          <w:p w14:paraId="59607D9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66</w:t>
            </w:r>
          </w:p>
        </w:tc>
        <w:tc>
          <w:tcPr>
            <w:tcW w:w="945" w:type="dxa"/>
            <w:noWrap/>
            <w:hideMark/>
          </w:tcPr>
          <w:p w14:paraId="65C00E5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24.2</w:t>
            </w:r>
          </w:p>
        </w:tc>
      </w:tr>
      <w:tr w:rsidR="006513B7" w:rsidRPr="006513B7" w14:paraId="3036E055"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A6CF61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Maharashtra</w:t>
            </w:r>
          </w:p>
        </w:tc>
        <w:tc>
          <w:tcPr>
            <w:tcW w:w="944" w:type="dxa"/>
            <w:noWrap/>
            <w:hideMark/>
          </w:tcPr>
          <w:p w14:paraId="112A82B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c>
          <w:tcPr>
            <w:tcW w:w="944" w:type="dxa"/>
            <w:noWrap/>
            <w:hideMark/>
          </w:tcPr>
          <w:p w14:paraId="26E65C1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6E67802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5542.34</w:t>
            </w:r>
          </w:p>
        </w:tc>
        <w:tc>
          <w:tcPr>
            <w:tcW w:w="945" w:type="dxa"/>
            <w:noWrap/>
            <w:hideMark/>
          </w:tcPr>
          <w:p w14:paraId="13AC089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32.3</w:t>
            </w:r>
          </w:p>
        </w:tc>
        <w:tc>
          <w:tcPr>
            <w:tcW w:w="1053" w:type="dxa"/>
            <w:noWrap/>
            <w:hideMark/>
          </w:tcPr>
          <w:p w14:paraId="49D1B01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2004663</w:t>
            </w:r>
          </w:p>
        </w:tc>
        <w:tc>
          <w:tcPr>
            <w:tcW w:w="945" w:type="dxa"/>
            <w:noWrap/>
            <w:hideMark/>
          </w:tcPr>
          <w:p w14:paraId="0C5C4CA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13578</w:t>
            </w:r>
          </w:p>
        </w:tc>
        <w:tc>
          <w:tcPr>
            <w:tcW w:w="945" w:type="dxa"/>
            <w:noWrap/>
            <w:hideMark/>
          </w:tcPr>
          <w:p w14:paraId="4BF5594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65</w:t>
            </w:r>
          </w:p>
        </w:tc>
        <w:tc>
          <w:tcPr>
            <w:tcW w:w="945" w:type="dxa"/>
            <w:noWrap/>
            <w:hideMark/>
          </w:tcPr>
          <w:p w14:paraId="1E6F55A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32.3</w:t>
            </w:r>
          </w:p>
        </w:tc>
      </w:tr>
      <w:tr w:rsidR="006513B7" w:rsidRPr="006513B7" w14:paraId="285CFAD2"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448FAD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Manipur</w:t>
            </w:r>
          </w:p>
        </w:tc>
        <w:tc>
          <w:tcPr>
            <w:tcW w:w="944" w:type="dxa"/>
            <w:noWrap/>
            <w:hideMark/>
          </w:tcPr>
          <w:p w14:paraId="3ECBDB6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944" w:type="dxa"/>
            <w:noWrap/>
            <w:hideMark/>
          </w:tcPr>
          <w:p w14:paraId="2DACDB5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5B67085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1AB8083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38.3</w:t>
            </w:r>
          </w:p>
        </w:tc>
        <w:tc>
          <w:tcPr>
            <w:tcW w:w="1053" w:type="dxa"/>
            <w:noWrap/>
            <w:hideMark/>
          </w:tcPr>
          <w:p w14:paraId="211FDD3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19187.18</w:t>
            </w:r>
          </w:p>
        </w:tc>
        <w:tc>
          <w:tcPr>
            <w:tcW w:w="945" w:type="dxa"/>
            <w:noWrap/>
            <w:hideMark/>
          </w:tcPr>
          <w:p w14:paraId="5E75E8B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203</w:t>
            </w:r>
          </w:p>
        </w:tc>
        <w:tc>
          <w:tcPr>
            <w:tcW w:w="945" w:type="dxa"/>
            <w:noWrap/>
            <w:hideMark/>
          </w:tcPr>
          <w:p w14:paraId="6C6D594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w:t>
            </w:r>
          </w:p>
        </w:tc>
        <w:tc>
          <w:tcPr>
            <w:tcW w:w="945" w:type="dxa"/>
            <w:noWrap/>
            <w:hideMark/>
          </w:tcPr>
          <w:p w14:paraId="3A068D0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38.3</w:t>
            </w:r>
          </w:p>
        </w:tc>
      </w:tr>
      <w:tr w:rsidR="006513B7" w:rsidRPr="006513B7" w14:paraId="45ED8509"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20F036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Mizoram</w:t>
            </w:r>
          </w:p>
        </w:tc>
        <w:tc>
          <w:tcPr>
            <w:tcW w:w="944" w:type="dxa"/>
            <w:noWrap/>
            <w:hideMark/>
          </w:tcPr>
          <w:p w14:paraId="6501B02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w:t>
            </w:r>
          </w:p>
        </w:tc>
        <w:tc>
          <w:tcPr>
            <w:tcW w:w="944" w:type="dxa"/>
            <w:noWrap/>
            <w:hideMark/>
          </w:tcPr>
          <w:p w14:paraId="0CD0859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36A0CFA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9.87</w:t>
            </w:r>
          </w:p>
        </w:tc>
        <w:tc>
          <w:tcPr>
            <w:tcW w:w="945" w:type="dxa"/>
            <w:noWrap/>
            <w:hideMark/>
          </w:tcPr>
          <w:p w14:paraId="524A706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26.1</w:t>
            </w:r>
          </w:p>
        </w:tc>
        <w:tc>
          <w:tcPr>
            <w:tcW w:w="1053" w:type="dxa"/>
            <w:noWrap/>
            <w:hideMark/>
          </w:tcPr>
          <w:p w14:paraId="0CC66D7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17884.26</w:t>
            </w:r>
          </w:p>
        </w:tc>
        <w:tc>
          <w:tcPr>
            <w:tcW w:w="945" w:type="dxa"/>
            <w:noWrap/>
            <w:hideMark/>
          </w:tcPr>
          <w:p w14:paraId="33615BF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203</w:t>
            </w:r>
          </w:p>
        </w:tc>
        <w:tc>
          <w:tcPr>
            <w:tcW w:w="945" w:type="dxa"/>
            <w:noWrap/>
            <w:hideMark/>
          </w:tcPr>
          <w:p w14:paraId="391223B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07F10F8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26.1</w:t>
            </w:r>
          </w:p>
        </w:tc>
      </w:tr>
      <w:tr w:rsidR="006513B7" w:rsidRPr="006513B7" w14:paraId="6D9C564C"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4157FB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Nagaland</w:t>
            </w:r>
          </w:p>
        </w:tc>
        <w:tc>
          <w:tcPr>
            <w:tcW w:w="944" w:type="dxa"/>
            <w:noWrap/>
            <w:hideMark/>
          </w:tcPr>
          <w:p w14:paraId="07D05F7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c>
          <w:tcPr>
            <w:tcW w:w="944" w:type="dxa"/>
            <w:noWrap/>
            <w:hideMark/>
          </w:tcPr>
          <w:p w14:paraId="5FEB8B4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6A4C342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10.43</w:t>
            </w:r>
          </w:p>
        </w:tc>
        <w:tc>
          <w:tcPr>
            <w:tcW w:w="945" w:type="dxa"/>
            <w:noWrap/>
            <w:hideMark/>
          </w:tcPr>
          <w:p w14:paraId="087ACAC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w:t>
            </w:r>
          </w:p>
        </w:tc>
        <w:tc>
          <w:tcPr>
            <w:tcW w:w="1053" w:type="dxa"/>
            <w:noWrap/>
            <w:hideMark/>
          </w:tcPr>
          <w:p w14:paraId="69C2677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18476.79</w:t>
            </w:r>
          </w:p>
        </w:tc>
        <w:tc>
          <w:tcPr>
            <w:tcW w:w="945" w:type="dxa"/>
            <w:noWrap/>
            <w:hideMark/>
          </w:tcPr>
          <w:p w14:paraId="620765D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176</w:t>
            </w:r>
          </w:p>
        </w:tc>
        <w:tc>
          <w:tcPr>
            <w:tcW w:w="945" w:type="dxa"/>
            <w:noWrap/>
            <w:hideMark/>
          </w:tcPr>
          <w:p w14:paraId="50DBCD3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1B5D83F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w:t>
            </w:r>
          </w:p>
        </w:tc>
      </w:tr>
      <w:tr w:rsidR="006513B7" w:rsidRPr="006513B7" w14:paraId="79C176FC"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1A78AF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Odisha</w:t>
            </w:r>
          </w:p>
        </w:tc>
        <w:tc>
          <w:tcPr>
            <w:tcW w:w="944" w:type="dxa"/>
            <w:noWrap/>
            <w:hideMark/>
          </w:tcPr>
          <w:p w14:paraId="338AC1D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4" w:type="dxa"/>
            <w:noWrap/>
            <w:hideMark/>
          </w:tcPr>
          <w:p w14:paraId="6D3AC04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01EF2A9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1279.76</w:t>
            </w:r>
          </w:p>
        </w:tc>
        <w:tc>
          <w:tcPr>
            <w:tcW w:w="945" w:type="dxa"/>
            <w:noWrap/>
            <w:hideMark/>
          </w:tcPr>
          <w:p w14:paraId="4F42227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21.7</w:t>
            </w:r>
          </w:p>
        </w:tc>
        <w:tc>
          <w:tcPr>
            <w:tcW w:w="1053" w:type="dxa"/>
            <w:noWrap/>
            <w:hideMark/>
          </w:tcPr>
          <w:p w14:paraId="37305AB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397530.4</w:t>
            </w:r>
          </w:p>
        </w:tc>
        <w:tc>
          <w:tcPr>
            <w:tcW w:w="945" w:type="dxa"/>
            <w:noWrap/>
            <w:hideMark/>
          </w:tcPr>
          <w:p w14:paraId="5514ED2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5223</w:t>
            </w:r>
          </w:p>
        </w:tc>
        <w:tc>
          <w:tcPr>
            <w:tcW w:w="945" w:type="dxa"/>
            <w:noWrap/>
            <w:hideMark/>
          </w:tcPr>
          <w:p w14:paraId="1EDAE6B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945" w:type="dxa"/>
            <w:noWrap/>
            <w:hideMark/>
          </w:tcPr>
          <w:p w14:paraId="4ED26D8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21.7</w:t>
            </w:r>
          </w:p>
        </w:tc>
      </w:tr>
      <w:tr w:rsidR="006513B7" w:rsidRPr="006513B7" w14:paraId="23277ACB"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DFEADA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Puducherry</w:t>
            </w:r>
          </w:p>
        </w:tc>
        <w:tc>
          <w:tcPr>
            <w:tcW w:w="944" w:type="dxa"/>
            <w:noWrap/>
            <w:hideMark/>
          </w:tcPr>
          <w:p w14:paraId="7E59200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4" w:type="dxa"/>
            <w:noWrap/>
            <w:hideMark/>
          </w:tcPr>
          <w:p w14:paraId="3C2DD0F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44B7088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245.35</w:t>
            </w:r>
          </w:p>
        </w:tc>
        <w:tc>
          <w:tcPr>
            <w:tcW w:w="945" w:type="dxa"/>
            <w:noWrap/>
            <w:hideMark/>
          </w:tcPr>
          <w:p w14:paraId="3CCEC04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c>
          <w:tcPr>
            <w:tcW w:w="1053" w:type="dxa"/>
            <w:noWrap/>
            <w:hideMark/>
          </w:tcPr>
          <w:p w14:paraId="62B2C46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26374.32</w:t>
            </w:r>
          </w:p>
        </w:tc>
        <w:tc>
          <w:tcPr>
            <w:tcW w:w="945" w:type="dxa"/>
            <w:noWrap/>
            <w:hideMark/>
          </w:tcPr>
          <w:p w14:paraId="7F2552C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267</w:t>
            </w:r>
          </w:p>
        </w:tc>
        <w:tc>
          <w:tcPr>
            <w:tcW w:w="945" w:type="dxa"/>
            <w:noWrap/>
            <w:hideMark/>
          </w:tcPr>
          <w:p w14:paraId="55E547F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580717C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46.3</w:t>
            </w:r>
          </w:p>
        </w:tc>
      </w:tr>
      <w:tr w:rsidR="006513B7" w:rsidRPr="006513B7" w14:paraId="025B0906"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C9E874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Punjab</w:t>
            </w:r>
          </w:p>
        </w:tc>
        <w:tc>
          <w:tcPr>
            <w:tcW w:w="944" w:type="dxa"/>
            <w:noWrap/>
            <w:hideMark/>
          </w:tcPr>
          <w:p w14:paraId="28B7835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4" w:type="dxa"/>
            <w:noWrap/>
            <w:hideMark/>
          </w:tcPr>
          <w:p w14:paraId="2337237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1559155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1209.74</w:t>
            </w:r>
          </w:p>
        </w:tc>
        <w:tc>
          <w:tcPr>
            <w:tcW w:w="945" w:type="dxa"/>
            <w:noWrap/>
            <w:hideMark/>
          </w:tcPr>
          <w:p w14:paraId="159403B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28.2</w:t>
            </w:r>
          </w:p>
        </w:tc>
        <w:tc>
          <w:tcPr>
            <w:tcW w:w="1053" w:type="dxa"/>
            <w:noWrap/>
            <w:hideMark/>
          </w:tcPr>
          <w:p w14:paraId="6A5F794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413294.6</w:t>
            </w:r>
          </w:p>
        </w:tc>
        <w:tc>
          <w:tcPr>
            <w:tcW w:w="945" w:type="dxa"/>
            <w:noWrap/>
            <w:hideMark/>
          </w:tcPr>
          <w:p w14:paraId="6BBC143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6735</w:t>
            </w:r>
          </w:p>
        </w:tc>
        <w:tc>
          <w:tcPr>
            <w:tcW w:w="945" w:type="dxa"/>
            <w:noWrap/>
            <w:hideMark/>
          </w:tcPr>
          <w:p w14:paraId="2960A57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945" w:type="dxa"/>
            <w:noWrap/>
            <w:hideMark/>
          </w:tcPr>
          <w:p w14:paraId="7BB8F9F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28.2</w:t>
            </w:r>
          </w:p>
        </w:tc>
      </w:tr>
      <w:tr w:rsidR="006513B7" w:rsidRPr="006513B7" w14:paraId="6F595E2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975E1F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Rajasthan</w:t>
            </w:r>
          </w:p>
        </w:tc>
        <w:tc>
          <w:tcPr>
            <w:tcW w:w="944" w:type="dxa"/>
            <w:noWrap/>
            <w:hideMark/>
          </w:tcPr>
          <w:p w14:paraId="3A6A1F0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4" w:type="dxa"/>
            <w:noWrap/>
            <w:hideMark/>
          </w:tcPr>
          <w:p w14:paraId="1434B10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4478F5F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1471.08</w:t>
            </w:r>
          </w:p>
        </w:tc>
        <w:tc>
          <w:tcPr>
            <w:tcW w:w="945" w:type="dxa"/>
            <w:noWrap/>
            <w:hideMark/>
          </w:tcPr>
          <w:p w14:paraId="6F81186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24.1</w:t>
            </w:r>
          </w:p>
        </w:tc>
        <w:tc>
          <w:tcPr>
            <w:tcW w:w="1053" w:type="dxa"/>
            <w:noWrap/>
            <w:hideMark/>
          </w:tcPr>
          <w:p w14:paraId="469274D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676785</w:t>
            </w:r>
          </w:p>
        </w:tc>
        <w:tc>
          <w:tcPr>
            <w:tcW w:w="945" w:type="dxa"/>
            <w:noWrap/>
            <w:hideMark/>
          </w:tcPr>
          <w:p w14:paraId="7B9A6B3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7775</w:t>
            </w:r>
          </w:p>
        </w:tc>
        <w:tc>
          <w:tcPr>
            <w:tcW w:w="945" w:type="dxa"/>
            <w:noWrap/>
            <w:hideMark/>
          </w:tcPr>
          <w:p w14:paraId="6E1140B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89</w:t>
            </w:r>
          </w:p>
        </w:tc>
        <w:tc>
          <w:tcPr>
            <w:tcW w:w="945" w:type="dxa"/>
            <w:noWrap/>
            <w:hideMark/>
          </w:tcPr>
          <w:p w14:paraId="26ED0EB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24.1</w:t>
            </w:r>
          </w:p>
        </w:tc>
      </w:tr>
      <w:tr w:rsidR="006513B7" w:rsidRPr="006513B7" w14:paraId="61F04903"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27E3E2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Tamil Nadu</w:t>
            </w:r>
          </w:p>
        </w:tc>
        <w:tc>
          <w:tcPr>
            <w:tcW w:w="944" w:type="dxa"/>
            <w:noWrap/>
            <w:hideMark/>
          </w:tcPr>
          <w:p w14:paraId="5022864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4" w:type="dxa"/>
            <w:noWrap/>
            <w:hideMark/>
          </w:tcPr>
          <w:p w14:paraId="5786292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50E5DBC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13916.35</w:t>
            </w:r>
          </w:p>
        </w:tc>
        <w:tc>
          <w:tcPr>
            <w:tcW w:w="945" w:type="dxa"/>
            <w:noWrap/>
            <w:hideMark/>
          </w:tcPr>
          <w:p w14:paraId="1D2DC2A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51.4</w:t>
            </w:r>
          </w:p>
        </w:tc>
        <w:tc>
          <w:tcPr>
            <w:tcW w:w="1053" w:type="dxa"/>
            <w:noWrap/>
            <w:hideMark/>
          </w:tcPr>
          <w:p w14:paraId="7F924F1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1243836</w:t>
            </w:r>
          </w:p>
        </w:tc>
        <w:tc>
          <w:tcPr>
            <w:tcW w:w="945" w:type="dxa"/>
            <w:noWrap/>
            <w:hideMark/>
          </w:tcPr>
          <w:p w14:paraId="2AF058C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11829</w:t>
            </w:r>
          </w:p>
        </w:tc>
        <w:tc>
          <w:tcPr>
            <w:tcW w:w="945" w:type="dxa"/>
            <w:noWrap/>
            <w:hideMark/>
          </w:tcPr>
          <w:p w14:paraId="618AB23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59</w:t>
            </w:r>
          </w:p>
        </w:tc>
        <w:tc>
          <w:tcPr>
            <w:tcW w:w="945" w:type="dxa"/>
            <w:noWrap/>
            <w:hideMark/>
          </w:tcPr>
          <w:p w14:paraId="20E3E5B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51.4</w:t>
            </w:r>
          </w:p>
        </w:tc>
      </w:tr>
      <w:tr w:rsidR="006513B7" w:rsidRPr="006513B7" w14:paraId="1E4233A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A2DE66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lastRenderedPageBreak/>
              <w:t>Tripura</w:t>
            </w:r>
          </w:p>
        </w:tc>
        <w:tc>
          <w:tcPr>
            <w:tcW w:w="944" w:type="dxa"/>
            <w:noWrap/>
            <w:hideMark/>
          </w:tcPr>
          <w:p w14:paraId="2DEC25D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4" w:type="dxa"/>
            <w:noWrap/>
            <w:hideMark/>
          </w:tcPr>
          <w:p w14:paraId="577402E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189FCC9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83.13</w:t>
            </w:r>
          </w:p>
        </w:tc>
        <w:tc>
          <w:tcPr>
            <w:tcW w:w="945" w:type="dxa"/>
            <w:noWrap/>
            <w:hideMark/>
          </w:tcPr>
          <w:p w14:paraId="45791FB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w:t>
            </w:r>
          </w:p>
        </w:tc>
        <w:tc>
          <w:tcPr>
            <w:tcW w:w="1053" w:type="dxa"/>
            <w:noWrap/>
            <w:hideMark/>
          </w:tcPr>
          <w:p w14:paraId="52C36FC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38063.35</w:t>
            </w:r>
          </w:p>
        </w:tc>
        <w:tc>
          <w:tcPr>
            <w:tcW w:w="945" w:type="dxa"/>
            <w:noWrap/>
            <w:hideMark/>
          </w:tcPr>
          <w:p w14:paraId="2EA4D2A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565</w:t>
            </w:r>
          </w:p>
        </w:tc>
        <w:tc>
          <w:tcPr>
            <w:tcW w:w="945" w:type="dxa"/>
            <w:noWrap/>
            <w:hideMark/>
          </w:tcPr>
          <w:p w14:paraId="04323FF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16CBA9E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w:t>
            </w:r>
          </w:p>
        </w:tc>
      </w:tr>
      <w:tr w:rsidR="006513B7" w:rsidRPr="006513B7" w14:paraId="771DF887"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CC53A21"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 Pradesh</w:t>
            </w:r>
          </w:p>
        </w:tc>
        <w:tc>
          <w:tcPr>
            <w:tcW w:w="944" w:type="dxa"/>
            <w:noWrap/>
            <w:hideMark/>
          </w:tcPr>
          <w:p w14:paraId="6553EC5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4" w:type="dxa"/>
            <w:noWrap/>
            <w:hideMark/>
          </w:tcPr>
          <w:p w14:paraId="5F9F86A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05FE5AF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2610.04</w:t>
            </w:r>
          </w:p>
        </w:tc>
        <w:tc>
          <w:tcPr>
            <w:tcW w:w="945" w:type="dxa"/>
            <w:noWrap/>
            <w:hideMark/>
          </w:tcPr>
          <w:p w14:paraId="09F561F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25.3</w:t>
            </w:r>
          </w:p>
        </w:tc>
        <w:tc>
          <w:tcPr>
            <w:tcW w:w="1053" w:type="dxa"/>
            <w:noWrap/>
            <w:hideMark/>
          </w:tcPr>
          <w:p w14:paraId="25BC3A9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1141630</w:t>
            </w:r>
          </w:p>
        </w:tc>
        <w:tc>
          <w:tcPr>
            <w:tcW w:w="945" w:type="dxa"/>
            <w:noWrap/>
            <w:hideMark/>
          </w:tcPr>
          <w:p w14:paraId="411F8D7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18041</w:t>
            </w:r>
          </w:p>
        </w:tc>
        <w:tc>
          <w:tcPr>
            <w:tcW w:w="945" w:type="dxa"/>
            <w:noWrap/>
            <w:hideMark/>
          </w:tcPr>
          <w:p w14:paraId="7283D2D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81</w:t>
            </w:r>
          </w:p>
        </w:tc>
        <w:tc>
          <w:tcPr>
            <w:tcW w:w="945" w:type="dxa"/>
            <w:noWrap/>
            <w:hideMark/>
          </w:tcPr>
          <w:p w14:paraId="463B970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25.3</w:t>
            </w:r>
          </w:p>
        </w:tc>
      </w:tr>
      <w:tr w:rsidR="006513B7" w:rsidRPr="006513B7" w14:paraId="2C840C3E"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3D43F1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Uttarakhand</w:t>
            </w:r>
          </w:p>
        </w:tc>
        <w:tc>
          <w:tcPr>
            <w:tcW w:w="944" w:type="dxa"/>
            <w:noWrap/>
            <w:hideMark/>
          </w:tcPr>
          <w:p w14:paraId="10852C8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4" w:type="dxa"/>
            <w:noWrap/>
            <w:hideMark/>
          </w:tcPr>
          <w:p w14:paraId="6008E77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50A5A11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1364.15</w:t>
            </w:r>
          </w:p>
        </w:tc>
        <w:tc>
          <w:tcPr>
            <w:tcW w:w="945" w:type="dxa"/>
            <w:noWrap/>
            <w:hideMark/>
          </w:tcPr>
          <w:p w14:paraId="7D20F04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41.5</w:t>
            </w:r>
          </w:p>
        </w:tc>
        <w:tc>
          <w:tcPr>
            <w:tcW w:w="1053" w:type="dxa"/>
            <w:noWrap/>
            <w:hideMark/>
          </w:tcPr>
          <w:p w14:paraId="73AEAB3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189740.3</w:t>
            </w:r>
          </w:p>
        </w:tc>
        <w:tc>
          <w:tcPr>
            <w:tcW w:w="945" w:type="dxa"/>
            <w:noWrap/>
            <w:hideMark/>
          </w:tcPr>
          <w:p w14:paraId="0EEBF5B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2194</w:t>
            </w:r>
          </w:p>
        </w:tc>
        <w:tc>
          <w:tcPr>
            <w:tcW w:w="945" w:type="dxa"/>
            <w:noWrap/>
            <w:hideMark/>
          </w:tcPr>
          <w:p w14:paraId="0D3F1E8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w:t>
            </w:r>
          </w:p>
        </w:tc>
        <w:tc>
          <w:tcPr>
            <w:tcW w:w="945" w:type="dxa"/>
            <w:noWrap/>
            <w:hideMark/>
          </w:tcPr>
          <w:p w14:paraId="4982730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41.5</w:t>
            </w:r>
          </w:p>
        </w:tc>
      </w:tr>
      <w:tr w:rsidR="006513B7" w:rsidRPr="006513B7" w14:paraId="785797CE"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0D6768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West Bengal</w:t>
            </w:r>
          </w:p>
        </w:tc>
        <w:tc>
          <w:tcPr>
            <w:tcW w:w="944" w:type="dxa"/>
            <w:noWrap/>
            <w:hideMark/>
          </w:tcPr>
          <w:p w14:paraId="1E8EB26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944" w:type="dxa"/>
            <w:noWrap/>
            <w:hideMark/>
          </w:tcPr>
          <w:p w14:paraId="635ECF3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2020</w:t>
            </w:r>
          </w:p>
        </w:tc>
        <w:tc>
          <w:tcPr>
            <w:tcW w:w="1053" w:type="dxa"/>
            <w:noWrap/>
            <w:hideMark/>
          </w:tcPr>
          <w:p w14:paraId="47405AD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2025.6</w:t>
            </w:r>
          </w:p>
        </w:tc>
        <w:tc>
          <w:tcPr>
            <w:tcW w:w="945" w:type="dxa"/>
            <w:noWrap/>
            <w:hideMark/>
          </w:tcPr>
          <w:p w14:paraId="0AEA504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19.9</w:t>
            </w:r>
          </w:p>
        </w:tc>
        <w:tc>
          <w:tcPr>
            <w:tcW w:w="1053" w:type="dxa"/>
            <w:noWrap/>
            <w:hideMark/>
          </w:tcPr>
          <w:p w14:paraId="5A16DA5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761900.8</w:t>
            </w:r>
          </w:p>
        </w:tc>
        <w:tc>
          <w:tcPr>
            <w:tcW w:w="945" w:type="dxa"/>
            <w:noWrap/>
            <w:hideMark/>
          </w:tcPr>
          <w:p w14:paraId="39C3CD1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9251</w:t>
            </w:r>
          </w:p>
        </w:tc>
        <w:tc>
          <w:tcPr>
            <w:tcW w:w="945" w:type="dxa"/>
            <w:noWrap/>
            <w:hideMark/>
          </w:tcPr>
          <w:p w14:paraId="279FEB1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w:t>
            </w:r>
          </w:p>
        </w:tc>
        <w:tc>
          <w:tcPr>
            <w:tcW w:w="945" w:type="dxa"/>
            <w:noWrap/>
            <w:hideMark/>
          </w:tcPr>
          <w:p w14:paraId="3D0B5F6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19.9</w:t>
            </w:r>
          </w:p>
        </w:tc>
      </w:tr>
      <w:tr w:rsidR="006513B7" w:rsidRPr="006513B7" w14:paraId="6197F6FC"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367AC2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Andhra Pradesh</w:t>
            </w:r>
          </w:p>
        </w:tc>
        <w:tc>
          <w:tcPr>
            <w:tcW w:w="944" w:type="dxa"/>
            <w:noWrap/>
            <w:hideMark/>
          </w:tcPr>
          <w:p w14:paraId="4B451B6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w:t>
            </w:r>
          </w:p>
        </w:tc>
        <w:tc>
          <w:tcPr>
            <w:tcW w:w="944" w:type="dxa"/>
            <w:noWrap/>
            <w:hideMark/>
          </w:tcPr>
          <w:p w14:paraId="35383AB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49308C1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3745.28</w:t>
            </w:r>
          </w:p>
        </w:tc>
        <w:tc>
          <w:tcPr>
            <w:tcW w:w="945" w:type="dxa"/>
            <w:noWrap/>
            <w:hideMark/>
          </w:tcPr>
          <w:p w14:paraId="667A340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37.2</w:t>
            </w:r>
          </w:p>
        </w:tc>
        <w:tc>
          <w:tcPr>
            <w:tcW w:w="1053" w:type="dxa"/>
            <w:noWrap/>
            <w:hideMark/>
          </w:tcPr>
          <w:p w14:paraId="7929DD4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633720.3</w:t>
            </w:r>
          </w:p>
        </w:tc>
        <w:tc>
          <w:tcPr>
            <w:tcW w:w="945" w:type="dxa"/>
            <w:noWrap/>
            <w:hideMark/>
          </w:tcPr>
          <w:p w14:paraId="561BFC7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7431</w:t>
            </w:r>
          </w:p>
        </w:tc>
        <w:tc>
          <w:tcPr>
            <w:tcW w:w="945" w:type="dxa"/>
            <w:noWrap/>
            <w:hideMark/>
          </w:tcPr>
          <w:p w14:paraId="0AB10FE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w:t>
            </w:r>
          </w:p>
        </w:tc>
        <w:tc>
          <w:tcPr>
            <w:tcW w:w="945" w:type="dxa"/>
            <w:noWrap/>
            <w:hideMark/>
          </w:tcPr>
          <w:p w14:paraId="45BC3DB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37.2</w:t>
            </w:r>
          </w:p>
        </w:tc>
      </w:tr>
      <w:tr w:rsidR="006513B7" w:rsidRPr="006513B7" w14:paraId="63AFB9CF"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DEAFE2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Arunachal Pradesh</w:t>
            </w:r>
          </w:p>
        </w:tc>
        <w:tc>
          <w:tcPr>
            <w:tcW w:w="944" w:type="dxa"/>
            <w:noWrap/>
            <w:hideMark/>
          </w:tcPr>
          <w:p w14:paraId="5B2531D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w:t>
            </w:r>
          </w:p>
        </w:tc>
        <w:tc>
          <w:tcPr>
            <w:tcW w:w="944" w:type="dxa"/>
            <w:noWrap/>
            <w:hideMark/>
          </w:tcPr>
          <w:p w14:paraId="3CF6528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50CA140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16.32</w:t>
            </w:r>
          </w:p>
        </w:tc>
        <w:tc>
          <w:tcPr>
            <w:tcW w:w="945" w:type="dxa"/>
            <w:noWrap/>
            <w:hideMark/>
          </w:tcPr>
          <w:p w14:paraId="736F802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33.7</w:t>
            </w:r>
          </w:p>
        </w:tc>
        <w:tc>
          <w:tcPr>
            <w:tcW w:w="1053" w:type="dxa"/>
            <w:noWrap/>
            <w:hideMark/>
          </w:tcPr>
          <w:p w14:paraId="17950F3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18451.35</w:t>
            </w:r>
          </w:p>
        </w:tc>
        <w:tc>
          <w:tcPr>
            <w:tcW w:w="945" w:type="dxa"/>
            <w:noWrap/>
            <w:hideMark/>
          </w:tcPr>
          <w:p w14:paraId="4C74CAB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169</w:t>
            </w:r>
          </w:p>
        </w:tc>
        <w:tc>
          <w:tcPr>
            <w:tcW w:w="945" w:type="dxa"/>
            <w:noWrap/>
            <w:hideMark/>
          </w:tcPr>
          <w:p w14:paraId="3791378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5" w:type="dxa"/>
            <w:noWrap/>
            <w:hideMark/>
          </w:tcPr>
          <w:p w14:paraId="590D061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33.7</w:t>
            </w:r>
          </w:p>
        </w:tc>
      </w:tr>
      <w:tr w:rsidR="006513B7" w:rsidRPr="006513B7" w14:paraId="0BDA777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7781409"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Assam</w:t>
            </w:r>
          </w:p>
        </w:tc>
        <w:tc>
          <w:tcPr>
            <w:tcW w:w="944" w:type="dxa"/>
            <w:noWrap/>
            <w:hideMark/>
          </w:tcPr>
          <w:p w14:paraId="04A5954F"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4" w:type="dxa"/>
            <w:noWrap/>
            <w:hideMark/>
          </w:tcPr>
          <w:p w14:paraId="5F5DAAB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276B6FC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414.4</w:t>
            </w:r>
          </w:p>
        </w:tc>
        <w:tc>
          <w:tcPr>
            <w:tcW w:w="945" w:type="dxa"/>
            <w:noWrap/>
            <w:hideMark/>
          </w:tcPr>
          <w:p w14:paraId="5FACB0D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17.5</w:t>
            </w:r>
          </w:p>
        </w:tc>
        <w:tc>
          <w:tcPr>
            <w:tcW w:w="1053" w:type="dxa"/>
            <w:noWrap/>
            <w:hideMark/>
          </w:tcPr>
          <w:p w14:paraId="7F09DA4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242945.8</w:t>
            </w:r>
          </w:p>
        </w:tc>
        <w:tc>
          <w:tcPr>
            <w:tcW w:w="945" w:type="dxa"/>
            <w:noWrap/>
            <w:hideMark/>
          </w:tcPr>
          <w:p w14:paraId="38071D3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3020</w:t>
            </w:r>
          </w:p>
        </w:tc>
        <w:tc>
          <w:tcPr>
            <w:tcW w:w="945" w:type="dxa"/>
            <w:noWrap/>
            <w:hideMark/>
          </w:tcPr>
          <w:p w14:paraId="03F8E84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7EF4AE9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17.5</w:t>
            </w:r>
          </w:p>
        </w:tc>
      </w:tr>
      <w:tr w:rsidR="006513B7" w:rsidRPr="006513B7" w14:paraId="1D5CE5B4"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725513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Bihar</w:t>
            </w:r>
          </w:p>
        </w:tc>
        <w:tc>
          <w:tcPr>
            <w:tcW w:w="944" w:type="dxa"/>
            <w:noWrap/>
            <w:hideMark/>
          </w:tcPr>
          <w:p w14:paraId="4DA98E0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4" w:type="dxa"/>
            <w:noWrap/>
            <w:hideMark/>
          </w:tcPr>
          <w:p w14:paraId="7CBACE0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257FC04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2464.99</w:t>
            </w:r>
          </w:p>
        </w:tc>
        <w:tc>
          <w:tcPr>
            <w:tcW w:w="945" w:type="dxa"/>
            <w:noWrap/>
            <w:hideMark/>
          </w:tcPr>
          <w:p w14:paraId="31016CA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15.9</w:t>
            </w:r>
          </w:p>
        </w:tc>
        <w:tc>
          <w:tcPr>
            <w:tcW w:w="1053" w:type="dxa"/>
            <w:noWrap/>
            <w:hideMark/>
          </w:tcPr>
          <w:p w14:paraId="1EB1B68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368732.7</w:t>
            </w:r>
          </w:p>
        </w:tc>
        <w:tc>
          <w:tcPr>
            <w:tcW w:w="945" w:type="dxa"/>
            <w:noWrap/>
            <w:hideMark/>
          </w:tcPr>
          <w:p w14:paraId="22B448E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7584</w:t>
            </w:r>
          </w:p>
        </w:tc>
        <w:tc>
          <w:tcPr>
            <w:tcW w:w="945" w:type="dxa"/>
            <w:noWrap/>
            <w:hideMark/>
          </w:tcPr>
          <w:p w14:paraId="795DF3C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w:t>
            </w:r>
          </w:p>
        </w:tc>
        <w:tc>
          <w:tcPr>
            <w:tcW w:w="945" w:type="dxa"/>
            <w:noWrap/>
            <w:hideMark/>
          </w:tcPr>
          <w:p w14:paraId="245CF62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15.9</w:t>
            </w:r>
          </w:p>
        </w:tc>
      </w:tr>
      <w:tr w:rsidR="006513B7" w:rsidRPr="006513B7" w14:paraId="71D3572C"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FE4FD9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Chandigarh</w:t>
            </w:r>
          </w:p>
        </w:tc>
        <w:tc>
          <w:tcPr>
            <w:tcW w:w="944" w:type="dxa"/>
            <w:noWrap/>
            <w:hideMark/>
          </w:tcPr>
          <w:p w14:paraId="5EE0489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4" w:type="dxa"/>
            <w:noWrap/>
            <w:hideMark/>
          </w:tcPr>
          <w:p w14:paraId="5D4E9DE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2C0D86B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186.17</w:t>
            </w:r>
          </w:p>
        </w:tc>
        <w:tc>
          <w:tcPr>
            <w:tcW w:w="945" w:type="dxa"/>
            <w:noWrap/>
            <w:hideMark/>
          </w:tcPr>
          <w:p w14:paraId="1DF5A00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66.1</w:t>
            </w:r>
          </w:p>
        </w:tc>
        <w:tc>
          <w:tcPr>
            <w:tcW w:w="1053" w:type="dxa"/>
            <w:noWrap/>
            <w:hideMark/>
          </w:tcPr>
          <w:p w14:paraId="7308F0F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28618.46</w:t>
            </w:r>
          </w:p>
        </w:tc>
        <w:tc>
          <w:tcPr>
            <w:tcW w:w="945" w:type="dxa"/>
            <w:noWrap/>
            <w:hideMark/>
          </w:tcPr>
          <w:p w14:paraId="3910944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442</w:t>
            </w:r>
          </w:p>
        </w:tc>
        <w:tc>
          <w:tcPr>
            <w:tcW w:w="945" w:type="dxa"/>
            <w:noWrap/>
            <w:hideMark/>
          </w:tcPr>
          <w:p w14:paraId="4C149D1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4DDB518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66.1</w:t>
            </w:r>
          </w:p>
        </w:tc>
      </w:tr>
      <w:tr w:rsidR="006513B7" w:rsidRPr="006513B7" w14:paraId="348BC8E7"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3C4167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Chhattisgarh</w:t>
            </w:r>
          </w:p>
        </w:tc>
        <w:tc>
          <w:tcPr>
            <w:tcW w:w="944" w:type="dxa"/>
            <w:noWrap/>
            <w:hideMark/>
          </w:tcPr>
          <w:p w14:paraId="249F9BA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w:t>
            </w:r>
          </w:p>
        </w:tc>
        <w:tc>
          <w:tcPr>
            <w:tcW w:w="944" w:type="dxa"/>
            <w:noWrap/>
            <w:hideMark/>
          </w:tcPr>
          <w:p w14:paraId="1A22C17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4263BDE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581.59</w:t>
            </w:r>
          </w:p>
        </w:tc>
        <w:tc>
          <w:tcPr>
            <w:tcW w:w="945" w:type="dxa"/>
            <w:noWrap/>
            <w:hideMark/>
          </w:tcPr>
          <w:p w14:paraId="0778329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19.6</w:t>
            </w:r>
          </w:p>
        </w:tc>
        <w:tc>
          <w:tcPr>
            <w:tcW w:w="1053" w:type="dxa"/>
            <w:noWrap/>
            <w:hideMark/>
          </w:tcPr>
          <w:p w14:paraId="29387F4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246803.6</w:t>
            </w:r>
          </w:p>
        </w:tc>
        <w:tc>
          <w:tcPr>
            <w:tcW w:w="945" w:type="dxa"/>
            <w:noWrap/>
            <w:hideMark/>
          </w:tcPr>
          <w:p w14:paraId="77778CC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2844</w:t>
            </w:r>
          </w:p>
        </w:tc>
        <w:tc>
          <w:tcPr>
            <w:tcW w:w="945" w:type="dxa"/>
            <w:noWrap/>
            <w:hideMark/>
          </w:tcPr>
          <w:p w14:paraId="40607AC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945" w:type="dxa"/>
            <w:noWrap/>
            <w:hideMark/>
          </w:tcPr>
          <w:p w14:paraId="5053A91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19.6</w:t>
            </w:r>
          </w:p>
        </w:tc>
      </w:tr>
      <w:tr w:rsidR="006513B7" w:rsidRPr="006513B7" w14:paraId="3948AC31"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1A71A0F"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Delhi</w:t>
            </w:r>
          </w:p>
        </w:tc>
        <w:tc>
          <w:tcPr>
            <w:tcW w:w="944" w:type="dxa"/>
            <w:noWrap/>
            <w:hideMark/>
          </w:tcPr>
          <w:p w14:paraId="329FB0F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w:t>
            </w:r>
          </w:p>
        </w:tc>
        <w:tc>
          <w:tcPr>
            <w:tcW w:w="944" w:type="dxa"/>
            <w:noWrap/>
            <w:hideMark/>
          </w:tcPr>
          <w:p w14:paraId="335546A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69845AB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1503.48</w:t>
            </w:r>
          </w:p>
        </w:tc>
        <w:tc>
          <w:tcPr>
            <w:tcW w:w="945" w:type="dxa"/>
            <w:noWrap/>
            <w:hideMark/>
          </w:tcPr>
          <w:p w14:paraId="15992DD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47.6</w:t>
            </w:r>
          </w:p>
        </w:tc>
        <w:tc>
          <w:tcPr>
            <w:tcW w:w="1053" w:type="dxa"/>
            <w:noWrap/>
            <w:hideMark/>
          </w:tcPr>
          <w:p w14:paraId="307F972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547682.2</w:t>
            </w:r>
          </w:p>
        </w:tc>
        <w:tc>
          <w:tcPr>
            <w:tcW w:w="945" w:type="dxa"/>
            <w:noWrap/>
            <w:hideMark/>
          </w:tcPr>
          <w:p w14:paraId="29D5653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3747</w:t>
            </w:r>
          </w:p>
        </w:tc>
        <w:tc>
          <w:tcPr>
            <w:tcW w:w="945" w:type="dxa"/>
            <w:noWrap/>
            <w:hideMark/>
          </w:tcPr>
          <w:p w14:paraId="7A97D5F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5" w:type="dxa"/>
            <w:noWrap/>
            <w:hideMark/>
          </w:tcPr>
          <w:p w14:paraId="2DF8B51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47.6</w:t>
            </w:r>
          </w:p>
        </w:tc>
      </w:tr>
      <w:tr w:rsidR="006513B7" w:rsidRPr="006513B7" w14:paraId="4306F161"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402B66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Goa</w:t>
            </w:r>
          </w:p>
        </w:tc>
        <w:tc>
          <w:tcPr>
            <w:tcW w:w="944" w:type="dxa"/>
            <w:noWrap/>
            <w:hideMark/>
          </w:tcPr>
          <w:p w14:paraId="671C8F1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w:t>
            </w:r>
          </w:p>
        </w:tc>
        <w:tc>
          <w:tcPr>
            <w:tcW w:w="944" w:type="dxa"/>
            <w:noWrap/>
            <w:hideMark/>
          </w:tcPr>
          <w:p w14:paraId="4DAB5BD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41EF678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177.5</w:t>
            </w:r>
          </w:p>
        </w:tc>
        <w:tc>
          <w:tcPr>
            <w:tcW w:w="945" w:type="dxa"/>
            <w:noWrap/>
            <w:hideMark/>
          </w:tcPr>
          <w:p w14:paraId="18637BC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338</w:t>
            </w:r>
          </w:p>
        </w:tc>
        <w:tc>
          <w:tcPr>
            <w:tcW w:w="1053" w:type="dxa"/>
            <w:noWrap/>
            <w:hideMark/>
          </w:tcPr>
          <w:p w14:paraId="3B8FB9E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53360.06</w:t>
            </w:r>
          </w:p>
        </w:tc>
        <w:tc>
          <w:tcPr>
            <w:tcW w:w="945" w:type="dxa"/>
            <w:noWrap/>
            <w:hideMark/>
          </w:tcPr>
          <w:p w14:paraId="13DB0F5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687</w:t>
            </w:r>
          </w:p>
        </w:tc>
        <w:tc>
          <w:tcPr>
            <w:tcW w:w="945" w:type="dxa"/>
            <w:noWrap/>
            <w:hideMark/>
          </w:tcPr>
          <w:p w14:paraId="55E80FD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42B55EE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338</w:t>
            </w:r>
          </w:p>
        </w:tc>
      </w:tr>
      <w:tr w:rsidR="006513B7" w:rsidRPr="006513B7" w14:paraId="2A30D543"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C66DCD1"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Gujarat</w:t>
            </w:r>
          </w:p>
        </w:tc>
        <w:tc>
          <w:tcPr>
            <w:tcW w:w="944" w:type="dxa"/>
            <w:noWrap/>
            <w:hideMark/>
          </w:tcPr>
          <w:p w14:paraId="1132422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4" w:type="dxa"/>
            <w:noWrap/>
            <w:hideMark/>
          </w:tcPr>
          <w:p w14:paraId="502182C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30A1E7C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1842.22</w:t>
            </w:r>
          </w:p>
        </w:tc>
        <w:tc>
          <w:tcPr>
            <w:tcW w:w="945" w:type="dxa"/>
            <w:noWrap/>
            <w:hideMark/>
          </w:tcPr>
          <w:p w14:paraId="4E448F1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22.2</w:t>
            </w:r>
          </w:p>
        </w:tc>
        <w:tc>
          <w:tcPr>
            <w:tcW w:w="1053" w:type="dxa"/>
            <w:noWrap/>
            <w:hideMark/>
          </w:tcPr>
          <w:p w14:paraId="37320CC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1241118</w:t>
            </w:r>
          </w:p>
        </w:tc>
        <w:tc>
          <w:tcPr>
            <w:tcW w:w="945" w:type="dxa"/>
            <w:noWrap/>
            <w:hideMark/>
          </w:tcPr>
          <w:p w14:paraId="1620A9E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8582</w:t>
            </w:r>
          </w:p>
        </w:tc>
        <w:tc>
          <w:tcPr>
            <w:tcW w:w="945" w:type="dxa"/>
            <w:noWrap/>
            <w:hideMark/>
          </w:tcPr>
          <w:p w14:paraId="7E21B4B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83</w:t>
            </w:r>
          </w:p>
        </w:tc>
        <w:tc>
          <w:tcPr>
            <w:tcW w:w="945" w:type="dxa"/>
            <w:noWrap/>
            <w:hideMark/>
          </w:tcPr>
          <w:p w14:paraId="6E1EAF1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22.2</w:t>
            </w:r>
          </w:p>
        </w:tc>
      </w:tr>
      <w:tr w:rsidR="006513B7" w:rsidRPr="006513B7" w14:paraId="5C74A124"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E722A35"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Haryana</w:t>
            </w:r>
          </w:p>
        </w:tc>
        <w:tc>
          <w:tcPr>
            <w:tcW w:w="944" w:type="dxa"/>
            <w:noWrap/>
            <w:hideMark/>
          </w:tcPr>
          <w:p w14:paraId="6CC9F5F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w:t>
            </w:r>
          </w:p>
        </w:tc>
        <w:tc>
          <w:tcPr>
            <w:tcW w:w="944" w:type="dxa"/>
            <w:noWrap/>
            <w:hideMark/>
          </w:tcPr>
          <w:p w14:paraId="1AECEB5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0E0DBC9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1146.26</w:t>
            </w:r>
          </w:p>
        </w:tc>
        <w:tc>
          <w:tcPr>
            <w:tcW w:w="945" w:type="dxa"/>
            <w:noWrap/>
            <w:hideMark/>
          </w:tcPr>
          <w:p w14:paraId="40084E4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31.1</w:t>
            </w:r>
          </w:p>
        </w:tc>
        <w:tc>
          <w:tcPr>
            <w:tcW w:w="1053" w:type="dxa"/>
            <w:noWrap/>
            <w:hideMark/>
          </w:tcPr>
          <w:p w14:paraId="19B01C2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510306.1</w:t>
            </w:r>
          </w:p>
        </w:tc>
        <w:tc>
          <w:tcPr>
            <w:tcW w:w="945" w:type="dxa"/>
            <w:noWrap/>
            <w:hideMark/>
          </w:tcPr>
          <w:p w14:paraId="1435425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5225</w:t>
            </w:r>
          </w:p>
        </w:tc>
        <w:tc>
          <w:tcPr>
            <w:tcW w:w="945" w:type="dxa"/>
            <w:noWrap/>
            <w:hideMark/>
          </w:tcPr>
          <w:p w14:paraId="5A3EB73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56</w:t>
            </w:r>
          </w:p>
        </w:tc>
        <w:tc>
          <w:tcPr>
            <w:tcW w:w="945" w:type="dxa"/>
            <w:noWrap/>
            <w:hideMark/>
          </w:tcPr>
          <w:p w14:paraId="3308320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31.1</w:t>
            </w:r>
          </w:p>
        </w:tc>
      </w:tr>
      <w:tr w:rsidR="006513B7" w:rsidRPr="006513B7" w14:paraId="1DFA58B0"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156D76C"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Himachal Pradesh</w:t>
            </w:r>
          </w:p>
        </w:tc>
        <w:tc>
          <w:tcPr>
            <w:tcW w:w="944" w:type="dxa"/>
            <w:noWrap/>
            <w:hideMark/>
          </w:tcPr>
          <w:p w14:paraId="7B92E89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w:t>
            </w:r>
          </w:p>
        </w:tc>
        <w:tc>
          <w:tcPr>
            <w:tcW w:w="944" w:type="dxa"/>
            <w:noWrap/>
            <w:hideMark/>
          </w:tcPr>
          <w:p w14:paraId="4DF1654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40C6852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356.04</w:t>
            </w:r>
          </w:p>
        </w:tc>
        <w:tc>
          <w:tcPr>
            <w:tcW w:w="945" w:type="dxa"/>
            <w:noWrap/>
            <w:hideMark/>
          </w:tcPr>
          <w:p w14:paraId="1AEEB31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38.7</w:t>
            </w:r>
          </w:p>
        </w:tc>
        <w:tc>
          <w:tcPr>
            <w:tcW w:w="1053" w:type="dxa"/>
            <w:noWrap/>
            <w:hideMark/>
          </w:tcPr>
          <w:p w14:paraId="52581F6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117554.8</w:t>
            </w:r>
          </w:p>
        </w:tc>
        <w:tc>
          <w:tcPr>
            <w:tcW w:w="945" w:type="dxa"/>
            <w:noWrap/>
            <w:hideMark/>
          </w:tcPr>
          <w:p w14:paraId="19B90A1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1683</w:t>
            </w:r>
          </w:p>
        </w:tc>
        <w:tc>
          <w:tcPr>
            <w:tcW w:w="945" w:type="dxa"/>
            <w:noWrap/>
            <w:hideMark/>
          </w:tcPr>
          <w:p w14:paraId="6AC5924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945" w:type="dxa"/>
            <w:noWrap/>
            <w:hideMark/>
          </w:tcPr>
          <w:p w14:paraId="3889EA9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38.7</w:t>
            </w:r>
          </w:p>
        </w:tc>
      </w:tr>
      <w:tr w:rsidR="006513B7" w:rsidRPr="006513B7" w14:paraId="55E92FE0"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8290EA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Jammu and Kashmir</w:t>
            </w:r>
          </w:p>
        </w:tc>
        <w:tc>
          <w:tcPr>
            <w:tcW w:w="944" w:type="dxa"/>
            <w:noWrap/>
            <w:hideMark/>
          </w:tcPr>
          <w:p w14:paraId="4A234D9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w:t>
            </w:r>
          </w:p>
        </w:tc>
        <w:tc>
          <w:tcPr>
            <w:tcW w:w="944" w:type="dxa"/>
            <w:noWrap/>
            <w:hideMark/>
          </w:tcPr>
          <w:p w14:paraId="47658E6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1E14BD6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452.62</w:t>
            </w:r>
          </w:p>
        </w:tc>
        <w:tc>
          <w:tcPr>
            <w:tcW w:w="945" w:type="dxa"/>
            <w:noWrap/>
            <w:hideMark/>
          </w:tcPr>
          <w:p w14:paraId="1CB2731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1053" w:type="dxa"/>
            <w:noWrap/>
            <w:hideMark/>
          </w:tcPr>
          <w:p w14:paraId="04F69B1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112273.5</w:t>
            </w:r>
          </w:p>
        </w:tc>
        <w:tc>
          <w:tcPr>
            <w:tcW w:w="945" w:type="dxa"/>
            <w:noWrap/>
            <w:hideMark/>
          </w:tcPr>
          <w:p w14:paraId="03A98C3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1800</w:t>
            </w:r>
          </w:p>
        </w:tc>
        <w:tc>
          <w:tcPr>
            <w:tcW w:w="945" w:type="dxa"/>
            <w:noWrap/>
            <w:hideMark/>
          </w:tcPr>
          <w:p w14:paraId="1A75DEC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5" w:type="dxa"/>
            <w:noWrap/>
            <w:hideMark/>
          </w:tcPr>
          <w:p w14:paraId="36F0FB6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r>
      <w:tr w:rsidR="006513B7" w:rsidRPr="006513B7" w14:paraId="2B0FD4A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6DDE8A9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Jharkhand</w:t>
            </w:r>
          </w:p>
        </w:tc>
        <w:tc>
          <w:tcPr>
            <w:tcW w:w="944" w:type="dxa"/>
            <w:noWrap/>
            <w:hideMark/>
          </w:tcPr>
          <w:p w14:paraId="0D77205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w:t>
            </w:r>
          </w:p>
        </w:tc>
        <w:tc>
          <w:tcPr>
            <w:tcW w:w="944" w:type="dxa"/>
            <w:noWrap/>
            <w:hideMark/>
          </w:tcPr>
          <w:p w14:paraId="2E1F811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09A83C0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1462.61</w:t>
            </w:r>
          </w:p>
        </w:tc>
        <w:tc>
          <w:tcPr>
            <w:tcW w:w="945" w:type="dxa"/>
            <w:noWrap/>
            <w:hideMark/>
          </w:tcPr>
          <w:p w14:paraId="1612B46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c>
          <w:tcPr>
            <w:tcW w:w="1053" w:type="dxa"/>
            <w:noWrap/>
            <w:hideMark/>
          </w:tcPr>
          <w:p w14:paraId="669EA1B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219483.3</w:t>
            </w:r>
          </w:p>
        </w:tc>
        <w:tc>
          <w:tcPr>
            <w:tcW w:w="945" w:type="dxa"/>
            <w:noWrap/>
            <w:hideMark/>
          </w:tcPr>
          <w:p w14:paraId="6EADBC7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3190</w:t>
            </w:r>
          </w:p>
        </w:tc>
        <w:tc>
          <w:tcPr>
            <w:tcW w:w="945" w:type="dxa"/>
            <w:noWrap/>
            <w:hideMark/>
          </w:tcPr>
          <w:p w14:paraId="1A24382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32</w:t>
            </w:r>
          </w:p>
        </w:tc>
        <w:tc>
          <w:tcPr>
            <w:tcW w:w="945" w:type="dxa"/>
            <w:noWrap/>
            <w:hideMark/>
          </w:tcPr>
          <w:p w14:paraId="7A8A69F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r>
      <w:tr w:rsidR="006513B7" w:rsidRPr="006513B7" w14:paraId="0DB10750"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95D5C24"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Karnataka</w:t>
            </w:r>
          </w:p>
        </w:tc>
        <w:tc>
          <w:tcPr>
            <w:tcW w:w="944" w:type="dxa"/>
            <w:noWrap/>
            <w:hideMark/>
          </w:tcPr>
          <w:p w14:paraId="2DA48C4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w:t>
            </w:r>
          </w:p>
        </w:tc>
        <w:tc>
          <w:tcPr>
            <w:tcW w:w="944" w:type="dxa"/>
            <w:noWrap/>
            <w:hideMark/>
          </w:tcPr>
          <w:p w14:paraId="1CA61FF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2C24111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5326.96</w:t>
            </w:r>
          </w:p>
        </w:tc>
        <w:tc>
          <w:tcPr>
            <w:tcW w:w="945" w:type="dxa"/>
            <w:noWrap/>
            <w:hideMark/>
          </w:tcPr>
          <w:p w14:paraId="7EB1074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w:t>
            </w:r>
          </w:p>
        </w:tc>
        <w:tc>
          <w:tcPr>
            <w:tcW w:w="1053" w:type="dxa"/>
            <w:noWrap/>
            <w:hideMark/>
          </w:tcPr>
          <w:p w14:paraId="68704FA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1108212</w:t>
            </w:r>
          </w:p>
        </w:tc>
        <w:tc>
          <w:tcPr>
            <w:tcW w:w="945" w:type="dxa"/>
            <w:noWrap/>
            <w:hideMark/>
          </w:tcPr>
          <w:p w14:paraId="37ABDFF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10875</w:t>
            </w:r>
          </w:p>
        </w:tc>
        <w:tc>
          <w:tcPr>
            <w:tcW w:w="945" w:type="dxa"/>
            <w:noWrap/>
            <w:hideMark/>
          </w:tcPr>
          <w:p w14:paraId="57BC69C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72</w:t>
            </w:r>
          </w:p>
        </w:tc>
        <w:tc>
          <w:tcPr>
            <w:tcW w:w="945" w:type="dxa"/>
            <w:noWrap/>
            <w:hideMark/>
          </w:tcPr>
          <w:p w14:paraId="723245E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w:t>
            </w:r>
          </w:p>
        </w:tc>
      </w:tr>
      <w:tr w:rsidR="006513B7" w:rsidRPr="006513B7" w14:paraId="0ED1C3C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B7251B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Kerala</w:t>
            </w:r>
          </w:p>
        </w:tc>
        <w:tc>
          <w:tcPr>
            <w:tcW w:w="944" w:type="dxa"/>
            <w:noWrap/>
            <w:hideMark/>
          </w:tcPr>
          <w:p w14:paraId="4BB5C88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15</w:t>
            </w:r>
          </w:p>
        </w:tc>
        <w:tc>
          <w:tcPr>
            <w:tcW w:w="944" w:type="dxa"/>
            <w:noWrap/>
            <w:hideMark/>
          </w:tcPr>
          <w:p w14:paraId="17DA9DD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38E6F15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7854.18</w:t>
            </w:r>
          </w:p>
        </w:tc>
        <w:tc>
          <w:tcPr>
            <w:tcW w:w="945" w:type="dxa"/>
            <w:noWrap/>
            <w:hideMark/>
          </w:tcPr>
          <w:p w14:paraId="0EC4759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43.2</w:t>
            </w:r>
          </w:p>
        </w:tc>
        <w:tc>
          <w:tcPr>
            <w:tcW w:w="1053" w:type="dxa"/>
            <w:noWrap/>
            <w:hideMark/>
          </w:tcPr>
          <w:p w14:paraId="21DFC81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511702.9</w:t>
            </w:r>
          </w:p>
        </w:tc>
        <w:tc>
          <w:tcPr>
            <w:tcW w:w="945" w:type="dxa"/>
            <w:noWrap/>
            <w:hideMark/>
          </w:tcPr>
          <w:p w14:paraId="210B2672"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6869</w:t>
            </w:r>
          </w:p>
        </w:tc>
        <w:tc>
          <w:tcPr>
            <w:tcW w:w="945" w:type="dxa"/>
            <w:noWrap/>
            <w:hideMark/>
          </w:tcPr>
          <w:p w14:paraId="43CE96F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5" w:type="dxa"/>
            <w:noWrap/>
            <w:hideMark/>
          </w:tcPr>
          <w:p w14:paraId="67825A5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43.2</w:t>
            </w:r>
          </w:p>
        </w:tc>
      </w:tr>
      <w:tr w:rsidR="006513B7" w:rsidRPr="006513B7" w14:paraId="060FC761"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0509E4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Madhya Pradesh</w:t>
            </w:r>
          </w:p>
        </w:tc>
        <w:tc>
          <w:tcPr>
            <w:tcW w:w="944" w:type="dxa"/>
            <w:noWrap/>
            <w:hideMark/>
          </w:tcPr>
          <w:p w14:paraId="4FD4123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w:t>
            </w:r>
          </w:p>
        </w:tc>
        <w:tc>
          <w:tcPr>
            <w:tcW w:w="944" w:type="dxa"/>
            <w:noWrap/>
            <w:hideMark/>
          </w:tcPr>
          <w:p w14:paraId="15CB58F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3521C4A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1949.51</w:t>
            </w:r>
          </w:p>
        </w:tc>
        <w:tc>
          <w:tcPr>
            <w:tcW w:w="945" w:type="dxa"/>
            <w:noWrap/>
            <w:hideMark/>
          </w:tcPr>
          <w:p w14:paraId="6B829708"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27.1</w:t>
            </w:r>
          </w:p>
        </w:tc>
        <w:tc>
          <w:tcPr>
            <w:tcW w:w="1053" w:type="dxa"/>
            <w:noWrap/>
            <w:hideMark/>
          </w:tcPr>
          <w:p w14:paraId="0BE8EF9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543934.8</w:t>
            </w:r>
          </w:p>
        </w:tc>
        <w:tc>
          <w:tcPr>
            <w:tcW w:w="945" w:type="dxa"/>
            <w:noWrap/>
            <w:hideMark/>
          </w:tcPr>
          <w:p w14:paraId="023D2E7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7248</w:t>
            </w:r>
          </w:p>
        </w:tc>
        <w:tc>
          <w:tcPr>
            <w:tcW w:w="945" w:type="dxa"/>
            <w:noWrap/>
            <w:hideMark/>
          </w:tcPr>
          <w:p w14:paraId="002CF35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74</w:t>
            </w:r>
          </w:p>
        </w:tc>
        <w:tc>
          <w:tcPr>
            <w:tcW w:w="945" w:type="dxa"/>
            <w:noWrap/>
            <w:hideMark/>
          </w:tcPr>
          <w:p w14:paraId="5780DF9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27.1</w:t>
            </w:r>
          </w:p>
        </w:tc>
      </w:tr>
      <w:tr w:rsidR="006513B7" w:rsidRPr="006513B7" w14:paraId="0D7BBD30"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66077A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Maharashtra</w:t>
            </w:r>
          </w:p>
        </w:tc>
        <w:tc>
          <w:tcPr>
            <w:tcW w:w="944" w:type="dxa"/>
            <w:noWrap/>
            <w:hideMark/>
          </w:tcPr>
          <w:p w14:paraId="5DDC24D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w:t>
            </w:r>
          </w:p>
        </w:tc>
        <w:tc>
          <w:tcPr>
            <w:tcW w:w="944" w:type="dxa"/>
            <w:noWrap/>
            <w:hideMark/>
          </w:tcPr>
          <w:p w14:paraId="617DB1F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2E20CEC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5561.42</w:t>
            </w:r>
          </w:p>
        </w:tc>
        <w:tc>
          <w:tcPr>
            <w:tcW w:w="945" w:type="dxa"/>
            <w:noWrap/>
            <w:hideMark/>
          </w:tcPr>
          <w:p w14:paraId="3BA9B32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34.9</w:t>
            </w:r>
          </w:p>
        </w:tc>
        <w:tc>
          <w:tcPr>
            <w:tcW w:w="1053" w:type="dxa"/>
            <w:noWrap/>
            <w:hideMark/>
          </w:tcPr>
          <w:p w14:paraId="784A0F7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1858370</w:t>
            </w:r>
          </w:p>
        </w:tc>
        <w:tc>
          <w:tcPr>
            <w:tcW w:w="945" w:type="dxa"/>
            <w:noWrap/>
            <w:hideMark/>
          </w:tcPr>
          <w:p w14:paraId="4C3F581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13648</w:t>
            </w:r>
          </w:p>
        </w:tc>
        <w:tc>
          <w:tcPr>
            <w:tcW w:w="945" w:type="dxa"/>
            <w:noWrap/>
            <w:hideMark/>
          </w:tcPr>
          <w:p w14:paraId="35223AF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71</w:t>
            </w:r>
          </w:p>
        </w:tc>
        <w:tc>
          <w:tcPr>
            <w:tcW w:w="945" w:type="dxa"/>
            <w:noWrap/>
            <w:hideMark/>
          </w:tcPr>
          <w:p w14:paraId="7D3C4DA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34.9</w:t>
            </w:r>
          </w:p>
        </w:tc>
      </w:tr>
      <w:tr w:rsidR="006513B7" w:rsidRPr="006513B7" w14:paraId="4920474F"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5F1592DB"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Manipur</w:t>
            </w:r>
          </w:p>
        </w:tc>
        <w:tc>
          <w:tcPr>
            <w:tcW w:w="944" w:type="dxa"/>
            <w:noWrap/>
            <w:hideMark/>
          </w:tcPr>
          <w:p w14:paraId="59AFD32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w:t>
            </w:r>
          </w:p>
        </w:tc>
        <w:tc>
          <w:tcPr>
            <w:tcW w:w="944" w:type="dxa"/>
            <w:noWrap/>
            <w:hideMark/>
          </w:tcPr>
          <w:p w14:paraId="49440862"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52027E8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31.95</w:t>
            </w:r>
          </w:p>
        </w:tc>
        <w:tc>
          <w:tcPr>
            <w:tcW w:w="945" w:type="dxa"/>
            <w:noWrap/>
            <w:hideMark/>
          </w:tcPr>
          <w:p w14:paraId="44BDD71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37.8</w:t>
            </w:r>
          </w:p>
        </w:tc>
        <w:tc>
          <w:tcPr>
            <w:tcW w:w="1053" w:type="dxa"/>
            <w:noWrap/>
            <w:hideMark/>
          </w:tcPr>
          <w:p w14:paraId="41F16E7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18073.4</w:t>
            </w:r>
          </w:p>
        </w:tc>
        <w:tc>
          <w:tcPr>
            <w:tcW w:w="945" w:type="dxa"/>
            <w:noWrap/>
            <w:hideMark/>
          </w:tcPr>
          <w:p w14:paraId="66278E4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210</w:t>
            </w:r>
          </w:p>
        </w:tc>
        <w:tc>
          <w:tcPr>
            <w:tcW w:w="945" w:type="dxa"/>
            <w:noWrap/>
            <w:hideMark/>
          </w:tcPr>
          <w:p w14:paraId="168A9C8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w:t>
            </w:r>
          </w:p>
        </w:tc>
        <w:tc>
          <w:tcPr>
            <w:tcW w:w="945" w:type="dxa"/>
            <w:noWrap/>
            <w:hideMark/>
          </w:tcPr>
          <w:p w14:paraId="5EA3B33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37.8</w:t>
            </w:r>
          </w:p>
        </w:tc>
      </w:tr>
      <w:tr w:rsidR="006513B7" w:rsidRPr="006513B7" w14:paraId="406CCE29"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65C9037"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Mizoram</w:t>
            </w:r>
          </w:p>
        </w:tc>
        <w:tc>
          <w:tcPr>
            <w:tcW w:w="944" w:type="dxa"/>
            <w:noWrap/>
            <w:hideMark/>
          </w:tcPr>
          <w:p w14:paraId="58158B1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w:t>
            </w:r>
          </w:p>
        </w:tc>
        <w:tc>
          <w:tcPr>
            <w:tcW w:w="944" w:type="dxa"/>
            <w:noWrap/>
            <w:hideMark/>
          </w:tcPr>
          <w:p w14:paraId="4D86983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3F89AD0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8.1</w:t>
            </w:r>
          </w:p>
        </w:tc>
        <w:tc>
          <w:tcPr>
            <w:tcW w:w="945" w:type="dxa"/>
            <w:noWrap/>
            <w:hideMark/>
          </w:tcPr>
          <w:p w14:paraId="1FBEB5F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26.8</w:t>
            </w:r>
          </w:p>
        </w:tc>
        <w:tc>
          <w:tcPr>
            <w:tcW w:w="1053" w:type="dxa"/>
            <w:noWrap/>
            <w:hideMark/>
          </w:tcPr>
          <w:p w14:paraId="72586E5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16427.36</w:t>
            </w:r>
          </w:p>
        </w:tc>
        <w:tc>
          <w:tcPr>
            <w:tcW w:w="945" w:type="dxa"/>
            <w:noWrap/>
            <w:hideMark/>
          </w:tcPr>
          <w:p w14:paraId="458E121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210</w:t>
            </w:r>
          </w:p>
        </w:tc>
        <w:tc>
          <w:tcPr>
            <w:tcW w:w="945" w:type="dxa"/>
            <w:noWrap/>
            <w:hideMark/>
          </w:tcPr>
          <w:p w14:paraId="7658DA6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w:t>
            </w:r>
          </w:p>
        </w:tc>
        <w:tc>
          <w:tcPr>
            <w:tcW w:w="945" w:type="dxa"/>
            <w:noWrap/>
            <w:hideMark/>
          </w:tcPr>
          <w:p w14:paraId="49BF069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26.8</w:t>
            </w:r>
          </w:p>
        </w:tc>
      </w:tr>
      <w:tr w:rsidR="006513B7" w:rsidRPr="006513B7" w14:paraId="59D3773D"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92DC5AD"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Nagaland</w:t>
            </w:r>
          </w:p>
        </w:tc>
        <w:tc>
          <w:tcPr>
            <w:tcW w:w="944" w:type="dxa"/>
            <w:noWrap/>
            <w:hideMark/>
          </w:tcPr>
          <w:p w14:paraId="5C053BF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w:t>
            </w:r>
          </w:p>
        </w:tc>
        <w:tc>
          <w:tcPr>
            <w:tcW w:w="944" w:type="dxa"/>
            <w:noWrap/>
            <w:hideMark/>
          </w:tcPr>
          <w:p w14:paraId="4FDA3C7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024E4A8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10.39</w:t>
            </w:r>
          </w:p>
        </w:tc>
        <w:tc>
          <w:tcPr>
            <w:tcW w:w="945" w:type="dxa"/>
            <w:noWrap/>
            <w:hideMark/>
          </w:tcPr>
          <w:p w14:paraId="108D870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17.3</w:t>
            </w:r>
          </w:p>
        </w:tc>
        <w:tc>
          <w:tcPr>
            <w:tcW w:w="1053" w:type="dxa"/>
            <w:noWrap/>
            <w:hideMark/>
          </w:tcPr>
          <w:p w14:paraId="20816ED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17673.09</w:t>
            </w:r>
          </w:p>
        </w:tc>
        <w:tc>
          <w:tcPr>
            <w:tcW w:w="945" w:type="dxa"/>
            <w:noWrap/>
            <w:hideMark/>
          </w:tcPr>
          <w:p w14:paraId="2086C69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180</w:t>
            </w:r>
          </w:p>
        </w:tc>
        <w:tc>
          <w:tcPr>
            <w:tcW w:w="945" w:type="dxa"/>
            <w:noWrap/>
            <w:hideMark/>
          </w:tcPr>
          <w:p w14:paraId="6D7C579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5638BDB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17.3</w:t>
            </w:r>
          </w:p>
        </w:tc>
      </w:tr>
      <w:tr w:rsidR="006513B7" w:rsidRPr="006513B7" w14:paraId="6D2D0A8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209243DE"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Odisha</w:t>
            </w:r>
          </w:p>
        </w:tc>
        <w:tc>
          <w:tcPr>
            <w:tcW w:w="944" w:type="dxa"/>
            <w:noWrap/>
            <w:hideMark/>
          </w:tcPr>
          <w:p w14:paraId="264253E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w:t>
            </w:r>
          </w:p>
        </w:tc>
        <w:tc>
          <w:tcPr>
            <w:tcW w:w="944" w:type="dxa"/>
            <w:noWrap/>
            <w:hideMark/>
          </w:tcPr>
          <w:p w14:paraId="599A480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0EC9C60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1312.64</w:t>
            </w:r>
          </w:p>
        </w:tc>
        <w:tc>
          <w:tcPr>
            <w:tcW w:w="945" w:type="dxa"/>
            <w:noWrap/>
            <w:hideMark/>
          </w:tcPr>
          <w:p w14:paraId="6DBDD433"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20.7</w:t>
            </w:r>
          </w:p>
        </w:tc>
        <w:tc>
          <w:tcPr>
            <w:tcW w:w="1053" w:type="dxa"/>
            <w:noWrap/>
            <w:hideMark/>
          </w:tcPr>
          <w:p w14:paraId="26829F7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389125.4</w:t>
            </w:r>
          </w:p>
        </w:tc>
        <w:tc>
          <w:tcPr>
            <w:tcW w:w="945" w:type="dxa"/>
            <w:noWrap/>
            <w:hideMark/>
          </w:tcPr>
          <w:p w14:paraId="7C2B6FB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5289</w:t>
            </w:r>
          </w:p>
        </w:tc>
        <w:tc>
          <w:tcPr>
            <w:tcW w:w="945" w:type="dxa"/>
            <w:noWrap/>
            <w:hideMark/>
          </w:tcPr>
          <w:p w14:paraId="2969AC2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w:t>
            </w:r>
          </w:p>
        </w:tc>
        <w:tc>
          <w:tcPr>
            <w:tcW w:w="945" w:type="dxa"/>
            <w:noWrap/>
            <w:hideMark/>
          </w:tcPr>
          <w:p w14:paraId="55FD302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20.7</w:t>
            </w:r>
          </w:p>
        </w:tc>
      </w:tr>
      <w:tr w:rsidR="006513B7" w:rsidRPr="006513B7" w14:paraId="0B57A39D"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3FAC0E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Puducherry</w:t>
            </w:r>
          </w:p>
        </w:tc>
        <w:tc>
          <w:tcPr>
            <w:tcW w:w="944" w:type="dxa"/>
            <w:noWrap/>
            <w:hideMark/>
          </w:tcPr>
          <w:p w14:paraId="75C642B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w:t>
            </w:r>
          </w:p>
        </w:tc>
        <w:tc>
          <w:tcPr>
            <w:tcW w:w="944" w:type="dxa"/>
            <w:noWrap/>
            <w:hideMark/>
          </w:tcPr>
          <w:p w14:paraId="51FB461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2FBDD7A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257.18</w:t>
            </w:r>
          </w:p>
        </w:tc>
        <w:tc>
          <w:tcPr>
            <w:tcW w:w="945" w:type="dxa"/>
            <w:noWrap/>
            <w:hideMark/>
          </w:tcPr>
          <w:p w14:paraId="2107B51B"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60.8</w:t>
            </w:r>
          </w:p>
        </w:tc>
        <w:tc>
          <w:tcPr>
            <w:tcW w:w="1053" w:type="dxa"/>
            <w:noWrap/>
            <w:hideMark/>
          </w:tcPr>
          <w:p w14:paraId="3FBB9B8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24021.45</w:t>
            </w:r>
          </w:p>
        </w:tc>
        <w:tc>
          <w:tcPr>
            <w:tcW w:w="945" w:type="dxa"/>
            <w:noWrap/>
            <w:hideMark/>
          </w:tcPr>
          <w:p w14:paraId="1B4B931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268</w:t>
            </w:r>
          </w:p>
        </w:tc>
        <w:tc>
          <w:tcPr>
            <w:tcW w:w="945" w:type="dxa"/>
            <w:noWrap/>
            <w:hideMark/>
          </w:tcPr>
          <w:p w14:paraId="3D57BB6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w:t>
            </w:r>
          </w:p>
        </w:tc>
        <w:tc>
          <w:tcPr>
            <w:tcW w:w="945" w:type="dxa"/>
            <w:noWrap/>
            <w:hideMark/>
          </w:tcPr>
          <w:p w14:paraId="69BCCED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60.8</w:t>
            </w:r>
          </w:p>
        </w:tc>
      </w:tr>
      <w:tr w:rsidR="006513B7" w:rsidRPr="006513B7" w14:paraId="79BFC4F2"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3C2C7688"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Punjab</w:t>
            </w:r>
          </w:p>
        </w:tc>
        <w:tc>
          <w:tcPr>
            <w:tcW w:w="944" w:type="dxa"/>
            <w:noWrap/>
            <w:hideMark/>
          </w:tcPr>
          <w:p w14:paraId="10CC179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w:t>
            </w:r>
          </w:p>
        </w:tc>
        <w:tc>
          <w:tcPr>
            <w:tcW w:w="944" w:type="dxa"/>
            <w:noWrap/>
            <w:hideMark/>
          </w:tcPr>
          <w:p w14:paraId="00B21A68"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4BABC8B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1239.71</w:t>
            </w:r>
          </w:p>
        </w:tc>
        <w:tc>
          <w:tcPr>
            <w:tcW w:w="945" w:type="dxa"/>
            <w:noWrap/>
            <w:hideMark/>
          </w:tcPr>
          <w:p w14:paraId="18410D6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26.3</w:t>
            </w:r>
          </w:p>
        </w:tc>
        <w:tc>
          <w:tcPr>
            <w:tcW w:w="1053" w:type="dxa"/>
            <w:noWrap/>
            <w:hideMark/>
          </w:tcPr>
          <w:p w14:paraId="12AACD7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407264.1</w:t>
            </w:r>
          </w:p>
        </w:tc>
        <w:tc>
          <w:tcPr>
            <w:tcW w:w="945" w:type="dxa"/>
            <w:noWrap/>
            <w:hideMark/>
          </w:tcPr>
          <w:p w14:paraId="3D99A49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6700</w:t>
            </w:r>
          </w:p>
        </w:tc>
        <w:tc>
          <w:tcPr>
            <w:tcW w:w="945" w:type="dxa"/>
            <w:noWrap/>
            <w:hideMark/>
          </w:tcPr>
          <w:p w14:paraId="4A4C754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34</w:t>
            </w:r>
          </w:p>
        </w:tc>
        <w:tc>
          <w:tcPr>
            <w:tcW w:w="945" w:type="dxa"/>
            <w:noWrap/>
            <w:hideMark/>
          </w:tcPr>
          <w:p w14:paraId="723BC34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26.3</w:t>
            </w:r>
          </w:p>
        </w:tc>
      </w:tr>
      <w:tr w:rsidR="006513B7" w:rsidRPr="006513B7" w14:paraId="6161723C"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CF37AD0"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Rajasthan</w:t>
            </w:r>
          </w:p>
        </w:tc>
        <w:tc>
          <w:tcPr>
            <w:tcW w:w="944" w:type="dxa"/>
            <w:noWrap/>
            <w:hideMark/>
          </w:tcPr>
          <w:p w14:paraId="33BB63F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24</w:t>
            </w:r>
          </w:p>
        </w:tc>
        <w:tc>
          <w:tcPr>
            <w:tcW w:w="944" w:type="dxa"/>
            <w:noWrap/>
            <w:hideMark/>
          </w:tcPr>
          <w:p w14:paraId="36F7C65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5A81B56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1486.63</w:t>
            </w:r>
          </w:p>
        </w:tc>
        <w:tc>
          <w:tcPr>
            <w:tcW w:w="945" w:type="dxa"/>
            <w:noWrap/>
            <w:hideMark/>
          </w:tcPr>
          <w:p w14:paraId="3D180AA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26.1</w:t>
            </w:r>
          </w:p>
        </w:tc>
        <w:tc>
          <w:tcPr>
            <w:tcW w:w="1053" w:type="dxa"/>
            <w:noWrap/>
            <w:hideMark/>
          </w:tcPr>
          <w:p w14:paraId="5E5E70C7"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663515.1</w:t>
            </w:r>
          </w:p>
        </w:tc>
        <w:tc>
          <w:tcPr>
            <w:tcW w:w="945" w:type="dxa"/>
            <w:noWrap/>
            <w:hideMark/>
          </w:tcPr>
          <w:p w14:paraId="68196BA4"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7871</w:t>
            </w:r>
          </w:p>
        </w:tc>
        <w:tc>
          <w:tcPr>
            <w:tcW w:w="945" w:type="dxa"/>
            <w:noWrap/>
            <w:hideMark/>
          </w:tcPr>
          <w:p w14:paraId="32435B4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92</w:t>
            </w:r>
          </w:p>
        </w:tc>
        <w:tc>
          <w:tcPr>
            <w:tcW w:w="945" w:type="dxa"/>
            <w:noWrap/>
            <w:hideMark/>
          </w:tcPr>
          <w:p w14:paraId="5D109CE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26.1</w:t>
            </w:r>
          </w:p>
        </w:tc>
      </w:tr>
      <w:tr w:rsidR="006513B7" w:rsidRPr="006513B7" w14:paraId="5943AB1D"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726859D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Tamil Nadu</w:t>
            </w:r>
          </w:p>
        </w:tc>
        <w:tc>
          <w:tcPr>
            <w:tcW w:w="944" w:type="dxa"/>
            <w:noWrap/>
            <w:hideMark/>
          </w:tcPr>
          <w:p w14:paraId="284B521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25</w:t>
            </w:r>
          </w:p>
        </w:tc>
        <w:tc>
          <w:tcPr>
            <w:tcW w:w="944" w:type="dxa"/>
            <w:noWrap/>
            <w:hideMark/>
          </w:tcPr>
          <w:p w14:paraId="6C9A079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6C22ED2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12757.11</w:t>
            </w:r>
          </w:p>
        </w:tc>
        <w:tc>
          <w:tcPr>
            <w:tcW w:w="945" w:type="dxa"/>
            <w:noWrap/>
            <w:hideMark/>
          </w:tcPr>
          <w:p w14:paraId="12F09FDA"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46.9</w:t>
            </w:r>
          </w:p>
        </w:tc>
        <w:tc>
          <w:tcPr>
            <w:tcW w:w="1053" w:type="dxa"/>
            <w:noWrap/>
            <w:hideMark/>
          </w:tcPr>
          <w:p w14:paraId="343127F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1244650</w:t>
            </w:r>
          </w:p>
        </w:tc>
        <w:tc>
          <w:tcPr>
            <w:tcW w:w="945" w:type="dxa"/>
            <w:noWrap/>
            <w:hideMark/>
          </w:tcPr>
          <w:p w14:paraId="5CD70A4B"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12028</w:t>
            </w:r>
          </w:p>
        </w:tc>
        <w:tc>
          <w:tcPr>
            <w:tcW w:w="945" w:type="dxa"/>
            <w:noWrap/>
            <w:hideMark/>
          </w:tcPr>
          <w:p w14:paraId="40B2B7B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59</w:t>
            </w:r>
          </w:p>
        </w:tc>
        <w:tc>
          <w:tcPr>
            <w:tcW w:w="945" w:type="dxa"/>
            <w:noWrap/>
            <w:hideMark/>
          </w:tcPr>
          <w:p w14:paraId="233F94F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46.9</w:t>
            </w:r>
          </w:p>
        </w:tc>
      </w:tr>
      <w:tr w:rsidR="006513B7" w:rsidRPr="006513B7" w14:paraId="33DD537D"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4086562"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Tripura</w:t>
            </w:r>
          </w:p>
        </w:tc>
        <w:tc>
          <w:tcPr>
            <w:tcW w:w="944" w:type="dxa"/>
            <w:noWrap/>
            <w:hideMark/>
          </w:tcPr>
          <w:p w14:paraId="21261F05"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26</w:t>
            </w:r>
          </w:p>
        </w:tc>
        <w:tc>
          <w:tcPr>
            <w:tcW w:w="944" w:type="dxa"/>
            <w:noWrap/>
            <w:hideMark/>
          </w:tcPr>
          <w:p w14:paraId="4E80C20E"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3CA1789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79.49</w:t>
            </w:r>
          </w:p>
        </w:tc>
        <w:tc>
          <w:tcPr>
            <w:tcW w:w="945" w:type="dxa"/>
            <w:noWrap/>
            <w:hideMark/>
          </w:tcPr>
          <w:p w14:paraId="199CFD99"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c>
          <w:tcPr>
            <w:tcW w:w="1053" w:type="dxa"/>
            <w:noWrap/>
            <w:hideMark/>
          </w:tcPr>
          <w:p w14:paraId="36B992E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36403.86</w:t>
            </w:r>
          </w:p>
        </w:tc>
        <w:tc>
          <w:tcPr>
            <w:tcW w:w="945" w:type="dxa"/>
            <w:noWrap/>
            <w:hideMark/>
          </w:tcPr>
          <w:p w14:paraId="084563DD"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579</w:t>
            </w:r>
          </w:p>
        </w:tc>
        <w:tc>
          <w:tcPr>
            <w:tcW w:w="945" w:type="dxa"/>
            <w:noWrap/>
            <w:hideMark/>
          </w:tcPr>
          <w:p w14:paraId="6914D4B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w:t>
            </w:r>
          </w:p>
        </w:tc>
        <w:tc>
          <w:tcPr>
            <w:tcW w:w="945" w:type="dxa"/>
            <w:noWrap/>
            <w:hideMark/>
          </w:tcPr>
          <w:p w14:paraId="5F329DD1"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19.2</w:t>
            </w:r>
          </w:p>
        </w:tc>
      </w:tr>
      <w:tr w:rsidR="006513B7" w:rsidRPr="006513B7" w14:paraId="541087BF"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4CD89FDA"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 Pradesh</w:t>
            </w:r>
          </w:p>
        </w:tc>
        <w:tc>
          <w:tcPr>
            <w:tcW w:w="944" w:type="dxa"/>
            <w:noWrap/>
            <w:hideMark/>
          </w:tcPr>
          <w:p w14:paraId="2D7945F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w:t>
            </w:r>
          </w:p>
        </w:tc>
        <w:tc>
          <w:tcPr>
            <w:tcW w:w="944" w:type="dxa"/>
            <w:noWrap/>
            <w:hideMark/>
          </w:tcPr>
          <w:p w14:paraId="207CD69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70402C0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2706.61</w:t>
            </w:r>
          </w:p>
        </w:tc>
        <w:tc>
          <w:tcPr>
            <w:tcW w:w="945" w:type="dxa"/>
            <w:noWrap/>
            <w:hideMark/>
          </w:tcPr>
          <w:p w14:paraId="68E4E619"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23.2</w:t>
            </w:r>
          </w:p>
        </w:tc>
        <w:tc>
          <w:tcPr>
            <w:tcW w:w="1053" w:type="dxa"/>
            <w:noWrap/>
            <w:hideMark/>
          </w:tcPr>
          <w:p w14:paraId="305C2EB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1093168</w:t>
            </w:r>
          </w:p>
        </w:tc>
        <w:tc>
          <w:tcPr>
            <w:tcW w:w="945" w:type="dxa"/>
            <w:noWrap/>
            <w:hideMark/>
          </w:tcPr>
          <w:p w14:paraId="5B78EFF4"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18125</w:t>
            </w:r>
          </w:p>
        </w:tc>
        <w:tc>
          <w:tcPr>
            <w:tcW w:w="945" w:type="dxa"/>
            <w:noWrap/>
            <w:hideMark/>
          </w:tcPr>
          <w:p w14:paraId="499A5CCD"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84</w:t>
            </w:r>
          </w:p>
        </w:tc>
        <w:tc>
          <w:tcPr>
            <w:tcW w:w="945" w:type="dxa"/>
            <w:noWrap/>
            <w:hideMark/>
          </w:tcPr>
          <w:p w14:paraId="41E6F34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23.2</w:t>
            </w:r>
          </w:p>
        </w:tc>
      </w:tr>
      <w:tr w:rsidR="006513B7" w:rsidRPr="006513B7" w14:paraId="0E20598F" w14:textId="77777777" w:rsidTr="00CC5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19347BC3"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Uttarakhand</w:t>
            </w:r>
          </w:p>
        </w:tc>
        <w:tc>
          <w:tcPr>
            <w:tcW w:w="944" w:type="dxa"/>
            <w:noWrap/>
            <w:hideMark/>
          </w:tcPr>
          <w:p w14:paraId="0D7CA55C"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28</w:t>
            </w:r>
          </w:p>
        </w:tc>
        <w:tc>
          <w:tcPr>
            <w:tcW w:w="944" w:type="dxa"/>
            <w:noWrap/>
            <w:hideMark/>
          </w:tcPr>
          <w:p w14:paraId="01E072C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1A9FB9D3"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1312.03</w:t>
            </w:r>
          </w:p>
        </w:tc>
        <w:tc>
          <w:tcPr>
            <w:tcW w:w="945" w:type="dxa"/>
            <w:noWrap/>
            <w:hideMark/>
          </w:tcPr>
          <w:p w14:paraId="7CA8875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45.7</w:t>
            </w:r>
          </w:p>
        </w:tc>
        <w:tc>
          <w:tcPr>
            <w:tcW w:w="1053" w:type="dxa"/>
            <w:noWrap/>
            <w:hideMark/>
          </w:tcPr>
          <w:p w14:paraId="685D8546"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178763.5</w:t>
            </w:r>
          </w:p>
        </w:tc>
        <w:tc>
          <w:tcPr>
            <w:tcW w:w="945" w:type="dxa"/>
            <w:noWrap/>
            <w:hideMark/>
          </w:tcPr>
          <w:p w14:paraId="66CEB8C0"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2220</w:t>
            </w:r>
          </w:p>
        </w:tc>
        <w:tc>
          <w:tcPr>
            <w:tcW w:w="945" w:type="dxa"/>
            <w:noWrap/>
            <w:hideMark/>
          </w:tcPr>
          <w:p w14:paraId="2392944A"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37</w:t>
            </w:r>
          </w:p>
        </w:tc>
        <w:tc>
          <w:tcPr>
            <w:tcW w:w="945" w:type="dxa"/>
            <w:noWrap/>
            <w:hideMark/>
          </w:tcPr>
          <w:p w14:paraId="494F9BFF" w14:textId="77777777" w:rsidR="006513B7" w:rsidRPr="006513B7" w:rsidRDefault="006513B7" w:rsidP="006513B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45.7</w:t>
            </w:r>
          </w:p>
        </w:tc>
      </w:tr>
      <w:tr w:rsidR="006513B7" w:rsidRPr="006513B7" w14:paraId="3022CA64" w14:textId="77777777" w:rsidTr="00CC5C2E">
        <w:trPr>
          <w:trHeight w:val="288"/>
        </w:trPr>
        <w:tc>
          <w:tcPr>
            <w:cnfStyle w:val="001000000000" w:firstRow="0" w:lastRow="0" w:firstColumn="1" w:lastColumn="0" w:oddVBand="0" w:evenVBand="0" w:oddHBand="0" w:evenHBand="0" w:firstRowFirstColumn="0" w:firstRowLastColumn="0" w:lastRowFirstColumn="0" w:lastRowLastColumn="0"/>
            <w:tcW w:w="1802" w:type="dxa"/>
            <w:noWrap/>
            <w:hideMark/>
          </w:tcPr>
          <w:p w14:paraId="0A188736" w14:textId="77777777" w:rsidR="006513B7" w:rsidRPr="006513B7" w:rsidRDefault="006513B7" w:rsidP="006513B7">
            <w:pPr>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West Bengal</w:t>
            </w:r>
          </w:p>
        </w:tc>
        <w:tc>
          <w:tcPr>
            <w:tcW w:w="944" w:type="dxa"/>
            <w:noWrap/>
            <w:hideMark/>
          </w:tcPr>
          <w:p w14:paraId="6A07E84C"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29</w:t>
            </w:r>
          </w:p>
        </w:tc>
        <w:tc>
          <w:tcPr>
            <w:tcW w:w="944" w:type="dxa"/>
            <w:noWrap/>
            <w:hideMark/>
          </w:tcPr>
          <w:p w14:paraId="4C67A8F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2021</w:t>
            </w:r>
          </w:p>
        </w:tc>
        <w:tc>
          <w:tcPr>
            <w:tcW w:w="1053" w:type="dxa"/>
            <w:noWrap/>
            <w:hideMark/>
          </w:tcPr>
          <w:p w14:paraId="3FC9E126"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2075.28</w:t>
            </w:r>
          </w:p>
        </w:tc>
        <w:tc>
          <w:tcPr>
            <w:tcW w:w="945" w:type="dxa"/>
            <w:noWrap/>
            <w:hideMark/>
          </w:tcPr>
          <w:p w14:paraId="3ECF4B57"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21.3</w:t>
            </w:r>
          </w:p>
        </w:tc>
        <w:tc>
          <w:tcPr>
            <w:tcW w:w="1053" w:type="dxa"/>
            <w:noWrap/>
            <w:hideMark/>
          </w:tcPr>
          <w:p w14:paraId="318A2EF5"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711234.9</w:t>
            </w:r>
          </w:p>
        </w:tc>
        <w:tc>
          <w:tcPr>
            <w:tcW w:w="945" w:type="dxa"/>
            <w:noWrap/>
            <w:hideMark/>
          </w:tcPr>
          <w:p w14:paraId="1D384B7E"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9379</w:t>
            </w:r>
          </w:p>
        </w:tc>
        <w:tc>
          <w:tcPr>
            <w:tcW w:w="945" w:type="dxa"/>
            <w:noWrap/>
            <w:hideMark/>
          </w:tcPr>
          <w:p w14:paraId="13B4D620"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52</w:t>
            </w:r>
          </w:p>
        </w:tc>
        <w:tc>
          <w:tcPr>
            <w:tcW w:w="945" w:type="dxa"/>
            <w:noWrap/>
            <w:hideMark/>
          </w:tcPr>
          <w:p w14:paraId="1B8749B1" w14:textId="77777777" w:rsidR="006513B7" w:rsidRPr="006513B7" w:rsidRDefault="006513B7" w:rsidP="006513B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6513B7">
              <w:rPr>
                <w:rFonts w:ascii="Calibri" w:eastAsia="Times New Roman" w:hAnsi="Calibri" w:cs="Calibri"/>
                <w:color w:val="000000"/>
                <w:kern w:val="0"/>
                <w:lang w:eastAsia="en-IN"/>
                <w14:ligatures w14:val="none"/>
              </w:rPr>
              <w:t>21.3</w:t>
            </w:r>
          </w:p>
        </w:tc>
      </w:tr>
    </w:tbl>
    <w:p w14:paraId="6D795A7A" w14:textId="4E9BE6D1" w:rsidR="000F7EE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 Handbook of Statistics on Indian Economy, All India Survey on Higher Education (Various Reports)</w:t>
      </w:r>
    </w:p>
    <w:sectPr w:rsidR="000F7EE5" w:rsidRPr="002832D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C2C6" w14:textId="77777777" w:rsidR="00AB1C36" w:rsidRDefault="00AB1C36" w:rsidP="005E5AAB">
      <w:pPr>
        <w:spacing w:after="0" w:line="240" w:lineRule="auto"/>
      </w:pPr>
      <w:r>
        <w:separator/>
      </w:r>
    </w:p>
  </w:endnote>
  <w:endnote w:type="continuationSeparator" w:id="0">
    <w:p w14:paraId="6B287798" w14:textId="77777777" w:rsidR="00AB1C36" w:rsidRDefault="00AB1C36" w:rsidP="005E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7A96" w14:textId="77777777" w:rsidR="009E41FF" w:rsidRDefault="009E4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84E" w14:textId="77777777" w:rsidR="000F0411" w:rsidRDefault="000F041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A10E87D" w14:textId="57881C7F" w:rsidR="005E5AAB" w:rsidRDefault="005E5AAB" w:rsidP="000F0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0D3" w14:textId="77777777" w:rsidR="009E41FF" w:rsidRDefault="009E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131B" w14:textId="77777777" w:rsidR="00AB1C36" w:rsidRDefault="00AB1C36" w:rsidP="005E5AAB">
      <w:pPr>
        <w:spacing w:after="0" w:line="240" w:lineRule="auto"/>
      </w:pPr>
      <w:r>
        <w:separator/>
      </w:r>
    </w:p>
  </w:footnote>
  <w:footnote w:type="continuationSeparator" w:id="0">
    <w:p w14:paraId="2FF9B875" w14:textId="77777777" w:rsidR="00AB1C36" w:rsidRDefault="00AB1C36" w:rsidP="005E5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D862" w14:textId="5AA20CE1" w:rsidR="009E41FF" w:rsidRDefault="00000000">
    <w:pPr>
      <w:pStyle w:val="Header"/>
    </w:pPr>
    <w:r>
      <w:rPr>
        <w:noProof/>
      </w:rPr>
      <w:pict w14:anchorId="02719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2812" w14:textId="1E8B7DF9" w:rsidR="009E41FF" w:rsidRDefault="00000000">
    <w:pPr>
      <w:pStyle w:val="Header"/>
    </w:pPr>
    <w:r>
      <w:rPr>
        <w:noProof/>
      </w:rPr>
      <w:pict w14:anchorId="3FFB1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5E1B" w14:textId="6B2F6D07" w:rsidR="009E41FF" w:rsidRDefault="00000000">
    <w:pPr>
      <w:pStyle w:val="Header"/>
    </w:pPr>
    <w:r>
      <w:rPr>
        <w:noProof/>
      </w:rPr>
      <w:pict w14:anchorId="2DEFF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94C"/>
    <w:multiLevelType w:val="hybridMultilevel"/>
    <w:tmpl w:val="749A92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2D2BF3"/>
    <w:multiLevelType w:val="hybridMultilevel"/>
    <w:tmpl w:val="94FCF0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5B7C98"/>
    <w:multiLevelType w:val="multilevel"/>
    <w:tmpl w:val="2C5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E0B1C"/>
    <w:multiLevelType w:val="hybridMultilevel"/>
    <w:tmpl w:val="64A235FC"/>
    <w:lvl w:ilvl="0" w:tplc="96D4AE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876456"/>
    <w:multiLevelType w:val="hybridMultilevel"/>
    <w:tmpl w:val="295AC406"/>
    <w:lvl w:ilvl="0" w:tplc="9FE812A2">
      <w:start w:val="1"/>
      <w:numFmt w:val="decimal"/>
      <w:lvlText w:val="%1."/>
      <w:lvlJc w:val="left"/>
      <w:pPr>
        <w:ind w:left="720" w:hanging="360"/>
      </w:pPr>
      <w:rPr>
        <w:rFonts w:hint="default"/>
      </w:rPr>
    </w:lvl>
    <w:lvl w:ilvl="1" w:tplc="2974D586" w:tentative="1">
      <w:start w:val="1"/>
      <w:numFmt w:val="lowerLetter"/>
      <w:lvlText w:val="%2."/>
      <w:lvlJc w:val="left"/>
      <w:pPr>
        <w:ind w:left="1440" w:hanging="360"/>
      </w:pPr>
    </w:lvl>
    <w:lvl w:ilvl="2" w:tplc="0298BA38" w:tentative="1">
      <w:start w:val="1"/>
      <w:numFmt w:val="lowerRoman"/>
      <w:lvlText w:val="%3."/>
      <w:lvlJc w:val="right"/>
      <w:pPr>
        <w:ind w:left="2160" w:hanging="180"/>
      </w:pPr>
    </w:lvl>
    <w:lvl w:ilvl="3" w:tplc="A26CA804" w:tentative="1">
      <w:start w:val="1"/>
      <w:numFmt w:val="decimal"/>
      <w:lvlText w:val="%4."/>
      <w:lvlJc w:val="left"/>
      <w:pPr>
        <w:ind w:left="2880" w:hanging="360"/>
      </w:pPr>
    </w:lvl>
    <w:lvl w:ilvl="4" w:tplc="44AE4406" w:tentative="1">
      <w:start w:val="1"/>
      <w:numFmt w:val="lowerLetter"/>
      <w:lvlText w:val="%5."/>
      <w:lvlJc w:val="left"/>
      <w:pPr>
        <w:ind w:left="3600" w:hanging="360"/>
      </w:pPr>
    </w:lvl>
    <w:lvl w:ilvl="5" w:tplc="0F28C1B2" w:tentative="1">
      <w:start w:val="1"/>
      <w:numFmt w:val="lowerRoman"/>
      <w:lvlText w:val="%6."/>
      <w:lvlJc w:val="right"/>
      <w:pPr>
        <w:ind w:left="4320" w:hanging="180"/>
      </w:pPr>
    </w:lvl>
    <w:lvl w:ilvl="6" w:tplc="703E8032" w:tentative="1">
      <w:start w:val="1"/>
      <w:numFmt w:val="decimal"/>
      <w:lvlText w:val="%7."/>
      <w:lvlJc w:val="left"/>
      <w:pPr>
        <w:ind w:left="5040" w:hanging="360"/>
      </w:pPr>
    </w:lvl>
    <w:lvl w:ilvl="7" w:tplc="67884196" w:tentative="1">
      <w:start w:val="1"/>
      <w:numFmt w:val="lowerLetter"/>
      <w:lvlText w:val="%8."/>
      <w:lvlJc w:val="left"/>
      <w:pPr>
        <w:ind w:left="5760" w:hanging="360"/>
      </w:pPr>
    </w:lvl>
    <w:lvl w:ilvl="8" w:tplc="97700AEC" w:tentative="1">
      <w:start w:val="1"/>
      <w:numFmt w:val="lowerRoman"/>
      <w:lvlText w:val="%9."/>
      <w:lvlJc w:val="right"/>
      <w:pPr>
        <w:ind w:left="6480" w:hanging="180"/>
      </w:pPr>
    </w:lvl>
  </w:abstractNum>
  <w:abstractNum w:abstractNumId="5" w15:restartNumberingAfterBreak="0">
    <w:nsid w:val="6AD241D7"/>
    <w:multiLevelType w:val="multilevel"/>
    <w:tmpl w:val="45EA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605283">
    <w:abstractNumId w:val="5"/>
  </w:num>
  <w:num w:numId="2" w16cid:durableId="1306545966">
    <w:abstractNumId w:val="4"/>
  </w:num>
  <w:num w:numId="3" w16cid:durableId="975529746">
    <w:abstractNumId w:val="2"/>
  </w:num>
  <w:num w:numId="4" w16cid:durableId="1503080151">
    <w:abstractNumId w:val="3"/>
  </w:num>
  <w:num w:numId="5" w16cid:durableId="1493137962">
    <w:abstractNumId w:val="0"/>
  </w:num>
  <w:num w:numId="6" w16cid:durableId="1785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17"/>
    <w:rsid w:val="000044BC"/>
    <w:rsid w:val="00005964"/>
    <w:rsid w:val="00006D55"/>
    <w:rsid w:val="000109A9"/>
    <w:rsid w:val="00016C5D"/>
    <w:rsid w:val="00032A2D"/>
    <w:rsid w:val="000333F1"/>
    <w:rsid w:val="00033F9C"/>
    <w:rsid w:val="000343C9"/>
    <w:rsid w:val="000364B7"/>
    <w:rsid w:val="000474CA"/>
    <w:rsid w:val="00047B11"/>
    <w:rsid w:val="000531AD"/>
    <w:rsid w:val="00067CD5"/>
    <w:rsid w:val="00082B6C"/>
    <w:rsid w:val="000A2F06"/>
    <w:rsid w:val="000A748B"/>
    <w:rsid w:val="000B0A47"/>
    <w:rsid w:val="000B0B5F"/>
    <w:rsid w:val="000B1721"/>
    <w:rsid w:val="000C399C"/>
    <w:rsid w:val="000C4E1F"/>
    <w:rsid w:val="000E1ADB"/>
    <w:rsid w:val="000E1E3E"/>
    <w:rsid w:val="000F0411"/>
    <w:rsid w:val="000F7EE5"/>
    <w:rsid w:val="00102142"/>
    <w:rsid w:val="001163E0"/>
    <w:rsid w:val="00125758"/>
    <w:rsid w:val="001260CA"/>
    <w:rsid w:val="001365B3"/>
    <w:rsid w:val="00155301"/>
    <w:rsid w:val="001629B0"/>
    <w:rsid w:val="001661AF"/>
    <w:rsid w:val="001713A4"/>
    <w:rsid w:val="00176E2F"/>
    <w:rsid w:val="001810C4"/>
    <w:rsid w:val="001846D0"/>
    <w:rsid w:val="0019010E"/>
    <w:rsid w:val="001909DC"/>
    <w:rsid w:val="00195432"/>
    <w:rsid w:val="001A6958"/>
    <w:rsid w:val="001B27EF"/>
    <w:rsid w:val="001B340D"/>
    <w:rsid w:val="001B5922"/>
    <w:rsid w:val="001B608D"/>
    <w:rsid w:val="001C057B"/>
    <w:rsid w:val="001C1585"/>
    <w:rsid w:val="001C7D41"/>
    <w:rsid w:val="001D5B47"/>
    <w:rsid w:val="001E294C"/>
    <w:rsid w:val="001E3093"/>
    <w:rsid w:val="001E512C"/>
    <w:rsid w:val="001E7AC9"/>
    <w:rsid w:val="001E7C96"/>
    <w:rsid w:val="001F329D"/>
    <w:rsid w:val="001F3D80"/>
    <w:rsid w:val="001F5F60"/>
    <w:rsid w:val="001F608F"/>
    <w:rsid w:val="00200337"/>
    <w:rsid w:val="002150B1"/>
    <w:rsid w:val="00221228"/>
    <w:rsid w:val="002215F2"/>
    <w:rsid w:val="00222C67"/>
    <w:rsid w:val="00224F35"/>
    <w:rsid w:val="0022754E"/>
    <w:rsid w:val="002311B3"/>
    <w:rsid w:val="002321BC"/>
    <w:rsid w:val="00232A06"/>
    <w:rsid w:val="00240CA3"/>
    <w:rsid w:val="00252482"/>
    <w:rsid w:val="00260954"/>
    <w:rsid w:val="00276288"/>
    <w:rsid w:val="002832DB"/>
    <w:rsid w:val="00287FDA"/>
    <w:rsid w:val="00291C12"/>
    <w:rsid w:val="00291DC2"/>
    <w:rsid w:val="00292176"/>
    <w:rsid w:val="00296E08"/>
    <w:rsid w:val="002C112A"/>
    <w:rsid w:val="002C44EA"/>
    <w:rsid w:val="002C6D5A"/>
    <w:rsid w:val="002D6E01"/>
    <w:rsid w:val="002E5787"/>
    <w:rsid w:val="002E5D6C"/>
    <w:rsid w:val="002E7D3D"/>
    <w:rsid w:val="002F0A90"/>
    <w:rsid w:val="002F4F67"/>
    <w:rsid w:val="00300E1F"/>
    <w:rsid w:val="00305850"/>
    <w:rsid w:val="0030657D"/>
    <w:rsid w:val="00307464"/>
    <w:rsid w:val="003260B1"/>
    <w:rsid w:val="00326C6F"/>
    <w:rsid w:val="003312C8"/>
    <w:rsid w:val="00336E65"/>
    <w:rsid w:val="00337B85"/>
    <w:rsid w:val="0034618E"/>
    <w:rsid w:val="00347AB4"/>
    <w:rsid w:val="00365A9A"/>
    <w:rsid w:val="00366280"/>
    <w:rsid w:val="0037085F"/>
    <w:rsid w:val="003719D2"/>
    <w:rsid w:val="00376B42"/>
    <w:rsid w:val="0038116C"/>
    <w:rsid w:val="00382A93"/>
    <w:rsid w:val="00382AE1"/>
    <w:rsid w:val="0038688D"/>
    <w:rsid w:val="003A2AD8"/>
    <w:rsid w:val="003A68FD"/>
    <w:rsid w:val="003A7179"/>
    <w:rsid w:val="003A72AB"/>
    <w:rsid w:val="003B002A"/>
    <w:rsid w:val="003B0E3D"/>
    <w:rsid w:val="003B2EB7"/>
    <w:rsid w:val="003C02A7"/>
    <w:rsid w:val="003C1C3A"/>
    <w:rsid w:val="003C5A12"/>
    <w:rsid w:val="003C5EF1"/>
    <w:rsid w:val="003D29A0"/>
    <w:rsid w:val="003E309A"/>
    <w:rsid w:val="003E5F94"/>
    <w:rsid w:val="003E722F"/>
    <w:rsid w:val="003E7496"/>
    <w:rsid w:val="003F5342"/>
    <w:rsid w:val="00400114"/>
    <w:rsid w:val="0041006F"/>
    <w:rsid w:val="00410071"/>
    <w:rsid w:val="00410804"/>
    <w:rsid w:val="00412A22"/>
    <w:rsid w:val="00420940"/>
    <w:rsid w:val="00420B7A"/>
    <w:rsid w:val="00423F45"/>
    <w:rsid w:val="00433E98"/>
    <w:rsid w:val="00445D0A"/>
    <w:rsid w:val="00451967"/>
    <w:rsid w:val="00456902"/>
    <w:rsid w:val="00462B90"/>
    <w:rsid w:val="00465FD4"/>
    <w:rsid w:val="00467A3C"/>
    <w:rsid w:val="00474E84"/>
    <w:rsid w:val="004751C8"/>
    <w:rsid w:val="00497647"/>
    <w:rsid w:val="004A1790"/>
    <w:rsid w:val="004A1950"/>
    <w:rsid w:val="004B38AD"/>
    <w:rsid w:val="004B41BF"/>
    <w:rsid w:val="004C2D82"/>
    <w:rsid w:val="004D36BB"/>
    <w:rsid w:val="004D6D90"/>
    <w:rsid w:val="004E37F3"/>
    <w:rsid w:val="004E53A7"/>
    <w:rsid w:val="004E7604"/>
    <w:rsid w:val="004F17D2"/>
    <w:rsid w:val="004F2311"/>
    <w:rsid w:val="0050372A"/>
    <w:rsid w:val="005228CA"/>
    <w:rsid w:val="00524EBF"/>
    <w:rsid w:val="0054466D"/>
    <w:rsid w:val="00573273"/>
    <w:rsid w:val="005814D3"/>
    <w:rsid w:val="0059427D"/>
    <w:rsid w:val="00594DB5"/>
    <w:rsid w:val="00596792"/>
    <w:rsid w:val="005A0572"/>
    <w:rsid w:val="005A3C86"/>
    <w:rsid w:val="005B0121"/>
    <w:rsid w:val="005B40E7"/>
    <w:rsid w:val="005B4C5B"/>
    <w:rsid w:val="005D15C9"/>
    <w:rsid w:val="005D5FAF"/>
    <w:rsid w:val="005E2A3B"/>
    <w:rsid w:val="005E5AAB"/>
    <w:rsid w:val="005E60F9"/>
    <w:rsid w:val="005E7088"/>
    <w:rsid w:val="005F02CE"/>
    <w:rsid w:val="005F2672"/>
    <w:rsid w:val="005F66F5"/>
    <w:rsid w:val="005F6719"/>
    <w:rsid w:val="006075FE"/>
    <w:rsid w:val="00623AF6"/>
    <w:rsid w:val="00630314"/>
    <w:rsid w:val="006312E1"/>
    <w:rsid w:val="00633220"/>
    <w:rsid w:val="006426D7"/>
    <w:rsid w:val="006438B3"/>
    <w:rsid w:val="00645843"/>
    <w:rsid w:val="006505FB"/>
    <w:rsid w:val="006513B7"/>
    <w:rsid w:val="00664059"/>
    <w:rsid w:val="00684617"/>
    <w:rsid w:val="006846D2"/>
    <w:rsid w:val="006945AA"/>
    <w:rsid w:val="00697BF3"/>
    <w:rsid w:val="006A1892"/>
    <w:rsid w:val="006A64AA"/>
    <w:rsid w:val="006A79FE"/>
    <w:rsid w:val="006B1074"/>
    <w:rsid w:val="006C5E79"/>
    <w:rsid w:val="006D76AF"/>
    <w:rsid w:val="006E2066"/>
    <w:rsid w:val="006F26AA"/>
    <w:rsid w:val="006F6E40"/>
    <w:rsid w:val="006F76D0"/>
    <w:rsid w:val="00704BB7"/>
    <w:rsid w:val="007073FA"/>
    <w:rsid w:val="0070772E"/>
    <w:rsid w:val="007164CE"/>
    <w:rsid w:val="00721725"/>
    <w:rsid w:val="007241A7"/>
    <w:rsid w:val="00724C06"/>
    <w:rsid w:val="00730B6E"/>
    <w:rsid w:val="00733E0E"/>
    <w:rsid w:val="00735925"/>
    <w:rsid w:val="00735A99"/>
    <w:rsid w:val="00737DDE"/>
    <w:rsid w:val="007404DC"/>
    <w:rsid w:val="007423A9"/>
    <w:rsid w:val="00747D8B"/>
    <w:rsid w:val="0075745D"/>
    <w:rsid w:val="0075772D"/>
    <w:rsid w:val="00760ECA"/>
    <w:rsid w:val="0076298F"/>
    <w:rsid w:val="00767014"/>
    <w:rsid w:val="00774AF9"/>
    <w:rsid w:val="007844FC"/>
    <w:rsid w:val="007975DE"/>
    <w:rsid w:val="007A479B"/>
    <w:rsid w:val="007A4876"/>
    <w:rsid w:val="007A6D9C"/>
    <w:rsid w:val="007B272A"/>
    <w:rsid w:val="007C431B"/>
    <w:rsid w:val="007C4A9C"/>
    <w:rsid w:val="007C4FBA"/>
    <w:rsid w:val="007E3BC8"/>
    <w:rsid w:val="007F061C"/>
    <w:rsid w:val="007F1DBB"/>
    <w:rsid w:val="007F5E35"/>
    <w:rsid w:val="007F60D6"/>
    <w:rsid w:val="007F7307"/>
    <w:rsid w:val="008042DF"/>
    <w:rsid w:val="0080494C"/>
    <w:rsid w:val="00804C58"/>
    <w:rsid w:val="008143DA"/>
    <w:rsid w:val="00815E12"/>
    <w:rsid w:val="00826F08"/>
    <w:rsid w:val="00832916"/>
    <w:rsid w:val="008339CE"/>
    <w:rsid w:val="00834923"/>
    <w:rsid w:val="00851664"/>
    <w:rsid w:val="0085234F"/>
    <w:rsid w:val="0085698A"/>
    <w:rsid w:val="00856A14"/>
    <w:rsid w:val="0086071A"/>
    <w:rsid w:val="00866AC9"/>
    <w:rsid w:val="00870B54"/>
    <w:rsid w:val="00886FD2"/>
    <w:rsid w:val="00890283"/>
    <w:rsid w:val="008957DA"/>
    <w:rsid w:val="00895BB5"/>
    <w:rsid w:val="008A206D"/>
    <w:rsid w:val="008A358F"/>
    <w:rsid w:val="008A35D2"/>
    <w:rsid w:val="008A695C"/>
    <w:rsid w:val="008A7B9F"/>
    <w:rsid w:val="008C06C5"/>
    <w:rsid w:val="008C71ED"/>
    <w:rsid w:val="008D086E"/>
    <w:rsid w:val="008D45EA"/>
    <w:rsid w:val="008E1AB1"/>
    <w:rsid w:val="008E694F"/>
    <w:rsid w:val="008F168B"/>
    <w:rsid w:val="008F5594"/>
    <w:rsid w:val="008F5EE2"/>
    <w:rsid w:val="008F77BE"/>
    <w:rsid w:val="00900ED1"/>
    <w:rsid w:val="009025EA"/>
    <w:rsid w:val="009052B5"/>
    <w:rsid w:val="009134E6"/>
    <w:rsid w:val="009135ED"/>
    <w:rsid w:val="00913C15"/>
    <w:rsid w:val="00915DFA"/>
    <w:rsid w:val="00930138"/>
    <w:rsid w:val="00930358"/>
    <w:rsid w:val="00940CDB"/>
    <w:rsid w:val="0094126E"/>
    <w:rsid w:val="00945CD7"/>
    <w:rsid w:val="00947B60"/>
    <w:rsid w:val="0096381B"/>
    <w:rsid w:val="0096649C"/>
    <w:rsid w:val="00971C6D"/>
    <w:rsid w:val="009821CF"/>
    <w:rsid w:val="00993751"/>
    <w:rsid w:val="00994EF3"/>
    <w:rsid w:val="009A643B"/>
    <w:rsid w:val="009D77F7"/>
    <w:rsid w:val="009E038B"/>
    <w:rsid w:val="009E41FF"/>
    <w:rsid w:val="009F08F4"/>
    <w:rsid w:val="009F629C"/>
    <w:rsid w:val="00A00206"/>
    <w:rsid w:val="00A027DA"/>
    <w:rsid w:val="00A053E0"/>
    <w:rsid w:val="00A1092B"/>
    <w:rsid w:val="00A35F06"/>
    <w:rsid w:val="00A537CE"/>
    <w:rsid w:val="00A64119"/>
    <w:rsid w:val="00A725F6"/>
    <w:rsid w:val="00A74B6F"/>
    <w:rsid w:val="00A75EC6"/>
    <w:rsid w:val="00A777FE"/>
    <w:rsid w:val="00A86308"/>
    <w:rsid w:val="00A96EEE"/>
    <w:rsid w:val="00A97A64"/>
    <w:rsid w:val="00AA7CB4"/>
    <w:rsid w:val="00AB1C36"/>
    <w:rsid w:val="00AB37CB"/>
    <w:rsid w:val="00AC1785"/>
    <w:rsid w:val="00AE432E"/>
    <w:rsid w:val="00AE64F6"/>
    <w:rsid w:val="00AF5C8A"/>
    <w:rsid w:val="00B06F66"/>
    <w:rsid w:val="00B10AB2"/>
    <w:rsid w:val="00B1396E"/>
    <w:rsid w:val="00B17259"/>
    <w:rsid w:val="00B409AE"/>
    <w:rsid w:val="00B44735"/>
    <w:rsid w:val="00B531C7"/>
    <w:rsid w:val="00B574D4"/>
    <w:rsid w:val="00B61CF7"/>
    <w:rsid w:val="00B6493C"/>
    <w:rsid w:val="00B750E9"/>
    <w:rsid w:val="00B7705C"/>
    <w:rsid w:val="00BA1B6D"/>
    <w:rsid w:val="00BB1061"/>
    <w:rsid w:val="00BC1DE2"/>
    <w:rsid w:val="00BC2F13"/>
    <w:rsid w:val="00BD36F2"/>
    <w:rsid w:val="00BE6ABC"/>
    <w:rsid w:val="00C0304D"/>
    <w:rsid w:val="00C23571"/>
    <w:rsid w:val="00C24ED9"/>
    <w:rsid w:val="00C2574C"/>
    <w:rsid w:val="00C25E2B"/>
    <w:rsid w:val="00C36F13"/>
    <w:rsid w:val="00C40419"/>
    <w:rsid w:val="00C43ED1"/>
    <w:rsid w:val="00C55A70"/>
    <w:rsid w:val="00C61C73"/>
    <w:rsid w:val="00C621C3"/>
    <w:rsid w:val="00C73115"/>
    <w:rsid w:val="00C74B49"/>
    <w:rsid w:val="00C933D0"/>
    <w:rsid w:val="00C9346D"/>
    <w:rsid w:val="00CA349D"/>
    <w:rsid w:val="00CB20C5"/>
    <w:rsid w:val="00CB3672"/>
    <w:rsid w:val="00CC249B"/>
    <w:rsid w:val="00CC4169"/>
    <w:rsid w:val="00CC5C2E"/>
    <w:rsid w:val="00CC72D3"/>
    <w:rsid w:val="00CD7966"/>
    <w:rsid w:val="00CD7E09"/>
    <w:rsid w:val="00CE42BD"/>
    <w:rsid w:val="00CE50C7"/>
    <w:rsid w:val="00CF64B1"/>
    <w:rsid w:val="00D03E9A"/>
    <w:rsid w:val="00D048E0"/>
    <w:rsid w:val="00D0497A"/>
    <w:rsid w:val="00D1346C"/>
    <w:rsid w:val="00D13F78"/>
    <w:rsid w:val="00D33316"/>
    <w:rsid w:val="00D35867"/>
    <w:rsid w:val="00D43341"/>
    <w:rsid w:val="00D43393"/>
    <w:rsid w:val="00D47C0F"/>
    <w:rsid w:val="00D62975"/>
    <w:rsid w:val="00D65C4B"/>
    <w:rsid w:val="00D70B6A"/>
    <w:rsid w:val="00D722CA"/>
    <w:rsid w:val="00D73BD0"/>
    <w:rsid w:val="00D75CF5"/>
    <w:rsid w:val="00DA1677"/>
    <w:rsid w:val="00DA259A"/>
    <w:rsid w:val="00DC25F6"/>
    <w:rsid w:val="00DD228C"/>
    <w:rsid w:val="00DD6A33"/>
    <w:rsid w:val="00DE4664"/>
    <w:rsid w:val="00DE5E79"/>
    <w:rsid w:val="00DE6F63"/>
    <w:rsid w:val="00DF277C"/>
    <w:rsid w:val="00E23059"/>
    <w:rsid w:val="00E369EA"/>
    <w:rsid w:val="00E37F8E"/>
    <w:rsid w:val="00E401EC"/>
    <w:rsid w:val="00E41FAC"/>
    <w:rsid w:val="00E51589"/>
    <w:rsid w:val="00E52B16"/>
    <w:rsid w:val="00E53DA2"/>
    <w:rsid w:val="00E55BB9"/>
    <w:rsid w:val="00E57751"/>
    <w:rsid w:val="00E6789E"/>
    <w:rsid w:val="00E93369"/>
    <w:rsid w:val="00E95516"/>
    <w:rsid w:val="00EA7145"/>
    <w:rsid w:val="00EB3924"/>
    <w:rsid w:val="00EB428D"/>
    <w:rsid w:val="00EC6B6A"/>
    <w:rsid w:val="00ED03A6"/>
    <w:rsid w:val="00ED25D8"/>
    <w:rsid w:val="00ED6AD9"/>
    <w:rsid w:val="00F01550"/>
    <w:rsid w:val="00F027E3"/>
    <w:rsid w:val="00F06808"/>
    <w:rsid w:val="00F10E53"/>
    <w:rsid w:val="00F1324B"/>
    <w:rsid w:val="00F17EA2"/>
    <w:rsid w:val="00F21867"/>
    <w:rsid w:val="00F379D8"/>
    <w:rsid w:val="00F408FA"/>
    <w:rsid w:val="00F524CD"/>
    <w:rsid w:val="00F54C45"/>
    <w:rsid w:val="00F55827"/>
    <w:rsid w:val="00F56632"/>
    <w:rsid w:val="00F655FD"/>
    <w:rsid w:val="00F82B4C"/>
    <w:rsid w:val="00F96DFC"/>
    <w:rsid w:val="00FA361A"/>
    <w:rsid w:val="00FA7234"/>
    <w:rsid w:val="00FA7E25"/>
    <w:rsid w:val="00FB1536"/>
    <w:rsid w:val="00FB23CB"/>
    <w:rsid w:val="00FC0919"/>
    <w:rsid w:val="00FC0C87"/>
    <w:rsid w:val="00FC6DA5"/>
    <w:rsid w:val="00FE0F2F"/>
    <w:rsid w:val="00FE154C"/>
    <w:rsid w:val="00FE61B7"/>
    <w:rsid w:val="00FE67C2"/>
    <w:rsid w:val="00FE727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E7AF1"/>
  <w15:chartTrackingRefBased/>
  <w15:docId w15:val="{075D5E38-A39B-40D8-AFE7-1C64F4E1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37F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E37F3"/>
    <w:rPr>
      <w:b/>
      <w:bCs/>
    </w:rPr>
  </w:style>
  <w:style w:type="paragraph" w:styleId="ListParagraph">
    <w:name w:val="List Paragraph"/>
    <w:basedOn w:val="Normal"/>
    <w:uiPriority w:val="34"/>
    <w:qFormat/>
    <w:rsid w:val="00305850"/>
    <w:pPr>
      <w:ind w:left="720"/>
      <w:contextualSpacing/>
    </w:pPr>
  </w:style>
  <w:style w:type="table" w:styleId="TableGrid">
    <w:name w:val="Table Grid"/>
    <w:basedOn w:val="TableNormal"/>
    <w:uiPriority w:val="39"/>
    <w:rsid w:val="00D6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6789E"/>
    <w:pPr>
      <w:spacing w:after="0" w:line="480" w:lineRule="auto"/>
      <w:ind w:left="720" w:hanging="720"/>
    </w:pPr>
  </w:style>
  <w:style w:type="character" w:styleId="Hyperlink">
    <w:name w:val="Hyperlink"/>
    <w:basedOn w:val="DefaultParagraphFont"/>
    <w:uiPriority w:val="99"/>
    <w:unhideWhenUsed/>
    <w:rsid w:val="000F7EE5"/>
    <w:rPr>
      <w:color w:val="0563C1"/>
      <w:u w:val="single"/>
    </w:rPr>
  </w:style>
  <w:style w:type="character" w:styleId="FollowedHyperlink">
    <w:name w:val="FollowedHyperlink"/>
    <w:basedOn w:val="DefaultParagraphFont"/>
    <w:uiPriority w:val="99"/>
    <w:semiHidden/>
    <w:unhideWhenUsed/>
    <w:rsid w:val="000F7EE5"/>
    <w:rPr>
      <w:color w:val="954F72"/>
      <w:u w:val="single"/>
    </w:rPr>
  </w:style>
  <w:style w:type="paragraph" w:customStyle="1" w:styleId="msonormal0">
    <w:name w:val="msonormal"/>
    <w:basedOn w:val="Normal"/>
    <w:rsid w:val="000F7EE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0F7EE5"/>
    <w:pPr>
      <w:shd w:val="clear" w:color="000000" w:fill="FFFFFF"/>
      <w:spacing w:before="100" w:beforeAutospacing="1" w:after="100" w:afterAutospacing="1" w:line="240" w:lineRule="auto"/>
      <w:jc w:val="right"/>
      <w:textAlignment w:val="center"/>
    </w:pPr>
    <w:rPr>
      <w:rFonts w:ascii="Arial" w:eastAsia="Times New Roman" w:hAnsi="Arial" w:cs="Arial"/>
      <w:kern w:val="0"/>
      <w:sz w:val="20"/>
      <w:szCs w:val="20"/>
      <w:lang w:eastAsia="en-IN"/>
      <w14:ligatures w14:val="none"/>
    </w:rPr>
  </w:style>
  <w:style w:type="paragraph" w:customStyle="1" w:styleId="xl66">
    <w:name w:val="xl66"/>
    <w:basedOn w:val="Normal"/>
    <w:rsid w:val="000F7E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0"/>
      <w:szCs w:val="20"/>
      <w:lang w:eastAsia="en-IN"/>
      <w14:ligatures w14:val="none"/>
    </w:rPr>
  </w:style>
  <w:style w:type="paragraph" w:customStyle="1" w:styleId="xl67">
    <w:name w:val="xl67"/>
    <w:basedOn w:val="Normal"/>
    <w:rsid w:val="000F7E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TMLPreformatted">
    <w:name w:val="HTML Preformatted"/>
    <w:basedOn w:val="Normal"/>
    <w:link w:val="HTMLPreformattedChar"/>
    <w:uiPriority w:val="99"/>
    <w:semiHidden/>
    <w:unhideWhenUsed/>
    <w:rsid w:val="00D65C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C4B"/>
    <w:rPr>
      <w:rFonts w:ascii="Consolas" w:hAnsi="Consolas"/>
      <w:sz w:val="20"/>
      <w:szCs w:val="20"/>
    </w:rPr>
  </w:style>
  <w:style w:type="character" w:styleId="UnresolvedMention">
    <w:name w:val="Unresolved Mention"/>
    <w:basedOn w:val="DefaultParagraphFont"/>
    <w:uiPriority w:val="99"/>
    <w:semiHidden/>
    <w:unhideWhenUsed/>
    <w:rsid w:val="003260B1"/>
    <w:rPr>
      <w:color w:val="605E5C"/>
      <w:shd w:val="clear" w:color="auto" w:fill="E1DFDD"/>
    </w:rPr>
  </w:style>
  <w:style w:type="character" w:styleId="PlaceholderText">
    <w:name w:val="Placeholder Text"/>
    <w:basedOn w:val="DefaultParagraphFont"/>
    <w:uiPriority w:val="99"/>
    <w:semiHidden/>
    <w:rsid w:val="00382AE1"/>
    <w:rPr>
      <w:color w:val="666666"/>
    </w:rPr>
  </w:style>
  <w:style w:type="paragraph" w:styleId="Revision">
    <w:name w:val="Revision"/>
    <w:hidden/>
    <w:uiPriority w:val="99"/>
    <w:semiHidden/>
    <w:rsid w:val="008F5594"/>
    <w:pPr>
      <w:spacing w:after="0" w:line="240" w:lineRule="auto"/>
    </w:pPr>
  </w:style>
  <w:style w:type="paragraph" w:styleId="CommentSubject">
    <w:name w:val="annotation subject"/>
    <w:basedOn w:val="CommentText"/>
    <w:next w:val="CommentText"/>
    <w:link w:val="CommentSubjectChar"/>
    <w:uiPriority w:val="99"/>
    <w:semiHidden/>
    <w:unhideWhenUsed/>
    <w:rsid w:val="008F5594"/>
    <w:rPr>
      <w:b/>
      <w:bCs/>
    </w:rPr>
  </w:style>
  <w:style w:type="character" w:customStyle="1" w:styleId="CommentSubjectChar">
    <w:name w:val="Comment Subject Char"/>
    <w:basedOn w:val="CommentTextChar"/>
    <w:link w:val="CommentSubject"/>
    <w:uiPriority w:val="99"/>
    <w:semiHidden/>
    <w:rsid w:val="008F5594"/>
    <w:rPr>
      <w:b/>
      <w:bCs/>
      <w:sz w:val="20"/>
      <w:szCs w:val="20"/>
    </w:rPr>
  </w:style>
  <w:style w:type="paragraph" w:styleId="Header">
    <w:name w:val="header"/>
    <w:basedOn w:val="Normal"/>
    <w:link w:val="HeaderChar"/>
    <w:uiPriority w:val="99"/>
    <w:unhideWhenUsed/>
    <w:rsid w:val="005E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AB"/>
  </w:style>
  <w:style w:type="paragraph" w:styleId="Footer">
    <w:name w:val="footer"/>
    <w:basedOn w:val="Normal"/>
    <w:link w:val="FooterChar"/>
    <w:uiPriority w:val="99"/>
    <w:unhideWhenUsed/>
    <w:rsid w:val="005E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AAB"/>
  </w:style>
  <w:style w:type="table" w:styleId="PlainTable1">
    <w:name w:val="Plain Table 1"/>
    <w:basedOn w:val="TableNormal"/>
    <w:uiPriority w:val="41"/>
    <w:rsid w:val="006513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17">
      <w:bodyDiv w:val="1"/>
      <w:marLeft w:val="0"/>
      <w:marRight w:val="0"/>
      <w:marTop w:val="0"/>
      <w:marBottom w:val="0"/>
      <w:divBdr>
        <w:top w:val="none" w:sz="0" w:space="0" w:color="auto"/>
        <w:left w:val="none" w:sz="0" w:space="0" w:color="auto"/>
        <w:bottom w:val="none" w:sz="0" w:space="0" w:color="auto"/>
        <w:right w:val="none" w:sz="0" w:space="0" w:color="auto"/>
      </w:divBdr>
    </w:div>
    <w:div w:id="29037616">
      <w:bodyDiv w:val="1"/>
      <w:marLeft w:val="0"/>
      <w:marRight w:val="0"/>
      <w:marTop w:val="0"/>
      <w:marBottom w:val="0"/>
      <w:divBdr>
        <w:top w:val="none" w:sz="0" w:space="0" w:color="auto"/>
        <w:left w:val="none" w:sz="0" w:space="0" w:color="auto"/>
        <w:bottom w:val="none" w:sz="0" w:space="0" w:color="auto"/>
        <w:right w:val="none" w:sz="0" w:space="0" w:color="auto"/>
      </w:divBdr>
    </w:div>
    <w:div w:id="38208956">
      <w:bodyDiv w:val="1"/>
      <w:marLeft w:val="0"/>
      <w:marRight w:val="0"/>
      <w:marTop w:val="0"/>
      <w:marBottom w:val="0"/>
      <w:divBdr>
        <w:top w:val="none" w:sz="0" w:space="0" w:color="auto"/>
        <w:left w:val="none" w:sz="0" w:space="0" w:color="auto"/>
        <w:bottom w:val="none" w:sz="0" w:space="0" w:color="auto"/>
        <w:right w:val="none" w:sz="0" w:space="0" w:color="auto"/>
      </w:divBdr>
    </w:div>
    <w:div w:id="123742015">
      <w:bodyDiv w:val="1"/>
      <w:marLeft w:val="0"/>
      <w:marRight w:val="0"/>
      <w:marTop w:val="0"/>
      <w:marBottom w:val="0"/>
      <w:divBdr>
        <w:top w:val="none" w:sz="0" w:space="0" w:color="auto"/>
        <w:left w:val="none" w:sz="0" w:space="0" w:color="auto"/>
        <w:bottom w:val="none" w:sz="0" w:space="0" w:color="auto"/>
        <w:right w:val="none" w:sz="0" w:space="0" w:color="auto"/>
      </w:divBdr>
    </w:div>
    <w:div w:id="146170342">
      <w:bodyDiv w:val="1"/>
      <w:marLeft w:val="0"/>
      <w:marRight w:val="0"/>
      <w:marTop w:val="0"/>
      <w:marBottom w:val="0"/>
      <w:divBdr>
        <w:top w:val="none" w:sz="0" w:space="0" w:color="auto"/>
        <w:left w:val="none" w:sz="0" w:space="0" w:color="auto"/>
        <w:bottom w:val="none" w:sz="0" w:space="0" w:color="auto"/>
        <w:right w:val="none" w:sz="0" w:space="0" w:color="auto"/>
      </w:divBdr>
    </w:div>
    <w:div w:id="174419170">
      <w:bodyDiv w:val="1"/>
      <w:marLeft w:val="0"/>
      <w:marRight w:val="0"/>
      <w:marTop w:val="0"/>
      <w:marBottom w:val="0"/>
      <w:divBdr>
        <w:top w:val="none" w:sz="0" w:space="0" w:color="auto"/>
        <w:left w:val="none" w:sz="0" w:space="0" w:color="auto"/>
        <w:bottom w:val="none" w:sz="0" w:space="0" w:color="auto"/>
        <w:right w:val="none" w:sz="0" w:space="0" w:color="auto"/>
      </w:divBdr>
    </w:div>
    <w:div w:id="322663613">
      <w:bodyDiv w:val="1"/>
      <w:marLeft w:val="0"/>
      <w:marRight w:val="0"/>
      <w:marTop w:val="0"/>
      <w:marBottom w:val="0"/>
      <w:divBdr>
        <w:top w:val="none" w:sz="0" w:space="0" w:color="auto"/>
        <w:left w:val="none" w:sz="0" w:space="0" w:color="auto"/>
        <w:bottom w:val="none" w:sz="0" w:space="0" w:color="auto"/>
        <w:right w:val="none" w:sz="0" w:space="0" w:color="auto"/>
      </w:divBdr>
    </w:div>
    <w:div w:id="355693405">
      <w:bodyDiv w:val="1"/>
      <w:marLeft w:val="0"/>
      <w:marRight w:val="0"/>
      <w:marTop w:val="0"/>
      <w:marBottom w:val="0"/>
      <w:divBdr>
        <w:top w:val="none" w:sz="0" w:space="0" w:color="auto"/>
        <w:left w:val="none" w:sz="0" w:space="0" w:color="auto"/>
        <w:bottom w:val="none" w:sz="0" w:space="0" w:color="auto"/>
        <w:right w:val="none" w:sz="0" w:space="0" w:color="auto"/>
      </w:divBdr>
    </w:div>
    <w:div w:id="375668208">
      <w:bodyDiv w:val="1"/>
      <w:marLeft w:val="0"/>
      <w:marRight w:val="0"/>
      <w:marTop w:val="0"/>
      <w:marBottom w:val="0"/>
      <w:divBdr>
        <w:top w:val="none" w:sz="0" w:space="0" w:color="auto"/>
        <w:left w:val="none" w:sz="0" w:space="0" w:color="auto"/>
        <w:bottom w:val="none" w:sz="0" w:space="0" w:color="auto"/>
        <w:right w:val="none" w:sz="0" w:space="0" w:color="auto"/>
      </w:divBdr>
    </w:div>
    <w:div w:id="381486798">
      <w:bodyDiv w:val="1"/>
      <w:marLeft w:val="0"/>
      <w:marRight w:val="0"/>
      <w:marTop w:val="0"/>
      <w:marBottom w:val="0"/>
      <w:divBdr>
        <w:top w:val="none" w:sz="0" w:space="0" w:color="auto"/>
        <w:left w:val="none" w:sz="0" w:space="0" w:color="auto"/>
        <w:bottom w:val="none" w:sz="0" w:space="0" w:color="auto"/>
        <w:right w:val="none" w:sz="0" w:space="0" w:color="auto"/>
      </w:divBdr>
    </w:div>
    <w:div w:id="406224457">
      <w:bodyDiv w:val="1"/>
      <w:marLeft w:val="0"/>
      <w:marRight w:val="0"/>
      <w:marTop w:val="0"/>
      <w:marBottom w:val="0"/>
      <w:divBdr>
        <w:top w:val="none" w:sz="0" w:space="0" w:color="auto"/>
        <w:left w:val="none" w:sz="0" w:space="0" w:color="auto"/>
        <w:bottom w:val="none" w:sz="0" w:space="0" w:color="auto"/>
        <w:right w:val="none" w:sz="0" w:space="0" w:color="auto"/>
      </w:divBdr>
    </w:div>
    <w:div w:id="425543699">
      <w:bodyDiv w:val="1"/>
      <w:marLeft w:val="0"/>
      <w:marRight w:val="0"/>
      <w:marTop w:val="0"/>
      <w:marBottom w:val="0"/>
      <w:divBdr>
        <w:top w:val="none" w:sz="0" w:space="0" w:color="auto"/>
        <w:left w:val="none" w:sz="0" w:space="0" w:color="auto"/>
        <w:bottom w:val="none" w:sz="0" w:space="0" w:color="auto"/>
        <w:right w:val="none" w:sz="0" w:space="0" w:color="auto"/>
      </w:divBdr>
    </w:div>
    <w:div w:id="496112222">
      <w:bodyDiv w:val="1"/>
      <w:marLeft w:val="0"/>
      <w:marRight w:val="0"/>
      <w:marTop w:val="0"/>
      <w:marBottom w:val="0"/>
      <w:divBdr>
        <w:top w:val="none" w:sz="0" w:space="0" w:color="auto"/>
        <w:left w:val="none" w:sz="0" w:space="0" w:color="auto"/>
        <w:bottom w:val="none" w:sz="0" w:space="0" w:color="auto"/>
        <w:right w:val="none" w:sz="0" w:space="0" w:color="auto"/>
      </w:divBdr>
    </w:div>
    <w:div w:id="577329720">
      <w:bodyDiv w:val="1"/>
      <w:marLeft w:val="0"/>
      <w:marRight w:val="0"/>
      <w:marTop w:val="0"/>
      <w:marBottom w:val="0"/>
      <w:divBdr>
        <w:top w:val="none" w:sz="0" w:space="0" w:color="auto"/>
        <w:left w:val="none" w:sz="0" w:space="0" w:color="auto"/>
        <w:bottom w:val="none" w:sz="0" w:space="0" w:color="auto"/>
        <w:right w:val="none" w:sz="0" w:space="0" w:color="auto"/>
      </w:divBdr>
    </w:div>
    <w:div w:id="681471595">
      <w:bodyDiv w:val="1"/>
      <w:marLeft w:val="0"/>
      <w:marRight w:val="0"/>
      <w:marTop w:val="0"/>
      <w:marBottom w:val="0"/>
      <w:divBdr>
        <w:top w:val="none" w:sz="0" w:space="0" w:color="auto"/>
        <w:left w:val="none" w:sz="0" w:space="0" w:color="auto"/>
        <w:bottom w:val="none" w:sz="0" w:space="0" w:color="auto"/>
        <w:right w:val="none" w:sz="0" w:space="0" w:color="auto"/>
      </w:divBdr>
    </w:div>
    <w:div w:id="698818908">
      <w:bodyDiv w:val="1"/>
      <w:marLeft w:val="0"/>
      <w:marRight w:val="0"/>
      <w:marTop w:val="0"/>
      <w:marBottom w:val="0"/>
      <w:divBdr>
        <w:top w:val="none" w:sz="0" w:space="0" w:color="auto"/>
        <w:left w:val="none" w:sz="0" w:space="0" w:color="auto"/>
        <w:bottom w:val="none" w:sz="0" w:space="0" w:color="auto"/>
        <w:right w:val="none" w:sz="0" w:space="0" w:color="auto"/>
      </w:divBdr>
    </w:div>
    <w:div w:id="704064217">
      <w:bodyDiv w:val="1"/>
      <w:marLeft w:val="0"/>
      <w:marRight w:val="0"/>
      <w:marTop w:val="0"/>
      <w:marBottom w:val="0"/>
      <w:divBdr>
        <w:top w:val="none" w:sz="0" w:space="0" w:color="auto"/>
        <w:left w:val="none" w:sz="0" w:space="0" w:color="auto"/>
        <w:bottom w:val="none" w:sz="0" w:space="0" w:color="auto"/>
        <w:right w:val="none" w:sz="0" w:space="0" w:color="auto"/>
      </w:divBdr>
    </w:div>
    <w:div w:id="772015039">
      <w:bodyDiv w:val="1"/>
      <w:marLeft w:val="0"/>
      <w:marRight w:val="0"/>
      <w:marTop w:val="0"/>
      <w:marBottom w:val="0"/>
      <w:divBdr>
        <w:top w:val="none" w:sz="0" w:space="0" w:color="auto"/>
        <w:left w:val="none" w:sz="0" w:space="0" w:color="auto"/>
        <w:bottom w:val="none" w:sz="0" w:space="0" w:color="auto"/>
        <w:right w:val="none" w:sz="0" w:space="0" w:color="auto"/>
      </w:divBdr>
    </w:div>
    <w:div w:id="821777375">
      <w:bodyDiv w:val="1"/>
      <w:marLeft w:val="0"/>
      <w:marRight w:val="0"/>
      <w:marTop w:val="0"/>
      <w:marBottom w:val="0"/>
      <w:divBdr>
        <w:top w:val="none" w:sz="0" w:space="0" w:color="auto"/>
        <w:left w:val="none" w:sz="0" w:space="0" w:color="auto"/>
        <w:bottom w:val="none" w:sz="0" w:space="0" w:color="auto"/>
        <w:right w:val="none" w:sz="0" w:space="0" w:color="auto"/>
      </w:divBdr>
    </w:div>
    <w:div w:id="891039636">
      <w:bodyDiv w:val="1"/>
      <w:marLeft w:val="0"/>
      <w:marRight w:val="0"/>
      <w:marTop w:val="0"/>
      <w:marBottom w:val="0"/>
      <w:divBdr>
        <w:top w:val="none" w:sz="0" w:space="0" w:color="auto"/>
        <w:left w:val="none" w:sz="0" w:space="0" w:color="auto"/>
        <w:bottom w:val="none" w:sz="0" w:space="0" w:color="auto"/>
        <w:right w:val="none" w:sz="0" w:space="0" w:color="auto"/>
      </w:divBdr>
    </w:div>
    <w:div w:id="948970933">
      <w:bodyDiv w:val="1"/>
      <w:marLeft w:val="0"/>
      <w:marRight w:val="0"/>
      <w:marTop w:val="0"/>
      <w:marBottom w:val="0"/>
      <w:divBdr>
        <w:top w:val="none" w:sz="0" w:space="0" w:color="auto"/>
        <w:left w:val="none" w:sz="0" w:space="0" w:color="auto"/>
        <w:bottom w:val="none" w:sz="0" w:space="0" w:color="auto"/>
        <w:right w:val="none" w:sz="0" w:space="0" w:color="auto"/>
      </w:divBdr>
    </w:div>
    <w:div w:id="973870248">
      <w:bodyDiv w:val="1"/>
      <w:marLeft w:val="0"/>
      <w:marRight w:val="0"/>
      <w:marTop w:val="0"/>
      <w:marBottom w:val="0"/>
      <w:divBdr>
        <w:top w:val="none" w:sz="0" w:space="0" w:color="auto"/>
        <w:left w:val="none" w:sz="0" w:space="0" w:color="auto"/>
        <w:bottom w:val="none" w:sz="0" w:space="0" w:color="auto"/>
        <w:right w:val="none" w:sz="0" w:space="0" w:color="auto"/>
      </w:divBdr>
    </w:div>
    <w:div w:id="1065958321">
      <w:bodyDiv w:val="1"/>
      <w:marLeft w:val="0"/>
      <w:marRight w:val="0"/>
      <w:marTop w:val="0"/>
      <w:marBottom w:val="0"/>
      <w:divBdr>
        <w:top w:val="none" w:sz="0" w:space="0" w:color="auto"/>
        <w:left w:val="none" w:sz="0" w:space="0" w:color="auto"/>
        <w:bottom w:val="none" w:sz="0" w:space="0" w:color="auto"/>
        <w:right w:val="none" w:sz="0" w:space="0" w:color="auto"/>
      </w:divBdr>
    </w:div>
    <w:div w:id="1066339601">
      <w:bodyDiv w:val="1"/>
      <w:marLeft w:val="0"/>
      <w:marRight w:val="0"/>
      <w:marTop w:val="0"/>
      <w:marBottom w:val="0"/>
      <w:divBdr>
        <w:top w:val="none" w:sz="0" w:space="0" w:color="auto"/>
        <w:left w:val="none" w:sz="0" w:space="0" w:color="auto"/>
        <w:bottom w:val="none" w:sz="0" w:space="0" w:color="auto"/>
        <w:right w:val="none" w:sz="0" w:space="0" w:color="auto"/>
      </w:divBdr>
    </w:div>
    <w:div w:id="1100948275">
      <w:bodyDiv w:val="1"/>
      <w:marLeft w:val="0"/>
      <w:marRight w:val="0"/>
      <w:marTop w:val="0"/>
      <w:marBottom w:val="0"/>
      <w:divBdr>
        <w:top w:val="none" w:sz="0" w:space="0" w:color="auto"/>
        <w:left w:val="none" w:sz="0" w:space="0" w:color="auto"/>
        <w:bottom w:val="none" w:sz="0" w:space="0" w:color="auto"/>
        <w:right w:val="none" w:sz="0" w:space="0" w:color="auto"/>
      </w:divBdr>
    </w:div>
    <w:div w:id="1137995141">
      <w:bodyDiv w:val="1"/>
      <w:marLeft w:val="0"/>
      <w:marRight w:val="0"/>
      <w:marTop w:val="0"/>
      <w:marBottom w:val="0"/>
      <w:divBdr>
        <w:top w:val="none" w:sz="0" w:space="0" w:color="auto"/>
        <w:left w:val="none" w:sz="0" w:space="0" w:color="auto"/>
        <w:bottom w:val="none" w:sz="0" w:space="0" w:color="auto"/>
        <w:right w:val="none" w:sz="0" w:space="0" w:color="auto"/>
      </w:divBdr>
    </w:div>
    <w:div w:id="1138767339">
      <w:bodyDiv w:val="1"/>
      <w:marLeft w:val="0"/>
      <w:marRight w:val="0"/>
      <w:marTop w:val="0"/>
      <w:marBottom w:val="0"/>
      <w:divBdr>
        <w:top w:val="none" w:sz="0" w:space="0" w:color="auto"/>
        <w:left w:val="none" w:sz="0" w:space="0" w:color="auto"/>
        <w:bottom w:val="none" w:sz="0" w:space="0" w:color="auto"/>
        <w:right w:val="none" w:sz="0" w:space="0" w:color="auto"/>
      </w:divBdr>
    </w:div>
    <w:div w:id="1189754740">
      <w:bodyDiv w:val="1"/>
      <w:marLeft w:val="0"/>
      <w:marRight w:val="0"/>
      <w:marTop w:val="0"/>
      <w:marBottom w:val="0"/>
      <w:divBdr>
        <w:top w:val="none" w:sz="0" w:space="0" w:color="auto"/>
        <w:left w:val="none" w:sz="0" w:space="0" w:color="auto"/>
        <w:bottom w:val="none" w:sz="0" w:space="0" w:color="auto"/>
        <w:right w:val="none" w:sz="0" w:space="0" w:color="auto"/>
      </w:divBdr>
    </w:div>
    <w:div w:id="1242254440">
      <w:bodyDiv w:val="1"/>
      <w:marLeft w:val="0"/>
      <w:marRight w:val="0"/>
      <w:marTop w:val="0"/>
      <w:marBottom w:val="0"/>
      <w:divBdr>
        <w:top w:val="none" w:sz="0" w:space="0" w:color="auto"/>
        <w:left w:val="none" w:sz="0" w:space="0" w:color="auto"/>
        <w:bottom w:val="none" w:sz="0" w:space="0" w:color="auto"/>
        <w:right w:val="none" w:sz="0" w:space="0" w:color="auto"/>
      </w:divBdr>
    </w:div>
    <w:div w:id="1257664789">
      <w:bodyDiv w:val="1"/>
      <w:marLeft w:val="0"/>
      <w:marRight w:val="0"/>
      <w:marTop w:val="0"/>
      <w:marBottom w:val="0"/>
      <w:divBdr>
        <w:top w:val="none" w:sz="0" w:space="0" w:color="auto"/>
        <w:left w:val="none" w:sz="0" w:space="0" w:color="auto"/>
        <w:bottom w:val="none" w:sz="0" w:space="0" w:color="auto"/>
        <w:right w:val="none" w:sz="0" w:space="0" w:color="auto"/>
      </w:divBdr>
    </w:div>
    <w:div w:id="1314333405">
      <w:bodyDiv w:val="1"/>
      <w:marLeft w:val="0"/>
      <w:marRight w:val="0"/>
      <w:marTop w:val="0"/>
      <w:marBottom w:val="0"/>
      <w:divBdr>
        <w:top w:val="none" w:sz="0" w:space="0" w:color="auto"/>
        <w:left w:val="none" w:sz="0" w:space="0" w:color="auto"/>
        <w:bottom w:val="none" w:sz="0" w:space="0" w:color="auto"/>
        <w:right w:val="none" w:sz="0" w:space="0" w:color="auto"/>
      </w:divBdr>
    </w:div>
    <w:div w:id="1315186794">
      <w:bodyDiv w:val="1"/>
      <w:marLeft w:val="0"/>
      <w:marRight w:val="0"/>
      <w:marTop w:val="0"/>
      <w:marBottom w:val="0"/>
      <w:divBdr>
        <w:top w:val="none" w:sz="0" w:space="0" w:color="auto"/>
        <w:left w:val="none" w:sz="0" w:space="0" w:color="auto"/>
        <w:bottom w:val="none" w:sz="0" w:space="0" w:color="auto"/>
        <w:right w:val="none" w:sz="0" w:space="0" w:color="auto"/>
      </w:divBdr>
    </w:div>
    <w:div w:id="1408724709">
      <w:bodyDiv w:val="1"/>
      <w:marLeft w:val="0"/>
      <w:marRight w:val="0"/>
      <w:marTop w:val="0"/>
      <w:marBottom w:val="0"/>
      <w:divBdr>
        <w:top w:val="none" w:sz="0" w:space="0" w:color="auto"/>
        <w:left w:val="none" w:sz="0" w:space="0" w:color="auto"/>
        <w:bottom w:val="none" w:sz="0" w:space="0" w:color="auto"/>
        <w:right w:val="none" w:sz="0" w:space="0" w:color="auto"/>
      </w:divBdr>
    </w:div>
    <w:div w:id="1467775320">
      <w:bodyDiv w:val="1"/>
      <w:marLeft w:val="0"/>
      <w:marRight w:val="0"/>
      <w:marTop w:val="0"/>
      <w:marBottom w:val="0"/>
      <w:divBdr>
        <w:top w:val="none" w:sz="0" w:space="0" w:color="auto"/>
        <w:left w:val="none" w:sz="0" w:space="0" w:color="auto"/>
        <w:bottom w:val="none" w:sz="0" w:space="0" w:color="auto"/>
        <w:right w:val="none" w:sz="0" w:space="0" w:color="auto"/>
      </w:divBdr>
    </w:div>
    <w:div w:id="1507135789">
      <w:bodyDiv w:val="1"/>
      <w:marLeft w:val="0"/>
      <w:marRight w:val="0"/>
      <w:marTop w:val="0"/>
      <w:marBottom w:val="0"/>
      <w:divBdr>
        <w:top w:val="none" w:sz="0" w:space="0" w:color="auto"/>
        <w:left w:val="none" w:sz="0" w:space="0" w:color="auto"/>
        <w:bottom w:val="none" w:sz="0" w:space="0" w:color="auto"/>
        <w:right w:val="none" w:sz="0" w:space="0" w:color="auto"/>
      </w:divBdr>
    </w:div>
    <w:div w:id="1584296185">
      <w:bodyDiv w:val="1"/>
      <w:marLeft w:val="0"/>
      <w:marRight w:val="0"/>
      <w:marTop w:val="0"/>
      <w:marBottom w:val="0"/>
      <w:divBdr>
        <w:top w:val="none" w:sz="0" w:space="0" w:color="auto"/>
        <w:left w:val="none" w:sz="0" w:space="0" w:color="auto"/>
        <w:bottom w:val="none" w:sz="0" w:space="0" w:color="auto"/>
        <w:right w:val="none" w:sz="0" w:space="0" w:color="auto"/>
      </w:divBdr>
    </w:div>
    <w:div w:id="1674870273">
      <w:bodyDiv w:val="1"/>
      <w:marLeft w:val="0"/>
      <w:marRight w:val="0"/>
      <w:marTop w:val="0"/>
      <w:marBottom w:val="0"/>
      <w:divBdr>
        <w:top w:val="none" w:sz="0" w:space="0" w:color="auto"/>
        <w:left w:val="none" w:sz="0" w:space="0" w:color="auto"/>
        <w:bottom w:val="none" w:sz="0" w:space="0" w:color="auto"/>
        <w:right w:val="none" w:sz="0" w:space="0" w:color="auto"/>
      </w:divBdr>
    </w:div>
    <w:div w:id="1697123796">
      <w:bodyDiv w:val="1"/>
      <w:marLeft w:val="0"/>
      <w:marRight w:val="0"/>
      <w:marTop w:val="0"/>
      <w:marBottom w:val="0"/>
      <w:divBdr>
        <w:top w:val="none" w:sz="0" w:space="0" w:color="auto"/>
        <w:left w:val="none" w:sz="0" w:space="0" w:color="auto"/>
        <w:bottom w:val="none" w:sz="0" w:space="0" w:color="auto"/>
        <w:right w:val="none" w:sz="0" w:space="0" w:color="auto"/>
      </w:divBdr>
    </w:div>
    <w:div w:id="1701856640">
      <w:bodyDiv w:val="1"/>
      <w:marLeft w:val="0"/>
      <w:marRight w:val="0"/>
      <w:marTop w:val="0"/>
      <w:marBottom w:val="0"/>
      <w:divBdr>
        <w:top w:val="none" w:sz="0" w:space="0" w:color="auto"/>
        <w:left w:val="none" w:sz="0" w:space="0" w:color="auto"/>
        <w:bottom w:val="none" w:sz="0" w:space="0" w:color="auto"/>
        <w:right w:val="none" w:sz="0" w:space="0" w:color="auto"/>
      </w:divBdr>
    </w:div>
    <w:div w:id="1728214564">
      <w:bodyDiv w:val="1"/>
      <w:marLeft w:val="0"/>
      <w:marRight w:val="0"/>
      <w:marTop w:val="0"/>
      <w:marBottom w:val="0"/>
      <w:divBdr>
        <w:top w:val="none" w:sz="0" w:space="0" w:color="auto"/>
        <w:left w:val="none" w:sz="0" w:space="0" w:color="auto"/>
        <w:bottom w:val="none" w:sz="0" w:space="0" w:color="auto"/>
        <w:right w:val="none" w:sz="0" w:space="0" w:color="auto"/>
      </w:divBdr>
    </w:div>
    <w:div w:id="1742025860">
      <w:bodyDiv w:val="1"/>
      <w:marLeft w:val="0"/>
      <w:marRight w:val="0"/>
      <w:marTop w:val="0"/>
      <w:marBottom w:val="0"/>
      <w:divBdr>
        <w:top w:val="none" w:sz="0" w:space="0" w:color="auto"/>
        <w:left w:val="none" w:sz="0" w:space="0" w:color="auto"/>
        <w:bottom w:val="none" w:sz="0" w:space="0" w:color="auto"/>
        <w:right w:val="none" w:sz="0" w:space="0" w:color="auto"/>
      </w:divBdr>
    </w:div>
    <w:div w:id="1791125418">
      <w:bodyDiv w:val="1"/>
      <w:marLeft w:val="0"/>
      <w:marRight w:val="0"/>
      <w:marTop w:val="0"/>
      <w:marBottom w:val="0"/>
      <w:divBdr>
        <w:top w:val="none" w:sz="0" w:space="0" w:color="auto"/>
        <w:left w:val="none" w:sz="0" w:space="0" w:color="auto"/>
        <w:bottom w:val="none" w:sz="0" w:space="0" w:color="auto"/>
        <w:right w:val="none" w:sz="0" w:space="0" w:color="auto"/>
      </w:divBdr>
    </w:div>
    <w:div w:id="1818720581">
      <w:bodyDiv w:val="1"/>
      <w:marLeft w:val="0"/>
      <w:marRight w:val="0"/>
      <w:marTop w:val="0"/>
      <w:marBottom w:val="0"/>
      <w:divBdr>
        <w:top w:val="none" w:sz="0" w:space="0" w:color="auto"/>
        <w:left w:val="none" w:sz="0" w:space="0" w:color="auto"/>
        <w:bottom w:val="none" w:sz="0" w:space="0" w:color="auto"/>
        <w:right w:val="none" w:sz="0" w:space="0" w:color="auto"/>
      </w:divBdr>
    </w:div>
    <w:div w:id="1889343607">
      <w:bodyDiv w:val="1"/>
      <w:marLeft w:val="0"/>
      <w:marRight w:val="0"/>
      <w:marTop w:val="0"/>
      <w:marBottom w:val="0"/>
      <w:divBdr>
        <w:top w:val="none" w:sz="0" w:space="0" w:color="auto"/>
        <w:left w:val="none" w:sz="0" w:space="0" w:color="auto"/>
        <w:bottom w:val="none" w:sz="0" w:space="0" w:color="auto"/>
        <w:right w:val="none" w:sz="0" w:space="0" w:color="auto"/>
      </w:divBdr>
    </w:div>
    <w:div w:id="2055426629">
      <w:bodyDiv w:val="1"/>
      <w:marLeft w:val="0"/>
      <w:marRight w:val="0"/>
      <w:marTop w:val="0"/>
      <w:marBottom w:val="0"/>
      <w:divBdr>
        <w:top w:val="none" w:sz="0" w:space="0" w:color="auto"/>
        <w:left w:val="none" w:sz="0" w:space="0" w:color="auto"/>
        <w:bottom w:val="none" w:sz="0" w:space="0" w:color="auto"/>
        <w:right w:val="none" w:sz="0" w:space="0" w:color="auto"/>
      </w:divBdr>
    </w:div>
    <w:div w:id="2056585399">
      <w:bodyDiv w:val="1"/>
      <w:marLeft w:val="0"/>
      <w:marRight w:val="0"/>
      <w:marTop w:val="0"/>
      <w:marBottom w:val="0"/>
      <w:divBdr>
        <w:top w:val="none" w:sz="0" w:space="0" w:color="auto"/>
        <w:left w:val="none" w:sz="0" w:space="0" w:color="auto"/>
        <w:bottom w:val="none" w:sz="0" w:space="0" w:color="auto"/>
        <w:right w:val="none" w:sz="0" w:space="0" w:color="auto"/>
      </w:divBdr>
    </w:div>
    <w:div w:id="2060594227">
      <w:bodyDiv w:val="1"/>
      <w:marLeft w:val="0"/>
      <w:marRight w:val="0"/>
      <w:marTop w:val="0"/>
      <w:marBottom w:val="0"/>
      <w:divBdr>
        <w:top w:val="none" w:sz="0" w:space="0" w:color="auto"/>
        <w:left w:val="none" w:sz="0" w:space="0" w:color="auto"/>
        <w:bottom w:val="none" w:sz="0" w:space="0" w:color="auto"/>
        <w:right w:val="none" w:sz="0" w:space="0" w:color="auto"/>
      </w:divBdr>
    </w:div>
    <w:div w:id="2088383045">
      <w:bodyDiv w:val="1"/>
      <w:marLeft w:val="0"/>
      <w:marRight w:val="0"/>
      <w:marTop w:val="0"/>
      <w:marBottom w:val="0"/>
      <w:divBdr>
        <w:top w:val="none" w:sz="0" w:space="0" w:color="auto"/>
        <w:left w:val="none" w:sz="0" w:space="0" w:color="auto"/>
        <w:bottom w:val="none" w:sz="0" w:space="0" w:color="auto"/>
        <w:right w:val="none" w:sz="0" w:space="0" w:color="auto"/>
      </w:divBdr>
    </w:div>
    <w:div w:id="21211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7977202200000324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57/s41264-023-0024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09737030241280145"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My%20research%20papers\Economics%20of%20education\Send\region%20wise%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Sheet1!$Q$6</c:f>
              <c:strCache>
                <c:ptCount val="1"/>
                <c:pt idx="0">
                  <c:v>Region wise credit to educational sector under Priority Sector Lending, 2022</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604-4C54-8233-92E67714237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604-4C54-8233-92E67714237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604-4C54-8233-92E67714237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604-4C54-8233-92E677142376}"/>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1604-4C54-8233-92E677142376}"/>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1604-4C54-8233-92E67714237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Sheet1!$P$7:$P$12</c:f>
              <c:strCache>
                <c:ptCount val="6"/>
                <c:pt idx="0">
                  <c:v>North</c:v>
                </c:pt>
                <c:pt idx="1">
                  <c:v>North east</c:v>
                </c:pt>
                <c:pt idx="2">
                  <c:v>east</c:v>
                </c:pt>
                <c:pt idx="3">
                  <c:v>Central</c:v>
                </c:pt>
                <c:pt idx="4">
                  <c:v>West</c:v>
                </c:pt>
                <c:pt idx="5">
                  <c:v>South</c:v>
                </c:pt>
              </c:strCache>
            </c:strRef>
          </c:cat>
          <c:val>
            <c:numRef>
              <c:f>Sheet1!$Q$7:$Q$12</c:f>
              <c:numCache>
                <c:formatCode>General</c:formatCode>
                <c:ptCount val="6"/>
                <c:pt idx="0">
                  <c:v>2734759</c:v>
                </c:pt>
                <c:pt idx="1">
                  <c:v>146646</c:v>
                </c:pt>
                <c:pt idx="2">
                  <c:v>959293</c:v>
                </c:pt>
                <c:pt idx="3">
                  <c:v>1211460</c:v>
                </c:pt>
                <c:pt idx="4">
                  <c:v>3507124</c:v>
                </c:pt>
                <c:pt idx="5">
                  <c:v>3699466</c:v>
                </c:pt>
              </c:numCache>
            </c:numRef>
          </c:val>
          <c:extLst>
            <c:ext xmlns:c16="http://schemas.microsoft.com/office/drawing/2014/chart" uri="{C3380CC4-5D6E-409C-BE32-E72D297353CC}">
              <c16:uniqueId val="{0000000C-1604-4C54-8233-92E67714237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0449-9255-415D-9FF2-1E57808D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24</Pages>
  <Words>5893</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jitendra singh</dc:creator>
  <cp:lastModifiedBy>SDI 91</cp:lastModifiedBy>
  <cp:revision>22</cp:revision>
  <cp:lastPrinted>2024-07-18T04:26:00Z</cp:lastPrinted>
  <dcterms:created xsi:type="dcterms:W3CDTF">2026-03-17T10:33:00Z</dcterms:created>
  <dcterms:modified xsi:type="dcterms:W3CDTF">2026-03-20T06:12:00Z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2978f4139f85876b66ae0c1646b36b6ad34da93905b774cac6c0e25a8c5887de</vt:lpwstr>
  </property>
  <property fmtid="{D5CDD505-2E9C-101B-9397-08002B2CF9AE}" pid="3" name="ZOTERO_PREF_1">
    <vt:lpwstr>&lt;data data-version="3" zotero-version="6.0.30"&gt;&lt;session id="2IUDF21w"/&gt;&lt;style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