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EE1" w:rsidRDefault="00D37EE1" w:rsidP="00E4284B">
      <w:pPr>
        <w:spacing w:line="360" w:lineRule="auto"/>
        <w:jc w:val="center"/>
        <w:rPr>
          <w:rFonts w:ascii="Times New Roman" w:hAnsi="Times New Roman" w:cs="Times New Roman"/>
          <w:b/>
          <w:bCs/>
          <w:sz w:val="28"/>
          <w:szCs w:val="28"/>
          <w:lang w:val="en-US"/>
        </w:rPr>
      </w:pPr>
      <w:r w:rsidRPr="0095572D">
        <w:rPr>
          <w:rFonts w:ascii="Times New Roman" w:hAnsi="Times New Roman" w:cs="Times New Roman"/>
          <w:b/>
          <w:bCs/>
          <w:sz w:val="28"/>
          <w:szCs w:val="28"/>
          <w:lang w:val="en-US"/>
        </w:rPr>
        <w:t>Reimagining Primary Education in the Age of Intelligent Technologies:</w:t>
      </w:r>
      <w:r w:rsidR="0033219B" w:rsidRPr="0033219B">
        <w:rPr>
          <w:rFonts w:ascii="Times New Roman" w:hAnsi="Times New Roman" w:cs="Times New Roman"/>
          <w:b/>
          <w:bCs/>
          <w:sz w:val="28"/>
          <w:szCs w:val="28"/>
          <w:lang w:val="en-US"/>
        </w:rPr>
        <w:t xml:space="preserve"> </w:t>
      </w:r>
      <w:r w:rsidRPr="0095572D">
        <w:rPr>
          <w:rFonts w:ascii="Times New Roman" w:hAnsi="Times New Roman" w:cs="Times New Roman"/>
          <w:b/>
          <w:bCs/>
          <w:sz w:val="28"/>
          <w:szCs w:val="28"/>
          <w:lang w:val="en-US"/>
        </w:rPr>
        <w:t>Systemic Transformation, Human-Centered Pedagogy, and Ethical Digital Futures</w:t>
      </w:r>
    </w:p>
    <w:p w:rsidR="00D37EE1" w:rsidRPr="00D37EE1" w:rsidRDefault="00D37EE1" w:rsidP="00D37EE1">
      <w:pPr>
        <w:rPr>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Abstract</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The rapid expansion of intelligent digital technologies is not merely enhancing primary education but fundamentally redefining its epistemological foundations, pedagogical structures, and institutional responsibilities. While previous research has emphasized technological integration and instructional innovation, this study advances a systemic and human-centered perspective on digital transformation in early schooling. Drawing upon interdisciplinary literature, the paper reconceptualizes primary education as a dynamic socio-technical ecosystem shaped by artificial intelligence, immersive technologies, adaptive systems, and data-driven infrastructures.</w:t>
      </w:r>
    </w:p>
    <w:p w:rsidR="00D37EE1"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Rather than focusing exclusively on tools and outcomes, the analysis interrogates how digital innovation restructures power relations, professional identities, equity frameworks, and developmental paradigms. By synthesizing constructivist epistemology, the TPACK model, and contemporary governance scholarship, this study proposes a multidimensional framework for sustainable digital transformation. It concludes by articulating strategic policy priorities and research directions necessary for ethically grounded and developmentally appropriate innovation in primary education.</w:t>
      </w:r>
    </w:p>
    <w:p w:rsidR="00B73278" w:rsidRDefault="00B73278" w:rsidP="0095572D">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Methodologically, the study adopts a qualitative research design based on a systematic and integrative literature review. Academic publications, policy reports, and empirical studies related to digital transformation, artificial intelligence, and pedagogical innovation in primary education were examined. Sources were selected through purposive sampling from major academic databases, and the collected material was analyzed using thematic content analysis in order to identify recurring conceptual patterns, emerging educational practices, and policy implications related to intelligent technologies in primary education.</w:t>
      </w:r>
    </w:p>
    <w:p w:rsidR="00086BAF" w:rsidRDefault="0056338F" w:rsidP="0095572D">
      <w:pPr>
        <w:jc w:val="both"/>
        <w:rPr>
          <w:rFonts w:ascii="Times New Roman" w:hAnsi="Times New Roman" w:cs="Times New Roman"/>
          <w:sz w:val="24"/>
          <w:szCs w:val="24"/>
          <w:lang w:val="en-US"/>
        </w:rPr>
      </w:pPr>
      <w:r w:rsidRPr="0056338F">
        <w:rPr>
          <w:rFonts w:ascii="Times New Roman" w:hAnsi="Times New Roman" w:cs="Times New Roman"/>
          <w:sz w:val="24"/>
          <w:szCs w:val="24"/>
          <w:lang w:val="en-US"/>
        </w:rPr>
        <w:t>Keywords</w:t>
      </w:r>
      <w:r>
        <w:rPr>
          <w:rFonts w:ascii="Times New Roman" w:hAnsi="Times New Roman" w:cs="Times New Roman"/>
          <w:sz w:val="24"/>
          <w:szCs w:val="24"/>
          <w:lang w:val="en-US"/>
        </w:rPr>
        <w:t xml:space="preserve">: </w:t>
      </w:r>
      <w:r w:rsidRPr="0056338F">
        <w:rPr>
          <w:rFonts w:ascii="Times New Roman" w:hAnsi="Times New Roman" w:cs="Times New Roman"/>
          <w:sz w:val="24"/>
          <w:szCs w:val="24"/>
          <w:lang w:val="en-US"/>
        </w:rPr>
        <w:t>Reimagining Primary Education</w:t>
      </w:r>
      <w:r>
        <w:rPr>
          <w:rFonts w:ascii="Times New Roman" w:hAnsi="Times New Roman" w:cs="Times New Roman"/>
          <w:sz w:val="24"/>
          <w:szCs w:val="24"/>
          <w:lang w:val="en-US"/>
        </w:rPr>
        <w:t>,</w:t>
      </w:r>
      <w:r w:rsidRPr="0056338F">
        <w:t xml:space="preserve"> </w:t>
      </w:r>
      <w:r w:rsidRPr="0056338F">
        <w:rPr>
          <w:rFonts w:ascii="Times New Roman" w:hAnsi="Times New Roman" w:cs="Times New Roman"/>
          <w:sz w:val="24"/>
          <w:szCs w:val="24"/>
          <w:lang w:val="en-US"/>
        </w:rPr>
        <w:t>Intelligent Technologies</w:t>
      </w:r>
      <w:r>
        <w:rPr>
          <w:rFonts w:ascii="Times New Roman" w:hAnsi="Times New Roman" w:cs="Times New Roman"/>
          <w:sz w:val="24"/>
          <w:szCs w:val="24"/>
          <w:lang w:val="en-US"/>
        </w:rPr>
        <w:t>,</w:t>
      </w:r>
      <w:r w:rsidRPr="0056338F">
        <w:t xml:space="preserve"> </w:t>
      </w:r>
      <w:r w:rsidRPr="0056338F">
        <w:rPr>
          <w:rFonts w:ascii="Times New Roman" w:hAnsi="Times New Roman" w:cs="Times New Roman"/>
          <w:sz w:val="24"/>
          <w:szCs w:val="24"/>
          <w:lang w:val="en-US"/>
        </w:rPr>
        <w:t>primary education</w:t>
      </w:r>
      <w:r>
        <w:rPr>
          <w:rFonts w:ascii="Times New Roman" w:hAnsi="Times New Roman" w:cs="Times New Roman"/>
          <w:sz w:val="24"/>
          <w:szCs w:val="24"/>
          <w:lang w:val="en-US"/>
        </w:rPr>
        <w:t>,</w:t>
      </w:r>
      <w:r w:rsidRPr="0056338F">
        <w:t xml:space="preserve"> </w:t>
      </w:r>
      <w:r w:rsidRPr="0056338F">
        <w:rPr>
          <w:rFonts w:ascii="Times New Roman" w:hAnsi="Times New Roman" w:cs="Times New Roman"/>
          <w:sz w:val="24"/>
          <w:szCs w:val="24"/>
          <w:lang w:val="en-US"/>
        </w:rPr>
        <w:t>Educational environments</w:t>
      </w:r>
      <w:bookmarkStart w:id="0" w:name="_GoBack"/>
      <w:bookmarkEnd w:id="0"/>
    </w:p>
    <w:p w:rsidR="00086BAF" w:rsidRPr="00086BAF" w:rsidRDefault="00086BAF" w:rsidP="0095572D">
      <w:pPr>
        <w:jc w:val="both"/>
        <w:rPr>
          <w:rFonts w:ascii="Times New Roman" w:hAnsi="Times New Roman" w:cs="Times New Roman"/>
          <w:b/>
          <w:bCs/>
          <w:sz w:val="24"/>
          <w:szCs w:val="24"/>
          <w:lang w:val="en-US"/>
        </w:rPr>
      </w:pPr>
      <w:r w:rsidRPr="00086BAF">
        <w:rPr>
          <w:rFonts w:ascii="Times New Roman" w:hAnsi="Times New Roman" w:cs="Times New Roman"/>
          <w:b/>
          <w:bCs/>
          <w:sz w:val="24"/>
          <w:szCs w:val="24"/>
          <w:lang w:val="en-US"/>
        </w:rPr>
        <w:t>Introduction</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1. From Digital Integration to Systemic Reconfiguration</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 xml:space="preserve">Digital technology in primary education has often been framed as a matter of integration—how tools can enhance instruction, improve performance, or support </w:t>
      </w:r>
      <w:r w:rsidRPr="0095572D">
        <w:rPr>
          <w:rFonts w:ascii="Times New Roman" w:hAnsi="Times New Roman" w:cs="Times New Roman"/>
          <w:sz w:val="24"/>
          <w:szCs w:val="24"/>
          <w:lang w:val="en-US"/>
        </w:rPr>
        <w:lastRenderedPageBreak/>
        <w:t>differentiation. However, the current technological landscape signals a deeper systemic reconfiguration. Educational environments are increasingly embedded within data infrastructures, algorithmic systems, and networked platforms that shape not only instructional delivery but also institutional governance and decision-making processes [1–3].</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Primary education, as the formative stage of learning and identity development, becomes a critical site where digital norms, literacies, and epistemic assumptions are established [4]. Early engagement with intelligent systems influences how learners conceptualize knowledge authority, problem-solving, and collaboration. The digital shift is therefore not neutral; it redefines cognitive habits and socio-cultural expectations.</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Technologies such as AI-driven analytics, immersive simulations, and cloud-based learning architectures extend beyond classroom supplementation. They constitute infrastructures that mediate communication, assessment, and curriculum design [5–6]. Consequently, transformation must be conceptualized as ecological rather than instrumental—affecting interactions among learners, teachers, families, institutions, and policy actors [7–8].</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Persistent structural inequities, however, complicate this transformation. Infrastructure gaps, digital literacy disparities, and uneven governance capacities continue to shape differentiated access to innovation [9–10]. Without systemic coordination, technological expansion risks deepening rather than mitigating inequality.</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2. Epistemological Shifts and Pedagogical Reorientation</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Digital technologies alter not only how students learn but also how knowledge is constructed and validated. Constructivist theory positions learners as active agents in meaning-making processes [11]. In digitally mediated environments, this agency expands through interactive simulations, collaborative platforms, and adaptive feedback systems [12].</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Yet the proliferation of algorithmic personalization introduces new epistemological tensions. When AI systems curate content pathways and suggest optimal learning trajectories, questions arise concerning learner autonomy and epistemic authority [13–14]. Does personalization enhance agency, or does it subtly constrain intellectual exploration?</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The TPACK framework underscores the importance of integrating technological, pedagogical, and content knowledge [14]. However, in digitally saturated contexts, educators must also cultivate critical digital literacy—enabling students to interrogate data sources, algorithmic bias, and technological mediation itself [15–16].</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Thus, pedagogy must evolve from technology adoption toward reflexive digital practice. Instruction should empower learners not only to use digital tools but to critically understand and ethically navigate them [17–18].</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 Intelligent Systems as Socio-Technical Actors</w:t>
      </w: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3.1 Adaptive Learning and Algorithmic Mediation</w:t>
      </w:r>
    </w:p>
    <w:p w:rsidR="00D37EE1" w:rsidRPr="0095572D" w:rsidRDefault="00D37EE1" w:rsidP="0095572D">
      <w:pPr>
        <w:jc w:val="both"/>
        <w:rPr>
          <w:rFonts w:ascii="Times New Roman" w:hAnsi="Times New Roman" w:cs="Times New Roman"/>
          <w:sz w:val="24"/>
          <w:szCs w:val="24"/>
          <w:lang w:val="en-US"/>
        </w:rPr>
      </w:pPr>
    </w:p>
    <w:p w:rsidR="00050FAF"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AI-based adaptive systems dynamically adjust instructional pathways through the use of real-time learning analytics, continuously processing data related to student performance, engagement patterns, and response accuracy [</w:t>
      </w:r>
      <w:r w:rsidR="00D80910" w:rsidRPr="00D80910">
        <w:rPr>
          <w:rFonts w:ascii="Times New Roman" w:hAnsi="Times New Roman" w:cs="Times New Roman"/>
          <w:sz w:val="24"/>
          <w:szCs w:val="24"/>
          <w:lang w:val="en-US"/>
        </w:rPr>
        <w:t>19-</w:t>
      </w:r>
      <w:r w:rsidRPr="00050FAF">
        <w:rPr>
          <w:rFonts w:ascii="Times New Roman" w:hAnsi="Times New Roman" w:cs="Times New Roman"/>
          <w:sz w:val="24"/>
          <w:szCs w:val="24"/>
          <w:lang w:val="en-US"/>
        </w:rPr>
        <w:t>25]. By leveraging algorithmic modeling, these systems personalize content delivery, feedback, and task sequencing in ways that align with each learner’s cognitive profile and pace of progression. In heterogeneous primary classrooms—where students differ significantly in developmental readiness, linguistic background, and prior knowledge—such technologies hold considerable promise for operationalizing differentiated instruction in a structured and data-informed manner [</w:t>
      </w:r>
      <w:r w:rsidR="00D80910" w:rsidRPr="00D80910">
        <w:rPr>
          <w:rFonts w:ascii="Times New Roman" w:hAnsi="Times New Roman" w:cs="Times New Roman"/>
          <w:sz w:val="24"/>
          <w:szCs w:val="24"/>
          <w:lang w:val="en-US"/>
        </w:rPr>
        <w:t>19-25</w:t>
      </w:r>
      <w:r w:rsidRPr="00050FAF">
        <w:rPr>
          <w:rFonts w:ascii="Times New Roman" w:hAnsi="Times New Roman" w:cs="Times New Roman"/>
          <w:sz w:val="24"/>
          <w:szCs w:val="24"/>
          <w:lang w:val="en-US"/>
        </w:rPr>
        <w:t>]. Rather than applying uniform pedagogical strategies, educators can draw on system-generated insights to tailor activities and scaffolding strategies, thereby enhancing inclusion, sustaining motivation, and mitigating early achievement gaps</w:t>
      </w:r>
      <w:r w:rsidR="00D80910" w:rsidRPr="00D80910">
        <w:rPr>
          <w:rFonts w:ascii="Times New Roman" w:hAnsi="Times New Roman" w:cs="Times New Roman"/>
          <w:sz w:val="24"/>
          <w:szCs w:val="24"/>
          <w:lang w:val="en-US"/>
        </w:rPr>
        <w:t xml:space="preserve"> [25-26].</w:t>
      </w:r>
    </w:p>
    <w:p w:rsidR="00050FAF"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At the same time, the algorithmic mediation of teaching and learning introduces complex governance and professional autonomy concerns. Data-driven recommendations may subtly shape teacher decision-making, influence assessment practices, and recalibrate curricular pacing, potentially redefining what is considered pedagogically appropriate or effective [27]. When the underlying algorithms operate as opaque “black boxes,” without clear explanations of their criteria, weighting mechanisms, or data sources, the risk of over-reliance on automated outputs increases [28]. This dynamic may inadvertently marginalize professional judgment or normalize standardized learning trajectories under the guise of personalization. Consequently, transparency, explainability, and accountability mechanisms are essential to ensure that AI systems function as supportive tools rather than prescriptive authorities within classroom practice.</w:t>
      </w:r>
    </w:p>
    <w:p w:rsidR="00D37EE1"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Within this broader framework, AI should be conceptualized not merely as a neutral technological instrument but as a socio-technical actor embedded in institutional structures and policy ecosystems. Its influence extends beyond the classroom, shaping policy evaluation processes, informing resource allocation decisions, and contributing to long-term strategic planning in education systems. Aggregated learning data can guide funding priorities, teacher professional development initiatives, and targeted intervention programs, thereby influencing systemic reform trajectories. For this reason, the integration of AI into educational contexts requires a coherent regulatory and ethical framework that safeguards data protection, promotes equity, and preserves the centrality of human agency in pedagogical decision-making</w:t>
      </w:r>
      <w:r w:rsidR="0029780E" w:rsidRPr="0029780E">
        <w:rPr>
          <w:rFonts w:ascii="Times New Roman" w:hAnsi="Times New Roman" w:cs="Times New Roman"/>
          <w:sz w:val="24"/>
          <w:szCs w:val="24"/>
          <w:lang w:val="en-US"/>
        </w:rPr>
        <w:t xml:space="preserve"> [28].</w:t>
      </w:r>
    </w:p>
    <w:p w:rsidR="0029780E" w:rsidRPr="0033219B" w:rsidRDefault="0029780E" w:rsidP="00050FAF">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3.2 Immersive Technologies and Experiential Cognition</w:t>
      </w:r>
    </w:p>
    <w:p w:rsidR="00D37EE1" w:rsidRPr="0095572D" w:rsidRDefault="00D37EE1" w:rsidP="0095572D">
      <w:pPr>
        <w:jc w:val="both"/>
        <w:rPr>
          <w:rFonts w:ascii="Times New Roman" w:hAnsi="Times New Roman" w:cs="Times New Roman"/>
          <w:sz w:val="24"/>
          <w:szCs w:val="24"/>
          <w:lang w:val="en-US"/>
        </w:rPr>
      </w:pPr>
    </w:p>
    <w:p w:rsidR="00E14BFB" w:rsidRPr="00E14BF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lastRenderedPageBreak/>
        <w:t>Immersive environments such as Virtual Reality (VR) and Augmented Reality (AR) are reshaping the sensory architecture of learning by fundamentally transforming how learners perceive, interact with, and interpret information. Rather than engaging solely through abstract symbols on a screen, students are placed within dynamic, responsive environments that stimulate multiple sensory channels simultaneously. This multimodal engagement strengthens perceptual integration and allows knowledge to be constructed through direct interaction with spatial, visual, and sometimes haptic elements. As a result, learning becomes less about passive reception and more about active participation within a digitally constructed experiential field</w:t>
      </w:r>
      <w:r w:rsidR="00842EDD" w:rsidRPr="00842EDD">
        <w:rPr>
          <w:rFonts w:ascii="Times New Roman" w:hAnsi="Times New Roman" w:cs="Times New Roman"/>
          <w:sz w:val="24"/>
          <w:szCs w:val="24"/>
          <w:lang w:val="en-US"/>
        </w:rPr>
        <w:t xml:space="preserve"> [29].</w:t>
      </w:r>
    </w:p>
    <w:p w:rsidR="00E14BFB" w:rsidRPr="0033219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A central contribution of immersive technologies lies in their capacity to foster embodied cognition. Learners do not simply observe content; they move within it, manipulate it, and experience its spatial relationships firsthand. Complex phenomena—such as molecular structures, astronomical systems, or historical events—can be simulated in ways that make abstract concepts tangible and experientially accessible. Contextualized exploration allows learners to experiment, make decisions, and observe consequences within safe yet realistic simulations. This experiential dimension deepens conceptual understanding by linking cognitive processing with sensorimotor engagement, thereby enhancing meaning-making and retention</w:t>
      </w:r>
      <w:r w:rsidR="00842EDD" w:rsidRPr="00842EDD">
        <w:rPr>
          <w:rFonts w:ascii="Times New Roman" w:hAnsi="Times New Roman" w:cs="Times New Roman"/>
          <w:sz w:val="24"/>
          <w:szCs w:val="24"/>
          <w:lang w:val="en-US"/>
        </w:rPr>
        <w:t xml:space="preserve"> [29].</w:t>
      </w:r>
    </w:p>
    <w:p w:rsidR="00E14BFB" w:rsidRPr="0033219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Unlike traditional digital resources, immersive systems also reconfigure spatial perception and narrative immersion in ways that influence memory consolidation and affective engagement. The sense of “presence” often reported in VR environments can heighten emotional involvement, which in turn supports long-term memory encoding. Narrative immersion enables learners to situate information within coherent experiential sequences rather than fragmented data points. By integrating story, environment, and interaction, immersive platforms can cultivate sustained attention and intrinsic motivation, both of which are critical factors in effective learning processes</w:t>
      </w:r>
      <w:r w:rsidR="00842EDD" w:rsidRPr="00842EDD">
        <w:rPr>
          <w:rFonts w:ascii="Times New Roman" w:hAnsi="Times New Roman" w:cs="Times New Roman"/>
          <w:sz w:val="24"/>
          <w:szCs w:val="24"/>
          <w:lang w:val="en-US"/>
        </w:rPr>
        <w:t xml:space="preserve"> [30].</w:t>
      </w:r>
    </w:p>
    <w:p w:rsidR="00D37EE1" w:rsidRPr="00050FAF"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However, the pedagogical value of immersive technologies depends heavily on developmental appropriateness and structured guidance. Without careful instructional design, the richness of sensory input may lead to cognitive overload, distracting learners from core learning objectives. Additionally, immersive engagement alone does not guarantee deep understanding; guided reflection, scaffolding, and post-experience discussion are essential to transform experience into structured knowledge. Educators must therefore balance immersion with intentional pedagogical framing, ensuring that experiential intensity is aligned with learners’ cognitive capacities and curricular goals</w:t>
      </w:r>
      <w:r w:rsidR="00842EDD" w:rsidRPr="00842EDD">
        <w:rPr>
          <w:rFonts w:ascii="Times New Roman" w:hAnsi="Times New Roman" w:cs="Times New Roman"/>
          <w:sz w:val="24"/>
          <w:szCs w:val="24"/>
          <w:lang w:val="en-US"/>
        </w:rPr>
        <w:t xml:space="preserve"> [30].</w:t>
      </w:r>
    </w:p>
    <w:p w:rsidR="00842EDD" w:rsidRPr="00050FAF" w:rsidRDefault="00842EDD" w:rsidP="00E14BFB">
      <w:pPr>
        <w:jc w:val="both"/>
        <w:rPr>
          <w:rFonts w:ascii="Times New Roman" w:hAnsi="Times New Roman" w:cs="Times New Roman"/>
          <w:b/>
          <w:bCs/>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4. Professional Identity in a Data-Driven Era</w:t>
      </w:r>
    </w:p>
    <w:p w:rsidR="00D37EE1" w:rsidRPr="0095572D" w:rsidRDefault="00D37EE1" w:rsidP="0095572D">
      <w:pPr>
        <w:jc w:val="both"/>
        <w:rPr>
          <w:rFonts w:ascii="Times New Roman" w:hAnsi="Times New Roman" w:cs="Times New Roman"/>
          <w:sz w:val="24"/>
          <w:szCs w:val="24"/>
          <w:lang w:val="en-US"/>
        </w:rPr>
      </w:pPr>
    </w:p>
    <w:p w:rsidR="007E53EA" w:rsidRPr="007E53EA"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 xml:space="preserve">The teacher’s role is undergoing a profound and multidimensional transformation within digitally mediated learning environments. Educators are no longer positioned solely as transmitters of knowledge but increasingly as designers of complex learning ecosystems that integrate digital platforms, adaptive technologies, and collaborative </w:t>
      </w:r>
      <w:r w:rsidRPr="007E53EA">
        <w:rPr>
          <w:rFonts w:ascii="Times New Roman" w:hAnsi="Times New Roman" w:cs="Times New Roman"/>
          <w:sz w:val="24"/>
          <w:szCs w:val="24"/>
          <w:lang w:val="en-US"/>
        </w:rPr>
        <w:lastRenderedPageBreak/>
        <w:t>pedagogical practices [30–31]. In this expanded role, teachers interpret learning analytics, contextualize algorithmic feedback, and mediate between automated recommendations and students’ socio-emotional and developmental needs. Rather than passively implementing system outputs, they are expected to exercise professional discernment, evaluating when to follow, adapt, or override algorithmic suggestions in light of classroom realities. This shift redefines teaching as a form of informed orchestration, where human judgment and technological augmentation coexist in dynamic interplay.</w:t>
      </w:r>
    </w:p>
    <w:p w:rsidR="007E53EA" w:rsidRPr="0033219B"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Consequently, professional competence now extends beyond traditional pedagogical knowledge to encompass technological fluency, data literacy, ethical awareness, and adaptive instructional design capacities [32–33]. Teachers must be able to critically interpret dashboards, identify patterns in performance metrics, and assess the validity and limitations of data-driven insights. At the same time, they are called upon to understand issues related to algorithmic bias, data privacy, and equity in digital environments. Such competencies demand not only technical training but also a reflective orientation toward the epistemological assumptions embedded in educational technologies. However, digital transformation must not result in the erosion of professional autonomy or the technocratic standardization of practice. Teachers must remain central epistemic authorities, capable of questioning system outputs, safeguarding pedagogical values, and ensuring that technological interventions align with broader educational aims rather than narrowly defined performance indicators.</w:t>
      </w:r>
    </w:p>
    <w:p w:rsidR="00D37EE1" w:rsidRPr="0033219B"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Sustainable educational reform, therefore, depends on cultivating collaborative professional cultures in which teachers collectively examine data, share experiences, and engage in critical dialogue about technological integration [34–35]. Research-informed professional development programs should move beyond instrumental training toward inquiry-based models that encourage experimentation, reflection, and iterative improvement. Institutional leadership plays a pivotal role in this process by fostering environments of trust, providing time and resources for collaborative learning, and legitimizing reflective experimentation as part of professional growth. When supported by coherent policy frameworks and participatory governance structures, educators can appropriate digital innovations in ways that reinforce rather than diminish their professional agency. In this context, technological advancement becomes not a mechanism of control but a catalyst for pedagogical renewal grounded in critical expertise and collective responsibility.</w:t>
      </w:r>
    </w:p>
    <w:p w:rsidR="007E53EA" w:rsidRPr="0033219B" w:rsidRDefault="007E53EA" w:rsidP="007E53EA">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 Human Development, Motivation, and Well-Being</w:t>
      </w:r>
    </w:p>
    <w:p w:rsidR="00D37EE1" w:rsidRPr="0033219B"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5.1 Cognitive Development in Hybrid Environments</w:t>
      </w:r>
    </w:p>
    <w:p w:rsidR="005300E7" w:rsidRPr="0033219B" w:rsidRDefault="005300E7" w:rsidP="0095572D">
      <w:pPr>
        <w:jc w:val="both"/>
        <w:rPr>
          <w:rFonts w:ascii="Times New Roman" w:hAnsi="Times New Roman" w:cs="Times New Roman"/>
          <w:b/>
          <w:bCs/>
          <w:sz w:val="24"/>
          <w:szCs w:val="24"/>
          <w:lang w:val="en-US"/>
        </w:rPr>
      </w:pPr>
    </w:p>
    <w:p w:rsidR="005300E7" w:rsidRPr="005300E7"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 xml:space="preserve">Technology-enhanced instruction has been shown to produce moderate academic gains, particularly when digital tools are coherently integrated within clearly articulated pedagogical frameworks rather than implemented as isolated add-ons [34–35]. The effectiveness of such interventions depends less on the mere presence of technology and more on the alignment between instructional objectives, assessment strategies, and </w:t>
      </w:r>
      <w:r w:rsidRPr="005300E7">
        <w:rPr>
          <w:rFonts w:ascii="Times New Roman" w:hAnsi="Times New Roman" w:cs="Times New Roman"/>
          <w:sz w:val="24"/>
          <w:szCs w:val="24"/>
          <w:lang w:val="en-US"/>
        </w:rPr>
        <w:lastRenderedPageBreak/>
        <w:t>digital affordances. When technological applications are embedded in structured lesson design, scaffolded inquiry, and formative feedback cycles, they can strengthen conceptual understanding, promote active engagement, and support differentiated learning pathways. Conversely, fragmented or uncritical integration may dilute instructional focus and generate superficial engagement without substantive cognitive impact. Pedagogical coherence, therefore, remains the central determinant of whether technology functions as an amplifier of learning or as a distraction.</w:t>
      </w:r>
    </w:p>
    <w:p w:rsidR="005300E7" w:rsidRPr="0033219B"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At the same time, hybrid digital-physical learning environments introduce new developmental variables that are particularly salient in primary education. Screen-mediated attention patterns, for example, may influence the duration and quality of sustained concentration, as interactive interfaces often encourage rapid task-switching and stimulus-driven responses. In addition, multimodal cognitive processing, combining text, animation, audio, and interactive elements can either enrich understanding through dual coding and sensory integration or overwhelm working memory when poorly designed. Young learners, whose executive functions and self-regulation capacities are still developing, may require structured guidance to navigate such environments effectively. As a result, instructional design must account for cognitive load, attentional rhythms, and the developmental readiness of children to engage meaningfully with digital content.</w:t>
      </w:r>
    </w:p>
    <w:p w:rsidR="00D37EE1" w:rsidRPr="0033219B"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For primary education in particular, a careful balance must be maintained between immersive digital engagement and opportunities for tactile exploration, social interaction, and embodied learning. Hands-on manipulation of physical materials, collaborative dialogue with peers, and movement-based activities contribute to sensorimotor development, socio-emotional growth, and deep conceptual formation. Over-reliance on screen-based modalities risks narrowing the experiential richness that characterizes early learning. Therefore, sustainable integration of technology in primary classrooms requires blended models that intentionally alternate between digital inquiry and material exploration. By designing learning experiences that connect virtual simulations with real-world experimentation and interpersonal collaboration, educators can harness the benefits of technological innovation while preserving the developmental integrity of early childhood education [34–35].</w:t>
      </w:r>
    </w:p>
    <w:p w:rsidR="005300E7" w:rsidRPr="0033219B" w:rsidRDefault="005300E7" w:rsidP="005300E7">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5.2 Motivation, Autonomy, and Digital Self-Regulation</w:t>
      </w:r>
    </w:p>
    <w:p w:rsidR="00D37EE1" w:rsidRPr="0095572D" w:rsidRDefault="00D37EE1" w:rsidP="0095572D">
      <w:pPr>
        <w:jc w:val="both"/>
        <w:rPr>
          <w:rFonts w:ascii="Times New Roman" w:hAnsi="Times New Roman" w:cs="Times New Roman"/>
          <w:sz w:val="24"/>
          <w:szCs w:val="24"/>
          <w:lang w:val="en-US"/>
        </w:rPr>
      </w:pPr>
    </w:p>
    <w:p w:rsidR="00BB477F"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 xml:space="preserve">Digital platforms have the potential to meaningfully support autonomy, competence, and relatedness, the three foundational dimensions of intrinsic motivation identified in self-determination theory [36]. Well-designed digital environments can foster autonomy by allowing learners to make meaningful choices regarding pacing, task selection, or problem-solving pathways. They can strengthen perceptions of competence through timely, personalized feedback that clarifies progress and scaffolds improvement. Additionally, collaborative tools such as discussion boards, shared digital workspaces, and peer feedback systems can enhance relatedness by cultivating a sense of belonging and mutual engagement within a learning community. When these </w:t>
      </w:r>
      <w:r w:rsidRPr="00BB477F">
        <w:rPr>
          <w:rFonts w:ascii="Times New Roman" w:hAnsi="Times New Roman" w:cs="Times New Roman"/>
          <w:sz w:val="24"/>
          <w:szCs w:val="24"/>
          <w:lang w:val="en-US"/>
        </w:rPr>
        <w:lastRenderedPageBreak/>
        <w:t>motivational dimensions are intentionally embedded in platform design, technology can move beyond content delivery to become a catalyst for internally driven engagement.</w:t>
      </w:r>
    </w:p>
    <w:p w:rsidR="00BB477F"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Gamified structures and interactive feedback systems further contribute to motivational dynamics by incorporating elements such as goal progression, narrative framing, adaptive challenges, and immediate performance indicators [37]. These mechanisms can increase persistence, especially when tasks are structured to provide optimal challenge—neither too easy nor excessively demanding. Badges, progress bars, and levels may function as short-term engagement enhancers, sustaining attention and encouraging repeated practice. In primary education contexts, such features can be particularly effective in supporting foundational skill development, where iterative rehearsal is essential. However, their impact depends on alignment with meaningful learning objectives; when gamification reinforces conceptual mastery rather than mere task completion, it can strengthen both engagement and learning outcomes.</w:t>
      </w:r>
    </w:p>
    <w:p w:rsidR="00D37EE1"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Nevertheless, sustained intrinsic motivation cannot rely solely on extrinsic reward mechanisms or surface-level interactivity. While points, badges, and competitive leaderboards may stimulate short-term participation, they risk shifting learners’ focus from mastery and curiosity toward performance metrics and external validation. Deep and enduring motivation emerges from authentic problem-solving experiences that invite exploration, critical thinking, and reflective depth. Learners must perceive tasks as personally meaningful, intellectually stimulating, and socially relevant. Therefore, digital instruction should prioritize inquiry-based projects, real-world challenges, and opportunities for metacognitive reflection over purely reward-driven structures. By integrating motivational affordances with substantive cognitive engagement, educational technology can nurture intrinsic motivation in a way that is developmentally appropriate and pedagogically sustainable [36–37].</w:t>
      </w:r>
    </w:p>
    <w:p w:rsidR="00BB477F" w:rsidRPr="0033219B" w:rsidRDefault="00BB477F" w:rsidP="00BB477F">
      <w:pPr>
        <w:jc w:val="both"/>
        <w:rPr>
          <w:rFonts w:ascii="Times New Roman" w:hAnsi="Times New Roman" w:cs="Times New Roman"/>
          <w:b/>
          <w:bCs/>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5.3 Inclusion, Accessibility, and Structural Justice</w:t>
      </w:r>
    </w:p>
    <w:p w:rsidR="00D37EE1" w:rsidRPr="0095572D" w:rsidRDefault="00D37EE1" w:rsidP="0095572D">
      <w:pPr>
        <w:jc w:val="both"/>
        <w:rPr>
          <w:rFonts w:ascii="Times New Roman" w:hAnsi="Times New Roman" w:cs="Times New Roman"/>
          <w:sz w:val="24"/>
          <w:szCs w:val="24"/>
          <w:lang w:val="en-US"/>
        </w:rPr>
      </w:pPr>
    </w:p>
    <w:p w:rsidR="00650A59"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Assistive technologies and adaptive learning pathways play a critical role in enhancing accessibility for diverse learners, particularly those with disabilities, language differences, or varied cognitive profiles [38–39]. Tools such as text-to-speech applications, speech recognition systems, adjustable interface settings, and real-time translation features can reduce barriers to participation and facilitate more equitable engagement with curricular content. Adaptive platforms that dynamically adjust task difficulty, pacing, and feedback further enable personalized learning trajectories, allowing students to progress in accordance with their individual strengths and support needs. In this sense, technology can function as a compensatory and empowering mechanism, expanding opportunities for learners who might otherwise encounter structural exclusion within standardized instructional models.</w:t>
      </w:r>
    </w:p>
    <w:p w:rsidR="00650A59"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Multimodal design principles</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integrating visual, auditory, textual, and interactive elements</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 xml:space="preserve">align closely with inclusive pedagogy frameworks that emphasize flexibility, representation, and learner variability [40]. By presenting information in multiple formats and enabling diverse forms of expression, digital environments can </w:t>
      </w:r>
      <w:r w:rsidRPr="00650A59">
        <w:rPr>
          <w:rFonts w:ascii="Times New Roman" w:hAnsi="Times New Roman" w:cs="Times New Roman"/>
          <w:sz w:val="24"/>
          <w:szCs w:val="24"/>
          <w:lang w:val="en-US"/>
        </w:rPr>
        <w:lastRenderedPageBreak/>
        <w:t>accommodate different sensory preferences and learning strategies. Such approaches resonate with universal design perspectives, which advocate proactive planning for diversity rather than retroactive accommodation. When thoughtfully implemented, multimodal resources can deepen conceptual understanding by reinforcing content through complementary channels, while also affirming learners’ identities and capabilities. Inclusive digital design thus has the potential to transform classrooms into more responsive and participatory spaces.</w:t>
      </w:r>
    </w:p>
    <w:p w:rsidR="00D37EE1"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However, equitable implementation of assistive and adaptive technologies depends fundamentally on sustained infrastructure investment and coherent policy commitment. Access to reliable internet connectivity, updated devices, technical support, and teacher training is unevenly distributed across socio-economic contexts. Without systemic safeguards, digital ecosystems risk reproducing and in some cases intensifying</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existing inequalities [41]. Students from under-resourced communities may experience limited access to high-quality platforms, reduced exposure to advanced digital tools, or insufficient support for effective use. Moreover, algorithmic systems trained on biased or incomplete datasets may inadvertently marginalize certain populations. Therefore, achieving genuine digital inclusion requires not only technological innovation but also structural reforms that prioritize equity, funding redistribution, and continuous monitoring of access disparities. Only within such a framework can educational technology serve as a lever for social justice rather than a mechanism of stratification [38–41].</w:t>
      </w:r>
    </w:p>
    <w:p w:rsidR="00650A59" w:rsidRPr="0033219B" w:rsidRDefault="00650A59" w:rsidP="00650A59">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6. Ethical Governance and Democratic Accountability</w:t>
      </w:r>
    </w:p>
    <w:p w:rsidR="00D37EE1" w:rsidRPr="0095572D" w:rsidRDefault="00D37EE1" w:rsidP="0095572D">
      <w:pPr>
        <w:jc w:val="both"/>
        <w:rPr>
          <w:rFonts w:ascii="Times New Roman" w:hAnsi="Times New Roman" w:cs="Times New Roman"/>
          <w:sz w:val="24"/>
          <w:szCs w:val="24"/>
          <w:lang w:val="en-US"/>
        </w:rPr>
      </w:pPr>
    </w:p>
    <w:p w:rsidR="00661BBE"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The expansion of data-intensive educational systems introduces a range of complex ethical dilemmas that extend far beyond technical considerations. As schools increasingly rely on learning analytics, behavioral tracking, and predictive modeling, concerns related to surveillance, commercialization, and algorithmic bias become more pronounced [42]. Continuous data collection</w:t>
      </w:r>
      <w:r w:rsidR="00585528" w:rsidRPr="00585528">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capturing attendance patterns, interaction frequencies, assessment results, and even affective indicators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can blur the boundary between pedagogical support and intrusive monitoring. Moreover, partnerships between educational institutions and private technology providers may create commercialization pressures, where student data becomes a valuable commodity within broader digital economies. Algorithmic bias further compounds these challenges, as predictive systems trained on historically uneven datasets may reproduce structural inequities or misclassify vulnerable learners. These risks underscore the urgent need for transparent governance frameworks that clarify data ownership, limit secondary use, and ensure accountability in automated decision-making processes</w:t>
      </w:r>
      <w:r w:rsidR="00A16011" w:rsidRPr="00A16011">
        <w:rPr>
          <w:rFonts w:ascii="Times New Roman" w:hAnsi="Times New Roman" w:cs="Times New Roman"/>
          <w:sz w:val="24"/>
          <w:szCs w:val="24"/>
          <w:lang w:val="en-US"/>
        </w:rPr>
        <w:t xml:space="preserve"> [43-</w:t>
      </w:r>
      <w:r w:rsidR="00D779BF" w:rsidRPr="00D779BF">
        <w:rPr>
          <w:rFonts w:ascii="Times New Roman" w:hAnsi="Times New Roman" w:cs="Times New Roman"/>
          <w:sz w:val="24"/>
          <w:szCs w:val="24"/>
          <w:lang w:val="en-US"/>
        </w:rPr>
        <w:t>48].</w:t>
      </w:r>
    </w:p>
    <w:p w:rsidR="00661BBE"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 xml:space="preserve">Young learners are particularly vulnerable within such ecosystems. Children often lack the capacity to provide informed consent, to understand the long-term implications of data profiling, or to challenge automated classifications that may shape their educational trajectories. Data exploitation and privacy breaches can have enduring consequences, including stigmatization, reputational harm, or commercial targeting </w:t>
      </w:r>
      <w:r w:rsidRPr="00661BBE">
        <w:rPr>
          <w:rFonts w:ascii="Times New Roman" w:hAnsi="Times New Roman" w:cs="Times New Roman"/>
          <w:sz w:val="24"/>
          <w:szCs w:val="24"/>
          <w:lang w:val="en-US"/>
        </w:rPr>
        <w:lastRenderedPageBreak/>
        <w:t>[49–52]. Ethical digital education must therefore integrate robust data protection standards, including data minimization principles, clear retention policies, and secure storage infrastructures. Participatory oversight mechanisms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such as ethics committees, parental consultation processes, and independent auditing structures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are essential to ensure that data practices remain aligned with child-centered values. Regulatory safeguards should explicitly recognize children as a protected category within digital governance frameworks, emphasizing their developmental rights, dignity, and long-term well-being</w:t>
      </w:r>
      <w:r w:rsidR="00D779BF" w:rsidRPr="00D779BF">
        <w:rPr>
          <w:rFonts w:ascii="Times New Roman" w:hAnsi="Times New Roman" w:cs="Times New Roman"/>
          <w:sz w:val="24"/>
          <w:szCs w:val="24"/>
          <w:lang w:val="en-US"/>
        </w:rPr>
        <w:t xml:space="preserve"> [49–52].</w:t>
      </w:r>
    </w:p>
    <w:p w:rsidR="00D37EE1"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Beyond technical compliance, democratic accountability must remain central to the governance of educational technology. Public education systems have a civic mandate that extends beyond efficiency or innovation metrics; they are entrusted with cultivating democratic citizenship, social cohesion, and equitable opportunity. Consequently, institutions should resist uncritical technological determinism</w:t>
      </w:r>
      <w:r w:rsidR="00A16011" w:rsidRPr="00A16011">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the assumption that digital innovation is inherently progressive or inevitable</w:t>
      </w:r>
      <w:r w:rsidR="00A16011" w:rsidRPr="00A16011">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and instead subject new systems to rigorous public deliberation. Decision-making processes must involve educators, families, policymakers, and students themselves, ensuring that technological adoption reflects collective social values rather than narrow market imperatives. By embedding transparency, participatory governance, and ethical reflexivity into digital transformation strategies, education systems can harness innovation responsibly while safeguarding democratic principles and social justice [49–52].</w:t>
      </w:r>
    </w:p>
    <w:p w:rsidR="00661BBE" w:rsidRPr="00D779BF" w:rsidRDefault="00661BBE" w:rsidP="00661BBE">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7. Strategic Pathways for Sustainable Transformation</w:t>
      </w:r>
    </w:p>
    <w:p w:rsidR="00D37EE1" w:rsidRPr="0095572D" w:rsidRDefault="00D37EE1" w:rsidP="0095572D">
      <w:pPr>
        <w:jc w:val="both"/>
        <w:rPr>
          <w:rFonts w:ascii="Times New Roman" w:hAnsi="Times New Roman" w:cs="Times New Roman"/>
          <w:sz w:val="24"/>
          <w:szCs w:val="24"/>
          <w:lang w:val="en-US"/>
        </w:rPr>
      </w:pPr>
    </w:p>
    <w:p w:rsidR="000024BE"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Future research must move beyond short-term outcome evaluations and experimental pilot studies toward longitudinal, mixed-methods investigations that examine developmental trajectories over extended periods [43–44]. While immediate gains in academic performance or engagement provide valuable insights, they do not adequately capture the cumulative cognitive, socio-emotional, and motivational effects of sustained exposure to digital learning environments. Longitudinal designs can illuminate how adaptive technologies influence identity formation, self-regulated learning capacities, and educational aspirations across different stages of childhood. Mixed-methods approaches—combining quantitative analytics with qualitative interviews, classroom observations, and ethnographic inquiry—are particularly important for understanding not only what changes occur, but how and why they unfold within specific institutional and cultural contexts. Such comprehensive research strategies can generate more nuanced evidence to inform both policy and pedagogical practice.</w:t>
      </w:r>
    </w:p>
    <w:p w:rsidR="000024BE"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 xml:space="preserve">Cross-cultural comparative research further enriches this agenda by revealing contextual variability in technological adaptation and educational outcomes. Educational systems differ significantly in terms of curricular traditions, teacher autonomy, governance structures, and socio-economic conditions. Comparative analyses can therefore identify how local values, infrastructural capacities, and regulatory frameworks mediate the integration of AI and digital platforms. What proves </w:t>
      </w:r>
      <w:r w:rsidRPr="000024BE">
        <w:rPr>
          <w:rFonts w:ascii="Times New Roman" w:hAnsi="Times New Roman" w:cs="Times New Roman"/>
          <w:sz w:val="24"/>
          <w:szCs w:val="24"/>
          <w:lang w:val="en-US"/>
        </w:rPr>
        <w:lastRenderedPageBreak/>
        <w:t>effective in one national or regional context may not transfer seamlessly to another. By examining diverse implementation models, researchers can distinguish between context-specific effects and more generalizable principles, thereby contributing to a more globally informed and culturally responsive understanding of educational innovation [43–44].</w:t>
      </w:r>
    </w:p>
    <w:p w:rsidR="000024BE" w:rsidRPr="000024BE"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In parallel with research development, policy priorities must be articulated within a coherent systemic framework. Key strategic domains include:</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Universal digital infrastructure, ensuring equitable access to high-speed connectivity, reliable devices, and technical support across urban and rural communities.</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Continuous professional development, enabling educators to cultivate data literacy, ethical awareness, and pedagogical expertise in digitally mediated environments.</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Ethical AI governance frameworks, establishing clear standards for transparency, accountability, bias mitigation, and data protection.</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Participatory decision-making processes, involving educators, students, families, and community stakeholders in the evaluation and adoption of technological systems.</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ListParagraph"/>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Alignment with child-centered curricular objectives, guaranteeing that technological integration serves developmental, cognitive, and socio-emotional goals rather than purely administrative or market-driven priorities.</w:t>
      </w:r>
    </w:p>
    <w:p w:rsidR="00D37EE1"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Sustainable transformation requires systemic coherence rather than isolated technological adoption. Introducing digital tools without parallel investment in infrastructure, teacher capacity, ethical safeguards, and curricular alignment risks fragmentation and reform fatigue. Meaningful innovation emerges when policy, pedagogy, research, and governance operate in coordinated synergy. Only through such integrated strategies can educational systems harness technological advancement in ways that are developmentally sound, socially equitable, and democratically accountable [43–44].</w:t>
      </w:r>
    </w:p>
    <w:p w:rsidR="000024BE" w:rsidRDefault="000024BE" w:rsidP="000024BE">
      <w:pPr>
        <w:jc w:val="both"/>
        <w:rPr>
          <w:rFonts w:ascii="Times New Roman" w:hAnsi="Times New Roman" w:cs="Times New Roman"/>
          <w:sz w:val="24"/>
          <w:szCs w:val="24"/>
          <w:lang w:val="en-US"/>
        </w:rPr>
      </w:pPr>
    </w:p>
    <w:p w:rsidR="00B73278" w:rsidRDefault="00B73278" w:rsidP="000024BE">
      <w:pPr>
        <w:jc w:val="both"/>
        <w:rPr>
          <w:rFonts w:ascii="Times New Roman" w:hAnsi="Times New Roman" w:cs="Times New Roman"/>
          <w:sz w:val="24"/>
          <w:szCs w:val="24"/>
          <w:lang w:val="en-US"/>
        </w:rPr>
      </w:pPr>
    </w:p>
    <w:p w:rsidR="00B73278" w:rsidRDefault="00B73278" w:rsidP="000024BE">
      <w:pPr>
        <w:jc w:val="both"/>
        <w:rPr>
          <w:rFonts w:ascii="Times New Roman" w:hAnsi="Times New Roman" w:cs="Times New Roman"/>
          <w:sz w:val="24"/>
          <w:szCs w:val="24"/>
          <w:lang w:val="en-US"/>
        </w:rPr>
      </w:pPr>
    </w:p>
    <w:p w:rsidR="00B73278" w:rsidRDefault="00B73278" w:rsidP="000024BE">
      <w:pPr>
        <w:jc w:val="both"/>
        <w:rPr>
          <w:rFonts w:ascii="Times New Roman" w:hAnsi="Times New Roman" w:cs="Times New Roman"/>
          <w:sz w:val="24"/>
          <w:szCs w:val="24"/>
          <w:lang w:val="en-US"/>
        </w:rPr>
      </w:pPr>
    </w:p>
    <w:p w:rsidR="00B73278" w:rsidRPr="0033219B" w:rsidRDefault="00B73278" w:rsidP="000024BE">
      <w:pPr>
        <w:jc w:val="both"/>
        <w:rPr>
          <w:rFonts w:ascii="Times New Roman" w:hAnsi="Times New Roman" w:cs="Times New Roman"/>
          <w:sz w:val="24"/>
          <w:szCs w:val="24"/>
          <w:lang w:val="en-US"/>
        </w:rPr>
      </w:pPr>
    </w:p>
    <w:p w:rsidR="00B73278"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007A5EA4" w:rsidRPr="00B73278">
        <w:rPr>
          <w:rFonts w:ascii="Times New Roman" w:hAnsi="Times New Roman" w:cs="Times New Roman"/>
          <w:b/>
          <w:sz w:val="24"/>
          <w:szCs w:val="24"/>
          <w:lang w:val="en-US"/>
        </w:rPr>
        <w:t>. Methodology</w:t>
      </w:r>
    </w:p>
    <w:p w:rsidR="00B73278"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8.1 Research Design</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The collected material was analyzed using qualitative thematic content analysis. Through iterative reading and coding of the selected sources, key themes were identified concerning digital pedagogical transformation, the role of intelligent systems, teacher professional development, ethical governance, and educational equity.</w:t>
      </w:r>
    </w:p>
    <w:p w:rsidR="00B73278" w:rsidRPr="00B73278" w:rsidRDefault="00B73278" w:rsidP="00B73278">
      <w:pPr>
        <w:jc w:val="both"/>
        <w:rPr>
          <w:rFonts w:ascii="Times New Roman" w:hAnsi="Times New Roman" w:cs="Times New Roman"/>
          <w:sz w:val="24"/>
          <w:szCs w:val="24"/>
          <w:lang w:val="en-US"/>
        </w:rPr>
      </w:pPr>
    </w:p>
    <w:p w:rsidR="003346EC"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007A5EA4" w:rsidRPr="00B73278">
        <w:rPr>
          <w:rFonts w:ascii="Times New Roman" w:hAnsi="Times New Roman" w:cs="Times New Roman"/>
          <w:b/>
          <w:sz w:val="24"/>
          <w:szCs w:val="24"/>
          <w:lang w:val="en-US"/>
        </w:rPr>
        <w:t>.</w:t>
      </w:r>
      <w:r w:rsidRPr="00B73278">
        <w:rPr>
          <w:rFonts w:ascii="Times New Roman" w:hAnsi="Times New Roman" w:cs="Times New Roman"/>
          <w:b/>
          <w:sz w:val="24"/>
          <w:szCs w:val="24"/>
          <w:lang w:val="en-US"/>
        </w:rPr>
        <w:t>2</w:t>
      </w:r>
      <w:r w:rsidR="007A5EA4" w:rsidRPr="00B73278">
        <w:rPr>
          <w:rFonts w:ascii="Times New Roman" w:hAnsi="Times New Roman" w:cs="Times New Roman"/>
          <w:b/>
          <w:sz w:val="24"/>
          <w:szCs w:val="24"/>
          <w:lang w:val="en-US"/>
        </w:rPr>
        <w:t xml:space="preserve"> Data Analysis</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The study employed purposive sampling in order to identify relevant scholarly sources that directly address digital transformation in education, intelligent learning systems, and technology‑enhanced pedagogical practices. The final sample consisted of a curated body of academic publications that met predefined inclusion criteria: (a) relevance to primary education or early learning environments, (b) focus on digital technologies or artificial intelligence in education, and (c) publication in peer‑reviewed journals or recognized academic venues.</w:t>
      </w:r>
    </w:p>
    <w:p w:rsidR="00B73278" w:rsidRPr="00B73278" w:rsidRDefault="00B73278" w:rsidP="00B73278">
      <w:pPr>
        <w:jc w:val="both"/>
        <w:rPr>
          <w:rFonts w:ascii="Times New Roman" w:hAnsi="Times New Roman" w:cs="Times New Roman"/>
          <w:sz w:val="24"/>
          <w:szCs w:val="24"/>
          <w:lang w:val="en-US"/>
        </w:rPr>
      </w:pPr>
    </w:p>
    <w:p w:rsidR="003346EC"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007A5EA4" w:rsidRPr="00B73278">
        <w:rPr>
          <w:rFonts w:ascii="Times New Roman" w:hAnsi="Times New Roman" w:cs="Times New Roman"/>
          <w:b/>
          <w:sz w:val="24"/>
          <w:szCs w:val="24"/>
          <w:lang w:val="en-US"/>
        </w:rPr>
        <w:t>.</w:t>
      </w:r>
      <w:r w:rsidRPr="00B73278">
        <w:rPr>
          <w:rFonts w:ascii="Times New Roman" w:hAnsi="Times New Roman" w:cs="Times New Roman"/>
          <w:b/>
          <w:sz w:val="24"/>
          <w:szCs w:val="24"/>
          <w:lang w:val="en-US"/>
        </w:rPr>
        <w:t>3</w:t>
      </w:r>
      <w:r w:rsidR="007A5EA4" w:rsidRPr="00B73278">
        <w:rPr>
          <w:rFonts w:ascii="Times New Roman" w:hAnsi="Times New Roman" w:cs="Times New Roman"/>
          <w:b/>
          <w:sz w:val="24"/>
          <w:szCs w:val="24"/>
          <w:lang w:val="en-US"/>
        </w:rPr>
        <w:t xml:space="preserve"> Sample and Sampling Technique</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The primary research instrument used in this study is systematic document analysis. Academic articles, conference papers, policy documents, and theoretical studies related to artificial intelligence in education, immersive learning technologies, digital pedagogy, and educational governance were examined. Sources were retrieved from major academic databases such as Scopus, Web of Science, Google Scholar, and ERIC.</w:t>
      </w:r>
    </w:p>
    <w:p w:rsidR="00B73278" w:rsidRPr="00B73278" w:rsidRDefault="00B73278" w:rsidP="00B73278">
      <w:pPr>
        <w:jc w:val="both"/>
        <w:rPr>
          <w:rFonts w:ascii="Times New Roman" w:hAnsi="Times New Roman" w:cs="Times New Roman"/>
          <w:sz w:val="24"/>
          <w:szCs w:val="24"/>
          <w:lang w:val="en-US"/>
        </w:rPr>
      </w:pPr>
    </w:p>
    <w:p w:rsidR="003346EC"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007A5EA4" w:rsidRPr="00B73278">
        <w:rPr>
          <w:rFonts w:ascii="Times New Roman" w:hAnsi="Times New Roman" w:cs="Times New Roman"/>
          <w:b/>
          <w:sz w:val="24"/>
          <w:szCs w:val="24"/>
          <w:lang w:val="en-US"/>
        </w:rPr>
        <w:t>.</w:t>
      </w:r>
      <w:r w:rsidRPr="00B73278">
        <w:rPr>
          <w:rFonts w:ascii="Times New Roman" w:hAnsi="Times New Roman" w:cs="Times New Roman"/>
          <w:b/>
          <w:sz w:val="24"/>
          <w:szCs w:val="24"/>
          <w:lang w:val="en-US"/>
        </w:rPr>
        <w:t>4</w:t>
      </w:r>
      <w:r w:rsidR="007A5EA4" w:rsidRPr="00B73278">
        <w:rPr>
          <w:rFonts w:ascii="Times New Roman" w:hAnsi="Times New Roman" w:cs="Times New Roman"/>
          <w:b/>
          <w:sz w:val="24"/>
          <w:szCs w:val="24"/>
          <w:lang w:val="en-US"/>
        </w:rPr>
        <w:t xml:space="preserve"> Data Sources and Research Instruments</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This study employs a qualitative research design grounded in a systematic integrative literature review. The objective of the methodological approach is to synthesize interdisciplinary knowledge regarding the role of intelligent technologies in the transformation of primary education. Rather than focusing on a single empirical dataset, the research examines existing scholarly literature in order to identify conceptual trends, pedagogical implications, and systemic challenges associated with digital transformation in educational environments.</w:t>
      </w:r>
    </w:p>
    <w:p w:rsidR="00B73278" w:rsidRDefault="00B73278" w:rsidP="00B73278">
      <w:pPr>
        <w:jc w:val="both"/>
        <w:rPr>
          <w:rFonts w:ascii="Times New Roman" w:hAnsi="Times New Roman" w:cs="Times New Roman"/>
          <w:sz w:val="24"/>
          <w:szCs w:val="24"/>
          <w:lang w:val="en-US"/>
        </w:rPr>
      </w:pPr>
    </w:p>
    <w:p w:rsidR="00B73278" w:rsidRPr="00B73278" w:rsidRDefault="00B73278" w:rsidP="00B73278">
      <w:pPr>
        <w:jc w:val="both"/>
        <w:rPr>
          <w:rFonts w:ascii="Times New Roman" w:hAnsi="Times New Roman" w:cs="Times New Roman"/>
          <w:sz w:val="24"/>
          <w:szCs w:val="24"/>
          <w:lang w:val="en-US"/>
        </w:rPr>
      </w:pPr>
    </w:p>
    <w:p w:rsidR="00D37EE1" w:rsidRPr="0095572D" w:rsidRDefault="00B73278" w:rsidP="0095572D">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9</w:t>
      </w:r>
      <w:r w:rsidR="00D37EE1" w:rsidRPr="0095572D">
        <w:rPr>
          <w:rFonts w:ascii="Times New Roman" w:hAnsi="Times New Roman" w:cs="Times New Roman"/>
          <w:b/>
          <w:bCs/>
          <w:sz w:val="24"/>
          <w:szCs w:val="24"/>
          <w:lang w:val="en-US"/>
        </w:rPr>
        <w:t>. Conclusion: Toward a Human-Centered Digital Educational Ecology</w:t>
      </w:r>
    </w:p>
    <w:p w:rsidR="00D37EE1" w:rsidRPr="0095572D" w:rsidRDefault="00D37EE1" w:rsidP="0095572D">
      <w:pPr>
        <w:jc w:val="both"/>
        <w:rPr>
          <w:rFonts w:ascii="Times New Roman" w:hAnsi="Times New Roman" w:cs="Times New Roman"/>
          <w:sz w:val="24"/>
          <w:szCs w:val="24"/>
          <w:lang w:val="en-US"/>
        </w:rPr>
      </w:pPr>
    </w:p>
    <w:p w:rsidR="00835D82" w:rsidRPr="0033219B"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The digital transformation of primary education represents not merely the introduction of new tools, but a profound reconfiguration of pedagogical, institutional, and ethical landscapes. Intelligent technologies</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including adaptive learning systems, analytics platforms, and immersive digital environments</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offer unprecedented opportunities for personalization, accessibility, and experiential learning [45–46]. Through real-time data analysis and responsive content delivery, instruction can be tailored to individual developmental trajectories, potentially strengthening engagement and supporting differentiated pathways. Digital simulations, interactive storytelling, and collaborative platforms can expand the boundaries of classroom experience, enabling learners to explore complex concepts through multimodal and participatory formats. In this sense, technological innovation opens new horizons for inclusive and learner-centered educational design.</w:t>
      </w:r>
    </w:p>
    <w:p w:rsidR="00835D82" w:rsidRPr="008E4BD8"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However, the transformative promise of these technologies is neither automatic nor neutral. Their educational value depends fundamentally on critical engagement, sustained professional agency, equitable access, and robust governance structures [47–48]. Without reflective pedagogical integration, intelligent systems risk narrowing curricular aims to measurable performance indicators or privileging efficiency over holistic development. Educators must remain active interpreters and mediators of technological tools, exercising professional judgment in aligning digital affordances with developmental needs and ethical commitments. Equitable access to infrastructure and training is equally essential; otherwise, digital transformation may deepen rather than alleviate existing disparities. Governance mechanisms must therefore ensure transparency, accountability, and participatory oversight, preventing technological determinism from displacing democratic deliberation. Technology must ultimately serve human development</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supporting cognitive growth, socio-emotional well-being, and moral formation</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rather than redefining educational purposes according to technical logics.</w:t>
      </w:r>
    </w:p>
    <w:p w:rsidR="008E4BD8" w:rsidRPr="0033219B"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 xml:space="preserve">A future-oriented primary education system must cultivate digitally literate, ethically aware, and critically reflective learners within an ecosystem that balances innovation with humanity. Digital literacy should extend beyond operational skills to include critical understanding of algorithms, data practices, and media influences. Ethical awareness must be embedded in curricular experiences that encourage responsible participation in digital societies, fostering respect, empathy, and civic responsibility. At the systemic level, sustainable digital futures in education require deliberate, theory-informed, and justice-oriented implementation strategies [49–52]. Policymakers and educational leaders must ground technological adoption in developmental psychology, pedagogical theory, and social equity principles. Rather than embracing technological enthusiasm alone, sustainable transformation depends on long-term planning, interdisciplinary collaboration, and continuous ethical reflection. Only through such comprehensive and human-centered approaches can digital innovation contribute </w:t>
      </w:r>
      <w:r w:rsidRPr="00835D82">
        <w:rPr>
          <w:rFonts w:ascii="Times New Roman" w:hAnsi="Times New Roman" w:cs="Times New Roman"/>
          <w:sz w:val="24"/>
          <w:szCs w:val="24"/>
          <w:lang w:val="en-US"/>
        </w:rPr>
        <w:lastRenderedPageBreak/>
        <w:t>meaningfully to the flourishing of children and the strengthening of democratic educational institutions [45–52].</w:t>
      </w:r>
    </w:p>
    <w:p w:rsidR="008E4BD8" w:rsidRPr="0033219B" w:rsidRDefault="008E4BD8" w:rsidP="00835D82">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Disclaimer (Artificial Intelligence)</w:t>
      </w:r>
    </w:p>
    <w:p w:rsidR="000F1025"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rsidR="00086BAF" w:rsidRDefault="00086BAF" w:rsidP="0095572D">
      <w:pPr>
        <w:jc w:val="both"/>
        <w:rPr>
          <w:rFonts w:ascii="Times New Roman" w:hAnsi="Times New Roman" w:cs="Times New Roman"/>
          <w:sz w:val="24"/>
          <w:szCs w:val="24"/>
          <w:lang w:val="en-US"/>
        </w:rPr>
      </w:pPr>
    </w:p>
    <w:p w:rsidR="00086BAF" w:rsidRPr="00086BAF" w:rsidRDefault="00086BAF" w:rsidP="00086BAF">
      <w:pPr>
        <w:jc w:val="both"/>
        <w:rPr>
          <w:rFonts w:ascii="Times New Roman" w:hAnsi="Times New Roman" w:cs="Times New Roman"/>
          <w:b/>
          <w:bCs/>
          <w:sz w:val="24"/>
          <w:szCs w:val="24"/>
          <w:lang w:val="en-US"/>
        </w:rPr>
      </w:pPr>
      <w:r w:rsidRPr="00086BAF">
        <w:rPr>
          <w:rFonts w:ascii="Times New Roman" w:hAnsi="Times New Roman" w:cs="Times New Roman"/>
          <w:b/>
          <w:bCs/>
          <w:sz w:val="24"/>
          <w:szCs w:val="24"/>
          <w:lang w:val="en-US"/>
        </w:rPr>
        <w:t>COMPETING INTERESTS DISCLAIMER</w:t>
      </w:r>
    </w:p>
    <w:p w:rsidR="00086BAF" w:rsidRPr="00086BAF" w:rsidRDefault="00086BAF" w:rsidP="00086BAF">
      <w:pPr>
        <w:jc w:val="both"/>
        <w:rPr>
          <w:rFonts w:ascii="Times New Roman" w:hAnsi="Times New Roman" w:cs="Times New Roman"/>
          <w:sz w:val="24"/>
          <w:szCs w:val="24"/>
          <w:lang w:val="en-US"/>
        </w:rPr>
      </w:pPr>
      <w:r w:rsidRPr="00086BAF">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rsidR="00086BAF" w:rsidRDefault="00086BAF" w:rsidP="0095572D">
      <w:pPr>
        <w:jc w:val="both"/>
        <w:rPr>
          <w:rFonts w:ascii="Times New Roman" w:hAnsi="Times New Roman" w:cs="Times New Roman"/>
          <w:sz w:val="24"/>
          <w:szCs w:val="24"/>
          <w:lang w:val="en-US"/>
        </w:rPr>
      </w:pPr>
    </w:p>
    <w:p w:rsidR="0095572D" w:rsidRDefault="0095572D" w:rsidP="0095572D">
      <w:pPr>
        <w:jc w:val="both"/>
        <w:rPr>
          <w:rFonts w:ascii="Times New Roman" w:hAnsi="Times New Roman" w:cs="Times New Roman"/>
          <w:sz w:val="24"/>
          <w:szCs w:val="24"/>
          <w:lang w:val="en-US"/>
        </w:rPr>
      </w:pPr>
    </w:p>
    <w:p w:rsidR="0095572D" w:rsidRDefault="0095572D" w:rsidP="0095572D">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References</w:t>
      </w:r>
    </w:p>
    <w:p w:rsidR="00B73278" w:rsidRPr="00B73278" w:rsidRDefault="00B73278" w:rsidP="0095572D">
      <w:pPr>
        <w:jc w:val="both"/>
        <w:rPr>
          <w:rFonts w:ascii="Times New Roman" w:hAnsi="Times New Roman" w:cs="Times New Roman"/>
          <w:b/>
          <w:sz w:val="24"/>
          <w:szCs w:val="24"/>
          <w:lang w:val="en-US"/>
        </w:rPr>
      </w:pP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w:t>
      </w:r>
      <w:r w:rsidRPr="0095572D">
        <w:rPr>
          <w:rFonts w:ascii="Times New Roman" w:hAnsi="Times New Roman" w:cs="Times New Roman"/>
          <w:sz w:val="24"/>
          <w:szCs w:val="24"/>
          <w:lang w:val="en-US"/>
        </w:rPr>
        <w:tab/>
        <w:t xml:space="preserve">Giotopoulos, K. (2024). A systematic review in digital entrepreneurship ecosystems.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Social Sciences Journal, 61(1), 279–297. https://doi.org/10.47577/tssj.v61i1.11562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w:t>
      </w:r>
      <w:r w:rsidRPr="0095572D">
        <w:rPr>
          <w:rFonts w:ascii="Times New Roman" w:hAnsi="Times New Roman" w:cs="Times New Roman"/>
          <w:sz w:val="24"/>
          <w:szCs w:val="24"/>
          <w:lang w:val="en-US"/>
        </w:rPr>
        <w:tab/>
        <w:t xml:space="preserve">Antonopoulou, H. (2024). </w:t>
      </w:r>
      <w:proofErr w:type="spellStart"/>
      <w:r w:rsidRPr="0095572D">
        <w:rPr>
          <w:rFonts w:ascii="Times New Roman" w:hAnsi="Times New Roman" w:cs="Times New Roman"/>
          <w:sz w:val="24"/>
          <w:szCs w:val="24"/>
          <w:lang w:val="en-US"/>
        </w:rPr>
        <w:t>Neuroleadership</w:t>
      </w:r>
      <w:proofErr w:type="spellEnd"/>
      <w:r w:rsidRPr="0095572D">
        <w:rPr>
          <w:rFonts w:ascii="Times New Roman" w:hAnsi="Times New Roman" w:cs="Times New Roman"/>
          <w:sz w:val="24"/>
          <w:szCs w:val="24"/>
          <w:lang w:val="en-US"/>
        </w:rPr>
        <w:t xml:space="preserve"> and Its Role in Educational Settings: A Review of Current Practices.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10, 143–154. https://doi.org/10.47577/teh.v10i.11976</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w:t>
      </w:r>
      <w:r w:rsidRPr="0095572D">
        <w:rPr>
          <w:rFonts w:ascii="Times New Roman" w:hAnsi="Times New Roman" w:cs="Times New Roman"/>
          <w:sz w:val="24"/>
          <w:szCs w:val="24"/>
          <w:lang w:val="en-US"/>
        </w:rPr>
        <w:tab/>
        <w:t xml:space="preserve">Antonopoulou, H. (2024). The Role of Gamification in Enhancing Cognitive and Neuropsychological Learning: A Review. Tech. </w:t>
      </w:r>
      <w:proofErr w:type="spellStart"/>
      <w:r w:rsidRPr="0095572D">
        <w:rPr>
          <w:rFonts w:ascii="Times New Roman" w:hAnsi="Times New Roman" w:cs="Times New Roman"/>
          <w:sz w:val="24"/>
          <w:szCs w:val="24"/>
          <w:lang w:val="en-US"/>
        </w:rPr>
        <w:t>BioChemMed</w:t>
      </w:r>
      <w:proofErr w:type="spellEnd"/>
      <w:r w:rsidRPr="0095572D">
        <w:rPr>
          <w:rFonts w:ascii="Times New Roman" w:hAnsi="Times New Roman" w:cs="Times New Roman"/>
          <w:sz w:val="24"/>
          <w:szCs w:val="24"/>
          <w:lang w:val="en-US"/>
        </w:rPr>
        <w:t>, 11, 45–46.</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w:t>
      </w:r>
      <w:r w:rsidRPr="0095572D">
        <w:rPr>
          <w:rFonts w:ascii="Times New Roman" w:hAnsi="Times New Roman" w:cs="Times New Roman"/>
          <w:sz w:val="24"/>
          <w:szCs w:val="24"/>
          <w:lang w:val="en-US"/>
        </w:rPr>
        <w:tab/>
        <w:t>Black, P., &amp;amp; Wiliam, D. (2009). Developing the theory of formative assessment. Educational Assessment, Evaluation and Accountability, 21(1), 5–31. https://doi.org/10.1007/s11092-008-9068-5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w:t>
      </w:r>
      <w:r w:rsidRPr="0095572D">
        <w:rPr>
          <w:rFonts w:ascii="Times New Roman" w:hAnsi="Times New Roman" w:cs="Times New Roman"/>
          <w:sz w:val="24"/>
          <w:szCs w:val="24"/>
          <w:lang w:val="en-US"/>
        </w:rPr>
        <w:tab/>
        <w:t>Bond, M., Zawacki-Richter, O., &amp;amp; Nichols, M. (2020). Revisiting five decades of educational technology research. British Journal of Educational Technology, 51(4), 1131–1148.https://doi.org/10.1111/bjet.12921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6.</w:t>
      </w:r>
      <w:r w:rsidRPr="0095572D">
        <w:rPr>
          <w:rFonts w:ascii="Times New Roman" w:hAnsi="Times New Roman" w:cs="Times New Roman"/>
          <w:sz w:val="24"/>
          <w:szCs w:val="24"/>
          <w:lang w:val="en-US"/>
        </w:rPr>
        <w:tab/>
        <w:t>Dede, C., Richards, J., &amp;amp; Saxberg, B. (2019). Learning engineering for online education. Educational Technology, 59(2), 13–21. https://doi.org/10.1007/978-3-030-11212-1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7.</w:t>
      </w:r>
      <w:r w:rsidRPr="0095572D">
        <w:rPr>
          <w:rFonts w:ascii="Times New Roman" w:hAnsi="Times New Roman" w:cs="Times New Roman"/>
          <w:sz w:val="24"/>
          <w:szCs w:val="24"/>
          <w:lang w:val="en-US"/>
        </w:rPr>
        <w:tab/>
        <w:t>Ertmer, P. A., &amp;amp; Ottenbreit-Leftwich, A. T. (2013). Teacher technology change. Journal of Research on Technology in Education, 45(3), 255–284. https://doi.org/10.1080/15391523.2012.10782536</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8.</w:t>
      </w:r>
      <w:r w:rsidRPr="0095572D">
        <w:rPr>
          <w:rFonts w:ascii="Times New Roman" w:hAnsi="Times New Roman" w:cs="Times New Roman"/>
          <w:sz w:val="24"/>
          <w:szCs w:val="24"/>
          <w:lang w:val="en-US"/>
        </w:rPr>
        <w:tab/>
        <w:t>Florian, L., &amp;amp; Black-Hawkins, K. (2011). Exploring inclusive pedagogy. Cambridge Journal of Education, 41 (4), 441–459. https://doi.org/10.1080/0305764X.2011.618205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9.</w:t>
      </w:r>
      <w:r w:rsidRPr="0095572D">
        <w:rPr>
          <w:rFonts w:ascii="Times New Roman" w:hAnsi="Times New Roman" w:cs="Times New Roman"/>
          <w:sz w:val="24"/>
          <w:szCs w:val="24"/>
          <w:lang w:val="en-US"/>
        </w:rPr>
        <w:tab/>
        <w:t>Gee, J. P. (2007). What video games have to teach us about learning and literacy. Palgrave Macmillan. https://doi.org/10.1057/9780230601994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10.</w:t>
      </w:r>
      <w:r w:rsidRPr="0095572D">
        <w:rPr>
          <w:rFonts w:ascii="Times New Roman" w:hAnsi="Times New Roman" w:cs="Times New Roman"/>
          <w:sz w:val="24"/>
          <w:szCs w:val="24"/>
          <w:lang w:val="en-US"/>
        </w:rPr>
        <w:tab/>
        <w:t xml:space="preserve">Giotopoulos, K. C., Michalopoulos, D., </w:t>
      </w:r>
      <w:proofErr w:type="spellStart"/>
      <w:r w:rsidRPr="0095572D">
        <w:rPr>
          <w:rFonts w:ascii="Times New Roman" w:hAnsi="Times New Roman" w:cs="Times New Roman"/>
          <w:sz w:val="24"/>
          <w:szCs w:val="24"/>
          <w:lang w:val="en-US"/>
        </w:rPr>
        <w:t>Vonitsanos</w:t>
      </w:r>
      <w:proofErr w:type="spellEnd"/>
      <w:r w:rsidRPr="0095572D">
        <w:rPr>
          <w:rFonts w:ascii="Times New Roman" w:hAnsi="Times New Roman" w:cs="Times New Roman"/>
          <w:sz w:val="24"/>
          <w:szCs w:val="24"/>
          <w:lang w:val="en-US"/>
        </w:rPr>
        <w:t xml:space="preserve">, G., Papadopoulos, D., </w:t>
      </w:r>
      <w:proofErr w:type="spellStart"/>
      <w:r w:rsidRPr="0095572D">
        <w:rPr>
          <w:rFonts w:ascii="Times New Roman" w:hAnsi="Times New Roman" w:cs="Times New Roman"/>
          <w:sz w:val="24"/>
          <w:szCs w:val="24"/>
          <w:lang w:val="en-US"/>
        </w:rPr>
        <w:t>Giannoukou</w:t>
      </w:r>
      <w:proofErr w:type="spellEnd"/>
      <w:r w:rsidRPr="0095572D">
        <w:rPr>
          <w:rFonts w:ascii="Times New Roman" w:hAnsi="Times New Roman" w:cs="Times New Roman"/>
          <w:sz w:val="24"/>
          <w:szCs w:val="24"/>
          <w:lang w:val="en-US"/>
        </w:rPr>
        <w:t xml:space="preserve">, I.,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(2024). Dynamic workload management system in the public sector. Information, 15(6), 335. https://doi.org/10.3390/info15060335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11.</w:t>
      </w:r>
      <w:r w:rsidRPr="0095572D">
        <w:rPr>
          <w:rFonts w:ascii="Times New Roman" w:hAnsi="Times New Roman" w:cs="Times New Roman"/>
          <w:sz w:val="24"/>
          <w:szCs w:val="24"/>
          <w:lang w:val="en-US"/>
        </w:rPr>
        <w:tab/>
        <w:t xml:space="preserve">Giotopoulos, K., </w:t>
      </w:r>
      <w:proofErr w:type="spellStart"/>
      <w:r w:rsidRPr="0095572D">
        <w:rPr>
          <w:rFonts w:ascii="Times New Roman" w:hAnsi="Times New Roman" w:cs="Times New Roman"/>
          <w:sz w:val="24"/>
          <w:szCs w:val="24"/>
          <w:lang w:val="en-US"/>
        </w:rPr>
        <w:t>Halkiopoulos</w:t>
      </w:r>
      <w:proofErr w:type="spellEnd"/>
      <w:r w:rsidRPr="0095572D">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12.</w:t>
      </w:r>
      <w:r w:rsidRPr="0095572D">
        <w:rPr>
          <w:rFonts w:ascii="Times New Roman" w:hAnsi="Times New Roman" w:cs="Times New Roman"/>
          <w:sz w:val="24"/>
          <w:szCs w:val="24"/>
          <w:lang w:val="en-US"/>
        </w:rPr>
        <w:tab/>
        <w:t>Hamari, J., Koivisto, J., &amp;amp; Sarsa, H. (2016). Does gamification work? Computers in Human Behavior, 54, 170–179. https://doi.org/10.1016/j.chb.2015.07.047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13.</w:t>
      </w:r>
      <w:r w:rsidRPr="0095572D">
        <w:rPr>
          <w:rFonts w:ascii="Times New Roman" w:hAnsi="Times New Roman" w:cs="Times New Roman"/>
          <w:sz w:val="24"/>
          <w:szCs w:val="24"/>
          <w:lang w:val="en-US"/>
        </w:rPr>
        <w:tab/>
        <w:t>Hattie, J. (2017). Visible learning. Routledge. https://doi.org/10.4324/9781315709133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14.</w:t>
      </w:r>
      <w:r w:rsidRPr="0095572D">
        <w:rPr>
          <w:rFonts w:ascii="Times New Roman" w:hAnsi="Times New Roman" w:cs="Times New Roman"/>
          <w:sz w:val="24"/>
          <w:szCs w:val="24"/>
          <w:lang w:val="en-US"/>
        </w:rPr>
        <w:tab/>
        <w:t>Holmes, W., Bialik, M., &amp;amp; Fadel, C. (2019). Artificial intelligence in education. OECD Publishing. https://doi.org/10.1787/9789264316149-en</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15.</w:t>
      </w:r>
      <w:r w:rsidRPr="0095572D">
        <w:rPr>
          <w:rFonts w:ascii="Times New Roman" w:hAnsi="Times New Roman" w:cs="Times New Roman"/>
          <w:sz w:val="24"/>
          <w:szCs w:val="24"/>
          <w:lang w:val="en-US"/>
        </w:rPr>
        <w:tab/>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Romanian Journal of Applied Sciences and Technology, 24, 103–120. https://doi.org/10.47577/technium.v24i.11972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16.</w:t>
      </w:r>
      <w:r w:rsidRPr="0095572D">
        <w:rPr>
          <w:rFonts w:ascii="Times New Roman" w:hAnsi="Times New Roman" w:cs="Times New Roman"/>
          <w:sz w:val="24"/>
          <w:szCs w:val="24"/>
          <w:lang w:val="en-US"/>
        </w:rPr>
        <w:tab/>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67, 451.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17.</w:t>
      </w:r>
      <w:r w:rsidRPr="0095572D">
        <w:rPr>
          <w:rFonts w:ascii="Times New Roman" w:hAnsi="Times New Roman" w:cs="Times New Roman"/>
          <w:sz w:val="24"/>
          <w:szCs w:val="24"/>
          <w:lang w:val="en-US"/>
        </w:rPr>
        <w:tab/>
        <w:t>Kalogeratos, G., &amp; Pierrakeas, C. (2021). The COVID-19 pandemic as a reason for accelerating the transformation of the Greek primary school into a learning organization. In EDULEARN21 Proceedings (pp. 10333–10340).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18.</w:t>
      </w:r>
      <w:r w:rsidRPr="0095572D">
        <w:rPr>
          <w:rFonts w:ascii="Times New Roman" w:hAnsi="Times New Roman" w:cs="Times New Roman"/>
          <w:sz w:val="24"/>
          <w:szCs w:val="24"/>
          <w:lang w:val="en-US"/>
        </w:rPr>
        <w:tab/>
        <w:t xml:space="preserve">Kalogeratos, G., &amp; Pierrakeas, C. (2024). Use of learning theories and visual programming (scratch) in education.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10, 41–54. https://doi.org/10.47577/teh.v10i.11688</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19.</w:t>
      </w:r>
      <w:r w:rsidRPr="0095572D">
        <w:rPr>
          <w:rFonts w:ascii="Times New Roman" w:hAnsi="Times New Roman" w:cs="Times New Roman"/>
          <w:sz w:val="24"/>
          <w:szCs w:val="24"/>
          <w:lang w:val="en-US"/>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20.</w:t>
      </w:r>
      <w:r w:rsidRPr="0095572D">
        <w:rPr>
          <w:rFonts w:ascii="Times New Roman" w:hAnsi="Times New Roman" w:cs="Times New Roman"/>
          <w:sz w:val="24"/>
          <w:szCs w:val="24"/>
          <w:lang w:val="en-US"/>
        </w:rPr>
        <w:tab/>
        <w:t>Kalogeratos, G., Anastasopoulou, E., &amp; Pierrakeas, C. (2024). Myschool: The key role of the information system in the Greek public school. A case study on the prefecture of Achaia. In EDULEARN24 Proceedings (pp. 9700–9706).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21.</w:t>
      </w:r>
      <w:r w:rsidRPr="0095572D">
        <w:rPr>
          <w:rFonts w:ascii="Times New Roman" w:hAnsi="Times New Roman" w:cs="Times New Roman"/>
          <w:sz w:val="24"/>
          <w:szCs w:val="24"/>
          <w:lang w:val="en-US"/>
        </w:rPr>
        <w:tab/>
        <w:t>Kalogeratos, G., Anastasopoulou, E., &amp; Pierrakeas, C. (2024). Novel technologies using educational scenarios for elementary school and kindergarten students. EDULEARN24 Proceedings, 9682–9693.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22.</w:t>
      </w:r>
      <w:r w:rsidRPr="0095572D">
        <w:rPr>
          <w:rFonts w:ascii="Times New Roman" w:hAnsi="Times New Roman" w:cs="Times New Roman"/>
          <w:sz w:val="24"/>
          <w:szCs w:val="24"/>
          <w:lang w:val="en-US"/>
        </w:rPr>
        <w:tab/>
        <w:t xml:space="preserve">Kalogeratos, G., Anastasopoulou, E., </w:t>
      </w:r>
      <w:proofErr w:type="spellStart"/>
      <w:r w:rsidRPr="0095572D">
        <w:rPr>
          <w:rFonts w:ascii="Times New Roman" w:hAnsi="Times New Roman" w:cs="Times New Roman"/>
          <w:sz w:val="24"/>
          <w:szCs w:val="24"/>
          <w:lang w:val="en-US"/>
        </w:rPr>
        <w:t>Stavrogiannopoulos</w:t>
      </w:r>
      <w:proofErr w:type="spellEnd"/>
      <w:r w:rsidRPr="0095572D">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6, 61–69.</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23.</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w:t>
      </w:r>
      <w:proofErr w:type="spellStart"/>
      <w:r w:rsidRPr="0095572D">
        <w:rPr>
          <w:rFonts w:ascii="Times New Roman" w:hAnsi="Times New Roman" w:cs="Times New Roman"/>
          <w:sz w:val="24"/>
          <w:szCs w:val="24"/>
          <w:lang w:val="en-US"/>
        </w:rPr>
        <w:t>Kriparopoulou</w:t>
      </w:r>
      <w:proofErr w:type="spellEnd"/>
      <w:r w:rsidRPr="0095572D">
        <w:rPr>
          <w:rFonts w:ascii="Times New Roman" w:hAnsi="Times New Roman" w:cs="Times New Roman"/>
          <w:sz w:val="24"/>
          <w:szCs w:val="24"/>
          <w:lang w:val="en-US"/>
        </w:rPr>
        <w:t xml:space="preserve">, A. (2024). </w:t>
      </w:r>
      <w:proofErr w:type="spellStart"/>
      <w:r w:rsidRPr="0095572D">
        <w:rPr>
          <w:rFonts w:ascii="Times New Roman" w:hAnsi="Times New Roman" w:cs="Times New Roman"/>
          <w:sz w:val="24"/>
          <w:szCs w:val="24"/>
          <w:lang w:val="en-US"/>
        </w:rPr>
        <w:t>Psychotraumatic</w:t>
      </w:r>
      <w:proofErr w:type="spellEnd"/>
      <w:r w:rsidRPr="0095572D">
        <w:rPr>
          <w:rFonts w:ascii="Times New Roman" w:hAnsi="Times New Roman" w:cs="Times New Roman"/>
          <w:sz w:val="24"/>
          <w:szCs w:val="24"/>
          <w:lang w:val="en-US"/>
        </w:rPr>
        <w:t xml:space="preserve"> childhood experiences and anxiety in educational settings.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7, 29–41.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24.</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Asimakopoulou, S. (2023). Interpersonal skills with a focus on creativity in attention deficit hyperactivity disorder.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52, 197.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25.</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Tsogka, D., Lourida, K., &amp; </w:t>
      </w:r>
      <w:proofErr w:type="spellStart"/>
      <w:r w:rsidRPr="0095572D">
        <w:rPr>
          <w:rFonts w:ascii="Times New Roman" w:hAnsi="Times New Roman" w:cs="Times New Roman"/>
          <w:sz w:val="24"/>
          <w:szCs w:val="24"/>
          <w:lang w:val="en-US"/>
        </w:rPr>
        <w:t>Drongitis</w:t>
      </w:r>
      <w:proofErr w:type="spellEnd"/>
      <w:r w:rsidRPr="0095572D">
        <w:rPr>
          <w:rFonts w:ascii="Times New Roman" w:hAnsi="Times New Roman" w:cs="Times New Roman"/>
          <w:sz w:val="24"/>
          <w:szCs w:val="24"/>
          <w:lang w:val="en-US"/>
        </w:rPr>
        <w:t xml:space="preserve">, A. (2024). Adolescent Trauma and Impact of the COVID-19 Pandemic in the School Context.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55, 262.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26.</w:t>
      </w:r>
      <w:r w:rsidRPr="0095572D">
        <w:rPr>
          <w:rFonts w:ascii="Times New Roman" w:hAnsi="Times New Roman" w:cs="Times New Roman"/>
          <w:sz w:val="24"/>
          <w:szCs w:val="24"/>
          <w:lang w:val="en-US"/>
        </w:rPr>
        <w:tab/>
        <w:t xml:space="preserve">Kalogeratos, G., Anastasopoulou, E.,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w:t>
      </w:r>
      <w:proofErr w:type="spellStart"/>
      <w:r w:rsidRPr="0095572D">
        <w:rPr>
          <w:rFonts w:ascii="Times New Roman" w:hAnsi="Times New Roman" w:cs="Times New Roman"/>
          <w:sz w:val="24"/>
          <w:szCs w:val="24"/>
          <w:lang w:val="en-US"/>
        </w:rPr>
        <w:t>Avramidi</w:t>
      </w:r>
      <w:proofErr w:type="spellEnd"/>
      <w:r w:rsidRPr="0095572D">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8, 58–77.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27.</w:t>
      </w:r>
      <w:r w:rsidRPr="0095572D">
        <w:rPr>
          <w:rFonts w:ascii="Times New Roman" w:hAnsi="Times New Roman" w:cs="Times New Roman"/>
          <w:sz w:val="24"/>
          <w:szCs w:val="24"/>
          <w:lang w:val="en-US"/>
        </w:rPr>
        <w:tab/>
        <w:t xml:space="preserve">Kalogeratos, G., Gkekas, K.,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In ICERI2024 Proceedings (pp. 4258–4263).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28.</w:t>
      </w:r>
      <w:r w:rsidRPr="0095572D">
        <w:rPr>
          <w:rFonts w:ascii="Times New Roman" w:hAnsi="Times New Roman" w:cs="Times New Roman"/>
          <w:sz w:val="24"/>
          <w:szCs w:val="24"/>
          <w:lang w:val="en-US"/>
        </w:rPr>
        <w:tab/>
        <w:t>Kalogeratos, G., Lourida, K., Anastasopoulou, E., Tsogka, D., &amp; Pierrakeas, C. (2024). Information systems usage in the Greek primary school: The case of the Prefecture of Achaia. INTED2024 Proceedings, 1652–1657.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29.</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Cognitive foundations of effective educational leadership: A comprehensive review. In EDULEARN25 Proceedings (pp. 5915–5925).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30.</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In EDULEARN25 Proceedings (pp. 5854–5864).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31.</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32.</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The interplay of cognitive and non-cognitive skills in educational leadership: A systematic review of leadership effectiveness. INTED2025 Proceedings, 5854–5864.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33.</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EDULEARN25 Proceedings, 5854–5864.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34.</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Cognitive foundations of effective educational leadership: A comprehensive review. EDULEARN25 Proceedings, 5915–5925.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35.</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leadership through gamification: Theory and practice in primary schools. INTED2025 Proceedings, 6690–6700.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36.</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37.</w:t>
      </w:r>
      <w:r w:rsidRPr="0095572D">
        <w:rPr>
          <w:rFonts w:ascii="Times New Roman" w:hAnsi="Times New Roman" w:cs="Times New Roman"/>
          <w:sz w:val="24"/>
          <w:szCs w:val="24"/>
          <w:lang w:val="en-US"/>
        </w:rPr>
        <w:tab/>
        <w:t xml:space="preserve">Kalogeratos, G., Tsogka, D.,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Digital skills in education: Bridging the gap between traditional learning and modern technology. ICERI2024 Proceedings, 4409–4418.</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38.</w:t>
      </w:r>
      <w:r w:rsidRPr="0095572D">
        <w:rPr>
          <w:rFonts w:ascii="Times New Roman" w:hAnsi="Times New Roman" w:cs="Times New Roman"/>
          <w:sz w:val="24"/>
          <w:szCs w:val="24"/>
          <w:lang w:val="en-US"/>
        </w:rPr>
        <w:tab/>
        <w:t xml:space="preserve">Kalogeratos, G., Tsogka, D.,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ICERI2024 Proceedings, 4258–4263.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39.</w:t>
      </w:r>
      <w:r w:rsidRPr="0095572D">
        <w:rPr>
          <w:rFonts w:ascii="Times New Roman" w:hAnsi="Times New Roman" w:cs="Times New Roman"/>
          <w:sz w:val="24"/>
          <w:szCs w:val="24"/>
          <w:lang w:val="en-US"/>
        </w:rPr>
        <w:tab/>
        <w:t xml:space="preserve">Karras, A., </w:t>
      </w:r>
      <w:proofErr w:type="spellStart"/>
      <w:r w:rsidRPr="0095572D">
        <w:rPr>
          <w:rFonts w:ascii="Times New Roman" w:hAnsi="Times New Roman" w:cs="Times New Roman"/>
          <w:sz w:val="24"/>
          <w:szCs w:val="24"/>
          <w:lang w:val="en-US"/>
        </w:rPr>
        <w:t>Giannaros</w:t>
      </w:r>
      <w:proofErr w:type="spellEnd"/>
      <w:r w:rsidRPr="0095572D">
        <w:rPr>
          <w:rFonts w:ascii="Times New Roman" w:hAnsi="Times New Roman" w:cs="Times New Roman"/>
          <w:sz w:val="24"/>
          <w:szCs w:val="24"/>
          <w:lang w:val="en-US"/>
        </w:rPr>
        <w:t xml:space="preserve">, A., Theodorakopoulos, L., </w:t>
      </w:r>
      <w:proofErr w:type="spellStart"/>
      <w:r w:rsidRPr="0095572D">
        <w:rPr>
          <w:rFonts w:ascii="Times New Roman" w:hAnsi="Times New Roman" w:cs="Times New Roman"/>
          <w:sz w:val="24"/>
          <w:szCs w:val="24"/>
          <w:lang w:val="en-US"/>
        </w:rPr>
        <w:t>Krimpas</w:t>
      </w:r>
      <w:proofErr w:type="spellEnd"/>
      <w:r w:rsidRPr="0095572D">
        <w:rPr>
          <w:rFonts w:ascii="Times New Roman" w:hAnsi="Times New Roman" w:cs="Times New Roman"/>
          <w:sz w:val="24"/>
          <w:szCs w:val="24"/>
          <w:lang w:val="en-US"/>
        </w:rPr>
        <w:t xml:space="preserve">, G. A., Kalogeratos, G., Karras, C.,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40.</w:t>
      </w:r>
      <w:r w:rsidRPr="0095572D">
        <w:rPr>
          <w:rFonts w:ascii="Times New Roman" w:hAnsi="Times New Roman" w:cs="Times New Roman"/>
          <w:sz w:val="24"/>
          <w:szCs w:val="24"/>
          <w:lang w:val="en-US"/>
        </w:rPr>
        <w:tab/>
        <w:t xml:space="preserve">Karras, A., Karras, C., Giotopoulos, K. C., Tsolis, D., Oikonomou, K.,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(2023). Federated edge intelligence and edge caching mechanisms. Information, 14(7), 414. https://doi.org/10.3390/info14070414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41.</w:t>
      </w:r>
      <w:r w:rsidRPr="0095572D">
        <w:rPr>
          <w:rFonts w:ascii="Times New Roman" w:hAnsi="Times New Roman" w:cs="Times New Roman"/>
          <w:sz w:val="24"/>
          <w:szCs w:val="24"/>
          <w:lang w:val="en-US"/>
        </w:rPr>
        <w:tab/>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95572D">
        <w:rPr>
          <w:rFonts w:ascii="Times New Roman" w:hAnsi="Times New Roman" w:cs="Times New Roman"/>
          <w:sz w:val="24"/>
          <w:szCs w:val="24"/>
          <w:lang w:val="en-US"/>
        </w:rPr>
        <w:t>BigData</w:t>
      </w:r>
      <w:proofErr w:type="spellEnd"/>
      <w:r w:rsidRPr="0095572D">
        <w:rPr>
          <w:rFonts w:ascii="Times New Roman" w:hAnsi="Times New Roman" w:cs="Times New Roman"/>
          <w:sz w:val="24"/>
          <w:szCs w:val="24"/>
          <w:lang w:val="en-US"/>
        </w:rPr>
        <w:t>) (pp. 2635–2644). IEEE.</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42.</w:t>
      </w:r>
      <w:r w:rsidRPr="0095572D">
        <w:rPr>
          <w:rFonts w:ascii="Times New Roman" w:hAnsi="Times New Roman" w:cs="Times New Roman"/>
          <w:sz w:val="24"/>
          <w:szCs w:val="24"/>
          <w:lang w:val="en-US"/>
        </w:rPr>
        <w:tab/>
        <w:t xml:space="preserve">Karras, A., Theodorakopoulos, L., Karras, C., Theodoropoulou, A., </w:t>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I., &amp; Kalogeratos, G. (2025). LLMs for cybersecurity in the big data era: A comprehensive review of applications, challenges, and future directions. Information, 16(11), 957.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43.</w:t>
      </w:r>
      <w:r w:rsidRPr="0095572D">
        <w:rPr>
          <w:rFonts w:ascii="Times New Roman" w:hAnsi="Times New Roman" w:cs="Times New Roman"/>
          <w:sz w:val="24"/>
          <w:szCs w:val="24"/>
          <w:lang w:val="en-US"/>
        </w:rPr>
        <w:tab/>
        <w:t>Makransky, G., &amp;amp; Petersen, G. B. (2019). Immersive virtual reality and learning. Educational Psychology Review, 31(4), 1013–1034. https://doi.org/10.1007/s10648-019-09482-9</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44.</w:t>
      </w:r>
      <w:r w:rsidRPr="0095572D">
        <w:rPr>
          <w:rFonts w:ascii="Times New Roman" w:hAnsi="Times New Roman" w:cs="Times New Roman"/>
          <w:sz w:val="24"/>
          <w:szCs w:val="24"/>
          <w:lang w:val="en-US"/>
        </w:rPr>
        <w:tab/>
        <w:t>Mishra, P., &amp;amp; Koehler, M. J. (2006). Technological pedagogical content knowledge. Teachers College Record, 108(6), 1017–1054. https://doi.org/10.1111/j.1467- 9620.2006.00684.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45.</w:t>
      </w:r>
      <w:r w:rsidRPr="0095572D">
        <w:rPr>
          <w:rFonts w:ascii="Times New Roman" w:hAnsi="Times New Roman" w:cs="Times New Roman"/>
          <w:sz w:val="24"/>
          <w:szCs w:val="24"/>
          <w:lang w:val="en-US"/>
        </w:rPr>
        <w:tab/>
        <w:t xml:space="preserve">Mourelatos, E., </w:t>
      </w:r>
      <w:proofErr w:type="spellStart"/>
      <w:r w:rsidRPr="0095572D">
        <w:rPr>
          <w:rFonts w:ascii="Times New Roman" w:hAnsi="Times New Roman" w:cs="Times New Roman"/>
          <w:sz w:val="24"/>
          <w:szCs w:val="24"/>
          <w:lang w:val="en-US"/>
        </w:rPr>
        <w:t>Krimpas</w:t>
      </w:r>
      <w:proofErr w:type="spellEnd"/>
      <w:r w:rsidRPr="0095572D">
        <w:rPr>
          <w:rFonts w:ascii="Times New Roman" w:hAnsi="Times New Roman" w:cs="Times New Roman"/>
          <w:sz w:val="24"/>
          <w:szCs w:val="24"/>
          <w:lang w:val="en-US"/>
        </w:rPr>
        <w:t xml:space="preserve">, G., &amp; </w:t>
      </w:r>
      <w:proofErr w:type="spellStart"/>
      <w:r w:rsidRPr="0095572D">
        <w:rPr>
          <w:rFonts w:ascii="Times New Roman" w:hAnsi="Times New Roman" w:cs="Times New Roman"/>
          <w:sz w:val="24"/>
          <w:szCs w:val="24"/>
          <w:lang w:val="en-US"/>
        </w:rPr>
        <w:t>Giotopoulos</w:t>
      </w:r>
      <w:proofErr w:type="spellEnd"/>
      <w:r w:rsidRPr="0095572D">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46.</w:t>
      </w:r>
      <w:r w:rsidRPr="0095572D">
        <w:rPr>
          <w:rFonts w:ascii="Times New Roman" w:hAnsi="Times New Roman" w:cs="Times New Roman"/>
          <w:sz w:val="24"/>
          <w:szCs w:val="24"/>
          <w:lang w:val="en-US"/>
        </w:rPr>
        <w:tab/>
        <w:t>Papadopoulos, D. F. (2024). A parametric six-step method for second-order IVPs with oscillating solutions. Mathematics, 12(23), 3824. https://doi.org/10.3390/math12233824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47.</w:t>
      </w:r>
      <w:r w:rsidRPr="0095572D">
        <w:rPr>
          <w:rFonts w:ascii="Times New Roman" w:hAnsi="Times New Roman" w:cs="Times New Roman"/>
          <w:sz w:val="24"/>
          <w:szCs w:val="24"/>
          <w:lang w:val="en-US"/>
        </w:rPr>
        <w:tab/>
        <w:t xml:space="preserve">Petropoulou, A., Antonopoulou, H., </w:t>
      </w:r>
      <w:proofErr w:type="spellStart"/>
      <w:r w:rsidRPr="0095572D">
        <w:rPr>
          <w:rFonts w:ascii="Times New Roman" w:hAnsi="Times New Roman" w:cs="Times New Roman"/>
          <w:sz w:val="24"/>
          <w:szCs w:val="24"/>
          <w:lang w:val="en-US"/>
        </w:rPr>
        <w:t>Vlachou</w:t>
      </w:r>
      <w:proofErr w:type="spellEnd"/>
      <w:r w:rsidRPr="0095572D">
        <w:rPr>
          <w:rFonts w:ascii="Times New Roman" w:hAnsi="Times New Roman" w:cs="Times New Roman"/>
          <w:sz w:val="24"/>
          <w:szCs w:val="24"/>
          <w:lang w:val="en-US"/>
        </w:rPr>
        <w:t xml:space="preserve">, A. A., </w:t>
      </w:r>
      <w:proofErr w:type="spellStart"/>
      <w:r w:rsidRPr="0095572D">
        <w:rPr>
          <w:rFonts w:ascii="Times New Roman" w:hAnsi="Times New Roman" w:cs="Times New Roman"/>
          <w:sz w:val="24"/>
          <w:szCs w:val="24"/>
          <w:lang w:val="en-US"/>
        </w:rPr>
        <w:t>Gkintoni</w:t>
      </w:r>
      <w:proofErr w:type="spellEnd"/>
      <w:r w:rsidRPr="0095572D">
        <w:rPr>
          <w:rFonts w:ascii="Times New Roman" w:hAnsi="Times New Roman" w:cs="Times New Roman"/>
          <w:sz w:val="24"/>
          <w:szCs w:val="24"/>
          <w:lang w:val="en-US"/>
        </w:rPr>
        <w:t xml:space="preserve">, E., &amp; </w:t>
      </w:r>
      <w:proofErr w:type="spellStart"/>
      <w:r w:rsidRPr="0095572D">
        <w:rPr>
          <w:rFonts w:ascii="Times New Roman" w:hAnsi="Times New Roman" w:cs="Times New Roman"/>
          <w:sz w:val="24"/>
          <w:szCs w:val="24"/>
          <w:lang w:val="en-US"/>
        </w:rPr>
        <w:t>Halkiopoulos</w:t>
      </w:r>
      <w:proofErr w:type="spellEnd"/>
      <w:r w:rsidRPr="0095572D">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48.</w:t>
      </w:r>
      <w:r w:rsidRPr="0095572D">
        <w:rPr>
          <w:rFonts w:ascii="Times New Roman" w:hAnsi="Times New Roman" w:cs="Times New Roman"/>
          <w:sz w:val="24"/>
          <w:szCs w:val="24"/>
          <w:lang w:val="en-US"/>
        </w:rPr>
        <w:tab/>
        <w:t>Ryan, R. M., &amp;amp; Deci, E. L. (2000). Intrinsic and extrinsic motivations. Contemporary Educational Psychology, 25(1), 54–67. https://doi.org/10.1006/ceps.1999.1020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49.</w:t>
      </w:r>
      <w:r w:rsidRPr="0095572D">
        <w:rPr>
          <w:rFonts w:ascii="Times New Roman" w:hAnsi="Times New Roman" w:cs="Times New Roman"/>
          <w:sz w:val="24"/>
          <w:szCs w:val="24"/>
          <w:lang w:val="en-US"/>
        </w:rPr>
        <w:tab/>
        <w:t xml:space="preserve">Theodorakopoulos, L., </w:t>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Pr="0095572D">
        <w:rPr>
          <w:rFonts w:ascii="Times New Roman" w:hAnsi="Times New Roman" w:cs="Times New Roman"/>
          <w:sz w:val="24"/>
          <w:szCs w:val="24"/>
          <w:lang w:val="en-US"/>
        </w:rPr>
        <w:t>Dimotikalis</w:t>
      </w:r>
      <w:proofErr w:type="spellEnd"/>
      <w:r w:rsidRPr="0095572D">
        <w:rPr>
          <w:rFonts w:ascii="Times New Roman" w:hAnsi="Times New Roman" w:cs="Times New Roman"/>
          <w:sz w:val="24"/>
          <w:szCs w:val="24"/>
          <w:lang w:val="en-US"/>
        </w:rPr>
        <w:t xml:space="preserve"> &amp; C. H. Skiadas (Eds.), Data Analysis and Related Applications 5 (pp. 259–279). Wiley. https://doi.org/10.1002/9781394401604.ch18</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50.</w:t>
      </w:r>
      <w:r w:rsidRPr="0095572D">
        <w:rPr>
          <w:rFonts w:ascii="Times New Roman" w:hAnsi="Times New Roman" w:cs="Times New Roman"/>
          <w:sz w:val="24"/>
          <w:szCs w:val="24"/>
          <w:lang w:val="en-US"/>
        </w:rPr>
        <w:tab/>
        <w:t>Van Dijk, J. (2020). The digital divide. Polity Press. https://doi.org/10.1002/9781119243092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51.</w:t>
      </w:r>
      <w:r w:rsidRPr="0095572D">
        <w:rPr>
          <w:rFonts w:ascii="Times New Roman" w:hAnsi="Times New Roman" w:cs="Times New Roman"/>
          <w:sz w:val="24"/>
          <w:szCs w:val="24"/>
          <w:lang w:val="en-US"/>
        </w:rPr>
        <w:tab/>
        <w:t xml:space="preserve">Vasilopoulos, Ch., Theodorakopoulos, L. L., &amp; </w:t>
      </w:r>
      <w:proofErr w:type="spellStart"/>
      <w:r w:rsidRPr="0095572D">
        <w:rPr>
          <w:rFonts w:ascii="Times New Roman" w:hAnsi="Times New Roman" w:cs="Times New Roman"/>
          <w:sz w:val="24"/>
          <w:szCs w:val="24"/>
          <w:lang w:val="en-US"/>
        </w:rPr>
        <w:t>Giotopoulos</w:t>
      </w:r>
      <w:proofErr w:type="spellEnd"/>
      <w:r w:rsidRPr="0095572D">
        <w:rPr>
          <w:rFonts w:ascii="Times New Roman" w:hAnsi="Times New Roman" w:cs="Times New Roman"/>
          <w:sz w:val="24"/>
          <w:szCs w:val="24"/>
          <w:lang w:val="en-US"/>
        </w:rPr>
        <w:t xml:space="preserve">, K. K. (2023). The promise and peril of big data in driving consumer engagement.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Social Sciences Journal, 45, 489–499.</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52.</w:t>
      </w:r>
      <w:r w:rsidRPr="0095572D">
        <w:rPr>
          <w:rFonts w:ascii="Times New Roman" w:hAnsi="Times New Roman" w:cs="Times New Roman"/>
          <w:sz w:val="24"/>
          <w:szCs w:val="24"/>
          <w:lang w:val="en-US"/>
        </w:rPr>
        <w:tab/>
        <w:t>Williamson, B. (2017). Big data in education. SAGE. https://doi.org/10.4135/9781529714920</w:t>
      </w:r>
    </w:p>
    <w:p w:rsidR="0095572D" w:rsidRPr="0095572D" w:rsidRDefault="0095572D" w:rsidP="0095572D">
      <w:pPr>
        <w:jc w:val="both"/>
        <w:rPr>
          <w:rFonts w:ascii="Times New Roman" w:hAnsi="Times New Roman" w:cs="Times New Roman"/>
          <w:sz w:val="24"/>
          <w:szCs w:val="24"/>
          <w:lang w:val="en-US"/>
        </w:rPr>
      </w:pPr>
    </w:p>
    <w:sectPr w:rsidR="0095572D" w:rsidRPr="0095572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764" w:rsidRDefault="005B0764" w:rsidP="009710C5">
      <w:pPr>
        <w:spacing w:after="0" w:line="240" w:lineRule="auto"/>
      </w:pPr>
      <w:r>
        <w:separator/>
      </w:r>
    </w:p>
  </w:endnote>
  <w:endnote w:type="continuationSeparator" w:id="0">
    <w:p w:rsidR="005B0764" w:rsidRDefault="005B0764" w:rsidP="0097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0C5" w:rsidRDefault="0097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0C5" w:rsidRDefault="00971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0C5" w:rsidRDefault="0097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764" w:rsidRDefault="005B0764" w:rsidP="009710C5">
      <w:pPr>
        <w:spacing w:after="0" w:line="240" w:lineRule="auto"/>
      </w:pPr>
      <w:r>
        <w:separator/>
      </w:r>
    </w:p>
  </w:footnote>
  <w:footnote w:type="continuationSeparator" w:id="0">
    <w:p w:rsidR="005B0764" w:rsidRDefault="005B0764" w:rsidP="0097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0C5" w:rsidRDefault="005B0764">
    <w:pPr>
      <w:pStyle w:val="Header"/>
    </w:pPr>
    <w:r>
      <w:rPr>
        <w:noProof/>
      </w:rPr>
      <w:pict w14:anchorId="405A7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5"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0C5" w:rsidRDefault="005B0764">
    <w:pPr>
      <w:pStyle w:val="Header"/>
    </w:pPr>
    <w:r>
      <w:rPr>
        <w:noProof/>
      </w:rPr>
      <w:pict w14:anchorId="3A767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6"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0C5" w:rsidRDefault="005B0764">
    <w:pPr>
      <w:pStyle w:val="Header"/>
    </w:pPr>
    <w:r>
      <w:rPr>
        <w:noProof/>
      </w:rPr>
      <w:pict w14:anchorId="67C7F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4"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81435"/>
    <w:multiLevelType w:val="hybridMultilevel"/>
    <w:tmpl w:val="D2488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866268"/>
    <w:multiLevelType w:val="hybridMultilevel"/>
    <w:tmpl w:val="E34A1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E1"/>
    <w:rsid w:val="000024BE"/>
    <w:rsid w:val="00002B15"/>
    <w:rsid w:val="00050FAF"/>
    <w:rsid w:val="00085CD6"/>
    <w:rsid w:val="00086170"/>
    <w:rsid w:val="00086BAF"/>
    <w:rsid w:val="000F1025"/>
    <w:rsid w:val="001E1127"/>
    <w:rsid w:val="001E736E"/>
    <w:rsid w:val="002910D8"/>
    <w:rsid w:val="0029780E"/>
    <w:rsid w:val="0033219B"/>
    <w:rsid w:val="003346EC"/>
    <w:rsid w:val="00481F0F"/>
    <w:rsid w:val="005300E7"/>
    <w:rsid w:val="0056338F"/>
    <w:rsid w:val="00585528"/>
    <w:rsid w:val="005B0764"/>
    <w:rsid w:val="00626C92"/>
    <w:rsid w:val="00650A59"/>
    <w:rsid w:val="00661BBE"/>
    <w:rsid w:val="007A5EA4"/>
    <w:rsid w:val="007E53EA"/>
    <w:rsid w:val="00835D82"/>
    <w:rsid w:val="00842EDD"/>
    <w:rsid w:val="008D78D7"/>
    <w:rsid w:val="008E4BD8"/>
    <w:rsid w:val="0095572D"/>
    <w:rsid w:val="009710C5"/>
    <w:rsid w:val="00A107B5"/>
    <w:rsid w:val="00A16011"/>
    <w:rsid w:val="00A61232"/>
    <w:rsid w:val="00B73278"/>
    <w:rsid w:val="00BB477F"/>
    <w:rsid w:val="00D07416"/>
    <w:rsid w:val="00D12A3F"/>
    <w:rsid w:val="00D37EE1"/>
    <w:rsid w:val="00D779BF"/>
    <w:rsid w:val="00D80910"/>
    <w:rsid w:val="00DD1983"/>
    <w:rsid w:val="00E14BFB"/>
    <w:rsid w:val="00E42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3CDAE"/>
  <w15:chartTrackingRefBased/>
  <w15:docId w15:val="{9C42C3B7-3011-4B13-A77A-C256A5B6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EE1"/>
    <w:rPr>
      <w:rFonts w:eastAsiaTheme="majorEastAsia" w:cstheme="majorBidi"/>
      <w:color w:val="272727" w:themeColor="text1" w:themeTint="D8"/>
    </w:rPr>
  </w:style>
  <w:style w:type="paragraph" w:styleId="Title">
    <w:name w:val="Title"/>
    <w:basedOn w:val="Normal"/>
    <w:next w:val="Normal"/>
    <w:link w:val="TitleChar"/>
    <w:uiPriority w:val="10"/>
    <w:qFormat/>
    <w:rsid w:val="00D37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EE1"/>
    <w:pPr>
      <w:spacing w:before="160"/>
      <w:jc w:val="center"/>
    </w:pPr>
    <w:rPr>
      <w:i/>
      <w:iCs/>
      <w:color w:val="404040" w:themeColor="text1" w:themeTint="BF"/>
    </w:rPr>
  </w:style>
  <w:style w:type="character" w:customStyle="1" w:styleId="QuoteChar">
    <w:name w:val="Quote Char"/>
    <w:basedOn w:val="DefaultParagraphFont"/>
    <w:link w:val="Quote"/>
    <w:uiPriority w:val="29"/>
    <w:rsid w:val="00D37EE1"/>
    <w:rPr>
      <w:i/>
      <w:iCs/>
      <w:color w:val="404040" w:themeColor="text1" w:themeTint="BF"/>
    </w:rPr>
  </w:style>
  <w:style w:type="paragraph" w:styleId="ListParagraph">
    <w:name w:val="List Paragraph"/>
    <w:basedOn w:val="Normal"/>
    <w:uiPriority w:val="34"/>
    <w:qFormat/>
    <w:rsid w:val="00D37EE1"/>
    <w:pPr>
      <w:ind w:left="720"/>
      <w:contextualSpacing/>
    </w:pPr>
  </w:style>
  <w:style w:type="character" w:styleId="IntenseEmphasis">
    <w:name w:val="Intense Emphasis"/>
    <w:basedOn w:val="DefaultParagraphFont"/>
    <w:uiPriority w:val="21"/>
    <w:qFormat/>
    <w:rsid w:val="00D37EE1"/>
    <w:rPr>
      <w:i/>
      <w:iCs/>
      <w:color w:val="0F4761" w:themeColor="accent1" w:themeShade="BF"/>
    </w:rPr>
  </w:style>
  <w:style w:type="paragraph" w:styleId="IntenseQuote">
    <w:name w:val="Intense Quote"/>
    <w:basedOn w:val="Normal"/>
    <w:next w:val="Normal"/>
    <w:link w:val="IntenseQuoteChar"/>
    <w:uiPriority w:val="30"/>
    <w:qFormat/>
    <w:rsid w:val="00D37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EE1"/>
    <w:rPr>
      <w:i/>
      <w:iCs/>
      <w:color w:val="0F4761" w:themeColor="accent1" w:themeShade="BF"/>
    </w:rPr>
  </w:style>
  <w:style w:type="character" w:styleId="IntenseReference">
    <w:name w:val="Intense Reference"/>
    <w:basedOn w:val="DefaultParagraphFont"/>
    <w:uiPriority w:val="32"/>
    <w:qFormat/>
    <w:rsid w:val="00D37EE1"/>
    <w:rPr>
      <w:b/>
      <w:bCs/>
      <w:smallCaps/>
      <w:color w:val="0F4761" w:themeColor="accent1" w:themeShade="BF"/>
      <w:spacing w:val="5"/>
    </w:rPr>
  </w:style>
  <w:style w:type="character" w:styleId="Hyperlink">
    <w:name w:val="Hyperlink"/>
    <w:basedOn w:val="DefaultParagraphFont"/>
    <w:uiPriority w:val="99"/>
    <w:unhideWhenUsed/>
    <w:rsid w:val="00481F0F"/>
    <w:rPr>
      <w:color w:val="467886" w:themeColor="hyperlink"/>
      <w:u w:val="single"/>
    </w:rPr>
  </w:style>
  <w:style w:type="character" w:customStyle="1" w:styleId="UnresolvedMention1">
    <w:name w:val="Unresolved Mention1"/>
    <w:basedOn w:val="DefaultParagraphFont"/>
    <w:uiPriority w:val="99"/>
    <w:semiHidden/>
    <w:unhideWhenUsed/>
    <w:rsid w:val="00481F0F"/>
    <w:rPr>
      <w:color w:val="605E5C"/>
      <w:shd w:val="clear" w:color="auto" w:fill="E1DFDD"/>
    </w:rPr>
  </w:style>
  <w:style w:type="paragraph" w:styleId="Header">
    <w:name w:val="header"/>
    <w:basedOn w:val="Normal"/>
    <w:link w:val="HeaderChar"/>
    <w:uiPriority w:val="99"/>
    <w:unhideWhenUsed/>
    <w:rsid w:val="0097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C5"/>
  </w:style>
  <w:style w:type="paragraph" w:styleId="Footer">
    <w:name w:val="footer"/>
    <w:basedOn w:val="Normal"/>
    <w:link w:val="FooterChar"/>
    <w:uiPriority w:val="99"/>
    <w:unhideWhenUsed/>
    <w:rsid w:val="00971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6964</Words>
  <Characters>39699</Characters>
  <Application>Microsoft Office Word</Application>
  <DocSecurity>0</DocSecurity>
  <Lines>330</Lines>
  <Paragraphs>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KALOGERATOS</dc:creator>
  <cp:keywords/>
  <dc:description/>
  <cp:lastModifiedBy>SDI 1158</cp:lastModifiedBy>
  <cp:revision>3</cp:revision>
  <dcterms:created xsi:type="dcterms:W3CDTF">2026-03-13T07:47:00Z</dcterms:created>
  <dcterms:modified xsi:type="dcterms:W3CDTF">2026-03-16T12:41:00Z</dcterms:modified>
</cp:coreProperties>
</file>