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E1" w:rsidRDefault="00D37EE1" w:rsidP="00E4284B">
      <w:pPr>
        <w:spacing w:line="360" w:lineRule="auto"/>
        <w:jc w:val="center"/>
        <w:rPr>
          <w:rFonts w:ascii="Times New Roman" w:hAnsi="Times New Roman" w:cs="Times New Roman"/>
          <w:b/>
          <w:bCs/>
          <w:sz w:val="28"/>
          <w:szCs w:val="28"/>
          <w:lang w:val="en-US"/>
        </w:rPr>
      </w:pPr>
      <w:r w:rsidRPr="0095572D">
        <w:rPr>
          <w:rFonts w:ascii="Times New Roman" w:hAnsi="Times New Roman" w:cs="Times New Roman"/>
          <w:b/>
          <w:bCs/>
          <w:sz w:val="28"/>
          <w:szCs w:val="28"/>
          <w:lang w:val="en-US"/>
        </w:rPr>
        <w:t>Reimagining Primary Education in the Age of Intelligent Technologies:</w:t>
      </w:r>
      <w:r w:rsidR="0033219B" w:rsidRPr="0033219B">
        <w:rPr>
          <w:rFonts w:ascii="Times New Roman" w:hAnsi="Times New Roman" w:cs="Times New Roman"/>
          <w:b/>
          <w:bCs/>
          <w:sz w:val="28"/>
          <w:szCs w:val="28"/>
          <w:lang w:val="en-US"/>
        </w:rPr>
        <w:t xml:space="preserve"> </w:t>
      </w:r>
      <w:r w:rsidRPr="0095572D">
        <w:rPr>
          <w:rFonts w:ascii="Times New Roman" w:hAnsi="Times New Roman" w:cs="Times New Roman"/>
          <w:b/>
          <w:bCs/>
          <w:sz w:val="28"/>
          <w:szCs w:val="28"/>
          <w:lang w:val="en-US"/>
        </w:rPr>
        <w:t>Systemic Transformation, Human-Centered Pedagogy, and Ethical Digital Futures</w:t>
      </w:r>
    </w:p>
    <w:p w:rsidR="00D37EE1" w:rsidRPr="00D37EE1" w:rsidRDefault="00D37EE1" w:rsidP="00D37EE1">
      <w:pPr>
        <w:rPr>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Abstract</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rapid expansion of intelligent digital technologies is not merely enhancing primary education but fundamentally redefining its epistemological foundations, pedagogical structures, and institutional responsibilities. While previous research has emphasized technological integration and instructional innovation, this study advances a systemic and human-centered perspective on digital transformation in early schooling. Drawing upon interdisciplinary literature, the paper reconceptualizes primary education as a dynamic socio-technical ecosystem shaped by artificial intelligence, immersive technologies, adaptive systems, and data-driven infrastructures.</w:t>
      </w:r>
    </w:p>
    <w:p w:rsidR="00D37EE1"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Rather than focusing exclusively on tools and outcomes, the analysis interrogates how digital innovation restructures power relations, professional identities, equity frameworks, and developmental paradigms. By synthesizing constructivist epistemology, the TPACK model, and contemporary governance scholarship, this study proposes a multidimensional framework for sustainable digital transformation. It concludes by articulating strategic policy priorities and research directions necessary for ethically grounded and developmentally appropriate innovation in primary education.</w:t>
      </w:r>
    </w:p>
    <w:p w:rsidR="00B73278" w:rsidRDefault="00B73278" w:rsidP="0095572D">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Methodologically, the study adopts a qualitative research design based on a systematic and integrative literature review. Academic publications, policy reports, and empirical studies related to digital transformation, artificial intelligence, and pedagogical innovation in primary education were examined. Sources were selected through purposive sampling from major academic databases, and the collected material was analyzed using thematic content analysis in order to identify recurring conceptual patterns, emerging educational practices, and policy implications related to intelligent technologies in primary education.</w:t>
      </w:r>
    </w:p>
    <w:p w:rsidR="00086BAF" w:rsidRDefault="00086BAF" w:rsidP="0095572D">
      <w:pPr>
        <w:jc w:val="both"/>
        <w:rPr>
          <w:rFonts w:ascii="Times New Roman" w:hAnsi="Times New Roman" w:cs="Times New Roman"/>
          <w:sz w:val="24"/>
          <w:szCs w:val="24"/>
          <w:lang w:val="en-US"/>
        </w:rPr>
      </w:pPr>
    </w:p>
    <w:p w:rsidR="00086BAF" w:rsidRPr="00086BAF" w:rsidRDefault="00086BAF" w:rsidP="0095572D">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Introduction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1. From Digital Integration to Systemic Reconfiguration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 xml:space="preserve">Digital technology in primary education has often been framed as a matter of integration—how tools can enhance instruction, improve performance, or support differentiation. However, the current technological landscape signals a deeper systemic </w:t>
      </w:r>
      <w:r w:rsidRPr="0095572D">
        <w:rPr>
          <w:rFonts w:ascii="Times New Roman" w:hAnsi="Times New Roman" w:cs="Times New Roman"/>
          <w:sz w:val="24"/>
          <w:szCs w:val="24"/>
          <w:lang w:val="en-US"/>
        </w:rPr>
        <w:lastRenderedPageBreak/>
        <w:t>reconfiguration. Educational environments are increasingly embedded within data infrastructures, algorithmic systems, and networked platforms that shape not only instructional delivery but also institutional governance and decision-making processes [1–3].</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Primary education, as the formative stage of learning and identity development, becomes a critical site where digital norms, literacies, and epistemic assumptions are established [4]. Early engagement with intelligent systems influences how learners conceptualize knowledge authority, problem-solving, and collaboration. The digital shift is therefore not neutral; it redefines cognitive habits and socio-cultural expectations.</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Technologies such as AI-driven analytics, immersive simulations, and cloud-based learning architectures extend beyond classroom supplementation. They constitute infrastructures that mediate communication, assessment, and curriculum design [5–6]. Consequently, transformation must be conceptualized as ecological rather than instrumental—affecting interactions among learners, teachers, families, institutions, and policy actors [7–8].</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Persistent structural inequities, however, complicate this transformation. Infrastructure gaps, digital literacy disparities, and uneven governance capacities continue to shape differentiated access to innovation [9–10]. Without systemic coordination, technological expansion risks deepening rather than mitigating inequality.</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2. Epistemological Shifts and Pedagogical Reorientation</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Digital technologies alter not only how students learn but also how knowledge is constructed and validated. Constructivist theory positions learners as active agents in meaning-making processes [11]. In digitally mediated environments, this agency expands through interactive simulations, collaborative platforms, and adaptive feedback systems [12].</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Yet the proliferation of algorithmic personalization introduces new epistemological tensions. When AI systems curate content pathways and suggest optimal learning trajectories, questions arise concerning learner autonomy and epistemic authority [13–14]. Does personalization enhance agency, or does it subtly constrain intellectual exploration?</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The TPACK framework underscores the importance of integrating technological, pedagogical, and content knowledge [14]. However, in digitally saturated contexts, educators must also cultivate critical digital literacy—enabling students to interrogate data sources, algorithmic bias, and technological mediation itself [15–16].</w:t>
      </w:r>
    </w:p>
    <w:p w:rsidR="00D37EE1" w:rsidRPr="0095572D"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Thus, pedagogy must evolve from technology adoption toward reflexive digital practice. Instruction should empower learners not only to use digital tools but to critically understand and ethically navigate them [17–18].</w:t>
      </w: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lastRenderedPageBreak/>
        <w:t>3. Intelligent Systems as Socio-Technical Actors</w:t>
      </w: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3.1 Adaptive Learning and Algorithmic Mediation</w:t>
      </w:r>
    </w:p>
    <w:p w:rsidR="00D37EE1" w:rsidRPr="0095572D" w:rsidRDefault="00D37EE1" w:rsidP="0095572D">
      <w:pPr>
        <w:jc w:val="both"/>
        <w:rPr>
          <w:rFonts w:ascii="Times New Roman" w:hAnsi="Times New Roman" w:cs="Times New Roman"/>
          <w:sz w:val="24"/>
          <w:szCs w:val="24"/>
          <w:lang w:val="en-US"/>
        </w:rPr>
      </w:pPr>
    </w:p>
    <w:p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AI-based adaptive systems dynamically adjust instructional pathways through the use of real-time learning analytics, continuously processing data related to student performance, engagement patterns, and response accuracy [</w:t>
      </w:r>
      <w:r w:rsidR="00D80910" w:rsidRPr="00D80910">
        <w:rPr>
          <w:rFonts w:ascii="Times New Roman" w:hAnsi="Times New Roman" w:cs="Times New Roman"/>
          <w:sz w:val="24"/>
          <w:szCs w:val="24"/>
          <w:lang w:val="en-US"/>
        </w:rPr>
        <w:t>19-</w:t>
      </w:r>
      <w:r w:rsidRPr="00050FAF">
        <w:rPr>
          <w:rFonts w:ascii="Times New Roman" w:hAnsi="Times New Roman" w:cs="Times New Roman"/>
          <w:sz w:val="24"/>
          <w:szCs w:val="24"/>
          <w:lang w:val="en-US"/>
        </w:rPr>
        <w:t>25]. By leveraging algorithmic modeling, these systems personalize content delivery, feedback, and task sequencing in ways that align with each learner’s cognitive profile and pace of progression. In heterogeneous primary classrooms—where students differ significantly in developmental readiness, linguistic background, and prior knowledge—such technologies hold considerable promise for operationalizing differentiated instruction in a structured and data-informed manner [</w:t>
      </w:r>
      <w:r w:rsidR="00D80910" w:rsidRPr="00D80910">
        <w:rPr>
          <w:rFonts w:ascii="Times New Roman" w:hAnsi="Times New Roman" w:cs="Times New Roman"/>
          <w:sz w:val="24"/>
          <w:szCs w:val="24"/>
          <w:lang w:val="en-US"/>
        </w:rPr>
        <w:t>19-25</w:t>
      </w:r>
      <w:r w:rsidRPr="00050FAF">
        <w:rPr>
          <w:rFonts w:ascii="Times New Roman" w:hAnsi="Times New Roman" w:cs="Times New Roman"/>
          <w:sz w:val="24"/>
          <w:szCs w:val="24"/>
          <w:lang w:val="en-US"/>
        </w:rPr>
        <w:t>]. Rather than applying uniform pedagogical strategies, educators can draw on system-generated insights to tailor activities and scaffolding strategies, thereby enhancing inclusion, sustaining motivation, and mitigating early achievement gaps</w:t>
      </w:r>
      <w:r w:rsidR="00D80910" w:rsidRPr="00D80910">
        <w:rPr>
          <w:rFonts w:ascii="Times New Roman" w:hAnsi="Times New Roman" w:cs="Times New Roman"/>
          <w:sz w:val="24"/>
          <w:szCs w:val="24"/>
          <w:lang w:val="en-US"/>
        </w:rPr>
        <w:t xml:space="preserve"> [25-26].</w:t>
      </w:r>
    </w:p>
    <w:p w:rsidR="00050FAF"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At the same time, the algorithmic mediation of teaching and learning introduces complex governance and professional autonomy concerns. Data-driven recommendations may subtly shape teacher decision-making, influence assessment practices, and recalibrate curricular pacing, potentially redefining what is considered pedagogically appropriate or effective [27]. When the underlying algorithms operate as opaque “black boxes,” without clear explanations of their criteria, weighting mechanisms, or data sources, the risk of over-reliance on automated outputs increases [28]. This dynamic may inadvertently marginalize professional judgment or normalize standardized learning trajectories under the guise of personalization. Consequently, transparency, explainability, and accountability mechanisms are essential to ensure that AI systems function as supportive tools rather than prescriptive authorities within classroom practice.</w:t>
      </w:r>
    </w:p>
    <w:p w:rsidR="00D37EE1" w:rsidRPr="0033219B" w:rsidRDefault="00050FAF" w:rsidP="00050FAF">
      <w:pPr>
        <w:jc w:val="both"/>
        <w:rPr>
          <w:rFonts w:ascii="Times New Roman" w:hAnsi="Times New Roman" w:cs="Times New Roman"/>
          <w:sz w:val="24"/>
          <w:szCs w:val="24"/>
          <w:lang w:val="en-US"/>
        </w:rPr>
      </w:pPr>
      <w:r w:rsidRPr="00050FAF">
        <w:rPr>
          <w:rFonts w:ascii="Times New Roman" w:hAnsi="Times New Roman" w:cs="Times New Roman"/>
          <w:sz w:val="24"/>
          <w:szCs w:val="24"/>
          <w:lang w:val="en-US"/>
        </w:rPr>
        <w:t>Within this broader framework, AI should be conceptualized not merely as a neutral technological instrument but as a socio-technical actor embedded in institutional structures and policy ecosystems. Its influence extends beyond the classroom, shaping policy evaluation processes, informing resource allocation decisions, and contributing to long-term strategic planning in education systems. Aggregated learning data can guide funding priorities, teacher professional development initiatives, and targeted intervention programs, thereby influencing systemic reform trajectories. For this reason, the integration of AI into educational contexts requires a coherent regulatory and ethical framework that safeguards data protection, promotes equity, and preserves the centrality of human agency in pedagogical decision-making</w:t>
      </w:r>
      <w:r w:rsidR="0029780E" w:rsidRPr="0029780E">
        <w:rPr>
          <w:rFonts w:ascii="Times New Roman" w:hAnsi="Times New Roman" w:cs="Times New Roman"/>
          <w:sz w:val="24"/>
          <w:szCs w:val="24"/>
          <w:lang w:val="en-US"/>
        </w:rPr>
        <w:t xml:space="preserve"> [28].</w:t>
      </w:r>
    </w:p>
    <w:p w:rsidR="0029780E" w:rsidRPr="0033219B" w:rsidRDefault="0029780E" w:rsidP="00050FAF">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3.2 Immersive Technologies and Experiential Cognition</w:t>
      </w:r>
    </w:p>
    <w:p w:rsidR="00D37EE1" w:rsidRPr="0095572D" w:rsidRDefault="00D37EE1" w:rsidP="0095572D">
      <w:pPr>
        <w:jc w:val="both"/>
        <w:rPr>
          <w:rFonts w:ascii="Times New Roman" w:hAnsi="Times New Roman" w:cs="Times New Roman"/>
          <w:sz w:val="24"/>
          <w:szCs w:val="24"/>
          <w:lang w:val="en-US"/>
        </w:rPr>
      </w:pPr>
    </w:p>
    <w:p w:rsidR="00E14BFB" w:rsidRPr="00E14BF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 xml:space="preserve">Immersive environments such as Virtual Reality (VR) and Augmented Reality (AR) are reshaping the sensory architecture of learning by fundamentally transforming how </w:t>
      </w:r>
      <w:r w:rsidRPr="00E14BFB">
        <w:rPr>
          <w:rFonts w:ascii="Times New Roman" w:hAnsi="Times New Roman" w:cs="Times New Roman"/>
          <w:sz w:val="24"/>
          <w:szCs w:val="24"/>
          <w:lang w:val="en-US"/>
        </w:rPr>
        <w:lastRenderedPageBreak/>
        <w:t>learners perceive, interact with, and interpret information. Rather than engaging solely through abstract symbols on a screen, students are placed within dynamic, responsive environments that stimulate multiple sensory channels simultaneously. This multimodal engagement strengthens perceptual integration and allows knowledge to be constructed through direct interaction with spatial, visual, and sometimes haptic elements. As a result, learning becomes less about passive reception and more about active participation within a digitally constructed experiential field</w:t>
      </w:r>
      <w:r w:rsidR="00842EDD" w:rsidRPr="00842EDD">
        <w:rPr>
          <w:rFonts w:ascii="Times New Roman" w:hAnsi="Times New Roman" w:cs="Times New Roman"/>
          <w:sz w:val="24"/>
          <w:szCs w:val="24"/>
          <w:lang w:val="en-US"/>
        </w:rPr>
        <w:t xml:space="preserve"> [29].</w:t>
      </w:r>
    </w:p>
    <w:p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A central contribution of immersive technologies lies in their capacity to foster embodied cognition. Learners do not simply observe content; they move within it, manipulate it, and experience its spatial relationships firsthand. Complex phenomena—such as molecular structures, astronomical systems, or historical events—can be simulated in ways that make abstract concepts tangible and experientially accessible. Contextualized exploration allows learners to experiment, make decisions, and observe consequences within safe yet realistic simulations. This experiential dimension deepens conceptual understanding by linking cognitive processing with sensorimotor engagement, thereby enhancing meaning-making and retention</w:t>
      </w:r>
      <w:r w:rsidR="00842EDD" w:rsidRPr="00842EDD">
        <w:rPr>
          <w:rFonts w:ascii="Times New Roman" w:hAnsi="Times New Roman" w:cs="Times New Roman"/>
          <w:sz w:val="24"/>
          <w:szCs w:val="24"/>
          <w:lang w:val="en-US"/>
        </w:rPr>
        <w:t xml:space="preserve"> [29].</w:t>
      </w:r>
    </w:p>
    <w:p w:rsidR="00E14BFB" w:rsidRPr="0033219B"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Unlike traditional digital resources, immersive systems also reconfigure spatial perception and narrative immersion in ways that influence memory consolidation and affective engagement. The sense of “presence” often reported in VR environments can heighten emotional involvement, which in turn supports long-term memory encoding. Narrative immersion enables learners to situate information within coherent experiential sequences rather than fragmented data points. By integrating story, environment, and interaction, immersive platforms can cultivate sustained attention and intrinsic motivation, both of which are critical factors in effective learning processes</w:t>
      </w:r>
      <w:r w:rsidR="00842EDD" w:rsidRPr="00842EDD">
        <w:rPr>
          <w:rFonts w:ascii="Times New Roman" w:hAnsi="Times New Roman" w:cs="Times New Roman"/>
          <w:sz w:val="24"/>
          <w:szCs w:val="24"/>
          <w:lang w:val="en-US"/>
        </w:rPr>
        <w:t xml:space="preserve"> [30].</w:t>
      </w:r>
    </w:p>
    <w:p w:rsidR="00D37EE1" w:rsidRPr="00050FAF" w:rsidRDefault="00E14BFB" w:rsidP="00E14BFB">
      <w:pPr>
        <w:jc w:val="both"/>
        <w:rPr>
          <w:rFonts w:ascii="Times New Roman" w:hAnsi="Times New Roman" w:cs="Times New Roman"/>
          <w:sz w:val="24"/>
          <w:szCs w:val="24"/>
          <w:lang w:val="en-US"/>
        </w:rPr>
      </w:pPr>
      <w:r w:rsidRPr="00E14BFB">
        <w:rPr>
          <w:rFonts w:ascii="Times New Roman" w:hAnsi="Times New Roman" w:cs="Times New Roman"/>
          <w:sz w:val="24"/>
          <w:szCs w:val="24"/>
          <w:lang w:val="en-US"/>
        </w:rPr>
        <w:t>However, the pedagogical value of immersive technologies depends heavily on developmental appropriateness and structured guidance. Without careful instructional design, the richness of sensory input may lead to cognitive overload, distracting learners from core learning objectives. Additionally, immersive engagement alone does not guarantee deep understanding; guided reflection, scaffolding, and post-experience discussion are essential to transform experience into structured knowledge. Educators must therefore balance immersion with intentional pedagogical framing, ensuring that experiential intensity is aligned with learners’ cognitive capacities and curricular goals</w:t>
      </w:r>
      <w:r w:rsidR="00842EDD" w:rsidRPr="00842EDD">
        <w:rPr>
          <w:rFonts w:ascii="Times New Roman" w:hAnsi="Times New Roman" w:cs="Times New Roman"/>
          <w:sz w:val="24"/>
          <w:szCs w:val="24"/>
          <w:lang w:val="en-US"/>
        </w:rPr>
        <w:t xml:space="preserve"> [30].</w:t>
      </w:r>
    </w:p>
    <w:p w:rsidR="00842EDD" w:rsidRPr="00050FAF" w:rsidRDefault="00842EDD" w:rsidP="00E14BFB">
      <w:pPr>
        <w:jc w:val="both"/>
        <w:rPr>
          <w:rFonts w:ascii="Times New Roman" w:hAnsi="Times New Roman" w:cs="Times New Roman"/>
          <w:b/>
          <w:bCs/>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4. Professional Identity in a Data-Driven Era</w:t>
      </w:r>
    </w:p>
    <w:p w:rsidR="00D37EE1" w:rsidRPr="0095572D" w:rsidRDefault="00D37EE1" w:rsidP="0095572D">
      <w:pPr>
        <w:jc w:val="both"/>
        <w:rPr>
          <w:rFonts w:ascii="Times New Roman" w:hAnsi="Times New Roman" w:cs="Times New Roman"/>
          <w:sz w:val="24"/>
          <w:szCs w:val="24"/>
          <w:lang w:val="en-US"/>
        </w:rPr>
      </w:pPr>
    </w:p>
    <w:p w:rsidR="007E53EA" w:rsidRPr="007E53EA"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 xml:space="preserve">The teacher’s role is undergoing a profound and multidimensional transformation within digitally mediated learning environments. Educators are no longer positioned solely as transmitters of knowledge but increasingly as designers of complex learning ecosystems that integrate digital platforms, adaptive technologies, and collaborative pedagogical practices [30–31]. In this expanded role, teachers interpret learning analytics, contextualize algorithmic feedback, and mediate between automated </w:t>
      </w:r>
      <w:r w:rsidRPr="007E53EA">
        <w:rPr>
          <w:rFonts w:ascii="Times New Roman" w:hAnsi="Times New Roman" w:cs="Times New Roman"/>
          <w:sz w:val="24"/>
          <w:szCs w:val="24"/>
          <w:lang w:val="en-US"/>
        </w:rPr>
        <w:lastRenderedPageBreak/>
        <w:t>recommendations and students’ socio-emotional and developmental needs. Rather than passively implementing system outputs, they are expected to exercise professional discernment, evaluating when to follow, adapt, or override algorithmic suggestions in light of classroom realities. This shift redefines teaching as a form of informed orchestration, where human judgment and technological augmentation coexist in dynamic interplay.</w:t>
      </w:r>
    </w:p>
    <w:p w:rsidR="007E53EA"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Consequently, professional competence now extends beyond traditional pedagogical knowledge to encompass technological fluency, data literacy, ethical awareness, and adaptive instructional design capacities [32–33]. Teachers must be able to critically interpret dashboards, identify patterns in performance metrics, and assess the validity and limitations of data-driven insights. At the same time, they are called upon to understand issues related to algorithmic bias, data privacy, and equity in digital environments. Such competencies demand not only technical training but also a reflective orientation toward the epistemological assumptions embedded in educational technologies. However, digital transformation must not result in the erosion of professional autonomy or the technocratic standardization of practice. Teachers must remain central epistemic authorities, capable of questioning system outputs, safeguarding pedagogical values, and ensuring that technological interventions align with broader educational aims rather than narrowly defined performance indicators.</w:t>
      </w:r>
    </w:p>
    <w:p w:rsidR="00D37EE1" w:rsidRPr="0033219B" w:rsidRDefault="007E53EA" w:rsidP="007E53EA">
      <w:pPr>
        <w:jc w:val="both"/>
        <w:rPr>
          <w:rFonts w:ascii="Times New Roman" w:hAnsi="Times New Roman" w:cs="Times New Roman"/>
          <w:sz w:val="24"/>
          <w:szCs w:val="24"/>
          <w:lang w:val="en-US"/>
        </w:rPr>
      </w:pPr>
      <w:r w:rsidRPr="007E53EA">
        <w:rPr>
          <w:rFonts w:ascii="Times New Roman" w:hAnsi="Times New Roman" w:cs="Times New Roman"/>
          <w:sz w:val="24"/>
          <w:szCs w:val="24"/>
          <w:lang w:val="en-US"/>
        </w:rPr>
        <w:t>Sustainable educational reform, therefore, depends on cultivating collaborative professional cultures in which teachers collectively examine data, share experiences, and engage in critical dialogue about technological integration [34–35]. Research-informed professional development programs should move beyond instrumental training toward inquiry-based models that encourage experimentation, reflection, and iterative improvement. Institutional leadership plays a pivotal role in this process by fostering environments of trust, providing time and resources for collaborative learning, and legitimizing reflective experimentation as part of professional growth. When supported by coherent policy frameworks and participatory governance structures, educators can appropriate digital innovations in ways that reinforce rather than diminish their professional agency. In this context, technological advancement becomes not a mechanism of control but a catalyst for pedagogical renewal grounded in critical expertise and collective responsibility.</w:t>
      </w:r>
    </w:p>
    <w:p w:rsidR="007E53EA" w:rsidRPr="0033219B" w:rsidRDefault="007E53EA" w:rsidP="007E53EA">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 Human Development, Motivation, and Well-Being</w:t>
      </w:r>
    </w:p>
    <w:p w:rsidR="00D37EE1" w:rsidRPr="0033219B"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5.1 Cognitive Development in Hybrid Environments</w:t>
      </w:r>
    </w:p>
    <w:p w:rsidR="005300E7" w:rsidRPr="0033219B" w:rsidRDefault="005300E7" w:rsidP="0095572D">
      <w:pPr>
        <w:jc w:val="both"/>
        <w:rPr>
          <w:rFonts w:ascii="Times New Roman" w:hAnsi="Times New Roman" w:cs="Times New Roman"/>
          <w:b/>
          <w:bCs/>
          <w:sz w:val="24"/>
          <w:szCs w:val="24"/>
          <w:lang w:val="en-US"/>
        </w:rPr>
      </w:pPr>
    </w:p>
    <w:p w:rsidR="005300E7" w:rsidRPr="005300E7"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 xml:space="preserve">Technology-enhanced instruction has been shown to produce moderate academic gains, particularly when digital tools are coherently integrated within clearly articulated pedagogical frameworks rather than implemented as isolated add-ons [34–35]. The effectiveness of such interventions depends less on the mere presence of technology and more on the alignment between instructional objectives, assessment strategies, and digital affordances. When technological applications are embedded in structured lesson design, scaffolded inquiry, and formative feedback cycles, they can strengthen </w:t>
      </w:r>
      <w:r w:rsidRPr="005300E7">
        <w:rPr>
          <w:rFonts w:ascii="Times New Roman" w:hAnsi="Times New Roman" w:cs="Times New Roman"/>
          <w:sz w:val="24"/>
          <w:szCs w:val="24"/>
          <w:lang w:val="en-US"/>
        </w:rPr>
        <w:lastRenderedPageBreak/>
        <w:t>conceptual understanding, promote active engagement, and support differentiated learning pathways. Conversely, fragmented or uncritical integration may dilute instructional focus and generate superficial engagement without substantive cognitive impact. Pedagogical coherence, therefore, remains the central determinant of whether technology functions as an amplifier of learning or as a distraction.</w:t>
      </w:r>
    </w:p>
    <w:p w:rsidR="005300E7"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At the same time, hybrid digital-physical learning environments introduce new developmental variables that are particularly salient in primary education. Screen-mediated attention patterns, for example, may influence the duration and quality of sustained concentration, as interactive interfaces often encourage rapid task-switching and stimulus-driven responses. In addition, multimodal cognitive processing, combining text, animation, audio, and interactive elements can either enrich understanding through dual coding and sensory integration or overwhelm working memory when poorly designed. Young learners, whose executive functions and self-regulation capacities are still developing, may require structured guidance to navigate such environments effectively. As a result, instructional design must account for cognitive load, attentional rhythms, and the developmental readiness of children to engage meaningfully with digital content.</w:t>
      </w:r>
    </w:p>
    <w:p w:rsidR="00D37EE1" w:rsidRPr="0033219B" w:rsidRDefault="005300E7" w:rsidP="005300E7">
      <w:pPr>
        <w:jc w:val="both"/>
        <w:rPr>
          <w:rFonts w:ascii="Times New Roman" w:hAnsi="Times New Roman" w:cs="Times New Roman"/>
          <w:sz w:val="24"/>
          <w:szCs w:val="24"/>
          <w:lang w:val="en-US"/>
        </w:rPr>
      </w:pPr>
      <w:r w:rsidRPr="005300E7">
        <w:rPr>
          <w:rFonts w:ascii="Times New Roman" w:hAnsi="Times New Roman" w:cs="Times New Roman"/>
          <w:sz w:val="24"/>
          <w:szCs w:val="24"/>
          <w:lang w:val="en-US"/>
        </w:rPr>
        <w:t>For primary education in particular, a careful balance must be maintained between immersive digital engagement and opportunities for tactile exploration, social interaction, and embodied learning. Hands-on manipulation of physical materials, collaborative dialogue with peers, and movement-based activities contribute to sensorimotor development, socio-emotional growth, and deep conceptual formation. Over-reliance on screen-based modalities risks narrowing the experiential richness that characterizes early learning. Therefore, sustainable integration of technology in primary classrooms requires blended models that intentionally alternate between digital inquiry and material exploration. By designing learning experiences that connect virtual simulations with real-world experimentation and interpersonal collaboration, educators can harness the benefits of technological innovation while preserving the developmental integrity of early childhood education [34–35].</w:t>
      </w:r>
    </w:p>
    <w:p w:rsidR="005300E7" w:rsidRPr="0033219B" w:rsidRDefault="005300E7" w:rsidP="005300E7">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5.2 Motivation, Autonomy, and Digital Self-Regulation</w:t>
      </w:r>
    </w:p>
    <w:p w:rsidR="00D37EE1" w:rsidRPr="0095572D" w:rsidRDefault="00D37EE1" w:rsidP="0095572D">
      <w:pPr>
        <w:jc w:val="both"/>
        <w:rPr>
          <w:rFonts w:ascii="Times New Roman" w:hAnsi="Times New Roman" w:cs="Times New Roman"/>
          <w:sz w:val="24"/>
          <w:szCs w:val="24"/>
          <w:lang w:val="en-US"/>
        </w:rPr>
      </w:pPr>
    </w:p>
    <w:p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Digital platforms have the potential to meaningfully support autonomy, competence, and relatedness, the three foundational dimensions of intrinsic motivation identified in self-determination theory [36]. Well-designed digital environments can foster autonomy by allowing learners to make meaningful choices regarding pacing, task selection, or problem-solving pathways. They can strengthen perceptions of competence through timely, personalized feedback that clarifies progress and scaffolds improvement. Additionally, collaborative tools such as discussion boards, shared digital workspaces, and peer feedback systems can enhance relatedness by cultivating a sense of belonging and mutual engagement within a learning community. When these motivational dimensions are intentionally embedded in platform design, technology can move beyond content delivery to become a catalyst for internally driven engagement.</w:t>
      </w:r>
    </w:p>
    <w:p w:rsidR="00BB477F"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lastRenderedPageBreak/>
        <w:t>Gamified structures and interactive feedback systems further contribute to motivational dynamics by incorporating elements such as goal progression, narrative framing, adaptive challenges, and immediate performance indicators [37]. These mechanisms can increase persistence, especially when tasks are structured to provide optimal challenge—neither too easy nor excessively demanding. Badges, progress bars, and levels may function as short-term engagement enhancers, sustaining attention and encouraging repeated practice. In primary education contexts, such features can be particularly effective in supporting foundational skill development, where iterative rehearsal is essential. However, their impact depends on alignment with meaningful learning objectives; when gamification reinforces conceptual mastery rather than mere task completion, it can strengthen both engagement and learning outcomes.</w:t>
      </w:r>
    </w:p>
    <w:p w:rsidR="00D37EE1" w:rsidRPr="0033219B" w:rsidRDefault="00BB477F" w:rsidP="00BB477F">
      <w:pPr>
        <w:jc w:val="both"/>
        <w:rPr>
          <w:rFonts w:ascii="Times New Roman" w:hAnsi="Times New Roman" w:cs="Times New Roman"/>
          <w:sz w:val="24"/>
          <w:szCs w:val="24"/>
          <w:lang w:val="en-US"/>
        </w:rPr>
      </w:pPr>
      <w:r w:rsidRPr="00BB477F">
        <w:rPr>
          <w:rFonts w:ascii="Times New Roman" w:hAnsi="Times New Roman" w:cs="Times New Roman"/>
          <w:sz w:val="24"/>
          <w:szCs w:val="24"/>
          <w:lang w:val="en-US"/>
        </w:rPr>
        <w:t>Nevertheless, sustained intrinsic motivation cannot rely solely on extrinsic reward mechanisms or surface-level interactivity. While points, badges, and competitive leaderboards may stimulate short-term participation, they risk shifting learners’ focus from mastery and curiosity toward performance metrics and external validation. Deep and enduring motivation emerges from authentic problem-solving experiences that invite exploration, critical thinking, and reflective depth. Learners must perceive tasks as personally meaningful, intellectually stimulating, and socially relevant. Therefore, digital instruction should prioritize inquiry-based projects, real-world challenges, and opportunities for metacognitive reflection over purely reward-driven structures. By integrating motivational affordances with substantive cognitive engagement, educational technology can nurture intrinsic motivation in a way that is developmentally appropriate and pedagogically sustainable [36–37].</w:t>
      </w:r>
    </w:p>
    <w:p w:rsidR="00BB477F" w:rsidRPr="0033219B" w:rsidRDefault="00BB477F" w:rsidP="00BB477F">
      <w:pPr>
        <w:jc w:val="both"/>
        <w:rPr>
          <w:rFonts w:ascii="Times New Roman" w:hAnsi="Times New Roman" w:cs="Times New Roman"/>
          <w:b/>
          <w:bCs/>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5.3 Inclusion, Accessibility, and Structural Justice</w:t>
      </w:r>
    </w:p>
    <w:p w:rsidR="00D37EE1" w:rsidRPr="0095572D" w:rsidRDefault="00D37EE1" w:rsidP="0095572D">
      <w:pPr>
        <w:jc w:val="both"/>
        <w:rPr>
          <w:rFonts w:ascii="Times New Roman" w:hAnsi="Times New Roman" w:cs="Times New Roman"/>
          <w:sz w:val="24"/>
          <w:szCs w:val="24"/>
          <w:lang w:val="en-US"/>
        </w:rPr>
      </w:pPr>
    </w:p>
    <w:p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Assistive technologies and adaptive learning pathways play a critical role in enhancing accessibility for diverse learners, particularly those with disabilities, language differences, or varied cognitive profiles [38–39]. Tools such as text-to-speech applications, speech recognition systems, adjustable interface settings, and real-time translation features can reduce barriers to participation and facilitate more equitable engagement with curricular content. Adaptive platforms that dynamically adjust task difficulty, pacing, and feedback further enable personalized learning trajectories, allowing students to progress in accordance with their individual strengths and support needs. In this sense, technology can function as a compensatory and empowering mechanism, expanding opportunities for learners who might otherwise encounter structural exclusion within standardized instructional models.</w:t>
      </w:r>
    </w:p>
    <w:p w:rsidR="00650A59"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Multimodal design principles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integrating visual, auditory, textual, and interactive elements</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 xml:space="preserve">align closely with inclusive pedagogy frameworks that emphasize flexibility, representation, and learner variability [40]. By presenting information in multiple formats and enabling diverse forms of expression, digital environments can accommodate different sensory preferences and learning strategies. Such approaches resonate with universal design perspectives, which advocate proactive planning for </w:t>
      </w:r>
      <w:r w:rsidRPr="00650A59">
        <w:rPr>
          <w:rFonts w:ascii="Times New Roman" w:hAnsi="Times New Roman" w:cs="Times New Roman"/>
          <w:sz w:val="24"/>
          <w:szCs w:val="24"/>
          <w:lang w:val="en-US"/>
        </w:rPr>
        <w:lastRenderedPageBreak/>
        <w:t>diversity rather than retroactive accommodation. When thoughtfully implemented, multimodal resources can deepen conceptual understanding by reinforcing content through complementary channels, while also affirming learners’ identities and capabilities. Inclusive digital design thus has the potential to transform classrooms into more responsive and participatory spaces.</w:t>
      </w:r>
    </w:p>
    <w:p w:rsidR="00D37EE1" w:rsidRPr="0033219B" w:rsidRDefault="00650A59" w:rsidP="00650A59">
      <w:pPr>
        <w:jc w:val="both"/>
        <w:rPr>
          <w:rFonts w:ascii="Times New Roman" w:hAnsi="Times New Roman" w:cs="Times New Roman"/>
          <w:sz w:val="24"/>
          <w:szCs w:val="24"/>
          <w:lang w:val="en-US"/>
        </w:rPr>
      </w:pPr>
      <w:r w:rsidRPr="00650A59">
        <w:rPr>
          <w:rFonts w:ascii="Times New Roman" w:hAnsi="Times New Roman" w:cs="Times New Roman"/>
          <w:sz w:val="24"/>
          <w:szCs w:val="24"/>
          <w:lang w:val="en-US"/>
        </w:rPr>
        <w:t>However, equitable implementation of assistive and adaptive technologies depends fundamentally on sustained infrastructure investment and coherent policy commitment. Access to reliable internet connectivity, updated devices, technical support, and teacher training is unevenly distributed across socio-economic contexts. Without systemic safeguards, digital ecosystems risk reproducing and in some cases intensifying</w:t>
      </w:r>
      <w:r w:rsidR="00A61232" w:rsidRPr="00A61232">
        <w:rPr>
          <w:rFonts w:ascii="Times New Roman" w:hAnsi="Times New Roman" w:cs="Times New Roman"/>
          <w:sz w:val="24"/>
          <w:szCs w:val="24"/>
          <w:lang w:val="en-US"/>
        </w:rPr>
        <w:t xml:space="preserve">, </w:t>
      </w:r>
      <w:r w:rsidRPr="00650A59">
        <w:rPr>
          <w:rFonts w:ascii="Times New Roman" w:hAnsi="Times New Roman" w:cs="Times New Roman"/>
          <w:sz w:val="24"/>
          <w:szCs w:val="24"/>
          <w:lang w:val="en-US"/>
        </w:rPr>
        <w:t>existing inequalities [41]. Students from under-resourced communities may experience limited access to high-quality platforms, reduced exposure to advanced digital tools, or insufficient support for effective use. Moreover, algorithmic systems trained on biased or incomplete datasets may inadvertently marginalize certain populations. Therefore, achieving genuine digital inclusion requires not only technological innovation but also structural reforms that prioritize equity, funding redistribution, and continuous monitoring of access disparities. Only within such a framework can educational technology serve as a lever for social justice rather than a mechanism of stratification [38–41].</w:t>
      </w:r>
    </w:p>
    <w:p w:rsidR="00650A59" w:rsidRPr="0033219B" w:rsidRDefault="00650A59" w:rsidP="00650A59">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6. Ethical Governance and Democratic Accountability</w:t>
      </w:r>
    </w:p>
    <w:p w:rsidR="00D37EE1" w:rsidRPr="0095572D" w:rsidRDefault="00D37EE1" w:rsidP="0095572D">
      <w:pPr>
        <w:jc w:val="both"/>
        <w:rPr>
          <w:rFonts w:ascii="Times New Roman" w:hAnsi="Times New Roman" w:cs="Times New Roman"/>
          <w:sz w:val="24"/>
          <w:szCs w:val="24"/>
          <w:lang w:val="en-US"/>
        </w:rPr>
      </w:pPr>
    </w:p>
    <w:p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The expansion of data-intensive educational systems introduces a range of complex ethical dilemmas that extend far beyond technical considerations. As schools increasingly rely on learning analytics, behavioral tracking, and predictive modeling, concerns related to surveillance, commercialization, and algorithmic bias become more pronounced [42]. Continuous data collection</w:t>
      </w:r>
      <w:r w:rsidR="00585528" w:rsidRPr="00585528">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capturing attendance patterns, interaction frequencies, assessment results, and even affective indicators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can blur the boundary between pedagogical support and intrusive monitoring. Moreover, partnerships between educational institutions and private technology providers may create commercialization pressures, where student data becomes a valuable commodity within broader digital economies. Algorithmic bias further compounds these challenges, as predictive systems trained on historically uneven datasets may reproduce structural inequities or misclassify vulnerable learners. These risks underscore the urgent need for transparent governance frameworks that clarify data ownership, limit secondary use, and ensure accountability in automated decision-making processes</w:t>
      </w:r>
      <w:r w:rsidR="00A16011" w:rsidRPr="00A16011">
        <w:rPr>
          <w:rFonts w:ascii="Times New Roman" w:hAnsi="Times New Roman" w:cs="Times New Roman"/>
          <w:sz w:val="24"/>
          <w:szCs w:val="24"/>
          <w:lang w:val="en-US"/>
        </w:rPr>
        <w:t xml:space="preserve"> [43-</w:t>
      </w:r>
      <w:r w:rsidR="00D779BF" w:rsidRPr="00D779BF">
        <w:rPr>
          <w:rFonts w:ascii="Times New Roman" w:hAnsi="Times New Roman" w:cs="Times New Roman"/>
          <w:sz w:val="24"/>
          <w:szCs w:val="24"/>
          <w:lang w:val="en-US"/>
        </w:rPr>
        <w:t>48].</w:t>
      </w:r>
    </w:p>
    <w:p w:rsidR="00661BBE"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 xml:space="preserve">Young learners are particularly vulnerable within such ecosystems. Children often lack the capacity to provide informed consent, to understand the long-term implications of data profiling, or to challenge automated classifications that may shape their educational trajectories. Data exploitation and privacy breaches can have enduring consequences, including stigmatization, reputational harm, or commercial targeting [49–52]. Ethical digital education must therefore integrate robust data protection standards, including data minimization principles, clear retention policies, and secure </w:t>
      </w:r>
      <w:r w:rsidRPr="00661BBE">
        <w:rPr>
          <w:rFonts w:ascii="Times New Roman" w:hAnsi="Times New Roman" w:cs="Times New Roman"/>
          <w:sz w:val="24"/>
          <w:szCs w:val="24"/>
          <w:lang w:val="en-US"/>
        </w:rPr>
        <w:lastRenderedPageBreak/>
        <w:t>storage infrastructures. Participatory oversight mechanisms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such as ethics committees, parental consultation processes, and independent auditing structures</w:t>
      </w:r>
      <w:r w:rsidR="00086170" w:rsidRPr="00086170">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are essential to ensure that data practices remain aligned with child-centered values. Regulatory safeguards should explicitly recognize children as a protected category within digital governance frameworks, emphasizing their developmental rights, dignity, and long-term well-being</w:t>
      </w:r>
      <w:r w:rsidR="00D779BF" w:rsidRPr="00D779BF">
        <w:rPr>
          <w:rFonts w:ascii="Times New Roman" w:hAnsi="Times New Roman" w:cs="Times New Roman"/>
          <w:sz w:val="24"/>
          <w:szCs w:val="24"/>
          <w:lang w:val="en-US"/>
        </w:rPr>
        <w:t xml:space="preserve"> [49–52].</w:t>
      </w:r>
    </w:p>
    <w:p w:rsidR="00D37EE1" w:rsidRPr="00D779BF" w:rsidRDefault="00661BBE" w:rsidP="00661BBE">
      <w:pPr>
        <w:jc w:val="both"/>
        <w:rPr>
          <w:rFonts w:ascii="Times New Roman" w:hAnsi="Times New Roman" w:cs="Times New Roman"/>
          <w:sz w:val="24"/>
          <w:szCs w:val="24"/>
          <w:lang w:val="en-US"/>
        </w:rPr>
      </w:pPr>
      <w:r w:rsidRPr="00661BBE">
        <w:rPr>
          <w:rFonts w:ascii="Times New Roman" w:hAnsi="Times New Roman" w:cs="Times New Roman"/>
          <w:sz w:val="24"/>
          <w:szCs w:val="24"/>
          <w:lang w:val="en-US"/>
        </w:rPr>
        <w:t>Beyond technical compliance, democratic accountability must remain central to the governance of educational technology. Public education systems have a civic mandate that extends beyond efficiency or innovation metrics; they are entrusted with cultivating democratic citizenship, social cohesion, and equitable opportunity. Consequently, institutions should resist uncritical technological determinism</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the assumption that digital innovation is inherently progressive or inevitable</w:t>
      </w:r>
      <w:r w:rsidR="00A16011" w:rsidRPr="00A16011">
        <w:rPr>
          <w:rFonts w:ascii="Times New Roman" w:hAnsi="Times New Roman" w:cs="Times New Roman"/>
          <w:sz w:val="24"/>
          <w:szCs w:val="24"/>
          <w:lang w:val="en-US"/>
        </w:rPr>
        <w:t xml:space="preserve"> </w:t>
      </w:r>
      <w:r w:rsidRPr="00661BBE">
        <w:rPr>
          <w:rFonts w:ascii="Times New Roman" w:hAnsi="Times New Roman" w:cs="Times New Roman"/>
          <w:sz w:val="24"/>
          <w:szCs w:val="24"/>
          <w:lang w:val="en-US"/>
        </w:rPr>
        <w:t>and instead subject new systems to rigorous public deliberation. Decision-making processes must involve educators, families, policymakers, and students themselves, ensuring that technological adoption reflects collective social values rather than narrow market imperatives. By embedding transparency, participatory governance, and ethical reflexivity into digital transformation strategies, education systems can harness innovation responsibly while safeguarding democratic principles and social justice [49–52].</w:t>
      </w:r>
    </w:p>
    <w:p w:rsidR="00661BBE" w:rsidRPr="00D779BF" w:rsidRDefault="00661BBE" w:rsidP="00661BBE">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7. Strategic Pathways for Sustainable Transformation</w:t>
      </w:r>
    </w:p>
    <w:p w:rsidR="00D37EE1" w:rsidRPr="0095572D" w:rsidRDefault="00D37EE1" w:rsidP="0095572D">
      <w:pPr>
        <w:jc w:val="both"/>
        <w:rPr>
          <w:rFonts w:ascii="Times New Roman" w:hAnsi="Times New Roman" w:cs="Times New Roman"/>
          <w:sz w:val="24"/>
          <w:szCs w:val="24"/>
          <w:lang w:val="en-US"/>
        </w:rPr>
      </w:pPr>
    </w:p>
    <w:p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Future research must move beyond short-term outcome evaluations and experimental pilot studies toward longitudinal, mixed-methods investigations that examine developmental trajectories over extended periods [43–44]. While immediate gains in academic performance or engagement provide valuable insights, they do not adequately capture the cumulative cognitive, socio-emotional, and motivational effects of sustained exposure to digital learning environments. Longitudinal designs can illuminate how adaptive technologies influence identity formation, self-regulated learning capacities, and educational aspirations across different stages of childhood. Mixed-methods approaches—combining quantitative analytics with qualitative interviews, classroom observations, and ethnographic inquiry—are particularly important for understanding not only what changes occur, but how and why they unfold within specific institutional and cultural contexts. Such comprehensive research strategies can generate more nuanced evidence to inform both policy and pedagogical practice.</w:t>
      </w:r>
    </w:p>
    <w:p w:rsidR="000024BE"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 xml:space="preserve">Cross-cultural comparative research further enriches this agenda by revealing contextual variability in technological adaptation and educational outcomes. Educational systems differ significantly in terms of curricular traditions, teacher autonomy, governance structures, and socio-economic conditions. Comparative analyses can therefore identify how local values, infrastructural capacities, and regulatory frameworks mediate the integration of AI and digital platforms. What proves effective in one national or regional context may not transfer seamlessly to another. By examining diverse implementation models, researchers can distinguish between </w:t>
      </w:r>
      <w:r w:rsidRPr="000024BE">
        <w:rPr>
          <w:rFonts w:ascii="Times New Roman" w:hAnsi="Times New Roman" w:cs="Times New Roman"/>
          <w:sz w:val="24"/>
          <w:szCs w:val="24"/>
          <w:lang w:val="en-US"/>
        </w:rPr>
        <w:lastRenderedPageBreak/>
        <w:t>context-specific effects and more generalizable principles, thereby contributing to a more globally informed and culturally responsive understanding of educational innovation [43–44].</w:t>
      </w:r>
    </w:p>
    <w:p w:rsidR="000024BE" w:rsidRPr="000024BE"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In parallel with research development, policy priorities must be articulated within a coherent systemic framework. Key strategic domains include:</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a6"/>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Universal digital infrastructure, ensuring equitable access to high-speed connectivity, reliable devices, and technical support across urban and rural communities.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a6"/>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Continuous professional development, enabling educators to cultivate data literacy, ethical awareness, and pedagogical expertise in digitally mediated environments.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a6"/>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Ethical AI governance frameworks, establishing clear standards for transparency, accountability, bias mitigation, and data protection.</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a6"/>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Participatory decision-making processes, involving educators, students, families, and community stakeholders in the evaluation and adoption of technological systems.</w:t>
      </w:r>
    </w:p>
    <w:p w:rsidR="000024BE" w:rsidRPr="000024BE" w:rsidRDefault="000024BE" w:rsidP="000024BE">
      <w:pPr>
        <w:jc w:val="both"/>
        <w:rPr>
          <w:rFonts w:ascii="Times New Roman" w:hAnsi="Times New Roman" w:cs="Times New Roman"/>
          <w:sz w:val="24"/>
          <w:szCs w:val="24"/>
          <w:lang w:val="en-US"/>
        </w:rPr>
      </w:pPr>
    </w:p>
    <w:p w:rsidR="000024BE" w:rsidRPr="000024BE" w:rsidRDefault="000024BE" w:rsidP="000024BE">
      <w:pPr>
        <w:pStyle w:val="a6"/>
        <w:numPr>
          <w:ilvl w:val="0"/>
          <w:numId w:val="2"/>
        </w:num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Alignment with child-centered curricular objectives, guaranteeing that technological integration serves developmental, cognitive, and socio-emotional goals rather than purely administrative or market-driven priorities.</w:t>
      </w:r>
    </w:p>
    <w:p w:rsidR="00D37EE1" w:rsidRPr="0033219B" w:rsidRDefault="000024BE" w:rsidP="000024BE">
      <w:pPr>
        <w:jc w:val="both"/>
        <w:rPr>
          <w:rFonts w:ascii="Times New Roman" w:hAnsi="Times New Roman" w:cs="Times New Roman"/>
          <w:sz w:val="24"/>
          <w:szCs w:val="24"/>
          <w:lang w:val="en-US"/>
        </w:rPr>
      </w:pPr>
      <w:r w:rsidRPr="000024BE">
        <w:rPr>
          <w:rFonts w:ascii="Times New Roman" w:hAnsi="Times New Roman" w:cs="Times New Roman"/>
          <w:sz w:val="24"/>
          <w:szCs w:val="24"/>
          <w:lang w:val="en-US"/>
        </w:rPr>
        <w:t>Sustainable transformation requires systemic coherence rather than isolated technological adoption. Introducing digital tools without parallel investment in infrastructure, teacher capacity, ethical safeguards, and curricular alignment risks fragmentation and reform fatigue. Meaningful innovation emerges when policy, pedagogy, research, and governance operate in coordinated synergy. Only through such integrated strategies can educational systems harness technological advancement in ways that are developmentally sound, socially equitable, and democratically accountable [43–44].</w:t>
      </w:r>
    </w:p>
    <w:p w:rsidR="000024BE" w:rsidRDefault="000024BE"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Default="00B73278" w:rsidP="000024BE">
      <w:pPr>
        <w:jc w:val="both"/>
        <w:rPr>
          <w:rFonts w:ascii="Times New Roman" w:hAnsi="Times New Roman" w:cs="Times New Roman"/>
          <w:sz w:val="24"/>
          <w:szCs w:val="24"/>
          <w:lang w:val="en-US"/>
        </w:rPr>
      </w:pPr>
    </w:p>
    <w:p w:rsidR="00B73278" w:rsidRPr="0033219B" w:rsidRDefault="00B73278" w:rsidP="000024BE">
      <w:pPr>
        <w:jc w:val="both"/>
        <w:rPr>
          <w:rFonts w:ascii="Times New Roman" w:hAnsi="Times New Roman" w:cs="Times New Roman"/>
          <w:sz w:val="24"/>
          <w:szCs w:val="24"/>
          <w:lang w:val="en-US"/>
        </w:rPr>
      </w:pPr>
    </w:p>
    <w:p w:rsidR="00B73278"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lastRenderedPageBreak/>
        <w:t>8</w:t>
      </w:r>
      <w:r w:rsidR="007A5EA4" w:rsidRPr="00B73278">
        <w:rPr>
          <w:rFonts w:ascii="Times New Roman" w:hAnsi="Times New Roman" w:cs="Times New Roman"/>
          <w:b/>
          <w:sz w:val="24"/>
          <w:szCs w:val="24"/>
          <w:lang w:val="en-US"/>
        </w:rPr>
        <w:t>. Methodology</w:t>
      </w:r>
    </w:p>
    <w:p w:rsidR="00B73278"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Pr="00B73278">
        <w:rPr>
          <w:rFonts w:ascii="Times New Roman" w:hAnsi="Times New Roman" w:cs="Times New Roman"/>
          <w:b/>
          <w:sz w:val="24"/>
          <w:szCs w:val="24"/>
          <w:lang w:val="en-US"/>
        </w:rPr>
        <w:t>.1 Research Design</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collected material was analyzed</w:t>
      </w:r>
      <w:r w:rsidRPr="00B73278">
        <w:rPr>
          <w:rFonts w:ascii="Times New Roman" w:hAnsi="Times New Roman" w:cs="Times New Roman"/>
          <w:sz w:val="24"/>
          <w:szCs w:val="24"/>
          <w:lang w:val="en-US"/>
        </w:rPr>
        <w:t xml:space="preserve"> using qualitative thematic content analysis. Through iterative reading and coding of the selected sources, key themes were identified concerning digital pedagogical transformation, the role of intelligent systems, teacher professional development, ethical</w:t>
      </w:r>
      <w:r w:rsidRPr="00B73278">
        <w:rPr>
          <w:rFonts w:ascii="Times New Roman" w:hAnsi="Times New Roman" w:cs="Times New Roman"/>
          <w:sz w:val="24"/>
          <w:szCs w:val="24"/>
          <w:lang w:val="en-US"/>
        </w:rPr>
        <w:t xml:space="preserve"> governance, and educational equity.</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2</w:t>
      </w:r>
      <w:r w:rsidR="007A5EA4" w:rsidRPr="00B73278">
        <w:rPr>
          <w:rFonts w:ascii="Times New Roman" w:hAnsi="Times New Roman" w:cs="Times New Roman"/>
          <w:b/>
          <w:sz w:val="24"/>
          <w:szCs w:val="24"/>
          <w:lang w:val="en-US"/>
        </w:rPr>
        <w:t xml:space="preserve"> Data Analysis</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study employed purposive sampling in order to identify relevant scholarly sources that directly address digital transformation in education, intelligent learning systems, and technology‑enhanced pe</w:t>
      </w:r>
      <w:r w:rsidRPr="00B73278">
        <w:rPr>
          <w:rFonts w:ascii="Times New Roman" w:hAnsi="Times New Roman" w:cs="Times New Roman"/>
          <w:sz w:val="24"/>
          <w:szCs w:val="24"/>
          <w:lang w:val="en-US"/>
        </w:rPr>
        <w:t>dagogical practices. The final sample consisted of a curated body of academic publications that met predefined inclusion criteria: (a) relevance to primary education or early learning environments, (b) focus on digital technologies or artificial intelligen</w:t>
      </w:r>
      <w:r w:rsidRPr="00B73278">
        <w:rPr>
          <w:rFonts w:ascii="Times New Roman" w:hAnsi="Times New Roman" w:cs="Times New Roman"/>
          <w:sz w:val="24"/>
          <w:szCs w:val="24"/>
          <w:lang w:val="en-US"/>
        </w:rPr>
        <w:t>ce in education, and (c) publication in peer‑reviewed journals or recognized academic venues.</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3</w:t>
      </w:r>
      <w:r w:rsidR="007A5EA4" w:rsidRPr="00B73278">
        <w:rPr>
          <w:rFonts w:ascii="Times New Roman" w:hAnsi="Times New Roman" w:cs="Times New Roman"/>
          <w:b/>
          <w:sz w:val="24"/>
          <w:szCs w:val="24"/>
          <w:lang w:val="en-US"/>
        </w:rPr>
        <w:t xml:space="preserve"> Sample and Sampling Technique</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The primary research instrument used in this study is systematic document analysis. Academic articles, conference papers, policy</w:t>
      </w:r>
      <w:r w:rsidRPr="00B73278">
        <w:rPr>
          <w:rFonts w:ascii="Times New Roman" w:hAnsi="Times New Roman" w:cs="Times New Roman"/>
          <w:sz w:val="24"/>
          <w:szCs w:val="24"/>
          <w:lang w:val="en-US"/>
        </w:rPr>
        <w:t xml:space="preserve"> documents, and theoretical studies related to artificial intelligence in education, immersive learning technologies, digital pedagogy, and educational governance were examined. Sources were retrieved from major academic databases such as Scopus, Web of Sc</w:t>
      </w:r>
      <w:r w:rsidRPr="00B73278">
        <w:rPr>
          <w:rFonts w:ascii="Times New Roman" w:hAnsi="Times New Roman" w:cs="Times New Roman"/>
          <w:sz w:val="24"/>
          <w:szCs w:val="24"/>
          <w:lang w:val="en-US"/>
        </w:rPr>
        <w:t>ience, Google Scholar, and ERIC.</w:t>
      </w:r>
    </w:p>
    <w:p w:rsidR="00B73278" w:rsidRPr="00B73278" w:rsidRDefault="00B73278" w:rsidP="00B73278">
      <w:pPr>
        <w:jc w:val="both"/>
        <w:rPr>
          <w:rFonts w:ascii="Times New Roman" w:hAnsi="Times New Roman" w:cs="Times New Roman"/>
          <w:sz w:val="24"/>
          <w:szCs w:val="24"/>
          <w:lang w:val="en-US"/>
        </w:rPr>
      </w:pPr>
    </w:p>
    <w:p w:rsidR="003346EC" w:rsidRPr="00B73278" w:rsidRDefault="00B73278" w:rsidP="00B73278">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8</w:t>
      </w:r>
      <w:r w:rsidR="007A5EA4" w:rsidRPr="00B73278">
        <w:rPr>
          <w:rFonts w:ascii="Times New Roman" w:hAnsi="Times New Roman" w:cs="Times New Roman"/>
          <w:b/>
          <w:sz w:val="24"/>
          <w:szCs w:val="24"/>
          <w:lang w:val="en-US"/>
        </w:rPr>
        <w:t>.</w:t>
      </w:r>
      <w:r w:rsidRPr="00B73278">
        <w:rPr>
          <w:rFonts w:ascii="Times New Roman" w:hAnsi="Times New Roman" w:cs="Times New Roman"/>
          <w:b/>
          <w:sz w:val="24"/>
          <w:szCs w:val="24"/>
          <w:lang w:val="en-US"/>
        </w:rPr>
        <w:t>4</w:t>
      </w:r>
      <w:r w:rsidR="007A5EA4" w:rsidRPr="00B73278">
        <w:rPr>
          <w:rFonts w:ascii="Times New Roman" w:hAnsi="Times New Roman" w:cs="Times New Roman"/>
          <w:b/>
          <w:sz w:val="24"/>
          <w:szCs w:val="24"/>
          <w:lang w:val="en-US"/>
        </w:rPr>
        <w:t xml:space="preserve"> Data Sources and Research Instruments</w:t>
      </w:r>
    </w:p>
    <w:p w:rsidR="00B73278" w:rsidRPr="00B73278" w:rsidRDefault="00B73278" w:rsidP="00B73278">
      <w:pPr>
        <w:jc w:val="both"/>
        <w:rPr>
          <w:rFonts w:ascii="Times New Roman" w:hAnsi="Times New Roman" w:cs="Times New Roman"/>
          <w:sz w:val="24"/>
          <w:szCs w:val="24"/>
          <w:lang w:val="en-US"/>
        </w:rPr>
      </w:pPr>
    </w:p>
    <w:p w:rsidR="003346EC" w:rsidRDefault="007A5EA4" w:rsidP="00B73278">
      <w:pPr>
        <w:jc w:val="both"/>
        <w:rPr>
          <w:rFonts w:ascii="Times New Roman" w:hAnsi="Times New Roman" w:cs="Times New Roman"/>
          <w:sz w:val="24"/>
          <w:szCs w:val="24"/>
          <w:lang w:val="en-US"/>
        </w:rPr>
      </w:pPr>
      <w:r w:rsidRPr="00B73278">
        <w:rPr>
          <w:rFonts w:ascii="Times New Roman" w:hAnsi="Times New Roman" w:cs="Times New Roman"/>
          <w:sz w:val="24"/>
          <w:szCs w:val="24"/>
          <w:lang w:val="en-US"/>
        </w:rPr>
        <w:t>This study employs a qualitative research design grounded in a systematic integrative literature review. The objective of the methodological approach is to synthesize interdisciplin</w:t>
      </w:r>
      <w:r w:rsidRPr="00B73278">
        <w:rPr>
          <w:rFonts w:ascii="Times New Roman" w:hAnsi="Times New Roman" w:cs="Times New Roman"/>
          <w:sz w:val="24"/>
          <w:szCs w:val="24"/>
          <w:lang w:val="en-US"/>
        </w:rPr>
        <w:t>ary knowledge regarding the role of intelligent technologies in the transformation of primary education. Rather than focusing on a single empirical dataset, the research examines existing scholarly literature in order to identify conceptual trends, pedagog</w:t>
      </w:r>
      <w:r w:rsidRPr="00B73278">
        <w:rPr>
          <w:rFonts w:ascii="Times New Roman" w:hAnsi="Times New Roman" w:cs="Times New Roman"/>
          <w:sz w:val="24"/>
          <w:szCs w:val="24"/>
          <w:lang w:val="en-US"/>
        </w:rPr>
        <w:t>ical implications, and systemic challenges associated with digital transformation in educational environments.</w:t>
      </w:r>
    </w:p>
    <w:p w:rsidR="00B73278" w:rsidRDefault="00B73278" w:rsidP="00B73278">
      <w:pPr>
        <w:jc w:val="both"/>
        <w:rPr>
          <w:rFonts w:ascii="Times New Roman" w:hAnsi="Times New Roman" w:cs="Times New Roman"/>
          <w:sz w:val="24"/>
          <w:szCs w:val="24"/>
          <w:lang w:val="en-US"/>
        </w:rPr>
      </w:pPr>
    </w:p>
    <w:p w:rsidR="00B73278" w:rsidRPr="00B73278" w:rsidRDefault="00B73278" w:rsidP="00B73278">
      <w:pPr>
        <w:jc w:val="both"/>
        <w:rPr>
          <w:rFonts w:ascii="Times New Roman" w:hAnsi="Times New Roman" w:cs="Times New Roman"/>
          <w:sz w:val="24"/>
          <w:szCs w:val="24"/>
          <w:lang w:val="en-US"/>
        </w:rPr>
      </w:pPr>
    </w:p>
    <w:p w:rsidR="00D37EE1" w:rsidRPr="0095572D" w:rsidRDefault="00B73278" w:rsidP="0095572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9</w:t>
      </w:r>
      <w:r w:rsidR="00D37EE1" w:rsidRPr="0095572D">
        <w:rPr>
          <w:rFonts w:ascii="Times New Roman" w:hAnsi="Times New Roman" w:cs="Times New Roman"/>
          <w:b/>
          <w:bCs/>
          <w:sz w:val="24"/>
          <w:szCs w:val="24"/>
          <w:lang w:val="en-US"/>
        </w:rPr>
        <w:t>. Conclusion: Toward a Human-Centered Digital Educational Ecology</w:t>
      </w:r>
    </w:p>
    <w:p w:rsidR="00D37EE1" w:rsidRPr="0095572D" w:rsidRDefault="00D37EE1" w:rsidP="0095572D">
      <w:pPr>
        <w:jc w:val="both"/>
        <w:rPr>
          <w:rFonts w:ascii="Times New Roman" w:hAnsi="Times New Roman" w:cs="Times New Roman"/>
          <w:sz w:val="24"/>
          <w:szCs w:val="24"/>
          <w:lang w:val="en-US"/>
        </w:rPr>
      </w:pPr>
    </w:p>
    <w:p w:rsidR="00835D82"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The digital transformation of primary education represents not merely the introduction of new tools, but a profound reconfiguration of pedagogical, institutional, and ethical landscapes. Intelligent technologies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including adaptive learning systems, analytics platforms, and immersive digital environments</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offer unprecedented opportunities for personalization, accessibility, and experiential learning [45–46]. Through real-time data analysis and responsive content delivery, instruction can be tailored to individual developmental trajectories, potentially strengthening engagement and supporting differentiated pathways. Digital simulations, interactive storytelling, and collaborative platforms can expand the boundaries of classroom experience, enabling learners to explore complex concepts through multimodal and participatory formats. In this sense, technological innovation opens new horizons for inclusive and learner-centered educational design.</w:t>
      </w:r>
    </w:p>
    <w:p w:rsidR="00835D82" w:rsidRPr="008E4BD8"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However, the transformative promise of these technologies is neither automatic nor neutral. Their educational value depends fundamentally on critical engagement, sustained professional agency, equitable access, and robust governance structures [47–48]. Without reflective pedagogical integration, intelligent systems risk narrowing curricular aims to measurable performance indicators or privileging efficiency over holistic development. Educators must remain active interpreters and mediators of technological tools, exercising professional judgment in aligning digital affordances with developmental needs and ethical commitments. Equitable access to infrastructure and training is equally essential; otherwise, digital transformation may deepen rather than alleviate existing disparities. Governance mechanisms must therefore ensure transparency, accountability, and participatory oversight, preventing technological determinism from displacing democratic deliberation. Technology must ultimately serve human development</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supporting cognitive growth, socio-emotional well-being, and moral formation</w:t>
      </w:r>
      <w:r w:rsidR="008E4BD8" w:rsidRPr="008E4BD8">
        <w:rPr>
          <w:rFonts w:ascii="Times New Roman" w:hAnsi="Times New Roman" w:cs="Times New Roman"/>
          <w:sz w:val="24"/>
          <w:szCs w:val="24"/>
          <w:lang w:val="en-US"/>
        </w:rPr>
        <w:t xml:space="preserve">, </w:t>
      </w:r>
      <w:r w:rsidRPr="00835D82">
        <w:rPr>
          <w:rFonts w:ascii="Times New Roman" w:hAnsi="Times New Roman" w:cs="Times New Roman"/>
          <w:sz w:val="24"/>
          <w:szCs w:val="24"/>
          <w:lang w:val="en-US"/>
        </w:rPr>
        <w:t>rather than redefining educational purposes according to technical logics.</w:t>
      </w:r>
    </w:p>
    <w:p w:rsidR="008E4BD8" w:rsidRPr="0033219B" w:rsidRDefault="00835D82" w:rsidP="00835D82">
      <w:pPr>
        <w:jc w:val="both"/>
        <w:rPr>
          <w:rFonts w:ascii="Times New Roman" w:hAnsi="Times New Roman" w:cs="Times New Roman"/>
          <w:sz w:val="24"/>
          <w:szCs w:val="24"/>
          <w:lang w:val="en-US"/>
        </w:rPr>
      </w:pPr>
      <w:r w:rsidRPr="00835D82">
        <w:rPr>
          <w:rFonts w:ascii="Times New Roman" w:hAnsi="Times New Roman" w:cs="Times New Roman"/>
          <w:sz w:val="24"/>
          <w:szCs w:val="24"/>
          <w:lang w:val="en-US"/>
        </w:rPr>
        <w:t>A future-oriented primary education system must cultivate digitally literate, ethically aware, and critically reflective learners within an ecosystem that balances innovation with humanity. Digital literacy should extend beyond operational skills to include critical understanding of algorithms, data practices, and media influences. Ethical awareness must be embedded in curricular experiences that encourage responsible participation in digital societies, fostering respect, empathy, and civic responsibility. At the systemic level, sustainable digital futures in education require deliberate, theory-informed, and justice-oriented implementation strategies [49–52]. Policymakers and educational leaders must ground technological adoption in developmental psychology, pedagogical theory, and social equity principles. Rather than embracing technological enthusiasm alone, sustainable transformation depends on long-term planning, interdisciplinary collaboration, and continuous ethical reflection. Only through such comprehensive and human-centered approaches can digital innovation contribute meaningfully to the flourishing of children and the strengthening of democratic educational institutions [45–52].</w:t>
      </w:r>
    </w:p>
    <w:p w:rsidR="008E4BD8" w:rsidRPr="0033219B" w:rsidRDefault="008E4BD8" w:rsidP="00835D82">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sz w:val="24"/>
          <w:szCs w:val="24"/>
          <w:lang w:val="en-US"/>
        </w:rPr>
      </w:pPr>
    </w:p>
    <w:p w:rsidR="00D37EE1" w:rsidRPr="0095572D" w:rsidRDefault="00D37EE1" w:rsidP="0095572D">
      <w:pPr>
        <w:jc w:val="both"/>
        <w:rPr>
          <w:rFonts w:ascii="Times New Roman" w:hAnsi="Times New Roman" w:cs="Times New Roman"/>
          <w:b/>
          <w:bCs/>
          <w:sz w:val="24"/>
          <w:szCs w:val="24"/>
          <w:lang w:val="en-US"/>
        </w:rPr>
      </w:pPr>
      <w:r w:rsidRPr="0095572D">
        <w:rPr>
          <w:rFonts w:ascii="Times New Roman" w:hAnsi="Times New Roman" w:cs="Times New Roman"/>
          <w:b/>
          <w:bCs/>
          <w:sz w:val="24"/>
          <w:szCs w:val="24"/>
          <w:lang w:val="en-US"/>
        </w:rPr>
        <w:t>Disclaimer (Artificial Intelligence)</w:t>
      </w:r>
    </w:p>
    <w:p w:rsidR="000F1025" w:rsidRDefault="00D37EE1"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rsidR="00086BAF" w:rsidRDefault="00086BAF" w:rsidP="0095572D">
      <w:pPr>
        <w:jc w:val="both"/>
        <w:rPr>
          <w:rFonts w:ascii="Times New Roman" w:hAnsi="Times New Roman" w:cs="Times New Roman"/>
          <w:sz w:val="24"/>
          <w:szCs w:val="24"/>
          <w:lang w:val="en-US"/>
        </w:rPr>
      </w:pPr>
    </w:p>
    <w:p w:rsidR="00086BAF" w:rsidRPr="00086BAF" w:rsidRDefault="00086BAF" w:rsidP="00086BAF">
      <w:pPr>
        <w:jc w:val="both"/>
        <w:rPr>
          <w:rFonts w:ascii="Times New Roman" w:hAnsi="Times New Roman" w:cs="Times New Roman"/>
          <w:b/>
          <w:bCs/>
          <w:sz w:val="24"/>
          <w:szCs w:val="24"/>
          <w:lang w:val="en-US"/>
        </w:rPr>
      </w:pPr>
      <w:r w:rsidRPr="00086BAF">
        <w:rPr>
          <w:rFonts w:ascii="Times New Roman" w:hAnsi="Times New Roman" w:cs="Times New Roman"/>
          <w:b/>
          <w:bCs/>
          <w:sz w:val="24"/>
          <w:szCs w:val="24"/>
          <w:lang w:val="en-US"/>
        </w:rPr>
        <w:t>COMPETING INTERESTS DISCLAIMER</w:t>
      </w:r>
    </w:p>
    <w:p w:rsidR="00086BAF" w:rsidRPr="00086BAF" w:rsidRDefault="00086BAF" w:rsidP="00086BAF">
      <w:pPr>
        <w:jc w:val="both"/>
        <w:rPr>
          <w:rFonts w:ascii="Times New Roman" w:hAnsi="Times New Roman" w:cs="Times New Roman"/>
          <w:sz w:val="24"/>
          <w:szCs w:val="24"/>
          <w:lang w:val="en-US"/>
        </w:rPr>
      </w:pPr>
      <w:r w:rsidRPr="00086BAF">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rsidR="00086BAF" w:rsidRDefault="00086BAF" w:rsidP="0095572D">
      <w:pPr>
        <w:jc w:val="both"/>
        <w:rPr>
          <w:rFonts w:ascii="Times New Roman" w:hAnsi="Times New Roman" w:cs="Times New Roman"/>
          <w:sz w:val="24"/>
          <w:szCs w:val="24"/>
          <w:lang w:val="en-US"/>
        </w:rPr>
      </w:pPr>
    </w:p>
    <w:p w:rsidR="0095572D" w:rsidRDefault="0095572D" w:rsidP="0095572D">
      <w:pPr>
        <w:jc w:val="both"/>
        <w:rPr>
          <w:rFonts w:ascii="Times New Roman" w:hAnsi="Times New Roman" w:cs="Times New Roman"/>
          <w:sz w:val="24"/>
          <w:szCs w:val="24"/>
          <w:lang w:val="en-US"/>
        </w:rPr>
      </w:pPr>
    </w:p>
    <w:p w:rsidR="0095572D" w:rsidRDefault="0095572D" w:rsidP="0095572D">
      <w:pPr>
        <w:jc w:val="both"/>
        <w:rPr>
          <w:rFonts w:ascii="Times New Roman" w:hAnsi="Times New Roman" w:cs="Times New Roman"/>
          <w:b/>
          <w:sz w:val="24"/>
          <w:szCs w:val="24"/>
          <w:lang w:val="en-US"/>
        </w:rPr>
      </w:pPr>
      <w:r w:rsidRPr="00B73278">
        <w:rPr>
          <w:rFonts w:ascii="Times New Roman" w:hAnsi="Times New Roman" w:cs="Times New Roman"/>
          <w:b/>
          <w:sz w:val="24"/>
          <w:szCs w:val="24"/>
          <w:lang w:val="en-US"/>
        </w:rPr>
        <w:t>References</w:t>
      </w:r>
    </w:p>
    <w:p w:rsidR="00B73278" w:rsidRPr="00B73278" w:rsidRDefault="00B73278" w:rsidP="0095572D">
      <w:pPr>
        <w:jc w:val="both"/>
        <w:rPr>
          <w:rFonts w:ascii="Times New Roman" w:hAnsi="Times New Roman" w:cs="Times New Roman"/>
          <w:b/>
          <w:sz w:val="24"/>
          <w:szCs w:val="24"/>
          <w:lang w:val="en-US"/>
        </w:rPr>
      </w:pPr>
      <w:bookmarkStart w:id="0" w:name="_GoBack"/>
      <w:bookmarkEnd w:id="0"/>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w:t>
      </w:r>
      <w:r w:rsidRPr="0095572D">
        <w:rPr>
          <w:rFonts w:ascii="Times New Roman" w:hAnsi="Times New Roman" w:cs="Times New Roman"/>
          <w:sz w:val="24"/>
          <w:szCs w:val="24"/>
          <w:lang w:val="en-US"/>
        </w:rPr>
        <w:tab/>
        <w:t xml:space="preserve">Giotopoulos, K. (2024). A systematic review in digital entrepreneurship ecosystems.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61(1), 279–297. https://doi.org/10.47577/tssj.v61i1.11562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w:t>
      </w:r>
      <w:r w:rsidRPr="0095572D">
        <w:rPr>
          <w:rFonts w:ascii="Times New Roman" w:hAnsi="Times New Roman" w:cs="Times New Roman"/>
          <w:sz w:val="24"/>
          <w:szCs w:val="24"/>
          <w:lang w:val="en-US"/>
        </w:rPr>
        <w:tab/>
        <w:t xml:space="preserve">Antonopoulou, H. (2024). </w:t>
      </w:r>
      <w:proofErr w:type="spellStart"/>
      <w:r w:rsidRPr="0095572D">
        <w:rPr>
          <w:rFonts w:ascii="Times New Roman" w:hAnsi="Times New Roman" w:cs="Times New Roman"/>
          <w:sz w:val="24"/>
          <w:szCs w:val="24"/>
          <w:lang w:val="en-US"/>
        </w:rPr>
        <w:t>Neuroleadership</w:t>
      </w:r>
      <w:proofErr w:type="spellEnd"/>
      <w:r w:rsidRPr="0095572D">
        <w:rPr>
          <w:rFonts w:ascii="Times New Roman" w:hAnsi="Times New Roman" w:cs="Times New Roman"/>
          <w:sz w:val="24"/>
          <w:szCs w:val="24"/>
          <w:lang w:val="en-US"/>
        </w:rPr>
        <w:t xml:space="preserve"> and Its Role in Educational Settings: A Review of Current Practices.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143–154. https://doi.org/10.47577/teh.v10i.11976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w:t>
      </w:r>
      <w:r w:rsidRPr="0095572D">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95572D">
        <w:rPr>
          <w:rFonts w:ascii="Times New Roman" w:hAnsi="Times New Roman" w:cs="Times New Roman"/>
          <w:sz w:val="24"/>
          <w:szCs w:val="24"/>
          <w:lang w:val="en-US"/>
        </w:rPr>
        <w:t>BioChemMed</w:t>
      </w:r>
      <w:proofErr w:type="spellEnd"/>
      <w:r w:rsidRPr="0095572D">
        <w:rPr>
          <w:rFonts w:ascii="Times New Roman" w:hAnsi="Times New Roman" w:cs="Times New Roman"/>
          <w:sz w:val="24"/>
          <w:szCs w:val="24"/>
          <w:lang w:val="en-US"/>
        </w:rPr>
        <w:t>, 11, 45–46.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w:t>
      </w:r>
      <w:r w:rsidRPr="0095572D">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w:t>
      </w:r>
      <w:r w:rsidRPr="0095572D">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6.</w:t>
      </w:r>
      <w:r w:rsidRPr="0095572D">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7.</w:t>
      </w:r>
      <w:r w:rsidRPr="0095572D">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8.</w:t>
      </w:r>
      <w:r w:rsidRPr="0095572D">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9.</w:t>
      </w:r>
      <w:r w:rsidRPr="0095572D">
        <w:rPr>
          <w:rFonts w:ascii="Times New Roman" w:hAnsi="Times New Roman" w:cs="Times New Roman"/>
          <w:sz w:val="24"/>
          <w:szCs w:val="24"/>
          <w:lang w:val="en-US"/>
        </w:rPr>
        <w:tab/>
        <w:t>Gee, J. P. (2007). What video games have to teach us about learning and literacy. Palgrave Macmillan. https://doi.org/10.1057/9780230601994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10.</w:t>
      </w:r>
      <w:r w:rsidRPr="0095572D">
        <w:rPr>
          <w:rFonts w:ascii="Times New Roman" w:hAnsi="Times New Roman" w:cs="Times New Roman"/>
          <w:sz w:val="24"/>
          <w:szCs w:val="24"/>
          <w:lang w:val="en-US"/>
        </w:rPr>
        <w:tab/>
        <w:t xml:space="preserve">Giotopoulos, K. C., Michalopoulos, D., </w:t>
      </w:r>
      <w:proofErr w:type="spellStart"/>
      <w:r w:rsidRPr="0095572D">
        <w:rPr>
          <w:rFonts w:ascii="Times New Roman" w:hAnsi="Times New Roman" w:cs="Times New Roman"/>
          <w:sz w:val="24"/>
          <w:szCs w:val="24"/>
          <w:lang w:val="en-US"/>
        </w:rPr>
        <w:t>Vonitsanos</w:t>
      </w:r>
      <w:proofErr w:type="spellEnd"/>
      <w:r w:rsidRPr="0095572D">
        <w:rPr>
          <w:rFonts w:ascii="Times New Roman" w:hAnsi="Times New Roman" w:cs="Times New Roman"/>
          <w:sz w:val="24"/>
          <w:szCs w:val="24"/>
          <w:lang w:val="en-US"/>
        </w:rPr>
        <w:t xml:space="preserve">, G., Papadopoulos, D., </w:t>
      </w:r>
      <w:proofErr w:type="spellStart"/>
      <w:r w:rsidRPr="0095572D">
        <w:rPr>
          <w:rFonts w:ascii="Times New Roman" w:hAnsi="Times New Roman" w:cs="Times New Roman"/>
          <w:sz w:val="24"/>
          <w:szCs w:val="24"/>
          <w:lang w:val="en-US"/>
        </w:rPr>
        <w:t>Giannoukou</w:t>
      </w:r>
      <w:proofErr w:type="spellEnd"/>
      <w:r w:rsidRPr="0095572D">
        <w:rPr>
          <w:rFonts w:ascii="Times New Roman" w:hAnsi="Times New Roman" w:cs="Times New Roman"/>
          <w:sz w:val="24"/>
          <w:szCs w:val="24"/>
          <w:lang w:val="en-US"/>
        </w:rPr>
        <w:t xml:space="preserve">, I.,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(2024). Dynamic workload management system in the public sector. Information, 15(6), 335. https://doi.org/10.3390/info15060335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11.</w:t>
      </w:r>
      <w:r w:rsidRPr="0095572D">
        <w:rPr>
          <w:rFonts w:ascii="Times New Roman" w:hAnsi="Times New Roman" w:cs="Times New Roman"/>
          <w:sz w:val="24"/>
          <w:szCs w:val="24"/>
          <w:lang w:val="en-US"/>
        </w:rPr>
        <w:tab/>
        <w:t xml:space="preserve">Giotopoulos, K.,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12.</w:t>
      </w:r>
      <w:r w:rsidRPr="0095572D">
        <w:rPr>
          <w:rFonts w:ascii="Times New Roman" w:hAnsi="Times New Roman" w:cs="Times New Roman"/>
          <w:sz w:val="24"/>
          <w:szCs w:val="24"/>
          <w:lang w:val="en-US"/>
        </w:rPr>
        <w:tab/>
        <w:t>Hamari, J., Koivisto, J., &amp;amp; Sarsa, H. (2016). Does gamification work? Computers in Human Behavior, 54, 170–179. https://doi.org/10.1016/j.chb.2015.07.047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13.</w:t>
      </w:r>
      <w:r w:rsidRPr="0095572D">
        <w:rPr>
          <w:rFonts w:ascii="Times New Roman" w:hAnsi="Times New Roman" w:cs="Times New Roman"/>
          <w:sz w:val="24"/>
          <w:szCs w:val="24"/>
          <w:lang w:val="en-US"/>
        </w:rPr>
        <w:tab/>
        <w:t>Hattie, J. (2017). Visible learning. Routledge. https://doi.org/10.4324/9781315709133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14.</w:t>
      </w:r>
      <w:r w:rsidRPr="0095572D">
        <w:rPr>
          <w:rFonts w:ascii="Times New Roman" w:hAnsi="Times New Roman" w:cs="Times New Roman"/>
          <w:sz w:val="24"/>
          <w:szCs w:val="24"/>
          <w:lang w:val="en-US"/>
        </w:rPr>
        <w:tab/>
        <w:t>Holmes, W., Bialik, M., &amp;amp; Fadel, C. (2019). Artificial intelligence in education. OECD Publishing. https://doi.org/10.1787/9789264316149-en</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15.</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Romanian Journal of Applied Sciences and Technology, 24, 103–120. https://doi.org/10.47577/technium.v24i.11972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16.</w:t>
      </w:r>
      <w:r w:rsidRPr="0095572D">
        <w:rPr>
          <w:rFonts w:ascii="Times New Roman" w:hAnsi="Times New Roman" w:cs="Times New Roman"/>
          <w:sz w:val="24"/>
          <w:szCs w:val="24"/>
          <w:lang w:val="en-US"/>
        </w:rPr>
        <w:tab/>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67, 451.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17.</w:t>
      </w:r>
      <w:r w:rsidRPr="0095572D">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18.</w:t>
      </w:r>
      <w:r w:rsidRPr="0095572D">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10, 41–54. https://doi.org/10.47577/teh.v10i.11688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19.</w:t>
      </w:r>
      <w:r w:rsidRPr="0095572D">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20.</w:t>
      </w:r>
      <w:r w:rsidRPr="0095572D">
        <w:rPr>
          <w:rFonts w:ascii="Times New Roman" w:hAnsi="Times New Roman" w:cs="Times New Roman"/>
          <w:sz w:val="24"/>
          <w:szCs w:val="24"/>
          <w:lang w:val="en-US"/>
        </w:rPr>
        <w:tab/>
        <w:t>Kalogeratos, G., Anastasopoulou, E., &amp; Pierrakeas, C. (2024). Myschool: The key role of the information system in the Greek public school. A case study on the prefecture of Achaia. In EDULEARN24 Proceedings (pp. 9700–9706).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21.</w:t>
      </w:r>
      <w:r w:rsidRPr="0095572D">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22.</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Stavrogiannopoulos</w:t>
      </w:r>
      <w:proofErr w:type="spellEnd"/>
      <w:r w:rsidRPr="0095572D">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6, 61–69.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23.</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Kriparopoulou</w:t>
      </w:r>
      <w:proofErr w:type="spellEnd"/>
      <w:r w:rsidRPr="0095572D">
        <w:rPr>
          <w:rFonts w:ascii="Times New Roman" w:hAnsi="Times New Roman" w:cs="Times New Roman"/>
          <w:sz w:val="24"/>
          <w:szCs w:val="24"/>
          <w:lang w:val="en-US"/>
        </w:rPr>
        <w:t xml:space="preserve">, A. (2024). </w:t>
      </w:r>
      <w:proofErr w:type="spellStart"/>
      <w:r w:rsidRPr="0095572D">
        <w:rPr>
          <w:rFonts w:ascii="Times New Roman" w:hAnsi="Times New Roman" w:cs="Times New Roman"/>
          <w:sz w:val="24"/>
          <w:szCs w:val="24"/>
          <w:lang w:val="en-US"/>
        </w:rPr>
        <w:t>Psychotraumatic</w:t>
      </w:r>
      <w:proofErr w:type="spellEnd"/>
      <w:r w:rsidRPr="0095572D">
        <w:rPr>
          <w:rFonts w:ascii="Times New Roman" w:hAnsi="Times New Roman" w:cs="Times New Roman"/>
          <w:sz w:val="24"/>
          <w:szCs w:val="24"/>
          <w:lang w:val="en-US"/>
        </w:rPr>
        <w:t xml:space="preserve"> childhood experiences and anxiety in educational settings.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7, 29–41.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24.</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52, 197.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25.</w:t>
      </w:r>
      <w:r w:rsidRPr="0095572D">
        <w:rPr>
          <w:rFonts w:ascii="Times New Roman" w:hAnsi="Times New Roman" w:cs="Times New Roman"/>
          <w:sz w:val="24"/>
          <w:szCs w:val="24"/>
          <w:lang w:val="en-US"/>
        </w:rPr>
        <w:tab/>
        <w:t xml:space="preserve">Kalogeratos, G., Anastasopoulou, E., Tsagri, A.,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Tsogka, D., Lourida, K., &amp; </w:t>
      </w:r>
      <w:proofErr w:type="spellStart"/>
      <w:r w:rsidRPr="0095572D">
        <w:rPr>
          <w:rFonts w:ascii="Times New Roman" w:hAnsi="Times New Roman" w:cs="Times New Roman"/>
          <w:sz w:val="24"/>
          <w:szCs w:val="24"/>
          <w:lang w:val="en-US"/>
        </w:rPr>
        <w:t>Drongitis</w:t>
      </w:r>
      <w:proofErr w:type="spellEnd"/>
      <w:r w:rsidRPr="0095572D">
        <w:rPr>
          <w:rFonts w:ascii="Times New Roman" w:hAnsi="Times New Roman" w:cs="Times New Roman"/>
          <w:sz w:val="24"/>
          <w:szCs w:val="24"/>
          <w:lang w:val="en-US"/>
        </w:rPr>
        <w:t xml:space="preserve">, A. (2024). Adolescent Trauma and Impact of the COVID-19 Pandemic in the School Context.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 Sci. J., 55, 262.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26.</w:t>
      </w:r>
      <w:r w:rsidRPr="0095572D">
        <w:rPr>
          <w:rFonts w:ascii="Times New Roman" w:hAnsi="Times New Roman" w:cs="Times New Roman"/>
          <w:sz w:val="24"/>
          <w:szCs w:val="24"/>
          <w:lang w:val="en-US"/>
        </w:rPr>
        <w:tab/>
        <w:t xml:space="preserve">Kalogeratos, G., Anastasopoulou, E.,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xml:space="preserve">, C., &amp; </w:t>
      </w:r>
      <w:proofErr w:type="spellStart"/>
      <w:r w:rsidRPr="0095572D">
        <w:rPr>
          <w:rFonts w:ascii="Times New Roman" w:hAnsi="Times New Roman" w:cs="Times New Roman"/>
          <w:sz w:val="24"/>
          <w:szCs w:val="24"/>
          <w:lang w:val="en-US"/>
        </w:rPr>
        <w:t>Avramidi</w:t>
      </w:r>
      <w:proofErr w:type="spellEnd"/>
      <w:r w:rsidRPr="0095572D">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Education and Humanities, 8, 58–77.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27.</w:t>
      </w:r>
      <w:r w:rsidRPr="0095572D">
        <w:rPr>
          <w:rFonts w:ascii="Times New Roman" w:hAnsi="Times New Roman" w:cs="Times New Roman"/>
          <w:sz w:val="24"/>
          <w:szCs w:val="24"/>
          <w:lang w:val="en-US"/>
        </w:rPr>
        <w:tab/>
        <w:t xml:space="preserve">Kalogeratos, G., Gkekas, K.,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28.</w:t>
      </w:r>
      <w:r w:rsidRPr="0095572D">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29.</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In EDULEARN25 Proceedings (pp. 5915–5925).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30.</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31.</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32.</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33.</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EDULEARN25 Proceedings, 5854–5864.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34.</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35.</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36.</w:t>
      </w:r>
      <w:r w:rsidRPr="0095572D">
        <w:rPr>
          <w:rFonts w:ascii="Times New Roman" w:hAnsi="Times New Roman" w:cs="Times New Roman"/>
          <w:sz w:val="24"/>
          <w:szCs w:val="24"/>
          <w:lang w:val="en-US"/>
        </w:rPr>
        <w:tab/>
        <w:t xml:space="preserve">Kalogeratos, G., Travlou, C.,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37.</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38.</w:t>
      </w:r>
      <w:r w:rsidRPr="0095572D">
        <w:rPr>
          <w:rFonts w:ascii="Times New Roman" w:hAnsi="Times New Roman" w:cs="Times New Roman"/>
          <w:sz w:val="24"/>
          <w:szCs w:val="24"/>
          <w:lang w:val="en-US"/>
        </w:rPr>
        <w:tab/>
        <w:t xml:space="preserve">Kalogeratos, G., Tsogka, D., </w:t>
      </w:r>
      <w:proofErr w:type="spellStart"/>
      <w:r w:rsidRPr="0095572D">
        <w:rPr>
          <w:rFonts w:ascii="Times New Roman" w:hAnsi="Times New Roman" w:cs="Times New Roman"/>
          <w:sz w:val="24"/>
          <w:szCs w:val="24"/>
          <w:lang w:val="en-US"/>
        </w:rPr>
        <w:t>Tseremegklis</w:t>
      </w:r>
      <w:proofErr w:type="spellEnd"/>
      <w:r w:rsidRPr="0095572D">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39.</w:t>
      </w:r>
      <w:r w:rsidRPr="0095572D">
        <w:rPr>
          <w:rFonts w:ascii="Times New Roman" w:hAnsi="Times New Roman" w:cs="Times New Roman"/>
          <w:sz w:val="24"/>
          <w:szCs w:val="24"/>
          <w:lang w:val="en-US"/>
        </w:rPr>
        <w:tab/>
        <w:t xml:space="preserve">Karras, A., </w:t>
      </w:r>
      <w:proofErr w:type="spellStart"/>
      <w:r w:rsidRPr="0095572D">
        <w:rPr>
          <w:rFonts w:ascii="Times New Roman" w:hAnsi="Times New Roman" w:cs="Times New Roman"/>
          <w:sz w:val="24"/>
          <w:szCs w:val="24"/>
          <w:lang w:val="en-US"/>
        </w:rPr>
        <w:t>Giannaros</w:t>
      </w:r>
      <w:proofErr w:type="spellEnd"/>
      <w:r w:rsidRPr="0095572D">
        <w:rPr>
          <w:rFonts w:ascii="Times New Roman" w:hAnsi="Times New Roman" w:cs="Times New Roman"/>
          <w:sz w:val="24"/>
          <w:szCs w:val="24"/>
          <w:lang w:val="en-US"/>
        </w:rPr>
        <w:t xml:space="preserve">, A., Theodorakopoulos, L.,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 Kalogeratos, G., Karras, C.,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40.</w:t>
      </w:r>
      <w:r w:rsidRPr="0095572D">
        <w:rPr>
          <w:rFonts w:ascii="Times New Roman" w:hAnsi="Times New Roman" w:cs="Times New Roman"/>
          <w:sz w:val="24"/>
          <w:szCs w:val="24"/>
          <w:lang w:val="en-US"/>
        </w:rPr>
        <w:tab/>
        <w:t xml:space="preserve">Karras, A., Karras, C., Giotopoulos, K. C., Tsolis, D., Oikonomou, K., &amp; </w:t>
      </w:r>
      <w:proofErr w:type="spellStart"/>
      <w:r w:rsidRPr="0095572D">
        <w:rPr>
          <w:rFonts w:ascii="Times New Roman" w:hAnsi="Times New Roman" w:cs="Times New Roman"/>
          <w:sz w:val="24"/>
          <w:szCs w:val="24"/>
          <w:lang w:val="en-US"/>
        </w:rPr>
        <w:t>Sioutas</w:t>
      </w:r>
      <w:proofErr w:type="spellEnd"/>
      <w:r w:rsidRPr="0095572D">
        <w:rPr>
          <w:rFonts w:ascii="Times New Roman" w:hAnsi="Times New Roman" w:cs="Times New Roman"/>
          <w:sz w:val="24"/>
          <w:szCs w:val="24"/>
          <w:lang w:val="en-US"/>
        </w:rPr>
        <w:t>, S. (2023). Federated edge intelligence and edge caching mechanisms. Information, 14(7), 414. https://doi.org/10.3390/info14070414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41.</w:t>
      </w:r>
      <w:r w:rsidRPr="0095572D">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95572D">
        <w:rPr>
          <w:rFonts w:ascii="Times New Roman" w:hAnsi="Times New Roman" w:cs="Times New Roman"/>
          <w:sz w:val="24"/>
          <w:szCs w:val="24"/>
          <w:lang w:val="en-US"/>
        </w:rPr>
        <w:t>BigData</w:t>
      </w:r>
      <w:proofErr w:type="spellEnd"/>
      <w:r w:rsidRPr="0095572D">
        <w:rPr>
          <w:rFonts w:ascii="Times New Roman" w:hAnsi="Times New Roman" w:cs="Times New Roman"/>
          <w:sz w:val="24"/>
          <w:szCs w:val="24"/>
          <w:lang w:val="en-US"/>
        </w:rPr>
        <w:t>) (pp. 2635–2644). IEEE.</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42.</w:t>
      </w:r>
      <w:r w:rsidRPr="0095572D">
        <w:rPr>
          <w:rFonts w:ascii="Times New Roman" w:hAnsi="Times New Roman" w:cs="Times New Roman"/>
          <w:sz w:val="24"/>
          <w:szCs w:val="24"/>
          <w:lang w:val="en-US"/>
        </w:rPr>
        <w:tab/>
        <w:t xml:space="preserve">Karras, A., Theodorakopoulos, L., Karras, C., Theodoropoulou, A.,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43.</w:t>
      </w:r>
      <w:r w:rsidRPr="0095572D">
        <w:rPr>
          <w:rFonts w:ascii="Times New Roman" w:hAnsi="Times New Roman" w:cs="Times New Roman"/>
          <w:sz w:val="24"/>
          <w:szCs w:val="24"/>
          <w:lang w:val="en-US"/>
        </w:rPr>
        <w:tab/>
        <w:t>Makransky, G., &amp;amp; Petersen, G. B. (2019). Immersive virtual reality and learning. Educational Psychology Review, 31(4), 1013–1034. https://doi.org/10.1007/s10648-019-09482-9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lastRenderedPageBreak/>
        <w:t>44.</w:t>
      </w:r>
      <w:r w:rsidRPr="0095572D">
        <w:rPr>
          <w:rFonts w:ascii="Times New Roman" w:hAnsi="Times New Roman" w:cs="Times New Roman"/>
          <w:sz w:val="24"/>
          <w:szCs w:val="24"/>
          <w:lang w:val="en-US"/>
        </w:rPr>
        <w:tab/>
        <w:t>Mishra, P., &amp;amp; Koehler, M. J. (2006). Technological pedagogical content knowledge. Teachers College Record, 108(6), 1017–1054. https://doi.org/10.1111/j.1467- 9620.2006.00684.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45.</w:t>
      </w:r>
      <w:r w:rsidRPr="0095572D">
        <w:rPr>
          <w:rFonts w:ascii="Times New Roman" w:hAnsi="Times New Roman" w:cs="Times New Roman"/>
          <w:sz w:val="24"/>
          <w:szCs w:val="24"/>
          <w:lang w:val="en-US"/>
        </w:rPr>
        <w:tab/>
        <w:t xml:space="preserve">Mourelatos, E., </w:t>
      </w:r>
      <w:proofErr w:type="spellStart"/>
      <w:r w:rsidRPr="0095572D">
        <w:rPr>
          <w:rFonts w:ascii="Times New Roman" w:hAnsi="Times New Roman" w:cs="Times New Roman"/>
          <w:sz w:val="24"/>
          <w:szCs w:val="24"/>
          <w:lang w:val="en-US"/>
        </w:rPr>
        <w:t>Krimpas</w:t>
      </w:r>
      <w:proofErr w:type="spellEnd"/>
      <w:r w:rsidRPr="0095572D">
        <w:rPr>
          <w:rFonts w:ascii="Times New Roman" w:hAnsi="Times New Roman" w:cs="Times New Roman"/>
          <w:sz w:val="24"/>
          <w:szCs w:val="24"/>
          <w:lang w:val="en-US"/>
        </w:rPr>
        <w:t xml:space="preserve">, G.,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46.</w:t>
      </w:r>
      <w:r w:rsidRPr="0095572D">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47.</w:t>
      </w:r>
      <w:r w:rsidRPr="0095572D">
        <w:rPr>
          <w:rFonts w:ascii="Times New Roman" w:hAnsi="Times New Roman" w:cs="Times New Roman"/>
          <w:sz w:val="24"/>
          <w:szCs w:val="24"/>
          <w:lang w:val="en-US"/>
        </w:rPr>
        <w:tab/>
        <w:t xml:space="preserve">Petropoulou, A., Antonopoulou, H., </w:t>
      </w:r>
      <w:proofErr w:type="spellStart"/>
      <w:r w:rsidRPr="0095572D">
        <w:rPr>
          <w:rFonts w:ascii="Times New Roman" w:hAnsi="Times New Roman" w:cs="Times New Roman"/>
          <w:sz w:val="24"/>
          <w:szCs w:val="24"/>
          <w:lang w:val="en-US"/>
        </w:rPr>
        <w:t>Vlachou</w:t>
      </w:r>
      <w:proofErr w:type="spellEnd"/>
      <w:r w:rsidRPr="0095572D">
        <w:rPr>
          <w:rFonts w:ascii="Times New Roman" w:hAnsi="Times New Roman" w:cs="Times New Roman"/>
          <w:sz w:val="24"/>
          <w:szCs w:val="24"/>
          <w:lang w:val="en-US"/>
        </w:rPr>
        <w:t xml:space="preserve">, A. A., </w:t>
      </w:r>
      <w:proofErr w:type="spellStart"/>
      <w:r w:rsidRPr="0095572D">
        <w:rPr>
          <w:rFonts w:ascii="Times New Roman" w:hAnsi="Times New Roman" w:cs="Times New Roman"/>
          <w:sz w:val="24"/>
          <w:szCs w:val="24"/>
          <w:lang w:val="en-US"/>
        </w:rPr>
        <w:t>Gkintoni</w:t>
      </w:r>
      <w:proofErr w:type="spellEnd"/>
      <w:r w:rsidRPr="0095572D">
        <w:rPr>
          <w:rFonts w:ascii="Times New Roman" w:hAnsi="Times New Roman" w:cs="Times New Roman"/>
          <w:sz w:val="24"/>
          <w:szCs w:val="24"/>
          <w:lang w:val="en-US"/>
        </w:rPr>
        <w:t xml:space="preserve">, E., &amp; </w:t>
      </w:r>
      <w:proofErr w:type="spellStart"/>
      <w:r w:rsidRPr="0095572D">
        <w:rPr>
          <w:rFonts w:ascii="Times New Roman" w:hAnsi="Times New Roman" w:cs="Times New Roman"/>
          <w:sz w:val="24"/>
          <w:szCs w:val="24"/>
          <w:lang w:val="en-US"/>
        </w:rPr>
        <w:t>Halkiopoulos</w:t>
      </w:r>
      <w:proofErr w:type="spellEnd"/>
      <w:r w:rsidRPr="0095572D">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48.</w:t>
      </w:r>
      <w:r w:rsidRPr="0095572D">
        <w:rPr>
          <w:rFonts w:ascii="Times New Roman" w:hAnsi="Times New Roman" w:cs="Times New Roman"/>
          <w:sz w:val="24"/>
          <w:szCs w:val="24"/>
          <w:lang w:val="en-US"/>
        </w:rPr>
        <w:tab/>
        <w:t>Ryan, R. M., &amp;amp; Deci, E. L. (2000). Intrinsic and extrinsic motivations. Contemporary Educational Psychology, 25(1), 54–67. https://doi.org/10.1006/ceps.1999.1020</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49.</w:t>
      </w:r>
      <w:r w:rsidRPr="0095572D">
        <w:rPr>
          <w:rFonts w:ascii="Times New Roman" w:hAnsi="Times New Roman" w:cs="Times New Roman"/>
          <w:sz w:val="24"/>
          <w:szCs w:val="24"/>
          <w:lang w:val="en-US"/>
        </w:rPr>
        <w:tab/>
        <w:t xml:space="preserve">Theodorakopoulos, L., </w:t>
      </w:r>
      <w:proofErr w:type="spellStart"/>
      <w:r w:rsidRPr="0095572D">
        <w:rPr>
          <w:rFonts w:ascii="Times New Roman" w:hAnsi="Times New Roman" w:cs="Times New Roman"/>
          <w:sz w:val="24"/>
          <w:szCs w:val="24"/>
          <w:lang w:val="en-US"/>
        </w:rPr>
        <w:t>Kalliampakou</w:t>
      </w:r>
      <w:proofErr w:type="spellEnd"/>
      <w:r w:rsidRPr="0095572D">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95572D">
        <w:rPr>
          <w:rFonts w:ascii="Times New Roman" w:hAnsi="Times New Roman" w:cs="Times New Roman"/>
          <w:sz w:val="24"/>
          <w:szCs w:val="24"/>
          <w:lang w:val="en-US"/>
        </w:rPr>
        <w:t>Dimotikalis</w:t>
      </w:r>
      <w:proofErr w:type="spellEnd"/>
      <w:r w:rsidRPr="0095572D">
        <w:rPr>
          <w:rFonts w:ascii="Times New Roman" w:hAnsi="Times New Roman" w:cs="Times New Roman"/>
          <w:sz w:val="24"/>
          <w:szCs w:val="24"/>
          <w:lang w:val="en-US"/>
        </w:rPr>
        <w:t xml:space="preserve"> &amp; C. H. Skiadas (Eds.), Data Analysis and Related Applications 5 (pp. 259–279). Wiley. https://doi.org/10.1002/9781394401604.ch18</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50.</w:t>
      </w:r>
      <w:r w:rsidRPr="0095572D">
        <w:rPr>
          <w:rFonts w:ascii="Times New Roman" w:hAnsi="Times New Roman" w:cs="Times New Roman"/>
          <w:sz w:val="24"/>
          <w:szCs w:val="24"/>
          <w:lang w:val="en-US"/>
        </w:rPr>
        <w:tab/>
        <w:t>Van Dijk, J. (2020). The digital divide. Polity Press. https://doi.org/10.1002/9781119243092</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51.</w:t>
      </w:r>
      <w:r w:rsidRPr="0095572D">
        <w:rPr>
          <w:rFonts w:ascii="Times New Roman" w:hAnsi="Times New Roman" w:cs="Times New Roman"/>
          <w:sz w:val="24"/>
          <w:szCs w:val="24"/>
          <w:lang w:val="en-US"/>
        </w:rPr>
        <w:tab/>
        <w:t xml:space="preserve">Vasilopoulos, Ch., Theodorakopoulos, L. L., &amp; </w:t>
      </w:r>
      <w:proofErr w:type="spellStart"/>
      <w:r w:rsidRPr="0095572D">
        <w:rPr>
          <w:rFonts w:ascii="Times New Roman" w:hAnsi="Times New Roman" w:cs="Times New Roman"/>
          <w:sz w:val="24"/>
          <w:szCs w:val="24"/>
          <w:lang w:val="en-US"/>
        </w:rPr>
        <w:t>Giotopoulos</w:t>
      </w:r>
      <w:proofErr w:type="spellEnd"/>
      <w:r w:rsidRPr="0095572D">
        <w:rPr>
          <w:rFonts w:ascii="Times New Roman" w:hAnsi="Times New Roman" w:cs="Times New Roman"/>
          <w:sz w:val="24"/>
          <w:szCs w:val="24"/>
          <w:lang w:val="en-US"/>
        </w:rPr>
        <w:t xml:space="preserve">, K. K. (2023). The promise and peril of big data in driving consumer engagement. </w:t>
      </w:r>
      <w:proofErr w:type="spellStart"/>
      <w:r w:rsidRPr="0095572D">
        <w:rPr>
          <w:rFonts w:ascii="Times New Roman" w:hAnsi="Times New Roman" w:cs="Times New Roman"/>
          <w:sz w:val="24"/>
          <w:szCs w:val="24"/>
          <w:lang w:val="en-US"/>
        </w:rPr>
        <w:t>Technium</w:t>
      </w:r>
      <w:proofErr w:type="spellEnd"/>
      <w:r w:rsidRPr="0095572D">
        <w:rPr>
          <w:rFonts w:ascii="Times New Roman" w:hAnsi="Times New Roman" w:cs="Times New Roman"/>
          <w:sz w:val="24"/>
          <w:szCs w:val="24"/>
          <w:lang w:val="en-US"/>
        </w:rPr>
        <w:t xml:space="preserve"> Social Sciences Journal, 45, 489–499.</w:t>
      </w:r>
    </w:p>
    <w:p w:rsidR="0095572D" w:rsidRPr="0095572D" w:rsidRDefault="0095572D" w:rsidP="0095572D">
      <w:pPr>
        <w:jc w:val="both"/>
        <w:rPr>
          <w:rFonts w:ascii="Times New Roman" w:hAnsi="Times New Roman" w:cs="Times New Roman"/>
          <w:sz w:val="24"/>
          <w:szCs w:val="24"/>
          <w:lang w:val="en-US"/>
        </w:rPr>
      </w:pPr>
      <w:r w:rsidRPr="0095572D">
        <w:rPr>
          <w:rFonts w:ascii="Times New Roman" w:hAnsi="Times New Roman" w:cs="Times New Roman"/>
          <w:sz w:val="24"/>
          <w:szCs w:val="24"/>
          <w:lang w:val="en-US"/>
        </w:rPr>
        <w:t>52.</w:t>
      </w:r>
      <w:r w:rsidRPr="0095572D">
        <w:rPr>
          <w:rFonts w:ascii="Times New Roman" w:hAnsi="Times New Roman" w:cs="Times New Roman"/>
          <w:sz w:val="24"/>
          <w:szCs w:val="24"/>
          <w:lang w:val="en-US"/>
        </w:rPr>
        <w:tab/>
        <w:t>Williamson, B. (2017). Big data in education. SAGE. https://doi.org/10.4135/9781529714920</w:t>
      </w:r>
    </w:p>
    <w:p w:rsidR="0095572D" w:rsidRPr="0095572D" w:rsidRDefault="0095572D" w:rsidP="0095572D">
      <w:pPr>
        <w:jc w:val="both"/>
        <w:rPr>
          <w:rFonts w:ascii="Times New Roman" w:hAnsi="Times New Roman" w:cs="Times New Roman"/>
          <w:sz w:val="24"/>
          <w:szCs w:val="24"/>
          <w:lang w:val="en-US"/>
        </w:rPr>
      </w:pPr>
    </w:p>
    <w:sectPr w:rsidR="0095572D" w:rsidRPr="009557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A4" w:rsidRDefault="007A5EA4" w:rsidP="009710C5">
      <w:pPr>
        <w:spacing w:after="0" w:line="240" w:lineRule="auto"/>
      </w:pPr>
      <w:r>
        <w:separator/>
      </w:r>
    </w:p>
  </w:endnote>
  <w:endnote w:type="continuationSeparator" w:id="0">
    <w:p w:rsidR="007A5EA4" w:rsidRDefault="007A5EA4" w:rsidP="009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9710C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9710C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9710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A4" w:rsidRDefault="007A5EA4" w:rsidP="009710C5">
      <w:pPr>
        <w:spacing w:after="0" w:line="240" w:lineRule="auto"/>
      </w:pPr>
      <w:r>
        <w:separator/>
      </w:r>
    </w:p>
  </w:footnote>
  <w:footnote w:type="continuationSeparator" w:id="0">
    <w:p w:rsidR="007A5EA4" w:rsidRDefault="007A5EA4" w:rsidP="0097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7A5EA4">
    <w:pPr>
      <w:pStyle w:val="aa"/>
    </w:pPr>
    <w:r>
      <w:rPr>
        <w:noProof/>
      </w:rPr>
      <w:pict w14:anchorId="405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5"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7A5EA4">
    <w:pPr>
      <w:pStyle w:val="aa"/>
    </w:pPr>
    <w:r>
      <w:rPr>
        <w:noProof/>
      </w:rPr>
      <w:pict w14:anchorId="3A76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6"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C5" w:rsidRDefault="007A5EA4">
    <w:pPr>
      <w:pStyle w:val="aa"/>
    </w:pPr>
    <w:r>
      <w:rPr>
        <w:noProof/>
      </w:rPr>
      <w:pict w14:anchorId="67C7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16454"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81435"/>
    <w:multiLevelType w:val="hybridMultilevel"/>
    <w:tmpl w:val="D2488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866268"/>
    <w:multiLevelType w:val="hybridMultilevel"/>
    <w:tmpl w:val="E34A1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E1"/>
    <w:rsid w:val="000024BE"/>
    <w:rsid w:val="00002B15"/>
    <w:rsid w:val="00050FAF"/>
    <w:rsid w:val="00085CD6"/>
    <w:rsid w:val="00086170"/>
    <w:rsid w:val="00086BAF"/>
    <w:rsid w:val="000F1025"/>
    <w:rsid w:val="001E1127"/>
    <w:rsid w:val="001E736E"/>
    <w:rsid w:val="002910D8"/>
    <w:rsid w:val="0029780E"/>
    <w:rsid w:val="0033219B"/>
    <w:rsid w:val="003346EC"/>
    <w:rsid w:val="00481F0F"/>
    <w:rsid w:val="005300E7"/>
    <w:rsid w:val="00585528"/>
    <w:rsid w:val="00626C92"/>
    <w:rsid w:val="00650A59"/>
    <w:rsid w:val="00661BBE"/>
    <w:rsid w:val="007A5EA4"/>
    <w:rsid w:val="007E53EA"/>
    <w:rsid w:val="00835D82"/>
    <w:rsid w:val="00842EDD"/>
    <w:rsid w:val="008D78D7"/>
    <w:rsid w:val="008E4BD8"/>
    <w:rsid w:val="0095572D"/>
    <w:rsid w:val="009710C5"/>
    <w:rsid w:val="00A107B5"/>
    <w:rsid w:val="00A16011"/>
    <w:rsid w:val="00A61232"/>
    <w:rsid w:val="00B73278"/>
    <w:rsid w:val="00BB477F"/>
    <w:rsid w:val="00D07416"/>
    <w:rsid w:val="00D12A3F"/>
    <w:rsid w:val="00D37EE1"/>
    <w:rsid w:val="00D779BF"/>
    <w:rsid w:val="00D80910"/>
    <w:rsid w:val="00DD1983"/>
    <w:rsid w:val="00E14BFB"/>
    <w:rsid w:val="00E42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C42C3B7-3011-4B13-A77A-C256A5B6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3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7E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7E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7E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7E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7E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7E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7E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7EE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7EE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7EE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7EE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7EE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7E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7E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7E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7EE1"/>
    <w:rPr>
      <w:rFonts w:eastAsiaTheme="majorEastAsia" w:cstheme="majorBidi"/>
      <w:color w:val="272727" w:themeColor="text1" w:themeTint="D8"/>
    </w:rPr>
  </w:style>
  <w:style w:type="paragraph" w:styleId="a3">
    <w:name w:val="Title"/>
    <w:basedOn w:val="a"/>
    <w:next w:val="a"/>
    <w:link w:val="Char"/>
    <w:uiPriority w:val="10"/>
    <w:qFormat/>
    <w:rsid w:val="00D3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7E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7E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7E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7EE1"/>
    <w:pPr>
      <w:spacing w:before="160"/>
      <w:jc w:val="center"/>
    </w:pPr>
    <w:rPr>
      <w:i/>
      <w:iCs/>
      <w:color w:val="404040" w:themeColor="text1" w:themeTint="BF"/>
    </w:rPr>
  </w:style>
  <w:style w:type="character" w:customStyle="1" w:styleId="Char1">
    <w:name w:val="Απόσπασμα Char"/>
    <w:basedOn w:val="a0"/>
    <w:link w:val="a5"/>
    <w:uiPriority w:val="29"/>
    <w:rsid w:val="00D37EE1"/>
    <w:rPr>
      <w:i/>
      <w:iCs/>
      <w:color w:val="404040" w:themeColor="text1" w:themeTint="BF"/>
    </w:rPr>
  </w:style>
  <w:style w:type="paragraph" w:styleId="a6">
    <w:name w:val="List Paragraph"/>
    <w:basedOn w:val="a"/>
    <w:uiPriority w:val="34"/>
    <w:qFormat/>
    <w:rsid w:val="00D37EE1"/>
    <w:pPr>
      <w:ind w:left="720"/>
      <w:contextualSpacing/>
    </w:pPr>
  </w:style>
  <w:style w:type="character" w:styleId="a7">
    <w:name w:val="Intense Emphasis"/>
    <w:basedOn w:val="a0"/>
    <w:uiPriority w:val="21"/>
    <w:qFormat/>
    <w:rsid w:val="00D37EE1"/>
    <w:rPr>
      <w:i/>
      <w:iCs/>
      <w:color w:val="0F4761" w:themeColor="accent1" w:themeShade="BF"/>
    </w:rPr>
  </w:style>
  <w:style w:type="paragraph" w:styleId="a8">
    <w:name w:val="Intense Quote"/>
    <w:basedOn w:val="a"/>
    <w:next w:val="a"/>
    <w:link w:val="Char2"/>
    <w:uiPriority w:val="30"/>
    <w:qFormat/>
    <w:rsid w:val="00D3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D37EE1"/>
    <w:rPr>
      <w:i/>
      <w:iCs/>
      <w:color w:val="0F4761" w:themeColor="accent1" w:themeShade="BF"/>
    </w:rPr>
  </w:style>
  <w:style w:type="character" w:styleId="a9">
    <w:name w:val="Intense Reference"/>
    <w:basedOn w:val="a0"/>
    <w:uiPriority w:val="32"/>
    <w:qFormat/>
    <w:rsid w:val="00D37EE1"/>
    <w:rPr>
      <w:b/>
      <w:bCs/>
      <w:smallCaps/>
      <w:color w:val="0F4761" w:themeColor="accent1" w:themeShade="BF"/>
      <w:spacing w:val="5"/>
    </w:rPr>
  </w:style>
  <w:style w:type="character" w:styleId="-">
    <w:name w:val="Hyperlink"/>
    <w:basedOn w:val="a0"/>
    <w:uiPriority w:val="99"/>
    <w:unhideWhenUsed/>
    <w:rsid w:val="00481F0F"/>
    <w:rPr>
      <w:color w:val="467886" w:themeColor="hyperlink"/>
      <w:u w:val="single"/>
    </w:rPr>
  </w:style>
  <w:style w:type="character" w:customStyle="1" w:styleId="UnresolvedMention">
    <w:name w:val="Unresolved Mention"/>
    <w:basedOn w:val="a0"/>
    <w:uiPriority w:val="99"/>
    <w:semiHidden/>
    <w:unhideWhenUsed/>
    <w:rsid w:val="00481F0F"/>
    <w:rPr>
      <w:color w:val="605E5C"/>
      <w:shd w:val="clear" w:color="auto" w:fill="E1DFDD"/>
    </w:rPr>
  </w:style>
  <w:style w:type="paragraph" w:styleId="aa">
    <w:name w:val="header"/>
    <w:basedOn w:val="a"/>
    <w:link w:val="Char3"/>
    <w:uiPriority w:val="99"/>
    <w:unhideWhenUsed/>
    <w:rsid w:val="009710C5"/>
    <w:pPr>
      <w:tabs>
        <w:tab w:val="center" w:pos="4680"/>
        <w:tab w:val="right" w:pos="9360"/>
      </w:tabs>
      <w:spacing w:after="0" w:line="240" w:lineRule="auto"/>
    </w:pPr>
  </w:style>
  <w:style w:type="character" w:customStyle="1" w:styleId="Char3">
    <w:name w:val="Κεφαλίδα Char"/>
    <w:basedOn w:val="a0"/>
    <w:link w:val="aa"/>
    <w:uiPriority w:val="99"/>
    <w:rsid w:val="009710C5"/>
  </w:style>
  <w:style w:type="paragraph" w:styleId="ab">
    <w:name w:val="footer"/>
    <w:basedOn w:val="a"/>
    <w:link w:val="Char4"/>
    <w:uiPriority w:val="99"/>
    <w:unhideWhenUsed/>
    <w:rsid w:val="009710C5"/>
    <w:pPr>
      <w:tabs>
        <w:tab w:val="center" w:pos="4680"/>
        <w:tab w:val="right" w:pos="9360"/>
      </w:tabs>
      <w:spacing w:after="0" w:line="240" w:lineRule="auto"/>
    </w:pPr>
  </w:style>
  <w:style w:type="character" w:customStyle="1" w:styleId="Char4">
    <w:name w:val="Υποσέλιδο Char"/>
    <w:basedOn w:val="a0"/>
    <w:link w:val="ab"/>
    <w:uiPriority w:val="99"/>
    <w:rsid w:val="0097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7273</Words>
  <Characters>39280</Characters>
  <Application>Microsoft Office Word</Application>
  <DocSecurity>0</DocSecurity>
  <Lines>327</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KALOGERATOS</dc:creator>
  <cp:keywords/>
  <dc:description/>
  <cp:lastModifiedBy>User</cp:lastModifiedBy>
  <cp:revision>2</cp:revision>
  <dcterms:created xsi:type="dcterms:W3CDTF">2026-03-13T07:47:00Z</dcterms:created>
  <dcterms:modified xsi:type="dcterms:W3CDTF">2026-03-13T07:47:00Z</dcterms:modified>
</cp:coreProperties>
</file>