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96C2F" w14:textId="77777777" w:rsidR="001A7132" w:rsidRDefault="00E6565E">
      <w:pPr>
        <w:pStyle w:val="Author"/>
        <w:spacing w:line="240" w:lineRule="auto"/>
        <w:jc w:val="left"/>
        <w:rPr>
          <w:rFonts w:ascii="Arial" w:hAnsi="Arial" w:cs="Arial"/>
          <w:kern w:val="28"/>
          <w:sz w:val="36"/>
          <w:szCs w:val="36"/>
          <w:u w:val="single"/>
        </w:rPr>
      </w:pPr>
      <w:r>
        <w:rPr>
          <w:rFonts w:ascii="Arial" w:hAnsi="Arial" w:cs="Arial"/>
          <w:kern w:val="28"/>
          <w:sz w:val="36"/>
          <w:szCs w:val="36"/>
          <w:u w:val="single"/>
        </w:rPr>
        <w:t>Original Research Article</w:t>
      </w:r>
    </w:p>
    <w:p w14:paraId="104F315F" w14:textId="77777777" w:rsidR="001A7132" w:rsidRDefault="001A7132">
      <w:pPr>
        <w:pStyle w:val="Author"/>
        <w:spacing w:line="240" w:lineRule="auto"/>
        <w:jc w:val="left"/>
        <w:rPr>
          <w:rFonts w:ascii="Arial" w:hAnsi="Arial" w:cs="Arial"/>
          <w:kern w:val="28"/>
          <w:sz w:val="36"/>
          <w:szCs w:val="36"/>
          <w:u w:val="single"/>
        </w:rPr>
      </w:pPr>
    </w:p>
    <w:p w14:paraId="703F6029" w14:textId="77777777" w:rsidR="001A7132" w:rsidRDefault="00E6565E">
      <w:pPr>
        <w:pStyle w:val="Author"/>
        <w:spacing w:line="240" w:lineRule="auto"/>
        <w:rPr>
          <w:rFonts w:ascii="Arial" w:hAnsi="Arial" w:cs="Arial"/>
          <w:kern w:val="28"/>
          <w:sz w:val="36"/>
          <w:szCs w:val="36"/>
        </w:rPr>
      </w:pPr>
      <w:r>
        <w:rPr>
          <w:rFonts w:ascii="Arial" w:hAnsi="Arial" w:cs="Arial"/>
          <w:bCs/>
          <w:i/>
          <w:iCs/>
          <w:kern w:val="28"/>
          <w:sz w:val="36"/>
          <w:szCs w:val="36"/>
        </w:rPr>
        <w:t>Awareness to Engagement: A Mixed</w:t>
      </w:r>
      <w:r>
        <w:rPr>
          <w:rFonts w:ascii="Arial" w:hAnsi="Arial" w:cs="Arial"/>
          <w:bCs/>
          <w:i/>
          <w:iCs/>
          <w:kern w:val="28"/>
          <w:sz w:val="36"/>
          <w:szCs w:val="36"/>
        </w:rPr>
        <w:noBreakHyphen/>
        <w:t>Methods Study of Political and Civic Development in a Philippine Senior High School</w:t>
      </w:r>
      <w:r>
        <w:rPr>
          <w:rFonts w:ascii="Arial" w:hAnsi="Arial" w:cs="Arial"/>
          <w:kern w:val="28"/>
          <w:sz w:val="36"/>
          <w:szCs w:val="36"/>
        </w:rPr>
        <w:t xml:space="preserve"> </w:t>
      </w:r>
    </w:p>
    <w:p w14:paraId="2D9EE3BA" w14:textId="77777777" w:rsidR="001A7132" w:rsidRDefault="001A7132">
      <w:pPr>
        <w:pStyle w:val="Copyright"/>
        <w:spacing w:after="0" w:line="240" w:lineRule="auto"/>
        <w:jc w:val="both"/>
        <w:rPr>
          <w:rFonts w:ascii="Arial" w:hAnsi="Arial" w:cs="Arial"/>
        </w:rPr>
      </w:pPr>
    </w:p>
    <w:p w14:paraId="00F71AD9" w14:textId="77777777" w:rsidR="001A7132" w:rsidRDefault="001A7132">
      <w:pPr>
        <w:pStyle w:val="Copyright"/>
        <w:spacing w:after="0" w:line="240" w:lineRule="auto"/>
        <w:jc w:val="both"/>
        <w:rPr>
          <w:rFonts w:ascii="Arial" w:hAnsi="Arial" w:cs="Arial"/>
        </w:rPr>
      </w:pPr>
    </w:p>
    <w:p w14:paraId="02614873" w14:textId="77777777" w:rsidR="001A7132" w:rsidRDefault="00000000">
      <w:pPr>
        <w:pStyle w:val="Copyright"/>
        <w:spacing w:after="0" w:line="240" w:lineRule="auto"/>
        <w:jc w:val="both"/>
        <w:rPr>
          <w:rFonts w:ascii="Arial" w:hAnsi="Arial" w:cs="Arial"/>
        </w:rPr>
        <w:sectPr w:rsidR="001A7132">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542B7CF4">
          <v:shapetype id="_x0000_t32" coordsize="21600,21600" o:spt="32" o:oned="t" path="m,l21600,21600e" filled="f">
            <v:path arrowok="t" fillok="f" o:connecttype="none"/>
            <o:lock v:ext="edit" shapetype="t"/>
          </v:shapetype>
          <v:shape id="_x0000_s205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E6565E">
        <w:rPr>
          <w:rFonts w:ascii="Arial" w:hAnsi="Arial" w:cs="Arial"/>
        </w:rPr>
        <w:t>.</w:t>
      </w:r>
    </w:p>
    <w:p w14:paraId="112CC7E8" w14:textId="77777777" w:rsidR="001A7132" w:rsidRDefault="00E6565E">
      <w:pPr>
        <w:pStyle w:val="AbstHead"/>
        <w:spacing w:after="0"/>
        <w:jc w:val="both"/>
        <w:rPr>
          <w:rFonts w:ascii="Arial" w:hAnsi="Arial" w:cs="Arial"/>
        </w:rPr>
      </w:pPr>
      <w:r>
        <w:rPr>
          <w:rFonts w:ascii="Arial" w:hAnsi="Arial" w:cs="Arial"/>
        </w:rPr>
        <w:t xml:space="preserve">ABSTRACT </w:t>
      </w:r>
    </w:p>
    <w:p w14:paraId="5A39BBE3" w14:textId="77777777" w:rsidR="001A7132" w:rsidRDefault="001A713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1A7132" w14:paraId="6AD60C3F" w14:textId="77777777">
        <w:tc>
          <w:tcPr>
            <w:tcW w:w="9576" w:type="dxa"/>
            <w:shd w:val="clear" w:color="auto" w:fill="F2F2F2" w:themeFill="background1" w:themeFillShade="F2"/>
          </w:tcPr>
          <w:p w14:paraId="52654C5C" w14:textId="77777777" w:rsidR="001A7132" w:rsidRDefault="00E6565E">
            <w:pPr>
              <w:pStyle w:val="Body"/>
              <w:spacing w:after="0"/>
            </w:pPr>
            <w:r>
              <w:rPr>
                <w:rFonts w:ascii="Arial" w:eastAsia="Calibri" w:hAnsi="Arial" w:cs="Arial"/>
                <w:b/>
                <w:bCs/>
              </w:rPr>
              <w:t xml:space="preserve">Aims: </w:t>
            </w:r>
            <w:r>
              <w:t>To examine how political and civic awareness relate to political and civic engagement among Senior High School (SHS) students in the Philippines, and to identify the mechanisms through which awareness is converted into action. It advances civic education theory by refining the Input–Process–Output (IPO) framework to highlight mediating processes between awareness and engagement, and extends Freire’s critical consciousness and Bandura’s social learning perspectives to explain how awareness becomes participation in hybrid classroom/digital contexts.</w:t>
            </w:r>
          </w:p>
          <w:p w14:paraId="28191DBD" w14:textId="77777777" w:rsidR="001A7132" w:rsidRDefault="00E6565E">
            <w:pPr>
              <w:pStyle w:val="Body"/>
              <w:spacing w:after="0"/>
              <w:rPr>
                <w:rFonts w:ascii="Arial" w:eastAsia="Calibri" w:hAnsi="Arial" w:cs="Arial"/>
              </w:rPr>
            </w:pPr>
            <w:r>
              <w:rPr>
                <w:rFonts w:ascii="Arial" w:eastAsia="Calibri" w:hAnsi="Arial" w:cs="Arial"/>
                <w:b/>
                <w:bCs/>
              </w:rPr>
              <w:t>Study design:</w:t>
            </w:r>
            <w:r>
              <w:rPr>
                <w:rFonts w:ascii="Arial" w:eastAsia="Calibri" w:hAnsi="Arial" w:cs="Arial"/>
              </w:rPr>
              <w:t xml:space="preserve"> </w:t>
            </w:r>
            <w:r>
              <w:t>An explanatory sequential mixed‑methods design was employed, combining quantitative analysis of awareness–engagement relationships with qualitative exploration of underlying mechanisms.</w:t>
            </w:r>
          </w:p>
          <w:p w14:paraId="6455446D" w14:textId="77777777" w:rsidR="001A7132" w:rsidRDefault="00E6565E">
            <w:pPr>
              <w:pStyle w:val="Body"/>
              <w:spacing w:after="0"/>
            </w:pPr>
            <w:r>
              <w:rPr>
                <w:rFonts w:ascii="Arial" w:eastAsia="Calibri" w:hAnsi="Arial" w:cs="Arial"/>
                <w:b/>
                <w:bCs/>
              </w:rPr>
              <w:t>Place and Duration of Study:</w:t>
            </w:r>
            <w:r>
              <w:rPr>
                <w:rFonts w:ascii="Arial" w:eastAsia="Calibri" w:hAnsi="Arial" w:cs="Arial"/>
              </w:rPr>
              <w:t xml:space="preserve"> </w:t>
            </w:r>
            <w:r>
              <w:t xml:space="preserve">The study was conducted in Domingo Lacson National High School, </w:t>
            </w:r>
            <w:proofErr w:type="spellStart"/>
            <w:r>
              <w:t>Banago</w:t>
            </w:r>
            <w:proofErr w:type="spellEnd"/>
            <w:r>
              <w:t>, Bacolod City, Negros Occidental, Philippines during the School Year 2025–2026.</w:t>
            </w:r>
          </w:p>
          <w:p w14:paraId="077066FF" w14:textId="77777777" w:rsidR="001A7132" w:rsidRDefault="00E6565E">
            <w:pPr>
              <w:pStyle w:val="Body"/>
              <w:spacing w:after="0"/>
            </w:pPr>
            <w:r>
              <w:rPr>
                <w:rFonts w:ascii="Arial" w:eastAsia="Calibri" w:hAnsi="Arial" w:cs="Arial"/>
                <w:b/>
                <w:bCs/>
              </w:rPr>
              <w:t>Methodology:</w:t>
            </w:r>
            <w:r>
              <w:rPr>
                <w:rFonts w:ascii="Arial" w:eastAsia="Calibri" w:hAnsi="Arial" w:cs="Arial"/>
              </w:rPr>
              <w:t xml:space="preserve"> </w:t>
            </w:r>
            <w:r>
              <w:t>Stratified random sampling yielded 400 students balanced by sex, grade level, and SHS track. A five‑part questionnaire, using Likert‑based scales, measured demographics, political awareness, civic awareness, political engagement, and civic engagement. Regression models controlled for demographic variables (sex, grade level, track). Extreme‑case purposive sampling selected 8 students for focus group discussions. Quantitative findings identified patterns that directly shaped focus group prompts, enabling qualitative insights to deepen interpretation of statistical trends. Quantitative data were analyzed using descriptive statistics, subgroup comparisons, correlations, and regressions, while qualitative data were examined through reflexive thematic analysis.</w:t>
            </w:r>
          </w:p>
          <w:p w14:paraId="76135137" w14:textId="77777777" w:rsidR="001A7132" w:rsidRDefault="00E6565E">
            <w:pPr>
              <w:pStyle w:val="Body"/>
              <w:spacing w:after="0"/>
              <w:rPr>
                <w:rFonts w:ascii="Arial" w:eastAsia="Calibri" w:hAnsi="Arial" w:cs="Arial"/>
              </w:rPr>
            </w:pPr>
            <w:r>
              <w:rPr>
                <w:rFonts w:ascii="Arial" w:eastAsia="Calibri" w:hAnsi="Arial" w:cs="Arial"/>
                <w:b/>
                <w:bCs/>
              </w:rPr>
              <w:t>Results:</w:t>
            </w:r>
            <w:r>
              <w:rPr>
                <w:rFonts w:ascii="Arial" w:eastAsia="Calibri" w:hAnsi="Arial" w:cs="Arial"/>
              </w:rPr>
              <w:t xml:space="preserve">  Students were generally “Aware” in both domains, with civic engagement stronger than political engagement. Political awareness moderately predicted political engagement (r ≈ .40; </w:t>
            </w:r>
            <w:r>
              <w:rPr>
                <w:rFonts w:ascii="Arial" w:eastAsia="Calibri" w:hAnsi="Arial" w:cs="Arial"/>
                <w:i/>
                <w:iCs/>
              </w:rPr>
              <w:t>R²</w:t>
            </w:r>
            <w:r>
              <w:rPr>
                <w:rFonts w:ascii="Arial" w:eastAsia="Calibri" w:hAnsi="Arial" w:cs="Arial"/>
              </w:rPr>
              <w:t xml:space="preserve"> ≈ .16), while civic awareness strongly predicted civic engagement </w:t>
            </w:r>
            <w:r>
              <w:rPr>
                <w:rFonts w:ascii="Arial" w:eastAsia="Calibri" w:hAnsi="Arial" w:cs="Arial"/>
                <w:i/>
                <w:iCs/>
              </w:rPr>
              <w:t>(r</w:t>
            </w:r>
            <w:r>
              <w:rPr>
                <w:rFonts w:ascii="Arial" w:eastAsia="Calibri" w:hAnsi="Arial" w:cs="Arial"/>
              </w:rPr>
              <w:t xml:space="preserve"> ≈ .67; </w:t>
            </w:r>
            <w:r>
              <w:rPr>
                <w:rFonts w:ascii="Arial" w:eastAsia="Calibri" w:hAnsi="Arial" w:cs="Arial"/>
                <w:i/>
                <w:iCs/>
              </w:rPr>
              <w:t>R²</w:t>
            </w:r>
            <w:r>
              <w:rPr>
                <w:rFonts w:ascii="Arial" w:eastAsia="Calibri" w:hAnsi="Arial" w:cs="Arial"/>
              </w:rPr>
              <w:t xml:space="preserve"> ≈ .45). Qualitative themes revealed mechanisms including digital political learning, curricular disparities, incentive‑dependent participation, and peer‑network socialization. Track differences were most pronounced for awareness, grade differences modest for engagement, and sex differences minimal.</w:t>
            </w:r>
          </w:p>
          <w:p w14:paraId="697C538B" w14:textId="77777777" w:rsidR="001A7132" w:rsidRDefault="00E6565E">
            <w:pPr>
              <w:pStyle w:val="Body"/>
              <w:spacing w:after="0"/>
              <w:rPr>
                <w:rFonts w:ascii="Arial" w:eastAsia="Calibri" w:hAnsi="Arial" w:cs="Arial"/>
              </w:rPr>
            </w:pPr>
            <w:r>
              <w:rPr>
                <w:rFonts w:ascii="Arial" w:eastAsia="Calibri" w:hAnsi="Arial" w:cs="Arial"/>
                <w:b/>
                <w:bCs/>
              </w:rPr>
              <w:t>Conclusion:</w:t>
            </w:r>
            <w:r>
              <w:rPr>
                <w:rFonts w:ascii="Arial" w:eastAsia="Calibri" w:hAnsi="Arial" w:cs="Arial"/>
              </w:rPr>
              <w:t xml:space="preserve"> </w:t>
            </w:r>
          </w:p>
          <w:p w14:paraId="5519BFEC" w14:textId="77777777" w:rsidR="001A7132" w:rsidRDefault="00E6565E">
            <w:pPr>
              <w:pStyle w:val="Body"/>
              <w:spacing w:after="0"/>
              <w:rPr>
                <w:rFonts w:ascii="Arial" w:eastAsia="Calibri" w:hAnsi="Arial" w:cs="Arial"/>
              </w:rPr>
            </w:pPr>
            <w:r>
              <w:rPr>
                <w:rFonts w:ascii="Arial" w:eastAsia="Calibri" w:hAnsi="Arial" w:cs="Arial"/>
              </w:rPr>
              <w:t>Awareness alone does not guarantee participation; civic pathways serve as bridges toward political learning. This study advances IPO theory by highlighting process‑level mediators that convert awareness into engagement, extends Freire’s and Bandura’s frameworks to hybrid classroom and digital contexts, and positions the Philippine SHS case as globally relevant for understanding youth civic development in digital democracies. Policy implications point to track‑inclusive experiential civics, stronger media and information literacy, and autonomy‑supportive school routines that reliably transform awareness into action.</w:t>
            </w:r>
          </w:p>
        </w:tc>
      </w:tr>
    </w:tbl>
    <w:p w14:paraId="0E27B00A" w14:textId="77777777" w:rsidR="001A7132" w:rsidRDefault="001A7132">
      <w:pPr>
        <w:pStyle w:val="Body"/>
        <w:spacing w:after="0"/>
        <w:rPr>
          <w:rFonts w:ascii="Arial" w:hAnsi="Arial" w:cs="Arial"/>
          <w:i/>
        </w:rPr>
      </w:pPr>
    </w:p>
    <w:p w14:paraId="19A26357" w14:textId="77777777" w:rsidR="001A7132" w:rsidRDefault="00E6565E">
      <w:pPr>
        <w:pStyle w:val="Body"/>
        <w:spacing w:after="0"/>
        <w:rPr>
          <w:rFonts w:ascii="Arial" w:hAnsi="Arial" w:cs="Arial"/>
          <w:i/>
          <w:iCs/>
        </w:rPr>
      </w:pPr>
      <w:r>
        <w:rPr>
          <w:rFonts w:ascii="Arial" w:hAnsi="Arial" w:cs="Arial"/>
          <w:i/>
          <w:iCs/>
        </w:rPr>
        <w:lastRenderedPageBreak/>
        <w:t>Keywords: civic education; digital citizenship; mixed‑methods research; Philippines; political socialization; school climate; youth engagement</w:t>
      </w:r>
    </w:p>
    <w:p w14:paraId="60061E4C" w14:textId="77777777" w:rsidR="001A7132" w:rsidRDefault="001A7132">
      <w:pPr>
        <w:pStyle w:val="Body"/>
        <w:spacing w:after="0"/>
        <w:rPr>
          <w:rFonts w:ascii="Arial" w:hAnsi="Arial" w:cs="Arial"/>
          <w:i/>
        </w:rPr>
      </w:pPr>
    </w:p>
    <w:p w14:paraId="4B94D5A5" w14:textId="77777777" w:rsidR="001A7132" w:rsidRDefault="001A7132">
      <w:pPr>
        <w:pStyle w:val="Body"/>
        <w:spacing w:after="0"/>
        <w:rPr>
          <w:rFonts w:ascii="Arial" w:hAnsi="Arial" w:cs="Arial"/>
          <w:i/>
        </w:rPr>
      </w:pPr>
    </w:p>
    <w:p w14:paraId="6EABAC78" w14:textId="77777777" w:rsidR="001A7132" w:rsidRDefault="00E6565E">
      <w:pPr>
        <w:pStyle w:val="AbstHead"/>
        <w:spacing w:after="0"/>
        <w:jc w:val="both"/>
        <w:rPr>
          <w:rFonts w:ascii="Arial" w:hAnsi="Arial" w:cs="Arial"/>
        </w:rPr>
      </w:pPr>
      <w:r>
        <w:rPr>
          <w:rFonts w:ascii="Arial" w:hAnsi="Arial" w:cs="Arial"/>
        </w:rPr>
        <w:t>1. INTRODUCTION</w:t>
      </w:r>
    </w:p>
    <w:p w14:paraId="3DEEC669" w14:textId="77777777" w:rsidR="001A7132" w:rsidRDefault="001A7132">
      <w:pPr>
        <w:pStyle w:val="AbstHead"/>
        <w:spacing w:after="0"/>
        <w:jc w:val="both"/>
        <w:rPr>
          <w:rFonts w:ascii="Arial" w:hAnsi="Arial" w:cs="Arial"/>
        </w:rPr>
      </w:pPr>
    </w:p>
    <w:p w14:paraId="097D4B82" w14:textId="77777777" w:rsidR="001A7132" w:rsidRDefault="00E6565E">
      <w:pPr>
        <w:pStyle w:val="Body"/>
        <w:spacing w:after="0"/>
        <w:rPr>
          <w:rFonts w:ascii="Arial" w:hAnsi="Arial" w:cs="Arial"/>
        </w:rPr>
      </w:pPr>
      <w:r>
        <w:rPr>
          <w:rFonts w:ascii="Arial" w:hAnsi="Arial" w:cs="Arial"/>
        </w:rPr>
        <w:t>Across democracies, concerns persist about whether schools adequately prepare young people for sustained civic and political participation. Declining civics scores in the United States and persistent funding disparities between civics and STEM education highlight the urgency of strengthening civic learning (National Center for Education Statistics, 2024; Hoover Institution, 2025; Carnegie Corporation of New York, 2024). Research consistently shows that open, discussion‑rich classrooms and democratic school climates foster civic knowledge, political interest, and efficacy (Kristensen, Denk, Olson, &amp; Solhaug, 2022; Reichert, Chen, &amp; Torney‑Purta, 2018). These effects, however, are often mediated by trust in institutions and political efficacy rather than direct exposure alone (Reichert et al., 2018; Kristensen et al., 2022).</w:t>
      </w:r>
    </w:p>
    <w:p w14:paraId="7274A313" w14:textId="77777777" w:rsidR="001A7132" w:rsidRDefault="00E6565E">
      <w:pPr>
        <w:pStyle w:val="Body"/>
        <w:spacing w:after="0"/>
        <w:rPr>
          <w:rFonts w:ascii="Arial" w:hAnsi="Arial" w:cs="Arial"/>
        </w:rPr>
      </w:pPr>
      <w:r>
        <w:rPr>
          <w:rFonts w:ascii="Arial" w:hAnsi="Arial" w:cs="Arial"/>
        </w:rPr>
        <w:t xml:space="preserve"> </w:t>
      </w:r>
    </w:p>
    <w:p w14:paraId="41A9013E" w14:textId="77777777" w:rsidR="001A7132" w:rsidRDefault="00E6565E">
      <w:pPr>
        <w:pStyle w:val="Body"/>
        <w:spacing w:after="0"/>
        <w:rPr>
          <w:rFonts w:ascii="Arial" w:hAnsi="Arial" w:cs="Arial"/>
        </w:rPr>
      </w:pPr>
      <w:r>
        <w:rPr>
          <w:rFonts w:ascii="Arial" w:hAnsi="Arial" w:cs="Arial"/>
        </w:rPr>
        <w:t xml:space="preserve">Political awareness, civic awareness, political engagement, and civic engagement are foundational pillars of active citizenship. Civic awareness extends beyond knowledge of rights and duties to include values and dispositions that inspire responsible community participation; extracurricular and community involvement (e.g., social initiatives, volunteerism) can foster tolerance, responsibility, and civic consciousness (Lundberg &amp; Abdelzadeh, 2022; Martini et al., 2023; </w:t>
      </w:r>
      <w:proofErr w:type="spellStart"/>
      <w:r>
        <w:rPr>
          <w:rFonts w:ascii="Arial" w:hAnsi="Arial" w:cs="Arial"/>
        </w:rPr>
        <w:t>Zarrett</w:t>
      </w:r>
      <w:proofErr w:type="spellEnd"/>
      <w:r>
        <w:rPr>
          <w:rFonts w:ascii="Arial" w:hAnsi="Arial" w:cs="Arial"/>
        </w:rPr>
        <w:t xml:space="preserve"> et al., 2021). Political awareness involves understanding political systems, rights, duties, and current events, and the capacity to critically engage political information, while civic engagement includes actions such as voting, advocacy, and community service (Kristensen, Denk, Olson, &amp; Solhaug, 2021; Longley, 2022). Distinguishing civic from political engagement clarified that the former concerned involvement with collective well‑being and community issues, whereas the latter focused on participation in political institutions, processes, and decision‑making (Barrett &amp; Pachi, 2019). Conceptually, the connection between civic engagement and political literacy was essential for nurturing responsible citizenship; when youth were informed and encouraged to take thoughtful, proactive steps, they were empowered to participate meaningfully in communities and governance (Barton &amp; Ho, 2020).</w:t>
      </w:r>
    </w:p>
    <w:p w14:paraId="3CB14D96" w14:textId="77777777" w:rsidR="001A7132" w:rsidRDefault="001A7132">
      <w:pPr>
        <w:pStyle w:val="Body"/>
        <w:spacing w:after="0"/>
        <w:rPr>
          <w:rFonts w:ascii="Arial" w:hAnsi="Arial" w:cs="Arial"/>
        </w:rPr>
      </w:pPr>
    </w:p>
    <w:p w14:paraId="37024300" w14:textId="77777777" w:rsidR="001A7132" w:rsidRDefault="00E6565E">
      <w:pPr>
        <w:pStyle w:val="Body"/>
        <w:spacing w:after="0"/>
        <w:rPr>
          <w:rFonts w:ascii="Arial" w:hAnsi="Arial" w:cs="Arial"/>
        </w:rPr>
      </w:pPr>
      <w:r>
        <w:rPr>
          <w:rFonts w:ascii="Arial" w:hAnsi="Arial" w:cs="Arial"/>
        </w:rPr>
        <w:t xml:space="preserve">In the Philippine context, civic development increasingly unfolds in hybrid online/offline spaces (Murthy, 2018; </w:t>
      </w:r>
      <w:proofErr w:type="spellStart"/>
      <w:r>
        <w:rPr>
          <w:rFonts w:ascii="Arial" w:hAnsi="Arial" w:cs="Arial"/>
        </w:rPr>
        <w:t>Sastramidjaja</w:t>
      </w:r>
      <w:proofErr w:type="spellEnd"/>
      <w:r>
        <w:rPr>
          <w:rFonts w:ascii="Arial" w:hAnsi="Arial" w:cs="Arial"/>
        </w:rPr>
        <w:t xml:space="preserve">, 2024). Adolescents rely heavily on social media for information and expression (UNICEF Philippines, 2023/2024; </w:t>
      </w:r>
      <w:proofErr w:type="spellStart"/>
      <w:r>
        <w:rPr>
          <w:rFonts w:ascii="Arial" w:hAnsi="Arial" w:cs="Arial"/>
        </w:rPr>
        <w:t>Wui</w:t>
      </w:r>
      <w:proofErr w:type="spellEnd"/>
      <w:r>
        <w:rPr>
          <w:rFonts w:ascii="Arial" w:hAnsi="Arial" w:cs="Arial"/>
        </w:rPr>
        <w:t xml:space="preserve"> et al., 2025), while classroom openness has been shown to enhance digital literacy and predict online civic engagement (</w:t>
      </w:r>
      <w:proofErr w:type="spellStart"/>
      <w:r>
        <w:rPr>
          <w:rFonts w:ascii="Arial" w:hAnsi="Arial" w:cs="Arial"/>
        </w:rPr>
        <w:t>Wui</w:t>
      </w:r>
      <w:proofErr w:type="spellEnd"/>
      <w:r>
        <w:rPr>
          <w:rFonts w:ascii="Arial" w:hAnsi="Arial" w:cs="Arial"/>
        </w:rPr>
        <w:t xml:space="preserve">, Claudio, Zhang, Reyes, Reyes, &amp; Leviste, 2025; </w:t>
      </w:r>
      <w:proofErr w:type="spellStart"/>
      <w:r>
        <w:rPr>
          <w:rFonts w:ascii="Arial" w:hAnsi="Arial" w:cs="Arial"/>
        </w:rPr>
        <w:t>Pacatan</w:t>
      </w:r>
      <w:proofErr w:type="spellEnd"/>
      <w:r>
        <w:rPr>
          <w:rFonts w:ascii="Arial" w:hAnsi="Arial" w:cs="Arial"/>
        </w:rPr>
        <w:t xml:space="preserve">, Macalinao, Juhailie, Amora, &amp; </w:t>
      </w:r>
      <w:proofErr w:type="spellStart"/>
      <w:r>
        <w:rPr>
          <w:rFonts w:ascii="Arial" w:hAnsi="Arial" w:cs="Arial"/>
        </w:rPr>
        <w:t>Seclot</w:t>
      </w:r>
      <w:proofErr w:type="spellEnd"/>
      <w:r>
        <w:rPr>
          <w:rFonts w:ascii="Arial" w:hAnsi="Arial" w:cs="Arial"/>
        </w:rPr>
        <w:t>, 2025).</w:t>
      </w:r>
      <w:r>
        <w:rPr>
          <w:rFonts w:ascii="Arial" w:hAnsi="Arial" w:cs="Arial"/>
          <w:lang w:val="en-PH"/>
        </w:rPr>
        <w:t xml:space="preserve"> Nationally, youth participation has become highly salient, exemplified by the record 82.2% voter turnout in the 2025 midterm elections (ABS‑CBN News, 2025; GMA News Online, 2025; Philstar.com, 2025; Rappler, 2025). Within the K–12 system, Republic Act No. 10533 mandates schools to form empowered citizens (Department of Education, 2013; </w:t>
      </w:r>
      <w:proofErr w:type="spellStart"/>
      <w:r>
        <w:rPr>
          <w:rFonts w:ascii="Arial" w:hAnsi="Arial" w:cs="Arial"/>
          <w:lang w:val="en-PH"/>
        </w:rPr>
        <w:t>Lawphil</w:t>
      </w:r>
      <w:proofErr w:type="spellEnd"/>
      <w:r>
        <w:rPr>
          <w:rFonts w:ascii="Arial" w:hAnsi="Arial" w:cs="Arial"/>
          <w:lang w:val="en-PH"/>
        </w:rPr>
        <w:t>, 2013), and the Understanding Culture, Society, and Politics (UCSP) course explicitly foregrounds civic competencies and democratic participation (</w:t>
      </w:r>
      <w:proofErr w:type="spellStart"/>
      <w:r>
        <w:rPr>
          <w:rFonts w:ascii="Arial" w:hAnsi="Arial" w:cs="Arial"/>
          <w:lang w:val="en-PH"/>
        </w:rPr>
        <w:t>Ceremonia</w:t>
      </w:r>
      <w:proofErr w:type="spellEnd"/>
      <w:r>
        <w:rPr>
          <w:rFonts w:ascii="Arial" w:hAnsi="Arial" w:cs="Arial"/>
          <w:lang w:val="en-PH"/>
        </w:rPr>
        <w:t xml:space="preserve">‑Cerda, 2024; </w:t>
      </w:r>
      <w:proofErr w:type="spellStart"/>
      <w:r>
        <w:rPr>
          <w:rFonts w:ascii="Arial" w:hAnsi="Arial" w:cs="Arial"/>
          <w:lang w:val="en-PH"/>
        </w:rPr>
        <w:t>Wui</w:t>
      </w:r>
      <w:proofErr w:type="spellEnd"/>
      <w:r>
        <w:rPr>
          <w:rFonts w:ascii="Arial" w:hAnsi="Arial" w:cs="Arial"/>
          <w:lang w:val="en-PH"/>
        </w:rPr>
        <w:t xml:space="preserve"> et al., 2025).</w:t>
      </w:r>
    </w:p>
    <w:p w14:paraId="63C39341" w14:textId="77777777" w:rsidR="001A7132" w:rsidRDefault="00E6565E">
      <w:pPr>
        <w:pStyle w:val="Body"/>
        <w:spacing w:after="0"/>
        <w:rPr>
          <w:rFonts w:ascii="Arial" w:hAnsi="Arial" w:cs="Arial"/>
        </w:rPr>
      </w:pPr>
      <w:r>
        <w:rPr>
          <w:rFonts w:ascii="Arial" w:hAnsi="Arial" w:cs="Arial"/>
        </w:rPr>
        <w:t xml:space="preserve"> </w:t>
      </w:r>
    </w:p>
    <w:p w14:paraId="7887C925" w14:textId="77777777" w:rsidR="001A7132" w:rsidRDefault="00E6565E">
      <w:pPr>
        <w:pStyle w:val="Body"/>
        <w:spacing w:after="0"/>
        <w:rPr>
          <w:rFonts w:ascii="Arial" w:hAnsi="Arial" w:cs="Arial"/>
        </w:rPr>
      </w:pPr>
      <w:r>
        <w:rPr>
          <w:rFonts w:ascii="Arial" w:hAnsi="Arial" w:cs="Arial"/>
        </w:rPr>
        <w:t xml:space="preserve">Despite these institutional commitments, gaps remain in understanding how awareness translates into engagement, particularly in digitally saturated democracies of the Global South. Existing studies often treat awareness as a uniform cognitive precursor to participation, overlooking relational and contextual mediators such as peer networks, digital literacies, and curricular disparities (Barrett, 2018; Reichert, Chen, &amp; Torney‑Purta, 2018; Kristensen, Denk, Olson, &amp; Solhaug, 2022; </w:t>
      </w:r>
      <w:proofErr w:type="spellStart"/>
      <w:r>
        <w:rPr>
          <w:rFonts w:ascii="Arial" w:hAnsi="Arial" w:cs="Arial"/>
        </w:rPr>
        <w:t>Wui</w:t>
      </w:r>
      <w:proofErr w:type="spellEnd"/>
      <w:r>
        <w:rPr>
          <w:rFonts w:ascii="Arial" w:hAnsi="Arial" w:cs="Arial"/>
        </w:rPr>
        <w:t xml:space="preserve">, Claudio, Zhang, Reyes, Reyes, &amp; Leviste, </w:t>
      </w:r>
      <w:r>
        <w:rPr>
          <w:rFonts w:ascii="Arial" w:hAnsi="Arial" w:cs="Arial"/>
        </w:rPr>
        <w:lastRenderedPageBreak/>
        <w:t xml:space="preserve">2025; </w:t>
      </w:r>
      <w:proofErr w:type="spellStart"/>
      <w:r>
        <w:rPr>
          <w:rFonts w:ascii="Arial" w:hAnsi="Arial" w:cs="Arial"/>
        </w:rPr>
        <w:t>Ceremonia</w:t>
      </w:r>
      <w:proofErr w:type="spellEnd"/>
      <w:r>
        <w:rPr>
          <w:rFonts w:ascii="Arial" w:hAnsi="Arial" w:cs="Arial"/>
        </w:rPr>
        <w:t>‑Cerda, 2024).</w:t>
      </w:r>
      <w:r>
        <w:rPr>
          <w:rFonts w:ascii="Arial" w:hAnsi="Arial" w:cs="Arial"/>
          <w:lang w:val="en-PH"/>
        </w:rPr>
        <w:t xml:space="preserve"> </w:t>
      </w:r>
      <w:r>
        <w:rPr>
          <w:rFonts w:ascii="Arial" w:hAnsi="Arial" w:cs="Arial"/>
        </w:rPr>
        <w:t>This study addresses that gap by investigating how political and civic awareness relate to engagement among Senior High School students in the Philippines. It is guided by Freire’s notion of critical consciousness (1970/2000), which emphasizes dialogue, conscientization, and the transformation of learners into active subjects of democratic life. Awareness is therefore not treated as a static cognitive state but as a relational process shaped by participation and reflection, consistent with Freire’s insistence that education must cultivate critical consciousness. Bandura’s social learning theory (1977) and social cognitive framework (1986) further inform this study by highlighting how observational learning, self‑efficacy, and reciprocal determinism shape civic and political engagement. Awareness and engagement are understood as mutually reinforcing, with peer networks and institutional structures providing the social models through which civic behaviors are learned and enacted. Within an IPO framework, the study combines quantitative estimates of relationships with qualitative insights into mechanisms. In doing so, it contributes to theory by refining models of youth political socialization, extends existing frameworks to hybrid classroom/digital contexts, and situates the Philippine SHS case as globally relevant for understanding youth civic development.</w:t>
      </w:r>
    </w:p>
    <w:p w14:paraId="561F9BC1" w14:textId="77777777" w:rsidR="001A7132" w:rsidRDefault="001A7132">
      <w:pPr>
        <w:pStyle w:val="Body"/>
        <w:spacing w:after="0"/>
        <w:rPr>
          <w:rFonts w:ascii="Arial" w:hAnsi="Arial" w:cs="Arial"/>
        </w:rPr>
      </w:pPr>
    </w:p>
    <w:p w14:paraId="77601127" w14:textId="77777777" w:rsidR="001A7132" w:rsidRDefault="00E6565E">
      <w:pPr>
        <w:pStyle w:val="Body"/>
        <w:spacing w:after="0"/>
        <w:ind w:firstLine="720"/>
        <w:rPr>
          <w:rFonts w:ascii="Arial" w:hAnsi="Arial" w:cs="Arial"/>
          <w:lang w:val="en-PH"/>
        </w:rPr>
      </w:pPr>
      <w:r>
        <w:rPr>
          <w:rFonts w:ascii="Arial" w:hAnsi="Arial" w:cs="Arial"/>
          <w:b/>
          <w:bCs/>
          <w:lang w:val="en-PH"/>
        </w:rPr>
        <w:t>Input</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b/>
          <w:bCs/>
          <w:lang w:val="en-PH"/>
        </w:rPr>
        <w:t>Process</w:t>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b/>
          <w:bCs/>
          <w:lang w:val="en-PH"/>
        </w:rPr>
        <w:t>Output</w:t>
      </w:r>
    </w:p>
    <w:p w14:paraId="6A943A43" w14:textId="77777777" w:rsidR="001A7132" w:rsidRDefault="00000000">
      <w:pPr>
        <w:pStyle w:val="Body"/>
        <w:spacing w:after="0"/>
        <w:rPr>
          <w:rFonts w:ascii="Arial" w:hAnsi="Arial" w:cs="Arial"/>
        </w:rPr>
      </w:pPr>
      <w:r>
        <w:pict w14:anchorId="721A66D8">
          <v:rect id="_x0000_s2051" style="position:absolute;left:0;text-align:left;margin-left:102.25pt;margin-top:6pt;width:134.45pt;height:96.55pt;z-index:251662336;mso-width-relative:page;mso-height-relative:page">
            <v:textbox>
              <w:txbxContent>
                <w:p w14:paraId="4AA1D231" w14:textId="77777777" w:rsidR="001A7132" w:rsidRDefault="00E6565E">
                  <w:pPr>
                    <w:ind w:left="400" w:hangingChars="200" w:hanging="400"/>
                    <w:rPr>
                      <w:rFonts w:ascii="Arial" w:hAnsi="Arial" w:cs="Arial"/>
                      <w:color w:val="000000"/>
                      <w:lang w:val="en-PH"/>
                    </w:rPr>
                  </w:pPr>
                  <w:r>
                    <w:rPr>
                      <w:rFonts w:ascii="Arial" w:hAnsi="Arial" w:cs="Arial"/>
                      <w:color w:val="000000"/>
                      <w:lang w:val="en-PH"/>
                    </w:rPr>
                    <w:t>Data Collection and Analysis</w:t>
                  </w:r>
                </w:p>
                <w:p w14:paraId="2A887F1D" w14:textId="77777777" w:rsidR="001A7132" w:rsidRDefault="001A7132">
                  <w:pPr>
                    <w:rPr>
                      <w:rFonts w:ascii="Arial" w:hAnsi="Arial" w:cs="Arial"/>
                      <w:color w:val="000000"/>
                      <w:lang w:val="en-PH"/>
                    </w:rPr>
                  </w:pPr>
                </w:p>
                <w:p w14:paraId="5EE2355A" w14:textId="77777777" w:rsidR="001A7132" w:rsidRDefault="001A7132">
                  <w:pPr>
                    <w:ind w:left="400" w:hangingChars="200" w:hanging="400"/>
                    <w:rPr>
                      <w:rFonts w:ascii="Arial" w:hAnsi="Arial" w:cs="Arial"/>
                      <w:color w:val="000000"/>
                      <w:lang w:val="en-PH"/>
                    </w:rPr>
                  </w:pPr>
                </w:p>
                <w:p w14:paraId="679333C3" w14:textId="77777777" w:rsidR="001A7132" w:rsidRDefault="00E6565E">
                  <w:pPr>
                    <w:rPr>
                      <w:rFonts w:ascii="Arial" w:hAnsi="Arial" w:cs="Arial"/>
                      <w:color w:val="000000"/>
                      <w:lang w:val="en-PH"/>
                    </w:rPr>
                  </w:pPr>
                  <w:r>
                    <w:rPr>
                      <w:rFonts w:ascii="Arial" w:hAnsi="Arial" w:cs="Arial"/>
                      <w:color w:val="000000"/>
                      <w:lang w:val="en-PH"/>
                    </w:rPr>
                    <w:t>-Survey-Questionnaires</w:t>
                  </w:r>
                </w:p>
                <w:p w14:paraId="007630A3" w14:textId="77777777" w:rsidR="001A7132" w:rsidRDefault="00E6565E">
                  <w:pPr>
                    <w:ind w:left="400" w:hangingChars="200" w:hanging="400"/>
                    <w:rPr>
                      <w:rFonts w:ascii="Arial" w:hAnsi="Arial" w:cs="Arial"/>
                      <w:color w:val="000000"/>
                      <w:lang w:val="en-PH"/>
                    </w:rPr>
                  </w:pPr>
                  <w:r>
                    <w:rPr>
                      <w:rFonts w:ascii="Arial" w:hAnsi="Arial" w:cs="Arial"/>
                      <w:color w:val="000000"/>
                      <w:lang w:val="en-PH"/>
                    </w:rPr>
                    <w:t>-Focus Group Discussions (FGDs)</w:t>
                  </w:r>
                </w:p>
              </w:txbxContent>
            </v:textbox>
          </v:rect>
        </w:pict>
      </w:r>
      <w:r>
        <w:pict w14:anchorId="27E6017A">
          <v:rect id="_x0000_s2052" style="position:absolute;left:0;text-align:left;margin-left:256.9pt;margin-top:4.15pt;width:151.45pt;height:99.45pt;z-index:251663360;mso-width-relative:page;mso-height-relative:page">
            <v:textbox>
              <w:txbxContent>
                <w:p w14:paraId="1C3F51DA" w14:textId="77777777" w:rsidR="001A7132" w:rsidRDefault="00E6565E">
                  <w:pPr>
                    <w:ind w:left="200" w:rightChars="-87" w:right="-174" w:hangingChars="100" w:hanging="200"/>
                    <w:rPr>
                      <w:rFonts w:ascii="Arial" w:hAnsi="Arial" w:cs="Arial"/>
                    </w:rPr>
                  </w:pPr>
                  <w:r>
                    <w:rPr>
                      <w:rFonts w:ascii="Arial" w:hAnsi="Arial" w:cs="Arial"/>
                      <w:color w:val="000000"/>
                      <w:lang w:val="en-PH"/>
                    </w:rPr>
                    <w:t xml:space="preserve">-Level of </w:t>
                  </w:r>
                  <w:r>
                    <w:rPr>
                      <w:rFonts w:ascii="Arial" w:hAnsi="Arial" w:cs="Arial"/>
                      <w:color w:val="000000"/>
                    </w:rPr>
                    <w:t xml:space="preserve">Political </w:t>
                  </w:r>
                  <w:r>
                    <w:rPr>
                      <w:rFonts w:ascii="Arial" w:hAnsi="Arial" w:cs="Arial"/>
                      <w:color w:val="000000"/>
                      <w:lang w:val="en-PH"/>
                    </w:rPr>
                    <w:t>Awareness</w:t>
                  </w:r>
                </w:p>
                <w:p w14:paraId="6B513E6A" w14:textId="77777777" w:rsidR="001A7132" w:rsidRDefault="00E6565E">
                  <w:pPr>
                    <w:ind w:left="200" w:hangingChars="100" w:hanging="200"/>
                    <w:rPr>
                      <w:rFonts w:ascii="Arial" w:hAnsi="Arial" w:cs="Arial"/>
                    </w:rPr>
                  </w:pPr>
                  <w:r>
                    <w:rPr>
                      <w:rFonts w:ascii="Arial" w:hAnsi="Arial" w:cs="Arial"/>
                      <w:color w:val="000000"/>
                      <w:lang w:val="en-PH"/>
                    </w:rPr>
                    <w:t xml:space="preserve">-Level of </w:t>
                  </w:r>
                  <w:r>
                    <w:rPr>
                      <w:rFonts w:ascii="Arial" w:hAnsi="Arial" w:cs="Arial"/>
                      <w:color w:val="000000"/>
                    </w:rPr>
                    <w:t>Civic Awareness</w:t>
                  </w:r>
                </w:p>
                <w:p w14:paraId="729E6EDB" w14:textId="77777777" w:rsidR="001A7132" w:rsidRDefault="00E6565E">
                  <w:pPr>
                    <w:ind w:left="200" w:hangingChars="100" w:hanging="200"/>
                    <w:rPr>
                      <w:rFonts w:ascii="Arial" w:hAnsi="Arial" w:cs="Arial"/>
                    </w:rPr>
                  </w:pPr>
                  <w:r>
                    <w:rPr>
                      <w:rFonts w:ascii="Arial" w:hAnsi="Arial" w:cs="Arial"/>
                      <w:color w:val="000000"/>
                      <w:lang w:val="en-PH"/>
                    </w:rPr>
                    <w:t xml:space="preserve">-Level of </w:t>
                  </w:r>
                  <w:r>
                    <w:rPr>
                      <w:rFonts w:ascii="Arial" w:hAnsi="Arial" w:cs="Arial"/>
                      <w:color w:val="000000"/>
                    </w:rPr>
                    <w:t>Political Engagement</w:t>
                  </w:r>
                </w:p>
                <w:p w14:paraId="69EB78E8" w14:textId="77777777" w:rsidR="001A7132" w:rsidRDefault="00E6565E">
                  <w:pPr>
                    <w:ind w:left="200" w:hangingChars="100" w:hanging="200"/>
                    <w:rPr>
                      <w:rFonts w:ascii="Arial" w:hAnsi="Arial" w:cs="Arial"/>
                      <w:color w:val="000000"/>
                    </w:rPr>
                  </w:pPr>
                  <w:r>
                    <w:rPr>
                      <w:rFonts w:ascii="Arial" w:hAnsi="Arial" w:cs="Arial"/>
                      <w:color w:val="000000"/>
                      <w:lang w:val="en-PH"/>
                    </w:rPr>
                    <w:t xml:space="preserve">-Level of </w:t>
                  </w:r>
                  <w:r>
                    <w:rPr>
                      <w:rFonts w:ascii="Arial" w:hAnsi="Arial" w:cs="Arial"/>
                      <w:color w:val="000000"/>
                    </w:rPr>
                    <w:t>Civic Engagement</w:t>
                  </w:r>
                </w:p>
                <w:p w14:paraId="0B5EE845" w14:textId="77777777" w:rsidR="001A7132" w:rsidRDefault="00E6565E">
                  <w:pPr>
                    <w:ind w:left="200" w:hangingChars="100" w:hanging="200"/>
                    <w:rPr>
                      <w:rFonts w:ascii="Arial" w:hAnsi="Arial" w:cs="Arial"/>
                      <w:color w:val="000000"/>
                      <w:lang w:val="en-PH"/>
                    </w:rPr>
                  </w:pPr>
                  <w:r>
                    <w:rPr>
                      <w:rFonts w:ascii="Arial" w:hAnsi="Arial" w:cs="Arial"/>
                      <w:color w:val="000000"/>
                      <w:lang w:val="en-PH"/>
                    </w:rPr>
                    <w:t>-Enhanced understanding how awareness translates to engagement among SHS students</w:t>
                  </w:r>
                </w:p>
                <w:p w14:paraId="5481EB51" w14:textId="77777777" w:rsidR="001A7132" w:rsidRDefault="001A7132">
                  <w:pPr>
                    <w:rPr>
                      <w:rFonts w:ascii="Arial" w:hAnsi="Arial" w:cs="Arial"/>
                    </w:rPr>
                  </w:pPr>
                </w:p>
              </w:txbxContent>
            </v:textbox>
          </v:rect>
        </w:pict>
      </w:r>
      <w:r>
        <w:pict w14:anchorId="080A5FE3">
          <v:rect id="_x0000_s2053" style="position:absolute;left:0;text-align:left;margin-left:1.6pt;margin-top:5.6pt;width:81.65pt;height:96.75pt;z-index:251661312;mso-width-relative:page;mso-height-relative:page">
            <v:textbox>
              <w:txbxContent>
                <w:p w14:paraId="5C6D8B46" w14:textId="77777777" w:rsidR="001A7132" w:rsidRDefault="00E6565E">
                  <w:pPr>
                    <w:ind w:left="200" w:hangingChars="100" w:hanging="200"/>
                    <w:rPr>
                      <w:rFonts w:ascii="Arial" w:hAnsi="Arial" w:cs="Arial"/>
                      <w:color w:val="000000"/>
                    </w:rPr>
                  </w:pPr>
                  <w:r>
                    <w:rPr>
                      <w:rFonts w:ascii="Arial" w:hAnsi="Arial" w:cs="Arial"/>
                      <w:color w:val="000000"/>
                    </w:rPr>
                    <w:t>Demographic Profile</w:t>
                  </w:r>
                </w:p>
                <w:p w14:paraId="061FF15B" w14:textId="77777777" w:rsidR="001A7132" w:rsidRDefault="001A7132">
                  <w:pPr>
                    <w:rPr>
                      <w:rFonts w:ascii="Arial" w:hAnsi="Arial" w:cs="Arial"/>
                      <w:color w:val="000000"/>
                      <w:lang w:val="en-PH"/>
                    </w:rPr>
                  </w:pPr>
                </w:p>
                <w:p w14:paraId="7184EEEB" w14:textId="77777777" w:rsidR="001A7132" w:rsidRDefault="00E6565E">
                  <w:pPr>
                    <w:rPr>
                      <w:rFonts w:ascii="Arial" w:hAnsi="Arial" w:cs="Arial"/>
                    </w:rPr>
                  </w:pPr>
                  <w:r>
                    <w:rPr>
                      <w:rFonts w:ascii="Arial" w:hAnsi="Arial" w:cs="Arial"/>
                      <w:color w:val="000000"/>
                      <w:lang w:val="en-PH"/>
                    </w:rPr>
                    <w:t>-</w:t>
                  </w:r>
                  <w:r>
                    <w:rPr>
                      <w:rFonts w:ascii="Arial" w:hAnsi="Arial" w:cs="Arial"/>
                      <w:color w:val="000000"/>
                    </w:rPr>
                    <w:t>Sex</w:t>
                  </w:r>
                </w:p>
                <w:p w14:paraId="13CE9C31" w14:textId="77777777" w:rsidR="001A7132" w:rsidRDefault="00E6565E">
                  <w:pPr>
                    <w:rPr>
                      <w:rFonts w:ascii="Arial" w:hAnsi="Arial" w:cs="Arial"/>
                    </w:rPr>
                  </w:pPr>
                  <w:r>
                    <w:rPr>
                      <w:rFonts w:ascii="Arial" w:hAnsi="Arial" w:cs="Arial"/>
                      <w:color w:val="000000"/>
                      <w:lang w:val="en-PH"/>
                    </w:rPr>
                    <w:t>-</w:t>
                  </w:r>
                  <w:r>
                    <w:rPr>
                      <w:rFonts w:ascii="Arial" w:hAnsi="Arial" w:cs="Arial"/>
                      <w:color w:val="000000"/>
                    </w:rPr>
                    <w:t>Grade level</w:t>
                  </w:r>
                </w:p>
                <w:p w14:paraId="784AD026" w14:textId="77777777" w:rsidR="001A7132" w:rsidRDefault="00E6565E">
                  <w:pPr>
                    <w:rPr>
                      <w:rFonts w:ascii="Arial" w:hAnsi="Arial" w:cs="Arial"/>
                    </w:rPr>
                  </w:pPr>
                  <w:r>
                    <w:rPr>
                      <w:rFonts w:ascii="Arial" w:hAnsi="Arial" w:cs="Arial"/>
                      <w:color w:val="000000"/>
                      <w:lang w:val="en-PH"/>
                    </w:rPr>
                    <w:t>-</w:t>
                  </w:r>
                  <w:r>
                    <w:rPr>
                      <w:rFonts w:ascii="Arial" w:hAnsi="Arial" w:cs="Arial"/>
                      <w:color w:val="000000"/>
                    </w:rPr>
                    <w:t>SHS Track</w:t>
                  </w:r>
                </w:p>
                <w:p w14:paraId="5CC9C02B" w14:textId="77777777" w:rsidR="001A7132" w:rsidRDefault="001A7132">
                  <w:pPr>
                    <w:rPr>
                      <w:rFonts w:ascii="Arial" w:hAnsi="Arial" w:cs="Arial"/>
                    </w:rPr>
                  </w:pPr>
                </w:p>
              </w:txbxContent>
            </v:textbox>
          </v:rect>
        </w:pict>
      </w:r>
    </w:p>
    <w:p w14:paraId="03061848" w14:textId="77777777" w:rsidR="001A7132" w:rsidRDefault="001A7132">
      <w:pPr>
        <w:pStyle w:val="Body"/>
        <w:spacing w:after="0"/>
        <w:rPr>
          <w:rFonts w:ascii="Arial" w:hAnsi="Arial" w:cs="Arial"/>
        </w:rPr>
      </w:pPr>
    </w:p>
    <w:p w14:paraId="1CA5B0BE" w14:textId="77777777" w:rsidR="001A7132" w:rsidRDefault="001A7132">
      <w:pPr>
        <w:pStyle w:val="Body"/>
        <w:spacing w:after="0"/>
        <w:rPr>
          <w:rFonts w:ascii="Arial" w:hAnsi="Arial" w:cs="Arial"/>
        </w:rPr>
      </w:pPr>
    </w:p>
    <w:p w14:paraId="7F997315" w14:textId="77777777" w:rsidR="001A7132" w:rsidRDefault="00000000">
      <w:pPr>
        <w:pStyle w:val="Body"/>
        <w:spacing w:after="0"/>
        <w:rPr>
          <w:rFonts w:ascii="Arial" w:hAnsi="Arial" w:cs="Arial"/>
        </w:rPr>
      </w:pPr>
      <w:r>
        <w:pict w14:anchorId="417BB9AA">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4" type="#_x0000_t13" style="position:absolute;left:0;text-align:left;margin-left:240.9pt;margin-top:11pt;width:13.15pt;height:12.7pt;z-index:251666432;mso-width-relative:page;mso-height-relative:page"/>
        </w:pict>
      </w:r>
      <w:r>
        <w:pict w14:anchorId="72C773FB">
          <v:shape id="_x0000_s2055" type="#_x0000_t13" style="position:absolute;left:0;text-align:left;margin-left:86.5pt;margin-top:8.65pt;width:13.15pt;height:12.7pt;z-index:251665408;mso-width-relative:page;mso-height-relative:page"/>
        </w:pict>
      </w:r>
    </w:p>
    <w:p w14:paraId="3B862F22" w14:textId="77777777" w:rsidR="001A7132" w:rsidRDefault="001A7132">
      <w:pPr>
        <w:pStyle w:val="Body"/>
        <w:spacing w:after="0"/>
        <w:rPr>
          <w:rFonts w:ascii="Arial" w:hAnsi="Arial" w:cs="Arial"/>
        </w:rPr>
      </w:pPr>
    </w:p>
    <w:p w14:paraId="5FD4FD7B" w14:textId="77777777" w:rsidR="001A7132" w:rsidRDefault="001A7132">
      <w:pPr>
        <w:pStyle w:val="Body"/>
        <w:spacing w:after="0"/>
        <w:rPr>
          <w:rFonts w:ascii="Arial" w:hAnsi="Arial" w:cs="Arial"/>
        </w:rPr>
      </w:pPr>
    </w:p>
    <w:p w14:paraId="1377814E" w14:textId="77777777" w:rsidR="001A7132" w:rsidRDefault="001A7132">
      <w:pPr>
        <w:pStyle w:val="Body"/>
        <w:spacing w:after="0"/>
        <w:rPr>
          <w:rFonts w:ascii="Arial" w:hAnsi="Arial" w:cs="Arial"/>
        </w:rPr>
      </w:pPr>
    </w:p>
    <w:p w14:paraId="23071C7B" w14:textId="77777777" w:rsidR="001A7132" w:rsidRDefault="001A7132">
      <w:pPr>
        <w:pStyle w:val="Body"/>
        <w:spacing w:after="0"/>
        <w:rPr>
          <w:rFonts w:ascii="Arial" w:hAnsi="Arial" w:cs="Arial"/>
        </w:rPr>
      </w:pPr>
    </w:p>
    <w:p w14:paraId="42EBD6D2" w14:textId="77777777" w:rsidR="001A7132" w:rsidRDefault="001A7132">
      <w:pPr>
        <w:pStyle w:val="Body"/>
        <w:spacing w:after="0"/>
        <w:rPr>
          <w:rFonts w:ascii="Arial" w:hAnsi="Arial" w:cs="Arial"/>
        </w:rPr>
      </w:pPr>
    </w:p>
    <w:p w14:paraId="71637C23" w14:textId="77777777" w:rsidR="001A7132" w:rsidRDefault="00E6565E">
      <w:pPr>
        <w:ind w:left="1350" w:hanging="1350"/>
        <w:rPr>
          <w:rFonts w:ascii="Arial" w:hAnsi="Arial" w:cs="Arial"/>
          <w:color w:val="000000"/>
        </w:rPr>
      </w:pPr>
      <w:r>
        <w:rPr>
          <w:rFonts w:ascii="Arial" w:hAnsi="Arial" w:cs="Arial"/>
          <w:i/>
          <w:iCs/>
          <w:color w:val="000000"/>
        </w:rPr>
        <w:t>Figure 1</w:t>
      </w:r>
      <w:r>
        <w:rPr>
          <w:rFonts w:ascii="Arial" w:hAnsi="Arial" w:cs="Arial"/>
          <w:color w:val="000000"/>
        </w:rPr>
        <w:t>. Schematic Diagram Showing Input–Process–Output (IPO) Conceptual Framework of the Study.</w:t>
      </w:r>
    </w:p>
    <w:p w14:paraId="474AB9B3" w14:textId="77777777" w:rsidR="001A7132" w:rsidRDefault="001A7132">
      <w:pPr>
        <w:pStyle w:val="Body"/>
        <w:spacing w:after="0"/>
        <w:rPr>
          <w:rFonts w:ascii="Arial" w:hAnsi="Arial" w:cs="Arial"/>
        </w:rPr>
      </w:pPr>
    </w:p>
    <w:p w14:paraId="45FB0818" w14:textId="77777777" w:rsidR="001A7132" w:rsidRDefault="001A7132">
      <w:pPr>
        <w:pStyle w:val="Body"/>
        <w:spacing w:after="0"/>
        <w:rPr>
          <w:rFonts w:ascii="Arial" w:hAnsi="Arial" w:cs="Arial"/>
        </w:rPr>
      </w:pPr>
    </w:p>
    <w:p w14:paraId="06F6AE9C" w14:textId="77777777" w:rsidR="001A7132" w:rsidRDefault="00E6565E">
      <w:pPr>
        <w:pStyle w:val="Body"/>
        <w:spacing w:after="0"/>
        <w:rPr>
          <w:rFonts w:ascii="Arial" w:hAnsi="Arial" w:cs="Arial"/>
          <w:lang w:val="en-PH"/>
        </w:rPr>
      </w:pPr>
      <w:r>
        <w:rPr>
          <w:rFonts w:ascii="Arial" w:hAnsi="Arial" w:cs="Arial"/>
        </w:rPr>
        <w:t>An explanatory sequential mixed‑methods design was employed, consistent with Creswell and Plano Clark’s (2018) framework for integrating quantitative and qualitative strands. The quantitative strand estimated relationships between awareness and engagement, while the qualitative strand explained mechanisms underlying those patterns.</w:t>
      </w:r>
      <w:r>
        <w:rPr>
          <w:rFonts w:ascii="Arial" w:hAnsi="Arial" w:cs="Arial"/>
          <w:lang w:val="en-PH"/>
        </w:rPr>
        <w:t xml:space="preserve"> Mixed‑methods design was used because survey data alone could identify patterns across sex, grade level, and track, but could not explain why certain groups were more or less engaged. The focus group discussions added this depth by revealing students’ motivations, challenges, and lived experiences. By combining quantitative and qualitative strands, the study moved beyond surface trends to provide a richer, more grounded understanding of how awareness translates into engagement.</w:t>
      </w:r>
    </w:p>
    <w:p w14:paraId="37C51693" w14:textId="77777777" w:rsidR="001A7132" w:rsidRDefault="001A7132">
      <w:pPr>
        <w:pStyle w:val="Body"/>
        <w:spacing w:after="0"/>
        <w:rPr>
          <w:rFonts w:ascii="Arial" w:hAnsi="Arial" w:cs="Arial"/>
        </w:rPr>
      </w:pPr>
    </w:p>
    <w:p w14:paraId="657CC856" w14:textId="77777777" w:rsidR="001A7132" w:rsidRDefault="001A7132">
      <w:pPr>
        <w:pStyle w:val="Body"/>
        <w:spacing w:after="0"/>
        <w:rPr>
          <w:rFonts w:ascii="Arial" w:hAnsi="Arial" w:cs="Arial"/>
        </w:rPr>
      </w:pPr>
    </w:p>
    <w:p w14:paraId="2B399727" w14:textId="77777777" w:rsidR="001A7132" w:rsidRDefault="00E6565E">
      <w:pPr>
        <w:pStyle w:val="Body"/>
        <w:spacing w:after="0"/>
        <w:rPr>
          <w:rFonts w:ascii="Arial" w:hAnsi="Arial" w:cs="Arial"/>
          <w:b/>
          <w:bCs/>
        </w:rPr>
      </w:pPr>
      <w:r>
        <w:rPr>
          <w:rFonts w:ascii="Arial" w:hAnsi="Arial" w:cs="Arial"/>
          <w:b/>
          <w:bCs/>
        </w:rPr>
        <w:t>2.2 Setting and Participants</w:t>
      </w:r>
    </w:p>
    <w:p w14:paraId="6BF3AC4D" w14:textId="77777777" w:rsidR="001A7132" w:rsidRDefault="00E6565E">
      <w:pPr>
        <w:pStyle w:val="Body"/>
        <w:spacing w:after="0"/>
        <w:rPr>
          <w:rFonts w:ascii="Arial" w:hAnsi="Arial" w:cs="Arial"/>
        </w:rPr>
      </w:pPr>
      <w:r>
        <w:rPr>
          <w:rFonts w:ascii="Arial" w:hAnsi="Arial" w:cs="Arial"/>
        </w:rPr>
        <w:t>Conducted in a large public Senior High School (SY 2025–2026), stratified random sampling yielded N = 400 students balanced by grade, sex, and track. Extreme‑case purposive sampling (n = 8) selected students at the highest and lowest ends of awareness and engagement scores.</w:t>
      </w:r>
    </w:p>
    <w:p w14:paraId="68A02E2D" w14:textId="77777777" w:rsidR="001A7132" w:rsidRDefault="001A7132">
      <w:pPr>
        <w:pStyle w:val="Body"/>
        <w:spacing w:after="0"/>
        <w:rPr>
          <w:rFonts w:ascii="Arial" w:hAnsi="Arial" w:cs="Arial"/>
        </w:rPr>
      </w:pPr>
    </w:p>
    <w:p w14:paraId="7DAAA7EE" w14:textId="77777777" w:rsidR="001A7132" w:rsidRDefault="00E6565E">
      <w:pPr>
        <w:pStyle w:val="Body"/>
        <w:spacing w:after="0"/>
        <w:rPr>
          <w:rFonts w:ascii="Arial" w:hAnsi="Arial" w:cs="Arial"/>
          <w:b/>
          <w:bCs/>
        </w:rPr>
      </w:pPr>
      <w:r>
        <w:rPr>
          <w:rFonts w:ascii="Arial" w:hAnsi="Arial" w:cs="Arial"/>
          <w:b/>
          <w:bCs/>
        </w:rPr>
        <w:t>2.3 Instruments</w:t>
      </w:r>
    </w:p>
    <w:p w14:paraId="0C970CBF" w14:textId="77777777" w:rsidR="001A7132" w:rsidRDefault="00E6565E">
      <w:pPr>
        <w:pStyle w:val="Body"/>
        <w:spacing w:after="0"/>
        <w:rPr>
          <w:rFonts w:ascii="Arial" w:hAnsi="Arial" w:cs="Arial"/>
        </w:rPr>
      </w:pPr>
      <w:r>
        <w:rPr>
          <w:rFonts w:ascii="Arial" w:hAnsi="Arial" w:cs="Arial"/>
        </w:rPr>
        <w:t xml:space="preserve">A five‑part questionnaire measured demographics, political awareness, civic awareness, political engagement, and civic engagement. All substantive items were rated on a four‑point Likert‑type scale (1 = Not Aware/Not Engaged, 2 = Less Aware/Fairly Engaged, 3 = </w:t>
      </w:r>
      <w:r>
        <w:rPr>
          <w:rFonts w:ascii="Arial" w:hAnsi="Arial" w:cs="Arial"/>
        </w:rPr>
        <w:lastRenderedPageBreak/>
        <w:t xml:space="preserve">Aware/Engaged, 4 = Highly Aware/Highly Engaged). </w:t>
      </w:r>
      <w:r>
        <w:rPr>
          <w:rFonts w:ascii="Arial" w:hAnsi="Arial" w:cs="Arial"/>
          <w:lang w:val="en-PH"/>
        </w:rPr>
        <w:t>Survey</w:t>
      </w:r>
      <w:r>
        <w:rPr>
          <w:rFonts w:ascii="Arial" w:hAnsi="Arial" w:cs="Arial"/>
        </w:rPr>
        <w:t xml:space="preserve"> items included: “I understand that there are three branches of government of the Republic of the Philippines: executive, legislative, and judicial” (Political Awareness); “I recognize the importance of participating in relief operations and rehabilitation efforts during natural disasters” (Civic Awareness); “I am mindful of how to critically assess information sources and make well‑informed decisions on civic matters such as elections” (Civic </w:t>
      </w:r>
      <w:r>
        <w:rPr>
          <w:rFonts w:ascii="Arial" w:hAnsi="Arial" w:cs="Arial"/>
          <w:lang w:val="en-PH"/>
        </w:rPr>
        <w:t>Engagement</w:t>
      </w:r>
      <w:r>
        <w:rPr>
          <w:rFonts w:ascii="Arial" w:hAnsi="Arial" w:cs="Arial"/>
        </w:rPr>
        <w:t>); and “I plan to vote in presidential elections when eligible” (Political Engagement).</w:t>
      </w:r>
    </w:p>
    <w:p w14:paraId="5038AE6F" w14:textId="77777777" w:rsidR="001A7132" w:rsidRDefault="001A7132">
      <w:pPr>
        <w:pStyle w:val="Body"/>
        <w:spacing w:after="0"/>
        <w:rPr>
          <w:rFonts w:ascii="Arial" w:hAnsi="Arial" w:cs="Arial"/>
        </w:rPr>
      </w:pPr>
    </w:p>
    <w:p w14:paraId="2C351F2F" w14:textId="77777777" w:rsidR="001A7132" w:rsidRDefault="00E6565E">
      <w:pPr>
        <w:pStyle w:val="Body"/>
        <w:spacing w:after="0"/>
        <w:rPr>
          <w:rFonts w:ascii="Arial" w:hAnsi="Arial" w:cs="Arial"/>
        </w:rPr>
      </w:pPr>
      <w:r>
        <w:rPr>
          <w:rFonts w:ascii="Arial" w:hAnsi="Arial" w:cs="Arial"/>
        </w:rPr>
        <w:t xml:space="preserve">Construct validity was established through expert review and adaptation to the Philippine Senior High School context. Five subject‑matter experts evaluated the instrument using </w:t>
      </w:r>
      <w:proofErr w:type="spellStart"/>
      <w:r>
        <w:rPr>
          <w:rFonts w:ascii="Arial" w:hAnsi="Arial" w:cs="Arial"/>
        </w:rPr>
        <w:t>Oducado’s</w:t>
      </w:r>
      <w:proofErr w:type="spellEnd"/>
      <w:r>
        <w:rPr>
          <w:rFonts w:ascii="Arial" w:hAnsi="Arial" w:cs="Arial"/>
        </w:rPr>
        <w:t xml:space="preserve"> (2021) Survey Instrument Validation Rating Scale, yielding an average rating of 4.93 (Excellent), which confirmed the clarity, relevance, and cultural appropriateness of the items. Reliability was also high, with McDonald’s ω ranging from .906 to .958 across the four scales, indicating excellent internal consistency.</w:t>
      </w:r>
    </w:p>
    <w:p w14:paraId="687F3A88" w14:textId="77777777" w:rsidR="001A7132" w:rsidRDefault="001A7132">
      <w:pPr>
        <w:pStyle w:val="Body"/>
        <w:spacing w:after="0"/>
        <w:rPr>
          <w:rFonts w:ascii="Arial" w:hAnsi="Arial" w:cs="Arial"/>
        </w:rPr>
      </w:pPr>
    </w:p>
    <w:p w14:paraId="1489B60F" w14:textId="77777777" w:rsidR="001A7132" w:rsidRDefault="00E6565E">
      <w:pPr>
        <w:pStyle w:val="Body"/>
        <w:spacing w:after="0"/>
        <w:rPr>
          <w:rFonts w:ascii="Arial" w:hAnsi="Arial" w:cs="Arial"/>
        </w:rPr>
      </w:pPr>
      <w:r>
        <w:rPr>
          <w:rFonts w:ascii="Arial" w:hAnsi="Arial" w:cs="Arial"/>
        </w:rPr>
        <w:t>For the qualitative phase, a semi‑structured Focus Group Discussion (FGD) guide was developed to complement and explain the quantitative findings. The initial pool of 16 questions was derived from salient survey results and then subjected to expert validation using Lawshe’s (1975) Content Validity Ratio (CVR). Five subject‑matter experts in Social Studies, civic and political studies, and qualitative research reviewed the items and classified them as essential, useful but not essential, or not necessary. Only three questions achieved a CVR of 1.0, indicating unanimous agreement on their essentiality, and these were retained in the final guide. Representative questions included: “Have you ever participated in political activities (e.g., student government, school campaigns, advocacy posts, petitions)? What motivated you to do so?”, “Have you participated in civic or volunteer activities (e.g., clean‑up drives, donation drives, student‑led programs)? Why or why not?”, and “Can you describe a memorable experience that made you more politically or civically engaged?”</w:t>
      </w:r>
    </w:p>
    <w:p w14:paraId="6534DF0D" w14:textId="77777777" w:rsidR="001A7132" w:rsidRDefault="001A7132">
      <w:pPr>
        <w:pStyle w:val="Body"/>
        <w:spacing w:after="0"/>
        <w:rPr>
          <w:rFonts w:ascii="Arial" w:hAnsi="Arial" w:cs="Arial"/>
        </w:rPr>
      </w:pPr>
    </w:p>
    <w:p w14:paraId="00E0971A" w14:textId="77777777" w:rsidR="001A7132" w:rsidRDefault="00E6565E">
      <w:pPr>
        <w:pStyle w:val="Body"/>
        <w:spacing w:after="0"/>
        <w:rPr>
          <w:rFonts w:ascii="Arial" w:hAnsi="Arial" w:cs="Arial"/>
          <w:b/>
          <w:bCs/>
        </w:rPr>
      </w:pPr>
      <w:r>
        <w:rPr>
          <w:rFonts w:ascii="Arial" w:hAnsi="Arial" w:cs="Arial"/>
          <w:b/>
          <w:bCs/>
        </w:rPr>
        <w:t>2.4 Procedures</w:t>
      </w:r>
    </w:p>
    <w:p w14:paraId="6D105BD1" w14:textId="77777777" w:rsidR="001A7132" w:rsidRDefault="00E6565E">
      <w:pPr>
        <w:pStyle w:val="Body"/>
        <w:spacing w:after="0"/>
        <w:rPr>
          <w:rFonts w:ascii="Arial" w:hAnsi="Arial" w:cs="Arial"/>
        </w:rPr>
      </w:pPr>
      <w:r>
        <w:rPr>
          <w:rFonts w:ascii="Arial" w:hAnsi="Arial" w:cs="Arial"/>
        </w:rPr>
        <w:t>Surveys were administered in classrooms; FGDs were conducted with extreme‑case participants. Ethical safeguards included informed consent, voluntariness, anonymization, and compliance with RA 10173.</w:t>
      </w:r>
    </w:p>
    <w:p w14:paraId="21827C99" w14:textId="77777777" w:rsidR="001A7132" w:rsidRDefault="001A7132">
      <w:pPr>
        <w:pStyle w:val="Body"/>
        <w:spacing w:after="0"/>
        <w:rPr>
          <w:rFonts w:ascii="Arial" w:hAnsi="Arial" w:cs="Arial"/>
        </w:rPr>
      </w:pPr>
    </w:p>
    <w:p w14:paraId="039A201E" w14:textId="77777777" w:rsidR="001A7132" w:rsidRDefault="00E6565E">
      <w:pPr>
        <w:pStyle w:val="Body"/>
        <w:spacing w:after="0"/>
        <w:rPr>
          <w:rFonts w:ascii="Arial" w:hAnsi="Arial" w:cs="Arial"/>
          <w:b/>
          <w:bCs/>
        </w:rPr>
      </w:pPr>
      <w:r>
        <w:rPr>
          <w:rFonts w:ascii="Arial" w:hAnsi="Arial" w:cs="Arial"/>
          <w:b/>
          <w:bCs/>
        </w:rPr>
        <w:t>2.5 Data Analysis</w:t>
      </w:r>
    </w:p>
    <w:p w14:paraId="7F6EE5B6" w14:textId="77777777" w:rsidR="001A7132" w:rsidRDefault="00E6565E">
      <w:pPr>
        <w:pStyle w:val="Body"/>
        <w:spacing w:after="0"/>
        <w:rPr>
          <w:rFonts w:ascii="Arial" w:hAnsi="Arial" w:cs="Arial"/>
        </w:rPr>
      </w:pPr>
      <w:r>
        <w:rPr>
          <w:rFonts w:ascii="Arial" w:hAnsi="Arial" w:cs="Arial"/>
        </w:rPr>
        <w:t xml:space="preserve">The data gathered for this study were tabulated, analyzed, and interpreted using statistical tools appropriate for a descriptive‑correlational design. All quantitative analyses were performed using </w:t>
      </w:r>
      <w:proofErr w:type="spellStart"/>
      <w:r>
        <w:rPr>
          <w:rFonts w:ascii="Arial" w:hAnsi="Arial" w:cs="Arial"/>
        </w:rPr>
        <w:t>Jamovi</w:t>
      </w:r>
      <w:proofErr w:type="spellEnd"/>
      <w:r>
        <w:rPr>
          <w:rFonts w:ascii="Arial" w:hAnsi="Arial" w:cs="Arial"/>
        </w:rPr>
        <w:t xml:space="preserve"> software (version 2.3), while qualitative data were analyzed through reflexive thematic analysis following Braun and Clarke’s (2013) framework. Trustworthiness of qualitative findings was ensured through triangulation, member checking, peer debriefing, and maintaining an audit trail. To determine the demographic profile of participants and their levels of political awareness, civic awareness, political engagement, and civic engagement, descriptive statistics (mean and standard deviation) were employed. Interpretation of mean scores was guided by predefined scoring scales.</w:t>
      </w:r>
    </w:p>
    <w:p w14:paraId="74A60C03" w14:textId="77777777" w:rsidR="001A7132" w:rsidRDefault="001A7132">
      <w:pPr>
        <w:pStyle w:val="Body"/>
        <w:spacing w:after="0"/>
        <w:rPr>
          <w:rFonts w:ascii="Arial" w:hAnsi="Arial" w:cs="Arial"/>
        </w:rPr>
      </w:pPr>
    </w:p>
    <w:p w14:paraId="0B238890" w14:textId="77777777" w:rsidR="001A7132" w:rsidRDefault="00E6565E">
      <w:pPr>
        <w:pStyle w:val="Body"/>
        <w:spacing w:after="0"/>
        <w:rPr>
          <w:rFonts w:ascii="Arial" w:hAnsi="Arial" w:cs="Arial"/>
        </w:rPr>
      </w:pPr>
      <w:r>
        <w:rPr>
          <w:rFonts w:ascii="Arial" w:hAnsi="Arial" w:cs="Arial"/>
        </w:rPr>
        <w:t>Prerequisite tests were performed to ensure statistical assumptions were met, including normality, homogeneity of variances, and linearity. Group differences were examined using independent‑samples t‑tests, relationships were assessed through Pearson’s Product–Moment Correlation Coefficient (r), and predictive effects were tested using simple linear regression.</w:t>
      </w:r>
    </w:p>
    <w:p w14:paraId="71DD23CF" w14:textId="77777777" w:rsidR="001A7132" w:rsidRDefault="001A7132">
      <w:pPr>
        <w:pStyle w:val="Body"/>
        <w:spacing w:after="0"/>
        <w:rPr>
          <w:rFonts w:ascii="Arial" w:hAnsi="Arial" w:cs="Arial"/>
        </w:rPr>
      </w:pPr>
    </w:p>
    <w:p w14:paraId="3FE23F4B" w14:textId="77777777" w:rsidR="001A7132" w:rsidRDefault="00E6565E">
      <w:pPr>
        <w:pStyle w:val="Body"/>
        <w:spacing w:after="0"/>
        <w:rPr>
          <w:rFonts w:ascii="Arial" w:hAnsi="Arial" w:cs="Arial"/>
          <w:b/>
          <w:bCs/>
        </w:rPr>
      </w:pPr>
      <w:r>
        <w:rPr>
          <w:rFonts w:ascii="Arial" w:hAnsi="Arial" w:cs="Arial"/>
          <w:b/>
          <w:bCs/>
        </w:rPr>
        <w:t xml:space="preserve">Validity and Reliability of Instruments  </w:t>
      </w:r>
    </w:p>
    <w:p w14:paraId="4AEBEF8B" w14:textId="77777777" w:rsidR="001A7132" w:rsidRDefault="00E6565E">
      <w:pPr>
        <w:pStyle w:val="Body"/>
        <w:spacing w:after="0"/>
        <w:rPr>
          <w:rFonts w:ascii="Arial" w:hAnsi="Arial" w:cs="Arial"/>
        </w:rPr>
      </w:pPr>
      <w:r>
        <w:rPr>
          <w:rFonts w:ascii="Arial" w:hAnsi="Arial" w:cs="Arial"/>
        </w:rPr>
        <w:t xml:space="preserve">The quantitative survey instrument was validated through expert review using </w:t>
      </w:r>
      <w:proofErr w:type="spellStart"/>
      <w:r>
        <w:rPr>
          <w:rFonts w:ascii="Arial" w:hAnsi="Arial" w:cs="Arial"/>
        </w:rPr>
        <w:t>Oducado’s</w:t>
      </w:r>
      <w:proofErr w:type="spellEnd"/>
      <w:r>
        <w:rPr>
          <w:rFonts w:ascii="Arial" w:hAnsi="Arial" w:cs="Arial"/>
        </w:rPr>
        <w:t xml:space="preserve"> (2021) Survey Instrument Validation Rating Scale, which integrates established criteria from </w:t>
      </w:r>
      <w:r>
        <w:rPr>
          <w:rFonts w:ascii="Arial" w:hAnsi="Arial" w:cs="Arial"/>
        </w:rPr>
        <w:lastRenderedPageBreak/>
        <w:t>Good and Scates (1972), Polit and Beck (2004, 2006), Chávez and Canino (2005), and Johnson (2013). A panel of five subject‑matter experts rated the instrument across 13 criteria, yielding an average score of 4.93 (Excellent), confirming its clarity, relevance, and cultural appropriateness for Senior High School students. Reliability was established through a pilot test with 30 students not included in the main study, with McDonald’s ω coefficients ranging from .906 to .958, indicating excellent internal consistency across all constructs.</w:t>
      </w:r>
    </w:p>
    <w:p w14:paraId="265F9FD8" w14:textId="77777777" w:rsidR="001A7132" w:rsidRDefault="001A7132">
      <w:pPr>
        <w:pStyle w:val="Body"/>
        <w:spacing w:after="0"/>
        <w:rPr>
          <w:rFonts w:ascii="Arial" w:hAnsi="Arial" w:cs="Arial"/>
        </w:rPr>
      </w:pPr>
    </w:p>
    <w:p w14:paraId="705596B6" w14:textId="77777777" w:rsidR="001A7132" w:rsidRDefault="00E6565E">
      <w:pPr>
        <w:pStyle w:val="Body"/>
        <w:spacing w:after="0"/>
        <w:rPr>
          <w:rFonts w:ascii="Arial" w:hAnsi="Arial" w:cs="Arial"/>
        </w:rPr>
      </w:pPr>
      <w:r>
        <w:rPr>
          <w:rFonts w:ascii="Arial" w:hAnsi="Arial" w:cs="Arial"/>
        </w:rPr>
        <w:t>For the qualitative phase, the Focus Group Discussion (FGD) guide was validated using Lawshe’s (1975) Content Validity Ratio (CVR). Out of 16 initial questions, only three items achieved a CVR of 1.0, reflecting unanimous expert agreement on their essentiality. These validated items formed the final FGD guide, ensuring alignment with the study’s objectives and clarity for participants.</w:t>
      </w:r>
    </w:p>
    <w:p w14:paraId="3FD26CE2" w14:textId="77777777" w:rsidR="001A7132" w:rsidRDefault="001A7132">
      <w:pPr>
        <w:pStyle w:val="Body"/>
        <w:spacing w:after="0"/>
        <w:rPr>
          <w:rFonts w:ascii="Arial" w:hAnsi="Arial" w:cs="Arial"/>
        </w:rPr>
      </w:pPr>
    </w:p>
    <w:p w14:paraId="4BCC8907" w14:textId="77777777" w:rsidR="001A7132" w:rsidRDefault="00E6565E">
      <w:pPr>
        <w:pStyle w:val="Body"/>
        <w:spacing w:after="0"/>
        <w:rPr>
          <w:rFonts w:ascii="Arial" w:hAnsi="Arial" w:cs="Arial"/>
        </w:rPr>
      </w:pPr>
      <w:r>
        <w:rPr>
          <w:rFonts w:ascii="Arial" w:hAnsi="Arial" w:cs="Arial"/>
        </w:rPr>
        <w:t>Together, these procedures ensured that both quantitative and qualitative instruments were valid, reliable, and appropriate for the study context.</w:t>
      </w:r>
    </w:p>
    <w:p w14:paraId="1D9ED660" w14:textId="77777777" w:rsidR="001A7132" w:rsidRDefault="001A7132">
      <w:pPr>
        <w:pStyle w:val="Body"/>
        <w:spacing w:after="0"/>
        <w:rPr>
          <w:rFonts w:ascii="Arial" w:hAnsi="Arial" w:cs="Arial"/>
        </w:rPr>
      </w:pPr>
    </w:p>
    <w:p w14:paraId="6E4C50FC" w14:textId="77777777" w:rsidR="001A7132" w:rsidRDefault="00E6565E">
      <w:pPr>
        <w:pStyle w:val="Head1"/>
        <w:spacing w:after="0"/>
        <w:jc w:val="both"/>
        <w:rPr>
          <w:rFonts w:ascii="Arial" w:hAnsi="Arial" w:cs="Arial"/>
        </w:rPr>
      </w:pPr>
      <w:r>
        <w:rPr>
          <w:rFonts w:ascii="Arial" w:hAnsi="Arial" w:cs="Arial"/>
        </w:rPr>
        <w:t>3. results and discussion</w:t>
      </w:r>
    </w:p>
    <w:p w14:paraId="1C531B86" w14:textId="77777777" w:rsidR="001A7132" w:rsidRDefault="001A7132">
      <w:pPr>
        <w:pStyle w:val="Head1"/>
        <w:spacing w:after="0"/>
        <w:jc w:val="both"/>
        <w:rPr>
          <w:rFonts w:ascii="Arial" w:hAnsi="Arial" w:cs="Arial"/>
        </w:rPr>
      </w:pPr>
    </w:p>
    <w:p w14:paraId="59D003B2" w14:textId="77777777" w:rsidR="001A7132" w:rsidRDefault="00E6565E">
      <w:pPr>
        <w:rPr>
          <w:rFonts w:ascii="Arial" w:hAnsi="Arial" w:cs="Arial"/>
          <w:b/>
          <w:bCs/>
          <w:lang w:val="en-GB"/>
        </w:rPr>
      </w:pPr>
      <w:r>
        <w:rPr>
          <w:rFonts w:ascii="Arial" w:hAnsi="Arial" w:cs="Arial"/>
          <w:b/>
          <w:bCs/>
          <w:lang w:val="en-GB"/>
        </w:rPr>
        <w:t>3.1 Overall Trends</w:t>
      </w:r>
    </w:p>
    <w:p w14:paraId="52AE4419" w14:textId="77777777" w:rsidR="001A7132" w:rsidRDefault="00E6565E">
      <w:pPr>
        <w:rPr>
          <w:rFonts w:ascii="Arial" w:hAnsi="Arial" w:cs="Arial"/>
          <w:lang w:val="en-GB"/>
        </w:rPr>
      </w:pPr>
      <w:r>
        <w:rPr>
          <w:rFonts w:ascii="Arial" w:hAnsi="Arial" w:cs="Arial"/>
          <w:lang w:val="en-GB"/>
        </w:rPr>
        <w:t xml:space="preserve">Students were generally “Aware” in both domains, with civic engagement stronger than political engagement. Quantitative results showed mean scores in the Aware band for political and civic awareness, while civic engagement fell in the Engaged band and political engagement in the Fairly Engaged band. This pattern echoes Philippine findings that awareness is consistently high but engagement lags (Landig &amp; Landig, 2024). As one participant explained, </w:t>
      </w:r>
      <w:r>
        <w:rPr>
          <w:rFonts w:ascii="Arial" w:hAnsi="Arial" w:cs="Arial"/>
          <w:i/>
          <w:iCs/>
          <w:lang w:val="en-GB"/>
        </w:rPr>
        <w:t>“I post about social issues on Facebook because it’s the easiest way to reach my classmates.”</w:t>
      </w:r>
      <w:r>
        <w:rPr>
          <w:rFonts w:ascii="Arial" w:hAnsi="Arial" w:cs="Arial"/>
          <w:lang w:val="en-GB"/>
        </w:rPr>
        <w:t xml:space="preserve"> (Female, Grade 12, Academic Track). Internationally, NCES (2018, 2022) reported similar gaps in U.S. youth, where civic knowledge is stable but engagement remains modest without experiential pedagogy.</w:t>
      </w:r>
    </w:p>
    <w:p w14:paraId="71BCCF07" w14:textId="77777777" w:rsidR="001A7132" w:rsidRDefault="001A7132">
      <w:pPr>
        <w:rPr>
          <w:rFonts w:ascii="Arial" w:hAnsi="Arial" w:cs="Arial"/>
          <w:lang w:val="en-GB"/>
        </w:rPr>
      </w:pPr>
    </w:p>
    <w:p w14:paraId="082BADEA" w14:textId="77777777" w:rsidR="001A7132" w:rsidRDefault="00E6565E">
      <w:pPr>
        <w:rPr>
          <w:rFonts w:ascii="Arial" w:hAnsi="Arial" w:cs="Arial"/>
          <w:b/>
          <w:bCs/>
          <w:lang w:val="en-GB"/>
        </w:rPr>
      </w:pPr>
      <w:r>
        <w:rPr>
          <w:rFonts w:ascii="Arial" w:hAnsi="Arial" w:cs="Arial"/>
          <w:b/>
          <w:bCs/>
          <w:lang w:val="en-GB"/>
        </w:rPr>
        <w:t>3.2 Subgroup Differences</w:t>
      </w:r>
    </w:p>
    <w:p w14:paraId="5D7FDBA7" w14:textId="77777777" w:rsidR="001A7132" w:rsidRDefault="00E6565E">
      <w:pPr>
        <w:rPr>
          <w:rFonts w:ascii="Arial" w:hAnsi="Arial" w:cs="Arial"/>
          <w:lang w:val="en-GB"/>
        </w:rPr>
      </w:pPr>
      <w:r>
        <w:rPr>
          <w:rFonts w:ascii="Arial" w:hAnsi="Arial" w:cs="Arial"/>
          <w:lang w:val="en-GB"/>
        </w:rPr>
        <w:t xml:space="preserve">Subgroup analyses revealed that track differences were the most pronounced, particularly in awareness. Academic students consistently scored higher than their TVL counterparts, with effect sizes approaching medium magnitude (political awareness </w:t>
      </w:r>
      <w:r>
        <w:rPr>
          <w:rFonts w:ascii="Arial" w:hAnsi="Arial" w:cs="Arial"/>
          <w:i/>
          <w:iCs/>
          <w:lang w:val="en-GB"/>
        </w:rPr>
        <w:t xml:space="preserve">d </w:t>
      </w:r>
      <w:r>
        <w:rPr>
          <w:rFonts w:ascii="Arial" w:hAnsi="Arial" w:cs="Arial"/>
          <w:lang w:val="en-GB"/>
        </w:rPr>
        <w:t xml:space="preserve">≈ 0.49; civic awareness </w:t>
      </w:r>
    </w:p>
    <w:p w14:paraId="2916F9FF" w14:textId="77777777" w:rsidR="001A7132" w:rsidRDefault="00E6565E">
      <w:pPr>
        <w:rPr>
          <w:rFonts w:ascii="Arial" w:hAnsi="Arial" w:cs="Arial"/>
          <w:lang w:val="en-GB"/>
        </w:rPr>
      </w:pPr>
      <w:r>
        <w:rPr>
          <w:rFonts w:ascii="Arial" w:hAnsi="Arial" w:cs="Arial"/>
          <w:i/>
          <w:iCs/>
          <w:lang w:val="en-GB"/>
        </w:rPr>
        <w:t>d</w:t>
      </w:r>
      <w:r>
        <w:rPr>
          <w:rFonts w:ascii="Arial" w:hAnsi="Arial" w:cs="Arial"/>
          <w:lang w:val="en-GB"/>
        </w:rPr>
        <w:t xml:space="preserve"> ≈ 0.52). This pattern reflects curricular exposure: HUMSS and other academic strands integrate civics‑rich subjects such as Social Sciences, Philippine Politics and Governance, and Media and Information Literacy, while TVL strands emphasize technical competencies with limited civic content. One HUMSS student explained, “In Grade 12, we have more subjects that focus on government… we HUMSS students usually sit together, and that’s what we end up talking about.” (Female, Grade 12, Academic Track). Another added, “There are subjects that influence them… they discover that they are interested in politics because of those subjects.” (Male, Grade 11, Academic Track). These accounts highlight how structured curricular opportunities foster awareness through repeated exposure and peer discussion.</w:t>
      </w:r>
    </w:p>
    <w:p w14:paraId="2D51BAA0" w14:textId="77777777" w:rsidR="001A7132" w:rsidRDefault="001A7132">
      <w:pPr>
        <w:rPr>
          <w:rFonts w:ascii="Arial" w:hAnsi="Arial" w:cs="Arial"/>
          <w:lang w:val="en-GB"/>
        </w:rPr>
      </w:pPr>
    </w:p>
    <w:p w14:paraId="42901D73" w14:textId="77777777" w:rsidR="001A7132" w:rsidRDefault="00E6565E">
      <w:pPr>
        <w:rPr>
          <w:rFonts w:ascii="Arial" w:hAnsi="Arial" w:cs="Arial"/>
          <w:lang w:val="en-GB"/>
        </w:rPr>
      </w:pPr>
      <w:r>
        <w:rPr>
          <w:rFonts w:ascii="Arial" w:hAnsi="Arial" w:cs="Arial"/>
          <w:lang w:val="en-GB"/>
        </w:rPr>
        <w:t xml:space="preserve">International evidence reinforces this finding. The International Civic and Citizenship Education Study (ICCS) reported similar academic–vocational disparities across Europe and Latin America, where students in academically oriented programs demonstrated higher civic knowledge and engagement than those in vocational tracks (Schulz et al., 2018; Kerr et al., 2010). ICCS scholars attribute these differences to sustained exposure to social sciences and humanities, which provide opportunities for deliberation and critical reflection. The Philippine case therefore resonates with global patterns, underscoring the need to embed civic content across all strands to reduce inequities. Without such integration, vocational </w:t>
      </w:r>
      <w:proofErr w:type="gramStart"/>
      <w:r>
        <w:rPr>
          <w:rFonts w:ascii="Arial" w:hAnsi="Arial" w:cs="Arial"/>
          <w:lang w:val="en-GB"/>
        </w:rPr>
        <w:lastRenderedPageBreak/>
        <w:t>students</w:t>
      </w:r>
      <w:proofErr w:type="gramEnd"/>
      <w:r>
        <w:rPr>
          <w:rFonts w:ascii="Arial" w:hAnsi="Arial" w:cs="Arial"/>
          <w:lang w:val="en-GB"/>
        </w:rPr>
        <w:t xml:space="preserve"> risk being systematically disadvantaged in civic literacy, perpetuating gaps in democratic participation.</w:t>
      </w:r>
    </w:p>
    <w:p w14:paraId="246569A2" w14:textId="77777777" w:rsidR="001A7132" w:rsidRDefault="001A7132">
      <w:pPr>
        <w:rPr>
          <w:rFonts w:ascii="Arial" w:hAnsi="Arial" w:cs="Arial"/>
          <w:lang w:val="en-GB"/>
        </w:rPr>
      </w:pPr>
    </w:p>
    <w:p w14:paraId="73BDA3F4" w14:textId="77777777" w:rsidR="001A7132" w:rsidRDefault="00E6565E">
      <w:pPr>
        <w:rPr>
          <w:rFonts w:ascii="Arial" w:hAnsi="Arial" w:cs="Arial"/>
          <w:lang w:val="en-GB"/>
        </w:rPr>
      </w:pPr>
      <w:r>
        <w:rPr>
          <w:rFonts w:ascii="Arial" w:hAnsi="Arial" w:cs="Arial"/>
          <w:lang w:val="en-GB"/>
        </w:rPr>
        <w:t>Grade differences were modest, with Grade 12 students scoring slightly higher in engagement (</w:t>
      </w:r>
      <w:r>
        <w:rPr>
          <w:rFonts w:ascii="Arial" w:hAnsi="Arial" w:cs="Arial"/>
          <w:i/>
          <w:iCs/>
          <w:lang w:val="en-GB"/>
        </w:rPr>
        <w:t>d</w:t>
      </w:r>
      <w:r>
        <w:rPr>
          <w:rFonts w:ascii="Arial" w:hAnsi="Arial" w:cs="Arial"/>
          <w:lang w:val="en-GB"/>
        </w:rPr>
        <w:t xml:space="preserve"> ≈ 0.15–0.22). This incremental gain reflects developmental progression and structural opportunities. Grade 12 students are closer to voting eligibility and have completed the Media and Information Literacy (MIL) subject, which enhances their ability to evaluate information and participate responsibly. One participant noted, “In Grade 12, we already have the MIL subject… so Grade 12 students are more enhanced compared to those in Grade 11.” (Male, Grade 12, TVL Track). Another suggested, “It would be better if their program were regular, like having a clean‑up drive every Friday.” (Male, Grade 12, TVL Track). These insights show that while maturity and curricular exposure contribute to engagement, institutionalization of civic routines is equally critical. Encina and Berger (2021) similarly found that consistent, structured civic programs</w:t>
      </w:r>
      <w:r>
        <w:rPr>
          <w:rFonts w:ascii="Arial" w:hAnsi="Arial" w:cs="Arial"/>
          <w:lang w:val="en-PH"/>
        </w:rPr>
        <w:t xml:space="preserve"> </w:t>
      </w:r>
      <w:r>
        <w:rPr>
          <w:rFonts w:ascii="Arial" w:hAnsi="Arial" w:cs="Arial"/>
          <w:lang w:val="en-GB"/>
        </w:rPr>
        <w:t xml:space="preserve">not </w:t>
      </w:r>
      <w:r>
        <w:rPr>
          <w:rFonts w:ascii="Arial" w:hAnsi="Arial" w:cs="Arial"/>
          <w:lang w:val="en-PH"/>
        </w:rPr>
        <w:t xml:space="preserve">occasional one-time event </w:t>
      </w:r>
      <w:r>
        <w:rPr>
          <w:rFonts w:ascii="Arial" w:hAnsi="Arial" w:cs="Arial"/>
          <w:lang w:val="en-GB"/>
        </w:rPr>
        <w:t>build sustained participation. Thus, grade progression alone is insufficient without institutional scaffolding.</w:t>
      </w:r>
    </w:p>
    <w:p w14:paraId="6426AD9F" w14:textId="77777777" w:rsidR="001A7132" w:rsidRDefault="001A7132">
      <w:pPr>
        <w:rPr>
          <w:rFonts w:ascii="Arial" w:hAnsi="Arial" w:cs="Arial"/>
          <w:lang w:val="en-GB"/>
        </w:rPr>
      </w:pPr>
    </w:p>
    <w:p w14:paraId="03B4EA2A" w14:textId="77777777" w:rsidR="001A7132" w:rsidRDefault="00E6565E">
      <w:pPr>
        <w:rPr>
          <w:rFonts w:ascii="Arial" w:hAnsi="Arial" w:cs="Arial"/>
          <w:lang w:val="en-GB"/>
        </w:rPr>
      </w:pPr>
      <w:r>
        <w:rPr>
          <w:rFonts w:ascii="Arial" w:hAnsi="Arial" w:cs="Arial"/>
          <w:lang w:val="en-GB"/>
        </w:rPr>
        <w:t>Sex differences were minimal, with females scoring slightly higher in awareness but not significantly different in engagement. This parity echoes Philippine studies (Arias &amp; Montalbo, 2024) and global findings (García‑Albacete &amp; Hoskins, 2025), which suggest that gender gaps in civic outcomes are narrowing in digital contexts. Yet qualitative data revealed nuanced perceptions. One female participant observed, “Young people today are more open‑minded when it comes to politics compared to older generations.” (Female, Grade 12, Academic Track). Another challenged, “You’ve been voting for so long, why is there still corruption?” (Female, Grade 12, Academic Track). These statements reflect critical consciousness and frustration with intergenerational patterns, consistent with Freire’s (1970/2000) emphasis on conscientization. While quantitative results show parity, qualitative insights suggest that female students may be more vocal in articulating critique, possibly reflecting relational scaffolding and peer‑driven socialization.</w:t>
      </w:r>
    </w:p>
    <w:p w14:paraId="57DB5F28" w14:textId="77777777" w:rsidR="001A7132" w:rsidRDefault="001A7132">
      <w:pPr>
        <w:rPr>
          <w:rFonts w:ascii="Arial" w:hAnsi="Arial" w:cs="Arial"/>
          <w:lang w:val="en-GB"/>
        </w:rPr>
      </w:pPr>
    </w:p>
    <w:p w14:paraId="52C28C04" w14:textId="77777777" w:rsidR="001A7132" w:rsidRDefault="00E6565E">
      <w:pPr>
        <w:rPr>
          <w:rFonts w:ascii="Arial" w:hAnsi="Arial" w:cs="Arial"/>
          <w:lang w:val="en-GB"/>
        </w:rPr>
      </w:pPr>
      <w:r>
        <w:rPr>
          <w:rFonts w:ascii="Arial" w:hAnsi="Arial" w:cs="Arial"/>
          <w:lang w:val="en-GB"/>
        </w:rPr>
        <w:t>Taken together, subgroup differences highlight three key insights. First, track disparities matter most, with academic students advantaged by civics‑rich curricula. This finding aligns with ICCS comparative data and underscores the need for equity in curricular design. Second, grade differences are modest, suggesting that developmental progression must be coupled with institutionalized civic routines to yield meaningful gains. Third, sex differences are minimal, but qualitative evidence points to nuanced gendered expressions of critical consciousness. These patterns refine the IPO framework by showing that awareness and engagement are conditioned not only by individual attributes but by structural enablers: curriculum exposure, institutional routines, and peer networks. Addressing these disparities requires track‑inclusive civics, regularized programs, and gender‑sensitive approaches that amplify youth voices across contexts.</w:t>
      </w:r>
    </w:p>
    <w:p w14:paraId="50AFAD03" w14:textId="77777777" w:rsidR="001A7132" w:rsidRDefault="001A7132">
      <w:pPr>
        <w:rPr>
          <w:rFonts w:ascii="Arial" w:hAnsi="Arial" w:cs="Arial"/>
          <w:lang w:val="en-GB"/>
        </w:rPr>
      </w:pPr>
    </w:p>
    <w:p w14:paraId="0F45689F" w14:textId="77777777" w:rsidR="001A7132" w:rsidRDefault="00E6565E">
      <w:pPr>
        <w:rPr>
          <w:rFonts w:ascii="Arial" w:hAnsi="Arial" w:cs="Arial"/>
          <w:b/>
          <w:bCs/>
          <w:lang w:val="en-GB"/>
        </w:rPr>
      </w:pPr>
      <w:r>
        <w:rPr>
          <w:rFonts w:ascii="Arial" w:hAnsi="Arial" w:cs="Arial"/>
          <w:b/>
          <w:bCs/>
          <w:lang w:val="en-GB"/>
        </w:rPr>
        <w:t>3.3 Awareness–Engagement Links</w:t>
      </w:r>
    </w:p>
    <w:p w14:paraId="69D292D3" w14:textId="77777777" w:rsidR="001A7132" w:rsidRDefault="00E6565E">
      <w:pPr>
        <w:rPr>
          <w:rFonts w:ascii="Arial" w:hAnsi="Arial" w:cs="Arial"/>
          <w:lang w:val="en-GB"/>
        </w:rPr>
      </w:pPr>
      <w:r>
        <w:rPr>
          <w:rFonts w:ascii="Arial" w:hAnsi="Arial" w:cs="Arial"/>
          <w:lang w:val="en-GB"/>
        </w:rPr>
        <w:t>Regression analyses revealed distinct patterns in how awareness relates to engagement. Political awareness was moderately associated with political engagement (</w:t>
      </w:r>
      <w:r>
        <w:rPr>
          <w:rFonts w:ascii="Arial" w:hAnsi="Arial" w:cs="Arial"/>
          <w:i/>
          <w:iCs/>
          <w:lang w:val="en-GB"/>
        </w:rPr>
        <w:t>r</w:t>
      </w:r>
      <w:r>
        <w:rPr>
          <w:rFonts w:ascii="Arial" w:hAnsi="Arial" w:cs="Arial"/>
          <w:lang w:val="en-GB"/>
        </w:rPr>
        <w:t xml:space="preserve"> = .40; </w:t>
      </w:r>
      <w:r>
        <w:rPr>
          <w:rFonts w:ascii="Arial" w:hAnsi="Arial" w:cs="Arial"/>
          <w:i/>
          <w:iCs/>
          <w:lang w:val="en-GB"/>
        </w:rPr>
        <w:t>R²</w:t>
      </w:r>
      <w:r>
        <w:rPr>
          <w:rFonts w:ascii="Arial" w:hAnsi="Arial" w:cs="Arial"/>
          <w:lang w:val="en-GB"/>
        </w:rPr>
        <w:t xml:space="preserve"> = .16), indicating that awareness explains about 16% of the variance in political action. Civic awareness, by contrast, was strongly associated with civic engagement (</w:t>
      </w:r>
      <w:r>
        <w:rPr>
          <w:rFonts w:ascii="Arial" w:hAnsi="Arial" w:cs="Arial"/>
          <w:i/>
          <w:iCs/>
          <w:lang w:val="en-GB"/>
        </w:rPr>
        <w:t>r</w:t>
      </w:r>
      <w:r>
        <w:rPr>
          <w:rFonts w:ascii="Arial" w:hAnsi="Arial" w:cs="Arial"/>
          <w:lang w:val="en-GB"/>
        </w:rPr>
        <w:t xml:space="preserve"> = .67; </w:t>
      </w:r>
      <w:r>
        <w:rPr>
          <w:rFonts w:ascii="Arial" w:hAnsi="Arial" w:cs="Arial"/>
          <w:i/>
          <w:iCs/>
          <w:lang w:val="en-GB"/>
        </w:rPr>
        <w:t>R²</w:t>
      </w:r>
      <w:r>
        <w:rPr>
          <w:rFonts w:ascii="Arial" w:hAnsi="Arial" w:cs="Arial"/>
          <w:lang w:val="en-GB"/>
        </w:rPr>
        <w:t xml:space="preserve"> = .45), accounting for nearly half of the variance. These associations remained significant even after controlling for sex, grade level, and track, underscoring the robustness of the relationship. The difference in explanatory power between civic and political domains highlights the accessibility of civic practices as entry points into democratic life. Civic activities often involve local, familiar routines</w:t>
      </w:r>
      <w:r>
        <w:rPr>
          <w:rFonts w:ascii="Arial" w:hAnsi="Arial" w:cs="Arial"/>
          <w:lang w:val="en-PH"/>
        </w:rPr>
        <w:t xml:space="preserve"> </w:t>
      </w:r>
      <w:r>
        <w:rPr>
          <w:rFonts w:ascii="Arial" w:hAnsi="Arial" w:cs="Arial"/>
          <w:lang w:val="en-GB"/>
        </w:rPr>
        <w:t xml:space="preserve">such as clean‑up drives, peer‑led initiatives, or classroom </w:t>
      </w:r>
      <w:r>
        <w:rPr>
          <w:rFonts w:ascii="Arial" w:hAnsi="Arial" w:cs="Arial"/>
          <w:lang w:val="en-GB"/>
        </w:rPr>
        <w:lastRenderedPageBreak/>
        <w:t>projects</w:t>
      </w:r>
      <w:r>
        <w:rPr>
          <w:rFonts w:ascii="Arial" w:hAnsi="Arial" w:cs="Arial"/>
          <w:lang w:val="en-PH"/>
        </w:rPr>
        <w:t xml:space="preserve"> </w:t>
      </w:r>
      <w:r>
        <w:rPr>
          <w:rFonts w:ascii="Arial" w:hAnsi="Arial" w:cs="Arial"/>
          <w:lang w:val="en-GB"/>
        </w:rPr>
        <w:t>that are easier to translate into action than the more complex institutional structures of political participation.</w:t>
      </w:r>
    </w:p>
    <w:p w14:paraId="01F08E10" w14:textId="77777777" w:rsidR="001A7132" w:rsidRDefault="001A7132">
      <w:pPr>
        <w:rPr>
          <w:rFonts w:ascii="Arial" w:hAnsi="Arial" w:cs="Arial"/>
          <w:lang w:val="en-GB"/>
        </w:rPr>
      </w:pPr>
    </w:p>
    <w:p w14:paraId="00EF134A" w14:textId="77777777" w:rsidR="001A7132" w:rsidRDefault="00E6565E">
      <w:pPr>
        <w:rPr>
          <w:rFonts w:ascii="Arial" w:hAnsi="Arial" w:cs="Arial"/>
          <w:lang w:val="en-GB"/>
        </w:rPr>
      </w:pPr>
      <w:r>
        <w:rPr>
          <w:rFonts w:ascii="Arial" w:hAnsi="Arial" w:cs="Arial"/>
          <w:lang w:val="en-GB"/>
        </w:rPr>
        <w:t>This distinction resonates with international findings. The ICCS 2016 study reported that civic knowledge was more strongly linked to civic participation than political knowledge across 24 countries, suggesting that civic pathways are globally more reliable predictors of engagement (Schulz et al., 2018). Similarly, Kerr et al. (2010) found in the ICCS European report that civic knowledge correlated with participation in school‑based activities, while political knowledge was less consistently tied to political action. The Philippine case therefore aligns with comparative evidence, reinforcing the idea that civic awareness provides a more immediate and actionable foundation for youth engagement.</w:t>
      </w:r>
    </w:p>
    <w:p w14:paraId="2345E1B8" w14:textId="77777777" w:rsidR="001A7132" w:rsidRDefault="001A7132">
      <w:pPr>
        <w:rPr>
          <w:rFonts w:ascii="Arial" w:hAnsi="Arial" w:cs="Arial"/>
          <w:lang w:val="en-GB"/>
        </w:rPr>
      </w:pPr>
    </w:p>
    <w:p w14:paraId="0FA6059F" w14:textId="77777777" w:rsidR="001A7132" w:rsidRDefault="00E6565E">
      <w:pPr>
        <w:rPr>
          <w:rFonts w:ascii="Arial" w:hAnsi="Arial" w:cs="Arial"/>
          <w:lang w:val="en-GB"/>
        </w:rPr>
      </w:pPr>
      <w:r>
        <w:rPr>
          <w:rFonts w:ascii="Arial" w:hAnsi="Arial" w:cs="Arial"/>
          <w:lang w:val="en-GB"/>
        </w:rPr>
        <w:t xml:space="preserve">Qualitative data further illuminate these quantitative patterns. Focus group discussions revealed that awareness does not always translate into authentic participation. Many students admitted joining civic activities for extrinsic rewards such as attendance credit or grades. One participant confessed, “I only joined the clean‑up drive because of the plus points.” (Female, Grade 12, Academic Track). Another recalled, “When we were in Grade 10, we cleaned because it was required for attendance.” (Female, Grade 11, TVL Track). These accounts reflect controlled motivation, consistent with Ryan and Deci’s (2020) self‑determination theory, which distinguishes between extrinsic and intrinsic drivers of </w:t>
      </w:r>
      <w:proofErr w:type="spellStart"/>
      <w:r>
        <w:rPr>
          <w:rFonts w:ascii="Arial" w:hAnsi="Arial" w:cs="Arial"/>
          <w:lang w:val="en-GB"/>
        </w:rPr>
        <w:t>behavior</w:t>
      </w:r>
      <w:proofErr w:type="spellEnd"/>
      <w:r>
        <w:rPr>
          <w:rFonts w:ascii="Arial" w:hAnsi="Arial" w:cs="Arial"/>
          <w:lang w:val="en-GB"/>
        </w:rPr>
        <w:t>. While awareness may provide knowledge of civic issues, engagement requires autonomy‑supportive contexts that foster genuine motivation. Without such structures, participation risks being superficial and short‑lived.</w:t>
      </w:r>
    </w:p>
    <w:p w14:paraId="1038009A" w14:textId="77777777" w:rsidR="001A7132" w:rsidRDefault="001A7132">
      <w:pPr>
        <w:rPr>
          <w:rFonts w:ascii="Arial" w:hAnsi="Arial" w:cs="Arial"/>
          <w:lang w:val="en-GB"/>
        </w:rPr>
      </w:pPr>
    </w:p>
    <w:p w14:paraId="20DCBC59" w14:textId="77777777" w:rsidR="001A7132" w:rsidRDefault="00E6565E">
      <w:pPr>
        <w:rPr>
          <w:rFonts w:ascii="Arial" w:hAnsi="Arial" w:cs="Arial"/>
          <w:lang w:val="en-GB"/>
        </w:rPr>
      </w:pPr>
      <w:r>
        <w:rPr>
          <w:rFonts w:ascii="Arial" w:hAnsi="Arial" w:cs="Arial"/>
          <w:lang w:val="en-GB"/>
        </w:rPr>
        <w:t>Bandura’s social cognitive framework (1986) helps explain these dynamics. Awareness contributes to self‑efficacy</w:t>
      </w:r>
      <w:r>
        <w:rPr>
          <w:rFonts w:ascii="Arial" w:hAnsi="Arial" w:cs="Arial"/>
          <w:lang w:val="en-PH"/>
        </w:rPr>
        <w:t xml:space="preserve">, </w:t>
      </w:r>
      <w:r>
        <w:rPr>
          <w:rFonts w:ascii="Arial" w:hAnsi="Arial" w:cs="Arial"/>
          <w:lang w:val="en-GB"/>
        </w:rPr>
        <w:t>the belief in one’s ability to act</w:t>
      </w:r>
      <w:r>
        <w:rPr>
          <w:rFonts w:ascii="Arial" w:hAnsi="Arial" w:cs="Arial"/>
          <w:lang w:val="en-PH"/>
        </w:rPr>
        <w:t xml:space="preserve"> </w:t>
      </w:r>
      <w:r>
        <w:rPr>
          <w:rFonts w:ascii="Arial" w:hAnsi="Arial" w:cs="Arial"/>
          <w:lang w:val="en-GB"/>
        </w:rPr>
        <w:t>but efficacy alone is insufficient without opportunities for mastery experiences. Civic awareness often provides immediate contexts for action, such as peer‑organized projects or school‑based routines, reinforcing efficacy through practice. Political awareness, however, requires navigating more complex structures such as elections, governance, and policy debates, which may feel distant or inaccessible to students. As one participant noted, “Young people today are more open‑minded when it comes to politics compared to older generations, but it’s hard to see how we can really change things.” (Female, Grade 12, Academic Track). This statement reflects awareness without efficacy, highlighting the gap between knowledge and action in the political domain.</w:t>
      </w:r>
    </w:p>
    <w:p w14:paraId="1C852D53" w14:textId="77777777" w:rsidR="001A7132" w:rsidRDefault="001A7132">
      <w:pPr>
        <w:rPr>
          <w:rFonts w:ascii="Arial" w:hAnsi="Arial" w:cs="Arial"/>
          <w:lang w:val="en-GB"/>
        </w:rPr>
      </w:pPr>
    </w:p>
    <w:p w14:paraId="28C9B6A7" w14:textId="77777777" w:rsidR="001A7132" w:rsidRDefault="00E6565E">
      <w:pPr>
        <w:rPr>
          <w:rFonts w:ascii="Arial" w:hAnsi="Arial" w:cs="Arial"/>
          <w:lang w:val="en-GB"/>
        </w:rPr>
      </w:pPr>
      <w:r>
        <w:rPr>
          <w:rFonts w:ascii="Arial" w:hAnsi="Arial" w:cs="Arial"/>
          <w:lang w:val="en-GB"/>
        </w:rPr>
        <w:t>The role of peer networks also emerged as a critical mediator. Students described how conversations with friends encouraged them to act on their awareness. One participant explained, “My friends were always engaged in political topics… that was what pushed me to start engaging in politics as well.” (Male, Grade 11, Academic Track). Another added, “Whenever our conversations are about politics and we notice some information is wrong, we correct it so our understanding remains accurate.” (Female, Grade 12, Academic Track). These accounts illustrate Bandura’s principle of observational learning: peers serve as models, reinforcing both awareness and engagement. In civic contexts, peer scaffolding makes participation more immediate and less intimidating, strengthening the awareness–action link.</w:t>
      </w:r>
    </w:p>
    <w:p w14:paraId="16B4D8F0" w14:textId="77777777" w:rsidR="001A7132" w:rsidRDefault="001A7132">
      <w:pPr>
        <w:rPr>
          <w:rFonts w:ascii="Arial" w:hAnsi="Arial" w:cs="Arial"/>
          <w:lang w:val="en-GB"/>
        </w:rPr>
      </w:pPr>
    </w:p>
    <w:p w14:paraId="61253C11" w14:textId="77777777" w:rsidR="001A7132" w:rsidRDefault="00E6565E">
      <w:pPr>
        <w:rPr>
          <w:rFonts w:ascii="Arial" w:hAnsi="Arial" w:cs="Arial"/>
          <w:lang w:val="en-GB"/>
        </w:rPr>
      </w:pPr>
      <w:r>
        <w:rPr>
          <w:rFonts w:ascii="Arial" w:hAnsi="Arial" w:cs="Arial"/>
          <w:lang w:val="en-GB"/>
        </w:rPr>
        <w:t xml:space="preserve">Taken together, these findings refine the IPO framework by showing that awareness is necessary but insufficient. Civic awareness translates more reliably into engagement because it is embedded in accessible routines and peer networks, while political awareness requires additional structural supports to become action. The Philippine case confirms global evidence that engagement flourishes when schools provide autonomy‑supportive environments, service learning opportunities, and democratic practices (Barrett &amp; Pachi, </w:t>
      </w:r>
      <w:r>
        <w:rPr>
          <w:rFonts w:ascii="Arial" w:hAnsi="Arial" w:cs="Arial"/>
          <w:lang w:val="en-GB"/>
        </w:rPr>
        <w:lastRenderedPageBreak/>
        <w:t xml:space="preserve">2019). Without such structures, awareness risks remaining a cognitive precursor rather than a </w:t>
      </w:r>
      <w:proofErr w:type="spellStart"/>
      <w:r>
        <w:rPr>
          <w:rFonts w:ascii="Arial" w:hAnsi="Arial" w:cs="Arial"/>
          <w:lang w:val="en-GB"/>
        </w:rPr>
        <w:t>behavioral</w:t>
      </w:r>
      <w:proofErr w:type="spellEnd"/>
      <w:r>
        <w:rPr>
          <w:rFonts w:ascii="Arial" w:hAnsi="Arial" w:cs="Arial"/>
          <w:lang w:val="en-GB"/>
        </w:rPr>
        <w:t xml:space="preserve"> outcome.</w:t>
      </w:r>
    </w:p>
    <w:p w14:paraId="36BCEBB7" w14:textId="77777777" w:rsidR="001A7132" w:rsidRDefault="001A7132">
      <w:pPr>
        <w:rPr>
          <w:rFonts w:ascii="Arial" w:hAnsi="Arial" w:cs="Arial"/>
          <w:lang w:val="en-GB"/>
        </w:rPr>
      </w:pPr>
    </w:p>
    <w:p w14:paraId="6C0B7628" w14:textId="77777777" w:rsidR="001A7132" w:rsidRDefault="00E6565E">
      <w:pPr>
        <w:rPr>
          <w:rFonts w:ascii="Arial" w:hAnsi="Arial" w:cs="Arial"/>
          <w:lang w:val="en-GB"/>
        </w:rPr>
      </w:pPr>
      <w:proofErr w:type="spellStart"/>
      <w:r>
        <w:rPr>
          <w:rFonts w:ascii="Arial" w:hAnsi="Arial" w:cs="Arial"/>
          <w:lang w:val="en-GB"/>
        </w:rPr>
        <w:t>Interpre</w:t>
      </w:r>
      <w:proofErr w:type="spellEnd"/>
      <w:r>
        <w:rPr>
          <w:rFonts w:ascii="Arial" w:hAnsi="Arial" w:cs="Arial"/>
          <w:lang w:val="en-PH"/>
        </w:rPr>
        <w:t>ta</w:t>
      </w:r>
      <w:proofErr w:type="spellStart"/>
      <w:r>
        <w:rPr>
          <w:rFonts w:ascii="Arial" w:hAnsi="Arial" w:cs="Arial"/>
          <w:lang w:val="en-GB"/>
        </w:rPr>
        <w:t>tively</w:t>
      </w:r>
      <w:proofErr w:type="spellEnd"/>
      <w:r>
        <w:rPr>
          <w:rFonts w:ascii="Arial" w:hAnsi="Arial" w:cs="Arial"/>
          <w:lang w:val="en-GB"/>
        </w:rPr>
        <w:t>, the stronger civic pathway suggests that schools should treat civic engagement as a gateway to political learning. By embedding civic tasks across strands and institutionalizing routines, educators can scaffold awareness into action, building efficacy and motivation. Over time, these civic experiences may spill over into political domains, preparing students for more complex forms of participation. This insight contributes to comparative civic education scholarship by situating the Philippine SHS case within global debates on how awareness relates to engagement, emphasizing the relational and contextual factors that condition this link.</w:t>
      </w:r>
    </w:p>
    <w:p w14:paraId="2CEBB674" w14:textId="77777777" w:rsidR="001A7132" w:rsidRDefault="001A7132">
      <w:pPr>
        <w:rPr>
          <w:rFonts w:ascii="Arial" w:hAnsi="Arial" w:cs="Arial"/>
          <w:lang w:val="en-GB"/>
        </w:rPr>
      </w:pPr>
    </w:p>
    <w:p w14:paraId="194007B9" w14:textId="77777777" w:rsidR="001A7132" w:rsidRDefault="00E6565E">
      <w:pPr>
        <w:rPr>
          <w:rFonts w:ascii="Arial" w:hAnsi="Arial" w:cs="Arial"/>
          <w:b/>
          <w:bCs/>
          <w:lang w:val="en-GB"/>
        </w:rPr>
      </w:pPr>
      <w:r>
        <w:rPr>
          <w:rFonts w:ascii="Arial" w:hAnsi="Arial" w:cs="Arial"/>
          <w:b/>
          <w:bCs/>
          <w:lang w:val="en-GB"/>
        </w:rPr>
        <w:t>3.4 Qualitative Insights</w:t>
      </w:r>
    </w:p>
    <w:p w14:paraId="161429C0" w14:textId="77777777" w:rsidR="001A7132" w:rsidRDefault="00E6565E">
      <w:pPr>
        <w:rPr>
          <w:rFonts w:ascii="Arial" w:hAnsi="Arial" w:cs="Arial"/>
          <w:lang w:val="en-GB"/>
        </w:rPr>
      </w:pPr>
      <w:r>
        <w:rPr>
          <w:rFonts w:ascii="Arial" w:hAnsi="Arial" w:cs="Arial"/>
          <w:lang w:val="en-GB"/>
        </w:rPr>
        <w:t>Six themes explained these patterns: digital political learning, curricular disparities, incentive‑dependent participation, intergenerational tensions, structural school factors, and peer‑network socialization.</w:t>
      </w:r>
    </w:p>
    <w:p w14:paraId="57956FF4" w14:textId="77777777" w:rsidR="001A7132" w:rsidRDefault="001A7132">
      <w:pPr>
        <w:rPr>
          <w:rFonts w:ascii="Arial" w:hAnsi="Arial" w:cs="Arial"/>
          <w:lang w:val="en-GB"/>
        </w:rPr>
      </w:pPr>
    </w:p>
    <w:p w14:paraId="2950D54E" w14:textId="77777777" w:rsidR="001A7132" w:rsidRDefault="00E6565E">
      <w:pPr>
        <w:rPr>
          <w:rFonts w:ascii="Arial" w:hAnsi="Arial" w:cs="Arial"/>
          <w:b/>
          <w:bCs/>
          <w:lang w:val="en-GB"/>
        </w:rPr>
      </w:pPr>
      <w:r>
        <w:rPr>
          <w:rFonts w:ascii="Arial" w:hAnsi="Arial" w:cs="Arial"/>
          <w:b/>
          <w:bCs/>
          <w:lang w:val="en-GB"/>
        </w:rPr>
        <w:t>Theme 1: Digital Political Awakening and Self‑Directed Learning</w:t>
      </w:r>
    </w:p>
    <w:p w14:paraId="2BF14E58" w14:textId="77777777" w:rsidR="001A7132" w:rsidRDefault="00E6565E">
      <w:pPr>
        <w:rPr>
          <w:rFonts w:ascii="Arial" w:hAnsi="Arial" w:cs="Arial"/>
          <w:lang w:val="en-GB"/>
        </w:rPr>
      </w:pPr>
      <w:r>
        <w:rPr>
          <w:rFonts w:ascii="Arial" w:hAnsi="Arial" w:cs="Arial"/>
          <w:lang w:val="en-GB"/>
        </w:rPr>
        <w:t xml:space="preserve">Students’ political awareness often emerged from self‑directed digital exploration rather than classroom instruction. This aligns with Philippine studies showing youth reliance on Facebook and TikTok for civic learning (Velasco et al., 2024; Arias &amp; Montalbo, 2024). One participant explained, “On social media, I join political groups and do research… whenever I see a post that raises awareness, I immediately share it and add my perspective.” (Female, Grade 12, Academic Track). Another added, “In writing essays, I feel motivated to create them because it helps make others aware of what is happening.” (Female, Grade 11, TVL Track). Internationally, </w:t>
      </w:r>
      <w:proofErr w:type="spellStart"/>
      <w:r>
        <w:rPr>
          <w:rFonts w:ascii="Arial" w:hAnsi="Arial" w:cs="Arial"/>
          <w:lang w:val="en-GB"/>
        </w:rPr>
        <w:t>Tzankova</w:t>
      </w:r>
      <w:proofErr w:type="spellEnd"/>
      <w:r>
        <w:rPr>
          <w:rFonts w:ascii="Arial" w:hAnsi="Arial" w:cs="Arial"/>
          <w:lang w:val="en-GB"/>
        </w:rPr>
        <w:t xml:space="preserve"> et al. (2021) found similar patterns in Europe, where adolescents treat social media as civic classrooms but face risks of misinformation. Thus, digital platforms are powerful but require schools to embed media literacy to ensure accuracy and responsible engagement.</w:t>
      </w:r>
    </w:p>
    <w:p w14:paraId="2494628E" w14:textId="77777777" w:rsidR="001A7132" w:rsidRDefault="001A7132">
      <w:pPr>
        <w:rPr>
          <w:rFonts w:ascii="Arial" w:hAnsi="Arial" w:cs="Arial"/>
          <w:lang w:val="en-GB"/>
        </w:rPr>
      </w:pPr>
    </w:p>
    <w:p w14:paraId="289A4D6E" w14:textId="77777777" w:rsidR="001A7132" w:rsidRDefault="00E6565E">
      <w:pPr>
        <w:rPr>
          <w:rFonts w:ascii="Arial" w:hAnsi="Arial" w:cs="Arial"/>
          <w:b/>
          <w:bCs/>
          <w:lang w:val="en-GB"/>
        </w:rPr>
      </w:pPr>
      <w:r>
        <w:rPr>
          <w:rFonts w:ascii="Arial" w:hAnsi="Arial" w:cs="Arial"/>
          <w:b/>
          <w:bCs/>
          <w:lang w:val="en-GB"/>
        </w:rPr>
        <w:t>Theme 2: Curriculum‑Based Political Literacy Disparities</w:t>
      </w:r>
    </w:p>
    <w:p w14:paraId="2CA8BEB9" w14:textId="77777777" w:rsidR="001A7132" w:rsidRDefault="00E6565E">
      <w:pPr>
        <w:rPr>
          <w:rFonts w:ascii="Arial" w:hAnsi="Arial" w:cs="Arial"/>
          <w:lang w:val="en-GB"/>
        </w:rPr>
      </w:pPr>
      <w:r>
        <w:rPr>
          <w:rFonts w:ascii="Arial" w:hAnsi="Arial" w:cs="Arial"/>
          <w:lang w:val="en-GB"/>
        </w:rPr>
        <w:t xml:space="preserve">FGDs revealed clear disparities across strands: HUMSS learners reported stronger political literacy due to structured civics subjects, while TVL students had fewer opportunities. Locally, Landig &amp; Landig (2024) and </w:t>
      </w:r>
      <w:proofErr w:type="spellStart"/>
      <w:r>
        <w:rPr>
          <w:rFonts w:ascii="Arial" w:hAnsi="Arial" w:cs="Arial"/>
          <w:lang w:val="en-GB"/>
        </w:rPr>
        <w:t>Pacatan</w:t>
      </w:r>
      <w:proofErr w:type="spellEnd"/>
      <w:r>
        <w:rPr>
          <w:rFonts w:ascii="Arial" w:hAnsi="Arial" w:cs="Arial"/>
          <w:lang w:val="en-GB"/>
        </w:rPr>
        <w:t xml:space="preserve"> et al. (2025) confirmed that HUMSS cohorts benefit from discussion‑rich pedagogy. As one student noted, “In Grade 12, we have more subjects that focus on government… we HUMSS students usually sit together, and that’s what we end up talking about.” (Female, Grade 12, Academic Track). Another observed, “There are subjects that influence them… they discover that they are interested in politics because of those subjects.” (Male, Grade 11, Academic Track). Internationally, van de </w:t>
      </w:r>
      <w:proofErr w:type="spellStart"/>
      <w:r>
        <w:rPr>
          <w:rFonts w:ascii="Arial" w:hAnsi="Arial" w:cs="Arial"/>
          <w:lang w:val="en-GB"/>
        </w:rPr>
        <w:t>Werfhorst</w:t>
      </w:r>
      <w:proofErr w:type="spellEnd"/>
      <w:r>
        <w:rPr>
          <w:rFonts w:ascii="Arial" w:hAnsi="Arial" w:cs="Arial"/>
          <w:lang w:val="en-GB"/>
        </w:rPr>
        <w:t xml:space="preserve"> et al. (2025) found similar academic–vocational gaps in Europe, where civic outcomes depend on sustained exposure to social sciences. This underscores the need to embed civic content across all strands to reduce inequities.</w:t>
      </w:r>
    </w:p>
    <w:p w14:paraId="01AAF89B" w14:textId="77777777" w:rsidR="001A7132" w:rsidRDefault="001A7132">
      <w:pPr>
        <w:rPr>
          <w:rFonts w:ascii="Arial" w:hAnsi="Arial" w:cs="Arial"/>
          <w:lang w:val="en-GB"/>
        </w:rPr>
      </w:pPr>
    </w:p>
    <w:p w14:paraId="4B8BAAFD" w14:textId="77777777" w:rsidR="001A7132" w:rsidRDefault="00E6565E">
      <w:pPr>
        <w:rPr>
          <w:rFonts w:ascii="Arial" w:hAnsi="Arial" w:cs="Arial"/>
          <w:b/>
          <w:bCs/>
          <w:lang w:val="en-GB"/>
        </w:rPr>
      </w:pPr>
      <w:r>
        <w:rPr>
          <w:rFonts w:ascii="Arial" w:hAnsi="Arial" w:cs="Arial"/>
          <w:b/>
          <w:bCs/>
          <w:lang w:val="en-GB"/>
        </w:rPr>
        <w:t>Theme 3: Incentive‑Dependent Civic Participation</w:t>
      </w:r>
    </w:p>
    <w:p w14:paraId="44011FE7" w14:textId="77777777" w:rsidR="001A7132" w:rsidRDefault="00E6565E">
      <w:pPr>
        <w:rPr>
          <w:rFonts w:ascii="Arial" w:hAnsi="Arial" w:cs="Arial"/>
          <w:lang w:val="en-GB"/>
        </w:rPr>
      </w:pPr>
      <w:r>
        <w:rPr>
          <w:rFonts w:ascii="Arial" w:hAnsi="Arial" w:cs="Arial"/>
          <w:lang w:val="en-GB"/>
        </w:rPr>
        <w:t xml:space="preserve">Students often joined civic activities for extrinsic rewards such as attendance credit or grades, reflecting controlled motivation (Ryan &amp; Deci, 2020). Philippine evidence shows similar reliance on incentives in school‑based civic programs (Barber et al., 2021). One participant admitted, “I only joined the clean‑up drive because of the plus points.” (Female, Grade 12, Academic Track). Another recalled, “When we were in Grade 10, we cleaned because it was required for attendance.” (Female, Grade 11, TVL Track). Internationally, Barrett &amp; Pachi (2019) emphasized that civic engagement flourishes when schools adopt service learning and democratic practices that foster intrinsic motivation. Thus, both local </w:t>
      </w:r>
      <w:r>
        <w:rPr>
          <w:rFonts w:ascii="Arial" w:hAnsi="Arial" w:cs="Arial"/>
          <w:lang w:val="en-GB"/>
        </w:rPr>
        <w:lastRenderedPageBreak/>
        <w:t>and global evidence highlight the need to shift from incentive‑driven participation to autonomy‑supportive approaches.</w:t>
      </w:r>
    </w:p>
    <w:p w14:paraId="77F2AAF2" w14:textId="77777777" w:rsidR="001A7132" w:rsidRDefault="001A7132">
      <w:pPr>
        <w:rPr>
          <w:rFonts w:ascii="Arial" w:hAnsi="Arial" w:cs="Arial"/>
          <w:lang w:val="en-GB"/>
        </w:rPr>
      </w:pPr>
    </w:p>
    <w:p w14:paraId="3BB6D8DC" w14:textId="77777777" w:rsidR="001A7132" w:rsidRDefault="00E6565E">
      <w:pPr>
        <w:rPr>
          <w:rFonts w:ascii="Arial" w:hAnsi="Arial" w:cs="Arial"/>
          <w:b/>
          <w:bCs/>
          <w:lang w:val="en-GB"/>
        </w:rPr>
      </w:pPr>
      <w:r>
        <w:rPr>
          <w:rFonts w:ascii="Arial" w:hAnsi="Arial" w:cs="Arial"/>
          <w:b/>
          <w:bCs/>
          <w:lang w:val="en-GB"/>
        </w:rPr>
        <w:t>Theme 4: Intergenerational Tensions and Youth Critical Consciousness</w:t>
      </w:r>
    </w:p>
    <w:p w14:paraId="67AF130C" w14:textId="77777777" w:rsidR="001A7132" w:rsidRDefault="00E6565E">
      <w:pPr>
        <w:rPr>
          <w:rFonts w:ascii="Arial" w:hAnsi="Arial" w:cs="Arial"/>
          <w:lang w:val="en-GB"/>
        </w:rPr>
      </w:pPr>
      <w:r>
        <w:rPr>
          <w:rFonts w:ascii="Arial" w:hAnsi="Arial" w:cs="Arial"/>
          <w:lang w:val="en-GB"/>
        </w:rPr>
        <w:t xml:space="preserve">Youth expressed frustration with older generations’ voting patterns and corruption, reflecting a growing critical consciousness. Locally, </w:t>
      </w:r>
      <w:proofErr w:type="spellStart"/>
      <w:r>
        <w:rPr>
          <w:rFonts w:ascii="Arial" w:hAnsi="Arial" w:cs="Arial"/>
          <w:lang w:val="en-GB"/>
        </w:rPr>
        <w:t>Ragusta</w:t>
      </w:r>
      <w:proofErr w:type="spellEnd"/>
      <w:r>
        <w:rPr>
          <w:rFonts w:ascii="Arial" w:hAnsi="Arial" w:cs="Arial"/>
          <w:lang w:val="en-GB"/>
        </w:rPr>
        <w:t xml:space="preserve"> (2024) and </w:t>
      </w:r>
      <w:proofErr w:type="spellStart"/>
      <w:r>
        <w:rPr>
          <w:rFonts w:ascii="Arial" w:hAnsi="Arial" w:cs="Arial"/>
          <w:lang w:val="en-GB"/>
        </w:rPr>
        <w:t>Wui</w:t>
      </w:r>
      <w:proofErr w:type="spellEnd"/>
      <w:r>
        <w:rPr>
          <w:rFonts w:ascii="Arial" w:hAnsi="Arial" w:cs="Arial"/>
          <w:lang w:val="en-GB"/>
        </w:rPr>
        <w:t xml:space="preserve"> et al. (2024) documented how younger voters increasingly reject transactional politics. One participant shared, “Young people today are more open‑minded when it comes to politics… unlike before.” (Female, Grade 12, Academic Track). Another challenged, “You’ve been voting for so long, why is there still corruption?” (Female, Grade 12, Academic Track). Internationally, García‑Albacete &amp; Hoskins (2025) observed similar generational divides in Europe, where youth demand transparency and accountability. This suggests a global shift toward values‑based evaluation of leaders, with Filipino youth part of a broader regional wave of reform‑oriented activism.</w:t>
      </w:r>
    </w:p>
    <w:p w14:paraId="23FF6F55" w14:textId="77777777" w:rsidR="001A7132" w:rsidRDefault="001A7132">
      <w:pPr>
        <w:rPr>
          <w:rFonts w:ascii="Arial" w:hAnsi="Arial" w:cs="Arial"/>
          <w:lang w:val="en-GB"/>
        </w:rPr>
      </w:pPr>
    </w:p>
    <w:p w14:paraId="17FAB944" w14:textId="77777777" w:rsidR="001A7132" w:rsidRDefault="00E6565E">
      <w:pPr>
        <w:rPr>
          <w:rFonts w:ascii="Arial" w:hAnsi="Arial" w:cs="Arial"/>
          <w:b/>
          <w:bCs/>
          <w:lang w:val="en-GB"/>
        </w:rPr>
      </w:pPr>
      <w:r>
        <w:rPr>
          <w:rFonts w:ascii="Arial" w:hAnsi="Arial" w:cs="Arial"/>
          <w:b/>
          <w:bCs/>
          <w:lang w:val="en-GB"/>
        </w:rPr>
        <w:t>Theme 5: Developmental and Structural Factors in Engagement</w:t>
      </w:r>
    </w:p>
    <w:p w14:paraId="3B299135" w14:textId="77777777" w:rsidR="001A7132" w:rsidRDefault="00E6565E">
      <w:pPr>
        <w:rPr>
          <w:rFonts w:ascii="Arial" w:hAnsi="Arial" w:cs="Arial"/>
          <w:lang w:val="en-GB"/>
        </w:rPr>
      </w:pPr>
      <w:r>
        <w:rPr>
          <w:rFonts w:ascii="Arial" w:hAnsi="Arial" w:cs="Arial"/>
          <w:lang w:val="en-GB"/>
        </w:rPr>
        <w:t>Grade 12 students described feeling “enhanced” due to Media and Information Literacy (MIL) and voting eligibility, highlighting developmental progression. Locally, DepEd (2019) emphasized MIL as foundational for responsible civic engagement. A participant explained, “In Grade 12, we already have the MIL subject… so Grade 12 students are more enhanced compared to those in Grade 11.” (Male, Grade 12, TVL Track). Another suggested, “It would be better if their program were regular, like having a clean‑up drive every Friday.” (Male, Grade 12, TVL Track). Internationally, Encina &amp; Berger (2021) found that institutionalized civic routines, not sporadic events, build sustained participation. This underscores the need for consistent, structured civic programs across grade levels.</w:t>
      </w:r>
    </w:p>
    <w:p w14:paraId="7C8A8886" w14:textId="77777777" w:rsidR="001A7132" w:rsidRDefault="001A7132">
      <w:pPr>
        <w:rPr>
          <w:rFonts w:ascii="Arial" w:hAnsi="Arial" w:cs="Arial"/>
          <w:lang w:val="en-GB"/>
        </w:rPr>
      </w:pPr>
    </w:p>
    <w:p w14:paraId="5DCC03A9" w14:textId="77777777" w:rsidR="001A7132" w:rsidRDefault="00E6565E">
      <w:pPr>
        <w:rPr>
          <w:rFonts w:ascii="Arial" w:hAnsi="Arial" w:cs="Arial"/>
          <w:lang w:val="en-GB"/>
        </w:rPr>
      </w:pPr>
      <w:r>
        <w:rPr>
          <w:rFonts w:ascii="Arial" w:hAnsi="Arial" w:cs="Arial"/>
          <w:b/>
          <w:bCs/>
          <w:lang w:val="en-GB"/>
        </w:rPr>
        <w:t>Theme 6: Peer Networks and Collective Political Socialization</w:t>
      </w:r>
    </w:p>
    <w:p w14:paraId="4D7D4FC6" w14:textId="77777777" w:rsidR="001A7132" w:rsidRDefault="00E6565E">
      <w:pPr>
        <w:rPr>
          <w:rFonts w:ascii="Arial" w:hAnsi="Arial" w:cs="Arial"/>
          <w:lang w:val="en-GB"/>
        </w:rPr>
      </w:pPr>
      <w:r>
        <w:rPr>
          <w:rFonts w:ascii="Arial" w:hAnsi="Arial" w:cs="Arial"/>
          <w:lang w:val="en-GB"/>
        </w:rPr>
        <w:t xml:space="preserve">Peer influence emerged as a powerful driver of political engagement. Locally, </w:t>
      </w:r>
      <w:proofErr w:type="spellStart"/>
      <w:r>
        <w:rPr>
          <w:rFonts w:ascii="Arial" w:hAnsi="Arial" w:cs="Arial"/>
          <w:lang w:val="en-GB"/>
        </w:rPr>
        <w:t>Somosot</w:t>
      </w:r>
      <w:proofErr w:type="spellEnd"/>
      <w:r>
        <w:rPr>
          <w:rFonts w:ascii="Arial" w:hAnsi="Arial" w:cs="Arial"/>
          <w:lang w:val="en-GB"/>
        </w:rPr>
        <w:t xml:space="preserve"> (2025) found that peer ties predicted civic participation more strongly than social media use. One student shared, “My friends were always engaged in political topics… that was what pushed me to start engaging in politics as well.” (Male, Grade 11, Academic Track). Another explained, “Whenever our conversations are about politics and we notice some information is wrong, we correct it so our understanding remains accurate.” (Female, Grade 12, Academic Track). Internationally, Encina &amp; Berger (2021) and </w:t>
      </w:r>
      <w:proofErr w:type="spellStart"/>
      <w:r>
        <w:rPr>
          <w:rFonts w:ascii="Arial" w:hAnsi="Arial" w:cs="Arial"/>
          <w:lang w:val="en-GB"/>
        </w:rPr>
        <w:t>Tzankova</w:t>
      </w:r>
      <w:proofErr w:type="spellEnd"/>
      <w:r>
        <w:rPr>
          <w:rFonts w:ascii="Arial" w:hAnsi="Arial" w:cs="Arial"/>
          <w:lang w:val="en-GB"/>
        </w:rPr>
        <w:t xml:space="preserve"> et al. (2021) emphasized that peer deliberation strengthens civic agency across contexts. Thus, Filipino youth networks function as collaborative civic learning environments, echoing global findings on the importance of peer‑driven socialization.</w:t>
      </w:r>
    </w:p>
    <w:p w14:paraId="64C315FE" w14:textId="77777777" w:rsidR="001A7132" w:rsidRDefault="001A7132">
      <w:pPr>
        <w:rPr>
          <w:rFonts w:ascii="Arial" w:hAnsi="Arial" w:cs="Arial"/>
          <w:lang w:val="en-GB"/>
        </w:rPr>
      </w:pPr>
    </w:p>
    <w:p w14:paraId="77BF0150" w14:textId="77777777" w:rsidR="001A7132" w:rsidRDefault="001A7132">
      <w:pPr>
        <w:rPr>
          <w:rFonts w:ascii="Arial" w:hAnsi="Arial" w:cs="Arial"/>
          <w:lang w:val="en-GB"/>
        </w:rPr>
      </w:pPr>
    </w:p>
    <w:p w14:paraId="746FC874" w14:textId="77777777" w:rsidR="001A7132" w:rsidRDefault="001A7132">
      <w:pPr>
        <w:rPr>
          <w:rFonts w:ascii="Arial" w:hAnsi="Arial" w:cs="Arial"/>
          <w:lang w:val="en-GB"/>
        </w:rPr>
      </w:pPr>
    </w:p>
    <w:p w14:paraId="3BD0025C" w14:textId="77777777" w:rsidR="001A7132" w:rsidRDefault="001A7132">
      <w:pPr>
        <w:rPr>
          <w:rFonts w:ascii="Arial" w:hAnsi="Arial" w:cs="Arial"/>
          <w:lang w:val="en-GB"/>
        </w:rPr>
      </w:pPr>
    </w:p>
    <w:p w14:paraId="70BD5DBD" w14:textId="77777777" w:rsidR="001A7132" w:rsidRDefault="001A7132">
      <w:pPr>
        <w:rPr>
          <w:rFonts w:ascii="Arial" w:hAnsi="Arial" w:cs="Arial"/>
          <w:lang w:val="en-GB"/>
        </w:rPr>
      </w:pPr>
    </w:p>
    <w:p w14:paraId="15F160DD" w14:textId="77777777" w:rsidR="001A7132" w:rsidRDefault="001A7132">
      <w:pPr>
        <w:rPr>
          <w:rFonts w:ascii="Arial" w:hAnsi="Arial" w:cs="Arial"/>
          <w:lang w:val="en-GB"/>
        </w:rPr>
      </w:pPr>
    </w:p>
    <w:p w14:paraId="0317EF0A" w14:textId="77777777" w:rsidR="001A7132" w:rsidRDefault="001A7132">
      <w:pPr>
        <w:rPr>
          <w:rFonts w:ascii="Arial" w:hAnsi="Arial" w:cs="Arial"/>
          <w:lang w:val="en-GB"/>
        </w:rPr>
      </w:pPr>
    </w:p>
    <w:p w14:paraId="5B90AFFF" w14:textId="77777777" w:rsidR="001A7132" w:rsidRDefault="001A7132">
      <w:pPr>
        <w:rPr>
          <w:rFonts w:ascii="Arial" w:hAnsi="Arial" w:cs="Arial"/>
          <w:lang w:val="en-GB"/>
        </w:rPr>
      </w:pPr>
    </w:p>
    <w:p w14:paraId="35817025" w14:textId="77777777" w:rsidR="001A7132" w:rsidRDefault="001A7132">
      <w:pPr>
        <w:rPr>
          <w:rFonts w:ascii="Arial" w:hAnsi="Arial" w:cs="Arial"/>
          <w:lang w:val="en-GB"/>
        </w:rPr>
      </w:pPr>
    </w:p>
    <w:p w14:paraId="0F61EE3C" w14:textId="77777777" w:rsidR="001A7132" w:rsidRDefault="001A7132">
      <w:pPr>
        <w:rPr>
          <w:rFonts w:ascii="Arial" w:hAnsi="Arial" w:cs="Arial"/>
          <w:lang w:val="en-GB"/>
        </w:rPr>
      </w:pPr>
    </w:p>
    <w:p w14:paraId="5A491842" w14:textId="77777777" w:rsidR="001A7132" w:rsidRDefault="001A7132">
      <w:pPr>
        <w:rPr>
          <w:rFonts w:ascii="Arial" w:hAnsi="Arial" w:cs="Arial"/>
          <w:lang w:val="en-GB"/>
        </w:rPr>
      </w:pPr>
    </w:p>
    <w:p w14:paraId="50CB3D57" w14:textId="77777777" w:rsidR="001A7132" w:rsidRDefault="001A7132">
      <w:pPr>
        <w:rPr>
          <w:rFonts w:ascii="Arial" w:hAnsi="Arial" w:cs="Arial"/>
          <w:lang w:val="en-GB"/>
        </w:rPr>
      </w:pPr>
    </w:p>
    <w:p w14:paraId="075E6920" w14:textId="77777777" w:rsidR="001A7132" w:rsidRDefault="001A7132">
      <w:pPr>
        <w:rPr>
          <w:rFonts w:ascii="Arial" w:hAnsi="Arial" w:cs="Arial"/>
          <w:lang w:val="en-GB"/>
        </w:rPr>
      </w:pPr>
    </w:p>
    <w:p w14:paraId="197D6A6F" w14:textId="77777777" w:rsidR="001A7132" w:rsidRDefault="001A7132">
      <w:pPr>
        <w:rPr>
          <w:rFonts w:ascii="Arial" w:hAnsi="Arial" w:cs="Arial"/>
          <w:lang w:val="en-GB"/>
        </w:rPr>
      </w:pPr>
    </w:p>
    <w:p w14:paraId="21240ABA" w14:textId="77777777" w:rsidR="001A7132" w:rsidRDefault="001A7132">
      <w:pPr>
        <w:rPr>
          <w:rFonts w:ascii="Arial" w:hAnsi="Arial" w:cs="Arial"/>
          <w:lang w:val="en-GB"/>
        </w:rPr>
      </w:pPr>
    </w:p>
    <w:p w14:paraId="77E27D67" w14:textId="77777777" w:rsidR="001A7132" w:rsidRDefault="001A7132">
      <w:pPr>
        <w:rPr>
          <w:rFonts w:ascii="Arial" w:hAnsi="Arial" w:cs="Arial"/>
          <w:lang w:val="en-GB"/>
        </w:rPr>
      </w:pPr>
    </w:p>
    <w:p w14:paraId="6E81FC6B" w14:textId="77777777" w:rsidR="001A7132" w:rsidRDefault="00E6565E">
      <w:pPr>
        <w:rPr>
          <w:rFonts w:ascii="Arial" w:hAnsi="Arial" w:cs="Arial"/>
          <w:b/>
          <w:bCs/>
          <w:lang w:val="en-GB"/>
        </w:rPr>
      </w:pPr>
      <w:r>
        <w:rPr>
          <w:rFonts w:ascii="Arial" w:hAnsi="Arial" w:cs="Arial"/>
          <w:b/>
          <w:bCs/>
          <w:lang w:val="en-GB"/>
        </w:rPr>
        <w:t>3.5 Tables</w:t>
      </w:r>
    </w:p>
    <w:p w14:paraId="3553EF0F" w14:textId="77777777" w:rsidR="001A7132" w:rsidRDefault="001A7132">
      <w:pPr>
        <w:rPr>
          <w:rFonts w:ascii="Arial" w:hAnsi="Arial" w:cs="Arial"/>
          <w:b/>
          <w:bCs/>
          <w:lang w:val="en-GB"/>
        </w:rPr>
      </w:pPr>
    </w:p>
    <w:p w14:paraId="2112BFDE" w14:textId="77777777" w:rsidR="001A7132" w:rsidRDefault="00E6565E">
      <w:pPr>
        <w:rPr>
          <w:rFonts w:ascii="Arial" w:hAnsi="Arial" w:cs="Arial"/>
          <w:lang w:val="en-GB"/>
        </w:rPr>
      </w:pPr>
      <w:r>
        <w:rPr>
          <w:rFonts w:ascii="Arial" w:hAnsi="Arial" w:cs="Arial"/>
          <w:b/>
          <w:bCs/>
          <w:lang w:val="en-GB"/>
        </w:rPr>
        <w:t>Table 1</w:t>
      </w:r>
      <w:r>
        <w:rPr>
          <w:rFonts w:ascii="Arial" w:hAnsi="Arial" w:cs="Arial"/>
          <w:lang w:val="en-GB"/>
        </w:rPr>
        <w:t>. Subgroup Differences in Awareness and Engagement (Means, Effect Sizes, and Interpretive Notes)</w:t>
      </w:r>
    </w:p>
    <w:p w14:paraId="53EA1A1D" w14:textId="77777777" w:rsidR="001A7132" w:rsidRDefault="001A7132">
      <w:pPr>
        <w:rPr>
          <w:rFonts w:ascii="Arial" w:hAnsi="Arial" w:cs="Arial"/>
          <w:lang w:val="en-GB"/>
        </w:rPr>
      </w:pP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1247"/>
        <w:gridCol w:w="1391"/>
        <w:gridCol w:w="1296"/>
        <w:gridCol w:w="1435"/>
        <w:gridCol w:w="1436"/>
        <w:gridCol w:w="1619"/>
      </w:tblGrid>
      <w:tr w:rsidR="001A7132" w14:paraId="2C707270" w14:textId="77777777">
        <w:trPr>
          <w:trHeight w:val="300"/>
        </w:trPr>
        <w:tc>
          <w:tcPr>
            <w:tcW w:w="1247" w:type="dxa"/>
            <w:tcBorders>
              <w:top w:val="single" w:sz="4" w:space="0" w:color="auto"/>
              <w:bottom w:val="single" w:sz="4" w:space="0" w:color="auto"/>
            </w:tcBorders>
          </w:tcPr>
          <w:p w14:paraId="383304CC" w14:textId="77777777" w:rsidR="001A7132" w:rsidRDefault="00E6565E">
            <w:pPr>
              <w:jc w:val="center"/>
              <w:rPr>
                <w:rFonts w:ascii="Arial" w:hAnsi="Arial" w:cs="Arial"/>
                <w:b/>
                <w:bCs/>
                <w:sz w:val="20"/>
                <w:szCs w:val="20"/>
              </w:rPr>
            </w:pPr>
            <w:r>
              <w:rPr>
                <w:rFonts w:ascii="Arial" w:hAnsi="Arial" w:cs="Arial"/>
                <w:b/>
                <w:bCs/>
                <w:sz w:val="20"/>
                <w:szCs w:val="20"/>
              </w:rPr>
              <w:t>Construct</w:t>
            </w:r>
          </w:p>
        </w:tc>
        <w:tc>
          <w:tcPr>
            <w:tcW w:w="1391" w:type="dxa"/>
            <w:tcBorders>
              <w:top w:val="single" w:sz="4" w:space="0" w:color="auto"/>
              <w:bottom w:val="single" w:sz="4" w:space="0" w:color="auto"/>
            </w:tcBorders>
          </w:tcPr>
          <w:p w14:paraId="2509B40F" w14:textId="77777777" w:rsidR="001A7132" w:rsidRDefault="00E6565E">
            <w:pPr>
              <w:jc w:val="center"/>
              <w:rPr>
                <w:rFonts w:ascii="Arial" w:hAnsi="Arial" w:cs="Arial"/>
                <w:b/>
                <w:bCs/>
                <w:sz w:val="20"/>
                <w:szCs w:val="20"/>
              </w:rPr>
            </w:pPr>
            <w:r>
              <w:rPr>
                <w:rFonts w:ascii="Arial" w:hAnsi="Arial" w:cs="Arial"/>
                <w:b/>
                <w:bCs/>
                <w:sz w:val="20"/>
                <w:szCs w:val="20"/>
              </w:rPr>
              <w:t>Subgroup Comparison</w:t>
            </w:r>
          </w:p>
        </w:tc>
        <w:tc>
          <w:tcPr>
            <w:tcW w:w="1296" w:type="dxa"/>
            <w:tcBorders>
              <w:top w:val="single" w:sz="4" w:space="0" w:color="auto"/>
              <w:bottom w:val="single" w:sz="4" w:space="0" w:color="auto"/>
            </w:tcBorders>
          </w:tcPr>
          <w:p w14:paraId="72EFEF99" w14:textId="77777777" w:rsidR="001A7132" w:rsidRDefault="00E6565E">
            <w:pPr>
              <w:jc w:val="center"/>
              <w:rPr>
                <w:rFonts w:ascii="Arial" w:hAnsi="Arial" w:cs="Arial"/>
                <w:b/>
                <w:bCs/>
                <w:sz w:val="20"/>
                <w:szCs w:val="20"/>
              </w:rPr>
            </w:pPr>
            <w:r>
              <w:rPr>
                <w:rFonts w:ascii="Arial" w:hAnsi="Arial" w:cs="Arial"/>
                <w:b/>
                <w:bCs/>
                <w:sz w:val="20"/>
                <w:szCs w:val="20"/>
              </w:rPr>
              <w:t>Mean Difference</w:t>
            </w:r>
          </w:p>
        </w:tc>
        <w:tc>
          <w:tcPr>
            <w:tcW w:w="1435" w:type="dxa"/>
            <w:tcBorders>
              <w:top w:val="single" w:sz="4" w:space="0" w:color="auto"/>
              <w:bottom w:val="single" w:sz="4" w:space="0" w:color="auto"/>
            </w:tcBorders>
          </w:tcPr>
          <w:p w14:paraId="252A7F8B" w14:textId="77777777" w:rsidR="001A7132" w:rsidRDefault="00E6565E">
            <w:pPr>
              <w:jc w:val="center"/>
              <w:rPr>
                <w:rFonts w:ascii="Arial" w:hAnsi="Arial" w:cs="Arial"/>
                <w:b/>
                <w:bCs/>
                <w:sz w:val="20"/>
                <w:szCs w:val="20"/>
              </w:rPr>
            </w:pPr>
            <w:r>
              <w:rPr>
                <w:rFonts w:ascii="Arial" w:hAnsi="Arial" w:cs="Arial"/>
                <w:b/>
                <w:bCs/>
                <w:sz w:val="20"/>
                <w:szCs w:val="20"/>
              </w:rPr>
              <w:t>Effect Size (d)</w:t>
            </w:r>
          </w:p>
        </w:tc>
        <w:tc>
          <w:tcPr>
            <w:tcW w:w="1436" w:type="dxa"/>
            <w:tcBorders>
              <w:top w:val="single" w:sz="4" w:space="0" w:color="auto"/>
              <w:bottom w:val="single" w:sz="4" w:space="0" w:color="auto"/>
            </w:tcBorders>
          </w:tcPr>
          <w:p w14:paraId="181BF267" w14:textId="77777777" w:rsidR="001A7132" w:rsidRDefault="00E6565E">
            <w:pPr>
              <w:jc w:val="center"/>
              <w:rPr>
                <w:rFonts w:ascii="Arial" w:hAnsi="Arial" w:cs="Arial"/>
                <w:b/>
                <w:bCs/>
                <w:sz w:val="20"/>
                <w:szCs w:val="20"/>
              </w:rPr>
            </w:pPr>
            <w:r>
              <w:rPr>
                <w:rFonts w:ascii="Arial" w:hAnsi="Arial" w:cs="Arial"/>
                <w:b/>
                <w:bCs/>
                <w:sz w:val="20"/>
                <w:szCs w:val="20"/>
              </w:rPr>
              <w:t>Significance</w:t>
            </w:r>
          </w:p>
        </w:tc>
        <w:tc>
          <w:tcPr>
            <w:tcW w:w="1619" w:type="dxa"/>
            <w:tcBorders>
              <w:top w:val="single" w:sz="4" w:space="0" w:color="auto"/>
              <w:bottom w:val="single" w:sz="4" w:space="0" w:color="auto"/>
            </w:tcBorders>
          </w:tcPr>
          <w:p w14:paraId="0A75D274" w14:textId="77777777" w:rsidR="001A7132" w:rsidRDefault="00E6565E">
            <w:pPr>
              <w:jc w:val="center"/>
              <w:rPr>
                <w:rFonts w:ascii="Arial" w:hAnsi="Arial" w:cs="Arial"/>
                <w:b/>
                <w:bCs/>
                <w:sz w:val="20"/>
                <w:szCs w:val="20"/>
              </w:rPr>
            </w:pPr>
            <w:r>
              <w:rPr>
                <w:rFonts w:ascii="Arial" w:hAnsi="Arial" w:cs="Arial"/>
                <w:b/>
                <w:bCs/>
                <w:sz w:val="20"/>
                <w:szCs w:val="20"/>
              </w:rPr>
              <w:t>Interpretive Note</w:t>
            </w:r>
          </w:p>
        </w:tc>
      </w:tr>
      <w:tr w:rsidR="001A7132" w14:paraId="719BC8BF" w14:textId="77777777">
        <w:trPr>
          <w:trHeight w:val="300"/>
        </w:trPr>
        <w:tc>
          <w:tcPr>
            <w:tcW w:w="1247" w:type="dxa"/>
            <w:tcBorders>
              <w:top w:val="single" w:sz="4" w:space="0" w:color="auto"/>
            </w:tcBorders>
          </w:tcPr>
          <w:p w14:paraId="4B80B4CD" w14:textId="77777777" w:rsidR="001A7132" w:rsidRDefault="00E6565E">
            <w:pPr>
              <w:rPr>
                <w:rFonts w:ascii="Arial" w:hAnsi="Arial" w:cs="Arial"/>
                <w:sz w:val="20"/>
                <w:szCs w:val="20"/>
              </w:rPr>
            </w:pPr>
            <w:r>
              <w:rPr>
                <w:rFonts w:ascii="Arial" w:hAnsi="Arial" w:cs="Arial"/>
                <w:sz w:val="20"/>
                <w:szCs w:val="20"/>
              </w:rPr>
              <w:t>Political Awareness</w:t>
            </w:r>
          </w:p>
        </w:tc>
        <w:tc>
          <w:tcPr>
            <w:tcW w:w="1391" w:type="dxa"/>
            <w:tcBorders>
              <w:top w:val="single" w:sz="4" w:space="0" w:color="auto"/>
            </w:tcBorders>
          </w:tcPr>
          <w:p w14:paraId="08F2215B" w14:textId="77777777" w:rsidR="001A7132" w:rsidRDefault="00E6565E">
            <w:pPr>
              <w:rPr>
                <w:rFonts w:ascii="Arial" w:hAnsi="Arial" w:cs="Arial"/>
                <w:sz w:val="20"/>
                <w:szCs w:val="20"/>
              </w:rPr>
            </w:pPr>
            <w:r>
              <w:rPr>
                <w:rFonts w:ascii="Arial" w:hAnsi="Arial" w:cs="Arial"/>
                <w:sz w:val="20"/>
                <w:szCs w:val="20"/>
              </w:rPr>
              <w:t>Female vs. Male</w:t>
            </w:r>
          </w:p>
        </w:tc>
        <w:tc>
          <w:tcPr>
            <w:tcW w:w="1296" w:type="dxa"/>
            <w:tcBorders>
              <w:top w:val="single" w:sz="4" w:space="0" w:color="auto"/>
            </w:tcBorders>
          </w:tcPr>
          <w:p w14:paraId="58BB7601" w14:textId="77777777" w:rsidR="001A7132" w:rsidRDefault="00E6565E">
            <w:pPr>
              <w:rPr>
                <w:rFonts w:ascii="Arial" w:hAnsi="Arial" w:cs="Arial"/>
                <w:sz w:val="20"/>
                <w:szCs w:val="20"/>
              </w:rPr>
            </w:pPr>
            <w:r>
              <w:rPr>
                <w:rFonts w:ascii="Arial" w:hAnsi="Arial" w:cs="Arial"/>
                <w:sz w:val="20"/>
                <w:szCs w:val="20"/>
              </w:rPr>
              <w:t>+0.16</w:t>
            </w:r>
          </w:p>
        </w:tc>
        <w:tc>
          <w:tcPr>
            <w:tcW w:w="1435" w:type="dxa"/>
            <w:tcBorders>
              <w:top w:val="single" w:sz="4" w:space="0" w:color="auto"/>
            </w:tcBorders>
          </w:tcPr>
          <w:p w14:paraId="2A5619DD" w14:textId="77777777" w:rsidR="001A7132" w:rsidRDefault="00E6565E">
            <w:pPr>
              <w:rPr>
                <w:rFonts w:ascii="Arial" w:hAnsi="Arial" w:cs="Arial"/>
                <w:sz w:val="20"/>
                <w:szCs w:val="20"/>
              </w:rPr>
            </w:pPr>
            <w:r>
              <w:rPr>
                <w:rFonts w:ascii="Arial" w:hAnsi="Arial" w:cs="Arial"/>
                <w:sz w:val="20"/>
                <w:szCs w:val="20"/>
              </w:rPr>
              <w:t>0.28 (small)</w:t>
            </w:r>
          </w:p>
        </w:tc>
        <w:tc>
          <w:tcPr>
            <w:tcW w:w="1436" w:type="dxa"/>
            <w:tcBorders>
              <w:top w:val="single" w:sz="4" w:space="0" w:color="auto"/>
            </w:tcBorders>
          </w:tcPr>
          <w:p w14:paraId="08ED62C5" w14:textId="77777777" w:rsidR="001A7132" w:rsidRDefault="00E6565E">
            <w:pPr>
              <w:rPr>
                <w:rFonts w:ascii="Arial" w:hAnsi="Arial" w:cs="Arial"/>
                <w:sz w:val="20"/>
                <w:szCs w:val="20"/>
              </w:rPr>
            </w:pPr>
            <w:r>
              <w:rPr>
                <w:rFonts w:ascii="Arial" w:hAnsi="Arial" w:cs="Arial"/>
                <w:i/>
                <w:iCs/>
                <w:sz w:val="20"/>
                <w:szCs w:val="20"/>
                <w:lang w:val="en-PH"/>
              </w:rPr>
              <w:t>p</w:t>
            </w:r>
            <w:r>
              <w:rPr>
                <w:rFonts w:ascii="Arial" w:hAnsi="Arial" w:cs="Arial"/>
                <w:sz w:val="20"/>
                <w:szCs w:val="20"/>
              </w:rPr>
              <w:t xml:space="preserve"> = .01</w:t>
            </w:r>
          </w:p>
        </w:tc>
        <w:tc>
          <w:tcPr>
            <w:tcW w:w="1619" w:type="dxa"/>
            <w:tcBorders>
              <w:top w:val="single" w:sz="4" w:space="0" w:color="auto"/>
            </w:tcBorders>
          </w:tcPr>
          <w:p w14:paraId="6022A0CA" w14:textId="77777777" w:rsidR="001A7132" w:rsidRDefault="00E6565E">
            <w:pPr>
              <w:rPr>
                <w:rFonts w:ascii="Arial" w:hAnsi="Arial" w:cs="Arial"/>
                <w:sz w:val="20"/>
                <w:szCs w:val="20"/>
              </w:rPr>
            </w:pPr>
            <w:r>
              <w:rPr>
                <w:rFonts w:ascii="Arial" w:hAnsi="Arial" w:cs="Arial"/>
                <w:sz w:val="20"/>
                <w:szCs w:val="20"/>
              </w:rPr>
              <w:t>Females slightly more aware; difference modest.</w:t>
            </w:r>
          </w:p>
        </w:tc>
      </w:tr>
      <w:tr w:rsidR="001A7132" w14:paraId="31518CEC" w14:textId="77777777">
        <w:trPr>
          <w:trHeight w:val="300"/>
        </w:trPr>
        <w:tc>
          <w:tcPr>
            <w:tcW w:w="1247" w:type="dxa"/>
            <w:tcBorders>
              <w:bottom w:val="nil"/>
            </w:tcBorders>
          </w:tcPr>
          <w:p w14:paraId="28E97949" w14:textId="77777777" w:rsidR="001A7132" w:rsidRDefault="001A7132">
            <w:pPr>
              <w:rPr>
                <w:rFonts w:ascii="Arial" w:hAnsi="Arial" w:cs="Arial"/>
                <w:sz w:val="20"/>
                <w:szCs w:val="20"/>
              </w:rPr>
            </w:pPr>
          </w:p>
        </w:tc>
        <w:tc>
          <w:tcPr>
            <w:tcW w:w="1391" w:type="dxa"/>
            <w:tcBorders>
              <w:bottom w:val="nil"/>
            </w:tcBorders>
          </w:tcPr>
          <w:p w14:paraId="2D8E2335" w14:textId="77777777" w:rsidR="001A7132" w:rsidRDefault="00E6565E">
            <w:pPr>
              <w:rPr>
                <w:rFonts w:ascii="Arial" w:hAnsi="Arial" w:cs="Arial"/>
                <w:sz w:val="20"/>
                <w:szCs w:val="20"/>
              </w:rPr>
            </w:pPr>
            <w:r>
              <w:rPr>
                <w:rFonts w:ascii="Arial" w:hAnsi="Arial" w:cs="Arial"/>
                <w:sz w:val="20"/>
                <w:szCs w:val="20"/>
              </w:rPr>
              <w:t>Academic vs. TVL</w:t>
            </w:r>
          </w:p>
        </w:tc>
        <w:tc>
          <w:tcPr>
            <w:tcW w:w="1296" w:type="dxa"/>
            <w:tcBorders>
              <w:bottom w:val="nil"/>
            </w:tcBorders>
          </w:tcPr>
          <w:p w14:paraId="688AA37C" w14:textId="77777777" w:rsidR="001A7132" w:rsidRDefault="00E6565E">
            <w:pPr>
              <w:rPr>
                <w:rFonts w:ascii="Arial" w:hAnsi="Arial" w:cs="Arial"/>
                <w:sz w:val="20"/>
                <w:szCs w:val="20"/>
              </w:rPr>
            </w:pPr>
            <w:r>
              <w:rPr>
                <w:rFonts w:ascii="Arial" w:hAnsi="Arial" w:cs="Arial"/>
                <w:sz w:val="20"/>
                <w:szCs w:val="20"/>
              </w:rPr>
              <w:t>+0.27</w:t>
            </w:r>
          </w:p>
        </w:tc>
        <w:tc>
          <w:tcPr>
            <w:tcW w:w="1435" w:type="dxa"/>
            <w:tcBorders>
              <w:bottom w:val="nil"/>
            </w:tcBorders>
          </w:tcPr>
          <w:p w14:paraId="0ED38320" w14:textId="77777777" w:rsidR="001A7132" w:rsidRDefault="00E6565E">
            <w:pPr>
              <w:rPr>
                <w:rFonts w:ascii="Arial" w:hAnsi="Arial" w:cs="Arial"/>
                <w:sz w:val="20"/>
                <w:szCs w:val="20"/>
              </w:rPr>
            </w:pPr>
            <w:r>
              <w:rPr>
                <w:rFonts w:ascii="Arial" w:hAnsi="Arial" w:cs="Arial"/>
                <w:sz w:val="20"/>
                <w:szCs w:val="20"/>
              </w:rPr>
              <w:t>0.49 (approaching medium)</w:t>
            </w:r>
          </w:p>
        </w:tc>
        <w:tc>
          <w:tcPr>
            <w:tcW w:w="1436" w:type="dxa"/>
            <w:tcBorders>
              <w:bottom w:val="nil"/>
            </w:tcBorders>
          </w:tcPr>
          <w:p w14:paraId="02F0D5AF" w14:textId="77777777" w:rsidR="001A7132" w:rsidRDefault="00E6565E">
            <w:pPr>
              <w:rPr>
                <w:rFonts w:ascii="Arial" w:hAnsi="Arial" w:cs="Arial"/>
                <w:sz w:val="20"/>
                <w:szCs w:val="20"/>
              </w:rPr>
            </w:pPr>
            <w:r>
              <w:rPr>
                <w:rFonts w:ascii="Arial" w:hAnsi="Arial" w:cs="Arial"/>
                <w:i/>
                <w:iCs/>
                <w:sz w:val="20"/>
                <w:szCs w:val="20"/>
                <w:lang w:val="en-PH"/>
              </w:rPr>
              <w:t>p</w:t>
            </w:r>
            <w:r>
              <w:rPr>
                <w:rFonts w:ascii="Arial" w:hAnsi="Arial" w:cs="Arial"/>
                <w:sz w:val="20"/>
                <w:szCs w:val="20"/>
              </w:rPr>
              <w:t xml:space="preserve"> &lt; .001</w:t>
            </w:r>
          </w:p>
        </w:tc>
        <w:tc>
          <w:tcPr>
            <w:tcW w:w="1619" w:type="dxa"/>
            <w:tcBorders>
              <w:bottom w:val="nil"/>
            </w:tcBorders>
          </w:tcPr>
          <w:p w14:paraId="66F8FC48" w14:textId="77777777" w:rsidR="001A7132" w:rsidRDefault="00E6565E">
            <w:pPr>
              <w:rPr>
                <w:rFonts w:ascii="Arial" w:hAnsi="Arial" w:cs="Arial"/>
                <w:sz w:val="20"/>
                <w:szCs w:val="20"/>
              </w:rPr>
            </w:pPr>
            <w:r>
              <w:rPr>
                <w:rFonts w:ascii="Arial" w:hAnsi="Arial" w:cs="Arial"/>
                <w:sz w:val="20"/>
                <w:szCs w:val="20"/>
              </w:rPr>
              <w:t>Track exposure drives awareness gap.</w:t>
            </w:r>
          </w:p>
        </w:tc>
      </w:tr>
      <w:tr w:rsidR="001A7132" w14:paraId="75F56C32" w14:textId="77777777">
        <w:trPr>
          <w:trHeight w:val="300"/>
        </w:trPr>
        <w:tc>
          <w:tcPr>
            <w:tcW w:w="1247" w:type="dxa"/>
            <w:tcBorders>
              <w:top w:val="nil"/>
              <w:left w:val="nil"/>
              <w:bottom w:val="nil"/>
              <w:right w:val="nil"/>
            </w:tcBorders>
          </w:tcPr>
          <w:p w14:paraId="201DE21A" w14:textId="77777777" w:rsidR="001A7132" w:rsidRDefault="001A7132">
            <w:pPr>
              <w:rPr>
                <w:rFonts w:ascii="Arial" w:hAnsi="Arial" w:cs="Arial"/>
                <w:sz w:val="20"/>
                <w:szCs w:val="20"/>
              </w:rPr>
            </w:pPr>
          </w:p>
        </w:tc>
        <w:tc>
          <w:tcPr>
            <w:tcW w:w="1391" w:type="dxa"/>
            <w:tcBorders>
              <w:top w:val="nil"/>
              <w:left w:val="nil"/>
              <w:bottom w:val="nil"/>
              <w:right w:val="nil"/>
            </w:tcBorders>
          </w:tcPr>
          <w:p w14:paraId="678596F8" w14:textId="77777777" w:rsidR="001A7132" w:rsidRDefault="00E6565E">
            <w:pPr>
              <w:rPr>
                <w:rFonts w:ascii="Arial" w:hAnsi="Arial" w:cs="Arial"/>
                <w:sz w:val="20"/>
                <w:szCs w:val="20"/>
              </w:rPr>
            </w:pPr>
            <w:r>
              <w:rPr>
                <w:rFonts w:ascii="Arial" w:hAnsi="Arial" w:cs="Arial"/>
                <w:sz w:val="20"/>
                <w:szCs w:val="20"/>
              </w:rPr>
              <w:t>Grade 12 vs. 11</w:t>
            </w:r>
          </w:p>
        </w:tc>
        <w:tc>
          <w:tcPr>
            <w:tcW w:w="1296" w:type="dxa"/>
            <w:tcBorders>
              <w:top w:val="nil"/>
              <w:left w:val="nil"/>
              <w:bottom w:val="nil"/>
              <w:right w:val="nil"/>
            </w:tcBorders>
          </w:tcPr>
          <w:p w14:paraId="5BFF44E2" w14:textId="77777777" w:rsidR="001A7132" w:rsidRDefault="00E6565E">
            <w:pPr>
              <w:rPr>
                <w:rFonts w:ascii="Arial" w:hAnsi="Arial" w:cs="Arial"/>
                <w:sz w:val="20"/>
                <w:szCs w:val="20"/>
              </w:rPr>
            </w:pPr>
            <w:r>
              <w:rPr>
                <w:rFonts w:ascii="Arial" w:hAnsi="Arial" w:cs="Arial"/>
                <w:sz w:val="20"/>
                <w:szCs w:val="20"/>
              </w:rPr>
              <w:t>+0.02</w:t>
            </w:r>
          </w:p>
        </w:tc>
        <w:tc>
          <w:tcPr>
            <w:tcW w:w="1435" w:type="dxa"/>
            <w:tcBorders>
              <w:top w:val="nil"/>
              <w:left w:val="nil"/>
              <w:bottom w:val="nil"/>
              <w:right w:val="nil"/>
            </w:tcBorders>
          </w:tcPr>
          <w:p w14:paraId="48D5E7E1" w14:textId="77777777" w:rsidR="001A7132" w:rsidRDefault="00E6565E">
            <w:pPr>
              <w:rPr>
                <w:rFonts w:ascii="Arial" w:hAnsi="Arial" w:cs="Arial"/>
                <w:sz w:val="20"/>
                <w:szCs w:val="20"/>
              </w:rPr>
            </w:pPr>
            <w:r>
              <w:rPr>
                <w:rFonts w:ascii="Arial" w:hAnsi="Arial" w:cs="Arial"/>
                <w:sz w:val="20"/>
                <w:szCs w:val="20"/>
              </w:rPr>
              <w:t>0.04 (trivial)</w:t>
            </w:r>
          </w:p>
        </w:tc>
        <w:tc>
          <w:tcPr>
            <w:tcW w:w="1436" w:type="dxa"/>
            <w:tcBorders>
              <w:top w:val="nil"/>
              <w:left w:val="nil"/>
              <w:bottom w:val="nil"/>
              <w:right w:val="nil"/>
            </w:tcBorders>
          </w:tcPr>
          <w:p w14:paraId="19D3AF84" w14:textId="77777777" w:rsidR="001A7132" w:rsidRDefault="00E6565E">
            <w:pPr>
              <w:rPr>
                <w:rFonts w:ascii="Arial" w:hAnsi="Arial" w:cs="Arial"/>
                <w:sz w:val="20"/>
                <w:szCs w:val="20"/>
              </w:rPr>
            </w:pPr>
            <w:r>
              <w:rPr>
                <w:rFonts w:ascii="Arial" w:hAnsi="Arial" w:cs="Arial"/>
                <w:sz w:val="20"/>
                <w:szCs w:val="20"/>
              </w:rPr>
              <w:t>ns</w:t>
            </w:r>
          </w:p>
        </w:tc>
        <w:tc>
          <w:tcPr>
            <w:tcW w:w="1619" w:type="dxa"/>
            <w:tcBorders>
              <w:top w:val="nil"/>
              <w:left w:val="nil"/>
              <w:bottom w:val="nil"/>
              <w:right w:val="nil"/>
            </w:tcBorders>
          </w:tcPr>
          <w:p w14:paraId="21E52EDB" w14:textId="77777777" w:rsidR="001A7132" w:rsidRDefault="00E6565E">
            <w:pPr>
              <w:rPr>
                <w:rFonts w:ascii="Arial" w:hAnsi="Arial" w:cs="Arial"/>
                <w:sz w:val="20"/>
                <w:szCs w:val="20"/>
              </w:rPr>
            </w:pPr>
            <w:r>
              <w:rPr>
                <w:rFonts w:ascii="Arial" w:hAnsi="Arial" w:cs="Arial"/>
                <w:sz w:val="20"/>
                <w:szCs w:val="20"/>
              </w:rPr>
              <w:t>Grade progression does not affect awareness.</w:t>
            </w:r>
          </w:p>
        </w:tc>
      </w:tr>
      <w:tr w:rsidR="001A7132" w14:paraId="4C8A1F05" w14:textId="77777777">
        <w:trPr>
          <w:trHeight w:val="300"/>
        </w:trPr>
        <w:tc>
          <w:tcPr>
            <w:tcW w:w="1247" w:type="dxa"/>
            <w:tcBorders>
              <w:top w:val="nil"/>
              <w:left w:val="nil"/>
              <w:bottom w:val="nil"/>
              <w:right w:val="nil"/>
            </w:tcBorders>
          </w:tcPr>
          <w:p w14:paraId="7AE8AB0B" w14:textId="77777777" w:rsidR="001A7132" w:rsidRDefault="00E6565E">
            <w:pPr>
              <w:rPr>
                <w:rFonts w:ascii="Arial" w:hAnsi="Arial" w:cs="Arial"/>
              </w:rPr>
            </w:pPr>
            <w:r>
              <w:rPr>
                <w:rFonts w:ascii="Arial" w:hAnsi="Arial" w:cs="Arial"/>
                <w:sz w:val="20"/>
                <w:szCs w:val="20"/>
              </w:rPr>
              <w:t>Civic Awareness</w:t>
            </w:r>
          </w:p>
        </w:tc>
        <w:tc>
          <w:tcPr>
            <w:tcW w:w="1391" w:type="dxa"/>
            <w:tcBorders>
              <w:top w:val="nil"/>
              <w:left w:val="nil"/>
              <w:bottom w:val="nil"/>
              <w:right w:val="nil"/>
            </w:tcBorders>
          </w:tcPr>
          <w:p w14:paraId="4AF6C4C0" w14:textId="77777777" w:rsidR="001A7132" w:rsidRDefault="00E6565E">
            <w:pPr>
              <w:rPr>
                <w:rFonts w:ascii="Arial" w:hAnsi="Arial" w:cs="Arial"/>
              </w:rPr>
            </w:pPr>
            <w:r>
              <w:rPr>
                <w:rFonts w:ascii="Arial" w:hAnsi="Arial" w:cs="Arial"/>
                <w:sz w:val="20"/>
                <w:szCs w:val="20"/>
              </w:rPr>
              <w:t>Female vs. Male</w:t>
            </w:r>
          </w:p>
        </w:tc>
        <w:tc>
          <w:tcPr>
            <w:tcW w:w="1296" w:type="dxa"/>
            <w:tcBorders>
              <w:top w:val="nil"/>
              <w:left w:val="nil"/>
              <w:bottom w:val="nil"/>
              <w:right w:val="nil"/>
            </w:tcBorders>
          </w:tcPr>
          <w:p w14:paraId="77E6C80C" w14:textId="77777777" w:rsidR="001A7132" w:rsidRDefault="00E6565E">
            <w:pPr>
              <w:rPr>
                <w:rFonts w:ascii="Arial" w:hAnsi="Arial" w:cs="Arial"/>
              </w:rPr>
            </w:pPr>
            <w:r>
              <w:rPr>
                <w:rFonts w:ascii="Arial" w:hAnsi="Arial" w:cs="Arial"/>
                <w:sz w:val="20"/>
                <w:szCs w:val="20"/>
              </w:rPr>
              <w:t>+0.20</w:t>
            </w:r>
          </w:p>
        </w:tc>
        <w:tc>
          <w:tcPr>
            <w:tcW w:w="1435" w:type="dxa"/>
            <w:tcBorders>
              <w:top w:val="nil"/>
              <w:left w:val="nil"/>
              <w:bottom w:val="nil"/>
              <w:right w:val="nil"/>
            </w:tcBorders>
          </w:tcPr>
          <w:p w14:paraId="6B956D71" w14:textId="77777777" w:rsidR="001A7132" w:rsidRDefault="00E6565E">
            <w:pPr>
              <w:rPr>
                <w:rFonts w:ascii="Arial" w:hAnsi="Arial" w:cs="Arial"/>
              </w:rPr>
            </w:pPr>
            <w:r>
              <w:rPr>
                <w:rFonts w:ascii="Arial" w:hAnsi="Arial" w:cs="Arial"/>
                <w:sz w:val="20"/>
                <w:szCs w:val="20"/>
              </w:rPr>
              <w:t>0.33 (small–medium)</w:t>
            </w:r>
          </w:p>
        </w:tc>
        <w:tc>
          <w:tcPr>
            <w:tcW w:w="1436" w:type="dxa"/>
            <w:tcBorders>
              <w:top w:val="nil"/>
              <w:left w:val="nil"/>
              <w:bottom w:val="nil"/>
              <w:right w:val="nil"/>
            </w:tcBorders>
          </w:tcPr>
          <w:p w14:paraId="5E947645" w14:textId="77777777" w:rsidR="001A7132" w:rsidRDefault="00E6565E">
            <w:pPr>
              <w:rPr>
                <w:rFonts w:ascii="Arial" w:hAnsi="Arial" w:cs="Arial"/>
              </w:rPr>
            </w:pPr>
            <w:r>
              <w:rPr>
                <w:rFonts w:ascii="Arial" w:hAnsi="Arial" w:cs="Arial"/>
                <w:i/>
                <w:iCs/>
                <w:sz w:val="20"/>
                <w:szCs w:val="20"/>
                <w:lang w:val="en-PH"/>
              </w:rPr>
              <w:t>p</w:t>
            </w:r>
            <w:r>
              <w:rPr>
                <w:rFonts w:ascii="Arial" w:hAnsi="Arial" w:cs="Arial"/>
                <w:sz w:val="20"/>
                <w:szCs w:val="20"/>
              </w:rPr>
              <w:t xml:space="preserve"> = .001</w:t>
            </w:r>
          </w:p>
        </w:tc>
        <w:tc>
          <w:tcPr>
            <w:tcW w:w="1619" w:type="dxa"/>
            <w:tcBorders>
              <w:top w:val="nil"/>
              <w:left w:val="nil"/>
              <w:bottom w:val="nil"/>
              <w:right w:val="nil"/>
            </w:tcBorders>
          </w:tcPr>
          <w:p w14:paraId="008A1667" w14:textId="77777777" w:rsidR="001A7132" w:rsidRDefault="00E6565E">
            <w:pPr>
              <w:rPr>
                <w:rFonts w:ascii="Arial" w:hAnsi="Arial" w:cs="Arial"/>
              </w:rPr>
            </w:pPr>
            <w:r>
              <w:rPr>
                <w:rFonts w:ascii="Arial" w:hAnsi="Arial" w:cs="Arial"/>
                <w:sz w:val="20"/>
                <w:szCs w:val="20"/>
              </w:rPr>
              <w:t>Females slightly higher awareness.</w:t>
            </w:r>
          </w:p>
        </w:tc>
      </w:tr>
      <w:tr w:rsidR="001A7132" w14:paraId="754A9EDD" w14:textId="77777777">
        <w:trPr>
          <w:trHeight w:val="300"/>
        </w:trPr>
        <w:tc>
          <w:tcPr>
            <w:tcW w:w="1247" w:type="dxa"/>
            <w:tcBorders>
              <w:top w:val="nil"/>
              <w:left w:val="nil"/>
              <w:bottom w:val="nil"/>
              <w:right w:val="nil"/>
            </w:tcBorders>
          </w:tcPr>
          <w:p w14:paraId="5187648A" w14:textId="77777777" w:rsidR="001A7132" w:rsidRDefault="001A7132">
            <w:pPr>
              <w:rPr>
                <w:rFonts w:ascii="Arial" w:hAnsi="Arial" w:cs="Arial"/>
              </w:rPr>
            </w:pPr>
          </w:p>
        </w:tc>
        <w:tc>
          <w:tcPr>
            <w:tcW w:w="1391" w:type="dxa"/>
            <w:tcBorders>
              <w:top w:val="nil"/>
              <w:left w:val="nil"/>
              <w:bottom w:val="nil"/>
              <w:right w:val="nil"/>
            </w:tcBorders>
          </w:tcPr>
          <w:p w14:paraId="5228E6E9" w14:textId="77777777" w:rsidR="001A7132" w:rsidRDefault="00E6565E">
            <w:pPr>
              <w:rPr>
                <w:rFonts w:ascii="Arial" w:hAnsi="Arial" w:cs="Arial"/>
              </w:rPr>
            </w:pPr>
            <w:r>
              <w:rPr>
                <w:rFonts w:ascii="Arial" w:hAnsi="Arial" w:cs="Arial"/>
                <w:sz w:val="20"/>
                <w:szCs w:val="20"/>
              </w:rPr>
              <w:t>Academic vs. TVL</w:t>
            </w:r>
          </w:p>
        </w:tc>
        <w:tc>
          <w:tcPr>
            <w:tcW w:w="1296" w:type="dxa"/>
            <w:tcBorders>
              <w:top w:val="nil"/>
              <w:left w:val="nil"/>
              <w:bottom w:val="nil"/>
              <w:right w:val="nil"/>
            </w:tcBorders>
          </w:tcPr>
          <w:p w14:paraId="062F5E40" w14:textId="77777777" w:rsidR="001A7132" w:rsidRDefault="00E6565E">
            <w:pPr>
              <w:rPr>
                <w:rFonts w:ascii="Arial" w:hAnsi="Arial" w:cs="Arial"/>
              </w:rPr>
            </w:pPr>
            <w:r>
              <w:rPr>
                <w:rFonts w:ascii="Arial" w:hAnsi="Arial" w:cs="Arial"/>
                <w:sz w:val="20"/>
                <w:szCs w:val="20"/>
              </w:rPr>
              <w:t>+0.31</w:t>
            </w:r>
          </w:p>
        </w:tc>
        <w:tc>
          <w:tcPr>
            <w:tcW w:w="1435" w:type="dxa"/>
            <w:tcBorders>
              <w:top w:val="nil"/>
              <w:left w:val="nil"/>
              <w:bottom w:val="nil"/>
              <w:right w:val="nil"/>
            </w:tcBorders>
          </w:tcPr>
          <w:p w14:paraId="623F7C6A" w14:textId="77777777" w:rsidR="001A7132" w:rsidRDefault="00E6565E">
            <w:pPr>
              <w:rPr>
                <w:rFonts w:ascii="Arial" w:hAnsi="Arial" w:cs="Arial"/>
              </w:rPr>
            </w:pPr>
            <w:r>
              <w:rPr>
                <w:rFonts w:ascii="Arial" w:hAnsi="Arial" w:cs="Arial"/>
                <w:sz w:val="20"/>
                <w:szCs w:val="20"/>
              </w:rPr>
              <w:t>0.52 (approaching medium)</w:t>
            </w:r>
          </w:p>
        </w:tc>
        <w:tc>
          <w:tcPr>
            <w:tcW w:w="1436" w:type="dxa"/>
            <w:tcBorders>
              <w:top w:val="nil"/>
              <w:left w:val="nil"/>
              <w:bottom w:val="nil"/>
              <w:right w:val="nil"/>
            </w:tcBorders>
          </w:tcPr>
          <w:p w14:paraId="3894CD11" w14:textId="77777777" w:rsidR="001A7132" w:rsidRDefault="00E6565E">
            <w:pPr>
              <w:rPr>
                <w:rFonts w:ascii="Arial" w:hAnsi="Arial" w:cs="Arial"/>
              </w:rPr>
            </w:pPr>
            <w:r>
              <w:rPr>
                <w:rFonts w:ascii="Arial" w:hAnsi="Arial" w:cs="Arial"/>
                <w:i/>
                <w:iCs/>
                <w:sz w:val="20"/>
                <w:szCs w:val="20"/>
                <w:lang w:val="en-PH"/>
              </w:rPr>
              <w:t>p</w:t>
            </w:r>
            <w:r>
              <w:rPr>
                <w:rFonts w:ascii="Arial" w:hAnsi="Arial" w:cs="Arial"/>
                <w:sz w:val="20"/>
                <w:szCs w:val="20"/>
              </w:rPr>
              <w:t xml:space="preserve"> &lt; .001</w:t>
            </w:r>
          </w:p>
        </w:tc>
        <w:tc>
          <w:tcPr>
            <w:tcW w:w="1619" w:type="dxa"/>
            <w:tcBorders>
              <w:top w:val="nil"/>
              <w:left w:val="nil"/>
              <w:bottom w:val="nil"/>
              <w:right w:val="nil"/>
            </w:tcBorders>
          </w:tcPr>
          <w:p w14:paraId="3F8BE7DB" w14:textId="77777777" w:rsidR="001A7132" w:rsidRDefault="00E6565E">
            <w:pPr>
              <w:rPr>
                <w:rFonts w:ascii="Arial" w:hAnsi="Arial" w:cs="Arial"/>
              </w:rPr>
            </w:pPr>
            <w:r>
              <w:rPr>
                <w:rFonts w:ascii="Arial" w:hAnsi="Arial" w:cs="Arial"/>
                <w:sz w:val="20"/>
                <w:szCs w:val="20"/>
              </w:rPr>
              <w:t>Curriculum exposure explains track gap.</w:t>
            </w:r>
          </w:p>
        </w:tc>
      </w:tr>
      <w:tr w:rsidR="001A7132" w14:paraId="1B9DB2EE" w14:textId="77777777">
        <w:trPr>
          <w:trHeight w:val="300"/>
        </w:trPr>
        <w:tc>
          <w:tcPr>
            <w:tcW w:w="1247" w:type="dxa"/>
            <w:tcBorders>
              <w:top w:val="nil"/>
              <w:left w:val="nil"/>
              <w:bottom w:val="nil"/>
              <w:right w:val="nil"/>
            </w:tcBorders>
          </w:tcPr>
          <w:p w14:paraId="0AB2F5C2" w14:textId="77777777" w:rsidR="001A7132" w:rsidRDefault="001A7132">
            <w:pPr>
              <w:rPr>
                <w:rFonts w:ascii="Arial" w:hAnsi="Arial" w:cs="Arial"/>
              </w:rPr>
            </w:pPr>
          </w:p>
        </w:tc>
        <w:tc>
          <w:tcPr>
            <w:tcW w:w="1391" w:type="dxa"/>
            <w:tcBorders>
              <w:top w:val="nil"/>
              <w:left w:val="nil"/>
              <w:bottom w:val="nil"/>
              <w:right w:val="nil"/>
            </w:tcBorders>
          </w:tcPr>
          <w:p w14:paraId="0E8ACD40" w14:textId="77777777" w:rsidR="001A7132" w:rsidRDefault="00E6565E">
            <w:pPr>
              <w:rPr>
                <w:rFonts w:ascii="Arial" w:hAnsi="Arial" w:cs="Arial"/>
              </w:rPr>
            </w:pPr>
            <w:r>
              <w:rPr>
                <w:rFonts w:ascii="Arial" w:hAnsi="Arial" w:cs="Arial"/>
                <w:sz w:val="20"/>
                <w:szCs w:val="20"/>
              </w:rPr>
              <w:t>Grade 12 vs. 11</w:t>
            </w:r>
          </w:p>
        </w:tc>
        <w:tc>
          <w:tcPr>
            <w:tcW w:w="1296" w:type="dxa"/>
            <w:tcBorders>
              <w:top w:val="nil"/>
              <w:left w:val="nil"/>
              <w:bottom w:val="nil"/>
              <w:right w:val="nil"/>
            </w:tcBorders>
          </w:tcPr>
          <w:p w14:paraId="7DF0C572" w14:textId="77777777" w:rsidR="001A7132" w:rsidRDefault="00E6565E">
            <w:pPr>
              <w:rPr>
                <w:rFonts w:ascii="Arial" w:hAnsi="Arial" w:cs="Arial"/>
              </w:rPr>
            </w:pPr>
            <w:r>
              <w:rPr>
                <w:rFonts w:ascii="Arial" w:hAnsi="Arial" w:cs="Arial"/>
                <w:sz w:val="20"/>
                <w:szCs w:val="20"/>
              </w:rPr>
              <w:t>+0.02</w:t>
            </w:r>
          </w:p>
        </w:tc>
        <w:tc>
          <w:tcPr>
            <w:tcW w:w="1435" w:type="dxa"/>
            <w:tcBorders>
              <w:top w:val="nil"/>
              <w:left w:val="nil"/>
              <w:bottom w:val="nil"/>
              <w:right w:val="nil"/>
            </w:tcBorders>
          </w:tcPr>
          <w:p w14:paraId="18D3A545" w14:textId="77777777" w:rsidR="001A7132" w:rsidRDefault="00E6565E">
            <w:pPr>
              <w:rPr>
                <w:rFonts w:ascii="Arial" w:hAnsi="Arial" w:cs="Arial"/>
              </w:rPr>
            </w:pPr>
            <w:r>
              <w:rPr>
                <w:rFonts w:ascii="Arial" w:hAnsi="Arial" w:cs="Arial"/>
                <w:sz w:val="20"/>
                <w:szCs w:val="20"/>
              </w:rPr>
              <w:t>0.03 (trivial)</w:t>
            </w:r>
          </w:p>
        </w:tc>
        <w:tc>
          <w:tcPr>
            <w:tcW w:w="1436" w:type="dxa"/>
            <w:tcBorders>
              <w:top w:val="nil"/>
              <w:left w:val="nil"/>
              <w:bottom w:val="nil"/>
              <w:right w:val="nil"/>
            </w:tcBorders>
          </w:tcPr>
          <w:p w14:paraId="0A780F7A" w14:textId="77777777" w:rsidR="001A7132" w:rsidRDefault="00E6565E">
            <w:pPr>
              <w:rPr>
                <w:rFonts w:ascii="Arial" w:hAnsi="Arial" w:cs="Arial"/>
                <w:i/>
                <w:iCs/>
                <w:lang w:val="en-PH"/>
              </w:rPr>
            </w:pPr>
            <w:r>
              <w:rPr>
                <w:rFonts w:ascii="Arial" w:hAnsi="Arial" w:cs="Arial"/>
                <w:sz w:val="20"/>
                <w:szCs w:val="20"/>
              </w:rPr>
              <w:t>ns</w:t>
            </w:r>
          </w:p>
        </w:tc>
        <w:tc>
          <w:tcPr>
            <w:tcW w:w="1619" w:type="dxa"/>
            <w:tcBorders>
              <w:top w:val="nil"/>
              <w:left w:val="nil"/>
              <w:bottom w:val="nil"/>
              <w:right w:val="nil"/>
            </w:tcBorders>
          </w:tcPr>
          <w:p w14:paraId="3AF672C5" w14:textId="77777777" w:rsidR="001A7132" w:rsidRDefault="00E6565E">
            <w:pPr>
              <w:rPr>
                <w:rFonts w:ascii="Arial" w:hAnsi="Arial" w:cs="Arial"/>
              </w:rPr>
            </w:pPr>
            <w:r>
              <w:rPr>
                <w:rFonts w:ascii="Arial" w:hAnsi="Arial" w:cs="Arial"/>
                <w:sz w:val="20"/>
                <w:szCs w:val="20"/>
              </w:rPr>
              <w:t>Grade progression negligible.</w:t>
            </w:r>
          </w:p>
        </w:tc>
      </w:tr>
      <w:tr w:rsidR="001A7132" w14:paraId="4571A4CC" w14:textId="77777777">
        <w:trPr>
          <w:trHeight w:val="300"/>
        </w:trPr>
        <w:tc>
          <w:tcPr>
            <w:tcW w:w="1247" w:type="dxa"/>
            <w:tcBorders>
              <w:top w:val="nil"/>
              <w:left w:val="nil"/>
              <w:bottom w:val="nil"/>
              <w:right w:val="nil"/>
            </w:tcBorders>
          </w:tcPr>
          <w:p w14:paraId="34AA2602" w14:textId="77777777" w:rsidR="001A7132" w:rsidRDefault="00E6565E">
            <w:pPr>
              <w:rPr>
                <w:rFonts w:ascii="Arial" w:hAnsi="Arial" w:cs="Arial"/>
              </w:rPr>
            </w:pPr>
            <w:r>
              <w:rPr>
                <w:rFonts w:ascii="Arial" w:hAnsi="Arial" w:cs="Arial"/>
                <w:sz w:val="20"/>
                <w:szCs w:val="20"/>
              </w:rPr>
              <w:t>Political Engagement</w:t>
            </w:r>
          </w:p>
        </w:tc>
        <w:tc>
          <w:tcPr>
            <w:tcW w:w="1391" w:type="dxa"/>
            <w:tcBorders>
              <w:top w:val="nil"/>
              <w:left w:val="nil"/>
              <w:bottom w:val="nil"/>
              <w:right w:val="nil"/>
            </w:tcBorders>
          </w:tcPr>
          <w:p w14:paraId="7E80E37A" w14:textId="77777777" w:rsidR="001A7132" w:rsidRDefault="00E6565E">
            <w:pPr>
              <w:rPr>
                <w:rFonts w:ascii="Arial" w:hAnsi="Arial" w:cs="Arial"/>
              </w:rPr>
            </w:pPr>
            <w:r>
              <w:rPr>
                <w:rFonts w:ascii="Arial" w:hAnsi="Arial" w:cs="Arial"/>
                <w:sz w:val="20"/>
                <w:szCs w:val="20"/>
              </w:rPr>
              <w:t>Grade 12 vs. 11</w:t>
            </w:r>
          </w:p>
        </w:tc>
        <w:tc>
          <w:tcPr>
            <w:tcW w:w="1296" w:type="dxa"/>
            <w:tcBorders>
              <w:top w:val="nil"/>
              <w:left w:val="nil"/>
              <w:bottom w:val="nil"/>
              <w:right w:val="nil"/>
            </w:tcBorders>
          </w:tcPr>
          <w:p w14:paraId="31A3CDD6" w14:textId="77777777" w:rsidR="001A7132" w:rsidRDefault="00E6565E">
            <w:pPr>
              <w:rPr>
                <w:rFonts w:ascii="Arial" w:hAnsi="Arial" w:cs="Arial"/>
              </w:rPr>
            </w:pPr>
            <w:r>
              <w:rPr>
                <w:rFonts w:ascii="Arial" w:hAnsi="Arial" w:cs="Arial"/>
                <w:sz w:val="20"/>
                <w:szCs w:val="20"/>
              </w:rPr>
              <w:t>+0.14</w:t>
            </w:r>
          </w:p>
        </w:tc>
        <w:tc>
          <w:tcPr>
            <w:tcW w:w="1435" w:type="dxa"/>
            <w:tcBorders>
              <w:top w:val="nil"/>
              <w:left w:val="nil"/>
              <w:bottom w:val="nil"/>
              <w:right w:val="nil"/>
            </w:tcBorders>
          </w:tcPr>
          <w:p w14:paraId="741C50CC" w14:textId="77777777" w:rsidR="001A7132" w:rsidRDefault="00E6565E">
            <w:pPr>
              <w:rPr>
                <w:rFonts w:ascii="Arial" w:hAnsi="Arial" w:cs="Arial"/>
              </w:rPr>
            </w:pPr>
            <w:r>
              <w:rPr>
                <w:rFonts w:ascii="Arial" w:hAnsi="Arial" w:cs="Arial"/>
                <w:sz w:val="20"/>
                <w:szCs w:val="20"/>
              </w:rPr>
              <w:t>0.22 (small)</w:t>
            </w:r>
          </w:p>
        </w:tc>
        <w:tc>
          <w:tcPr>
            <w:tcW w:w="1436" w:type="dxa"/>
            <w:tcBorders>
              <w:top w:val="nil"/>
              <w:left w:val="nil"/>
              <w:bottom w:val="nil"/>
              <w:right w:val="nil"/>
            </w:tcBorders>
          </w:tcPr>
          <w:p w14:paraId="7D549BF0" w14:textId="77777777" w:rsidR="001A7132" w:rsidRDefault="00E6565E">
            <w:pPr>
              <w:rPr>
                <w:rFonts w:ascii="Arial" w:hAnsi="Arial" w:cs="Arial"/>
                <w:i/>
                <w:iCs/>
                <w:lang w:val="en-PH"/>
              </w:rPr>
            </w:pPr>
            <w:r>
              <w:rPr>
                <w:rFonts w:ascii="Arial" w:hAnsi="Arial" w:cs="Arial"/>
                <w:i/>
                <w:iCs/>
                <w:sz w:val="20"/>
                <w:szCs w:val="20"/>
                <w:lang w:val="en-PH"/>
              </w:rPr>
              <w:t>p</w:t>
            </w:r>
            <w:r>
              <w:rPr>
                <w:rFonts w:ascii="Arial" w:hAnsi="Arial" w:cs="Arial"/>
                <w:sz w:val="20"/>
                <w:szCs w:val="20"/>
              </w:rPr>
              <w:t xml:space="preserve"> = .03</w:t>
            </w:r>
          </w:p>
        </w:tc>
        <w:tc>
          <w:tcPr>
            <w:tcW w:w="1619" w:type="dxa"/>
            <w:tcBorders>
              <w:top w:val="nil"/>
              <w:left w:val="nil"/>
              <w:bottom w:val="nil"/>
              <w:right w:val="nil"/>
            </w:tcBorders>
          </w:tcPr>
          <w:p w14:paraId="31EF53E1" w14:textId="77777777" w:rsidR="001A7132" w:rsidRDefault="00E6565E">
            <w:pPr>
              <w:rPr>
                <w:rFonts w:ascii="Arial" w:hAnsi="Arial" w:cs="Arial"/>
              </w:rPr>
            </w:pPr>
            <w:r>
              <w:rPr>
                <w:rFonts w:ascii="Arial" w:hAnsi="Arial" w:cs="Arial"/>
                <w:sz w:val="20"/>
                <w:szCs w:val="20"/>
              </w:rPr>
              <w:t>Grade 12 slightly more engaged, likely due to voting readiness.</w:t>
            </w:r>
          </w:p>
        </w:tc>
      </w:tr>
      <w:tr w:rsidR="001A7132" w14:paraId="7977751C" w14:textId="77777777">
        <w:trPr>
          <w:trHeight w:val="300"/>
        </w:trPr>
        <w:tc>
          <w:tcPr>
            <w:tcW w:w="1247" w:type="dxa"/>
            <w:tcBorders>
              <w:top w:val="nil"/>
              <w:left w:val="nil"/>
              <w:bottom w:val="single" w:sz="4" w:space="0" w:color="auto"/>
              <w:right w:val="nil"/>
            </w:tcBorders>
          </w:tcPr>
          <w:p w14:paraId="3A156997" w14:textId="77777777" w:rsidR="001A7132" w:rsidRDefault="00E6565E">
            <w:pPr>
              <w:rPr>
                <w:rFonts w:ascii="Arial" w:hAnsi="Arial" w:cs="Arial"/>
              </w:rPr>
            </w:pPr>
            <w:r>
              <w:rPr>
                <w:rFonts w:ascii="Arial" w:hAnsi="Arial" w:cs="Arial"/>
                <w:sz w:val="20"/>
                <w:szCs w:val="20"/>
              </w:rPr>
              <w:t>Civic Engagement</w:t>
            </w:r>
          </w:p>
        </w:tc>
        <w:tc>
          <w:tcPr>
            <w:tcW w:w="1391" w:type="dxa"/>
            <w:tcBorders>
              <w:top w:val="nil"/>
              <w:left w:val="nil"/>
              <w:bottom w:val="single" w:sz="4" w:space="0" w:color="auto"/>
              <w:right w:val="nil"/>
            </w:tcBorders>
          </w:tcPr>
          <w:p w14:paraId="628092A8" w14:textId="77777777" w:rsidR="001A7132" w:rsidRDefault="00E6565E">
            <w:pPr>
              <w:rPr>
                <w:rFonts w:ascii="Arial" w:hAnsi="Arial" w:cs="Arial"/>
              </w:rPr>
            </w:pPr>
            <w:r>
              <w:rPr>
                <w:rFonts w:ascii="Arial" w:hAnsi="Arial" w:cs="Arial"/>
                <w:sz w:val="20"/>
                <w:szCs w:val="20"/>
              </w:rPr>
              <w:t>Academic vs. TVL</w:t>
            </w:r>
          </w:p>
        </w:tc>
        <w:tc>
          <w:tcPr>
            <w:tcW w:w="1296" w:type="dxa"/>
            <w:tcBorders>
              <w:top w:val="nil"/>
              <w:left w:val="nil"/>
              <w:bottom w:val="single" w:sz="4" w:space="0" w:color="auto"/>
              <w:right w:val="nil"/>
            </w:tcBorders>
          </w:tcPr>
          <w:p w14:paraId="798717D6" w14:textId="77777777" w:rsidR="001A7132" w:rsidRDefault="00E6565E">
            <w:pPr>
              <w:rPr>
                <w:rFonts w:ascii="Arial" w:hAnsi="Arial" w:cs="Arial"/>
              </w:rPr>
            </w:pPr>
            <w:r>
              <w:rPr>
                <w:rFonts w:ascii="Arial" w:hAnsi="Arial" w:cs="Arial"/>
                <w:sz w:val="20"/>
                <w:szCs w:val="20"/>
              </w:rPr>
              <w:t>+0.14</w:t>
            </w:r>
          </w:p>
        </w:tc>
        <w:tc>
          <w:tcPr>
            <w:tcW w:w="1435" w:type="dxa"/>
            <w:tcBorders>
              <w:top w:val="nil"/>
              <w:left w:val="nil"/>
              <w:bottom w:val="single" w:sz="4" w:space="0" w:color="auto"/>
              <w:right w:val="nil"/>
            </w:tcBorders>
          </w:tcPr>
          <w:p w14:paraId="4EAA60A8" w14:textId="77777777" w:rsidR="001A7132" w:rsidRDefault="00E6565E">
            <w:pPr>
              <w:rPr>
                <w:rFonts w:ascii="Arial" w:hAnsi="Arial" w:cs="Arial"/>
              </w:rPr>
            </w:pPr>
            <w:r>
              <w:rPr>
                <w:rFonts w:ascii="Arial" w:hAnsi="Arial" w:cs="Arial"/>
                <w:sz w:val="20"/>
                <w:szCs w:val="20"/>
              </w:rPr>
              <w:t>0.23 (small)</w:t>
            </w:r>
          </w:p>
        </w:tc>
        <w:tc>
          <w:tcPr>
            <w:tcW w:w="1436" w:type="dxa"/>
            <w:tcBorders>
              <w:top w:val="nil"/>
              <w:left w:val="nil"/>
              <w:bottom w:val="single" w:sz="4" w:space="0" w:color="auto"/>
              <w:right w:val="nil"/>
            </w:tcBorders>
          </w:tcPr>
          <w:p w14:paraId="794AE6DE" w14:textId="77777777" w:rsidR="001A7132" w:rsidRDefault="00E6565E">
            <w:pPr>
              <w:rPr>
                <w:rFonts w:ascii="Arial" w:hAnsi="Arial" w:cs="Arial"/>
                <w:i/>
                <w:iCs/>
                <w:lang w:val="en-PH"/>
              </w:rPr>
            </w:pPr>
            <w:r>
              <w:rPr>
                <w:rFonts w:ascii="Arial" w:hAnsi="Arial" w:cs="Arial"/>
                <w:i/>
                <w:iCs/>
                <w:sz w:val="20"/>
                <w:szCs w:val="20"/>
                <w:lang w:val="en-PH"/>
              </w:rPr>
              <w:t>p</w:t>
            </w:r>
            <w:r>
              <w:rPr>
                <w:rFonts w:ascii="Arial" w:hAnsi="Arial" w:cs="Arial"/>
                <w:sz w:val="20"/>
                <w:szCs w:val="20"/>
              </w:rPr>
              <w:t xml:space="preserve"> = .02</w:t>
            </w:r>
          </w:p>
        </w:tc>
        <w:tc>
          <w:tcPr>
            <w:tcW w:w="1619" w:type="dxa"/>
            <w:tcBorders>
              <w:top w:val="nil"/>
              <w:left w:val="nil"/>
              <w:bottom w:val="single" w:sz="4" w:space="0" w:color="auto"/>
              <w:right w:val="nil"/>
            </w:tcBorders>
          </w:tcPr>
          <w:p w14:paraId="4987CAAF" w14:textId="77777777" w:rsidR="001A7132" w:rsidRDefault="00E6565E">
            <w:pPr>
              <w:rPr>
                <w:rFonts w:ascii="Arial" w:hAnsi="Arial" w:cs="Arial"/>
              </w:rPr>
            </w:pPr>
            <w:r>
              <w:rPr>
                <w:rFonts w:ascii="Arial" w:hAnsi="Arial" w:cs="Arial"/>
                <w:sz w:val="20"/>
                <w:szCs w:val="20"/>
              </w:rPr>
              <w:t>Academic track slightly higher, but overall engagement strong across tracks.</w:t>
            </w:r>
          </w:p>
        </w:tc>
      </w:tr>
    </w:tbl>
    <w:p w14:paraId="72954A0A" w14:textId="77777777" w:rsidR="001A7132" w:rsidRDefault="001A7132">
      <w:pPr>
        <w:rPr>
          <w:rFonts w:ascii="Arial" w:hAnsi="Arial" w:cs="Arial"/>
          <w:lang w:val="en-GB"/>
        </w:rPr>
      </w:pPr>
    </w:p>
    <w:p w14:paraId="1D82EC9C" w14:textId="77777777" w:rsidR="001A7132" w:rsidRDefault="00E6565E">
      <w:pPr>
        <w:spacing w:line="259" w:lineRule="auto"/>
        <w:rPr>
          <w:rFonts w:ascii="Arial" w:hAnsi="Arial" w:cs="Arial"/>
          <w:lang w:val="en-GB"/>
        </w:rPr>
      </w:pPr>
      <w:r>
        <w:rPr>
          <w:rFonts w:ascii="Arial" w:hAnsi="Arial" w:cs="Arial"/>
          <w:lang w:val="en-GB"/>
        </w:rPr>
        <w:t>Interpretive emphasis: Track differences matter most for awareness; grade differences matter modestly for engagement; sex differences are minimal.</w:t>
      </w:r>
    </w:p>
    <w:p w14:paraId="0F702679" w14:textId="77777777" w:rsidR="001A7132" w:rsidRDefault="001A7132">
      <w:pPr>
        <w:spacing w:line="259" w:lineRule="auto"/>
        <w:rPr>
          <w:rFonts w:ascii="Arial" w:hAnsi="Arial" w:cs="Arial"/>
          <w:lang w:val="en-GB"/>
        </w:rPr>
      </w:pPr>
    </w:p>
    <w:p w14:paraId="50499121" w14:textId="77777777" w:rsidR="001A7132" w:rsidRDefault="001A7132">
      <w:pPr>
        <w:spacing w:line="259" w:lineRule="auto"/>
        <w:rPr>
          <w:rFonts w:ascii="Arial" w:hAnsi="Arial" w:cs="Arial"/>
          <w:lang w:val="en-GB"/>
        </w:rPr>
      </w:pPr>
    </w:p>
    <w:p w14:paraId="207ACD53" w14:textId="77777777" w:rsidR="001A7132" w:rsidRDefault="001A7132">
      <w:pPr>
        <w:spacing w:line="259" w:lineRule="auto"/>
        <w:rPr>
          <w:rFonts w:ascii="Arial" w:hAnsi="Arial" w:cs="Arial"/>
          <w:lang w:val="en-GB"/>
        </w:rPr>
      </w:pPr>
    </w:p>
    <w:p w14:paraId="4CCF0C0E" w14:textId="77777777" w:rsidR="001A7132" w:rsidRDefault="001A7132">
      <w:pPr>
        <w:spacing w:line="259" w:lineRule="auto"/>
        <w:rPr>
          <w:rFonts w:ascii="Arial" w:hAnsi="Arial" w:cs="Arial"/>
          <w:lang w:val="en-GB"/>
        </w:rPr>
      </w:pPr>
    </w:p>
    <w:p w14:paraId="45ABEF22" w14:textId="77777777" w:rsidR="001A7132" w:rsidRDefault="001A7132">
      <w:pPr>
        <w:spacing w:line="259" w:lineRule="auto"/>
        <w:rPr>
          <w:rFonts w:ascii="Arial" w:hAnsi="Arial" w:cs="Arial"/>
          <w:lang w:val="en-GB"/>
        </w:rPr>
      </w:pPr>
    </w:p>
    <w:p w14:paraId="0DB4C8F6" w14:textId="77777777" w:rsidR="001A7132" w:rsidRDefault="001A7132">
      <w:pPr>
        <w:spacing w:line="259" w:lineRule="auto"/>
        <w:rPr>
          <w:rFonts w:ascii="Arial" w:hAnsi="Arial" w:cs="Arial"/>
          <w:lang w:val="en-GB"/>
        </w:rPr>
      </w:pPr>
    </w:p>
    <w:p w14:paraId="4A4A0697" w14:textId="77777777" w:rsidR="001A7132" w:rsidRDefault="001A7132">
      <w:pPr>
        <w:spacing w:line="259" w:lineRule="auto"/>
        <w:rPr>
          <w:rFonts w:ascii="Arial" w:hAnsi="Arial" w:cs="Arial"/>
          <w:lang w:val="en-GB"/>
        </w:rPr>
      </w:pPr>
    </w:p>
    <w:p w14:paraId="6AFF5CE8" w14:textId="77777777" w:rsidR="001A7132" w:rsidRDefault="001A7132">
      <w:pPr>
        <w:spacing w:line="259" w:lineRule="auto"/>
        <w:rPr>
          <w:rFonts w:ascii="Arial" w:hAnsi="Arial" w:cs="Arial"/>
          <w:lang w:val="en-GB"/>
        </w:rPr>
      </w:pPr>
    </w:p>
    <w:p w14:paraId="4E5E0B70" w14:textId="77777777" w:rsidR="001A7132" w:rsidRDefault="00E6565E">
      <w:pPr>
        <w:rPr>
          <w:rFonts w:ascii="Arial" w:hAnsi="Arial" w:cs="Arial"/>
          <w:lang w:val="en-GB"/>
        </w:rPr>
      </w:pPr>
      <w:r>
        <w:rPr>
          <w:rFonts w:ascii="Arial" w:hAnsi="Arial" w:cs="Arial"/>
          <w:b/>
          <w:bCs/>
          <w:lang w:val="en-GB"/>
        </w:rPr>
        <w:lastRenderedPageBreak/>
        <w:t xml:space="preserve">Table 2. </w:t>
      </w:r>
      <w:r>
        <w:rPr>
          <w:rFonts w:ascii="Arial" w:hAnsi="Arial" w:cs="Arial"/>
          <w:lang w:val="en-GB"/>
        </w:rPr>
        <w:t>Awareness Predicting Engagement (Regression Summary with Interpretive Emphasis)</w:t>
      </w:r>
    </w:p>
    <w:tbl>
      <w:tblPr>
        <w:tblStyle w:val="TableGrid"/>
        <w:tblW w:w="0" w:type="auto"/>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1641"/>
        <w:gridCol w:w="1641"/>
        <w:gridCol w:w="1641"/>
        <w:gridCol w:w="1850"/>
        <w:gridCol w:w="1641"/>
      </w:tblGrid>
      <w:tr w:rsidR="001A7132" w14:paraId="726DC6CD" w14:textId="77777777">
        <w:trPr>
          <w:trHeight w:val="300"/>
        </w:trPr>
        <w:tc>
          <w:tcPr>
            <w:tcW w:w="1641" w:type="dxa"/>
            <w:tcBorders>
              <w:bottom w:val="single" w:sz="12" w:space="0" w:color="000000" w:themeColor="text1"/>
            </w:tcBorders>
          </w:tcPr>
          <w:p w14:paraId="7ECF7AAD" w14:textId="77777777" w:rsidR="001A7132" w:rsidRDefault="00E6565E">
            <w:pPr>
              <w:jc w:val="center"/>
              <w:rPr>
                <w:rFonts w:ascii="Arial" w:hAnsi="Arial" w:cs="Arial"/>
                <w:sz w:val="20"/>
                <w:szCs w:val="20"/>
              </w:rPr>
            </w:pPr>
            <w:r>
              <w:rPr>
                <w:rFonts w:ascii="Arial" w:hAnsi="Arial" w:cs="Arial"/>
                <w:b/>
                <w:bCs/>
                <w:sz w:val="20"/>
                <w:szCs w:val="20"/>
              </w:rPr>
              <w:t>Predictor</w:t>
            </w:r>
          </w:p>
        </w:tc>
        <w:tc>
          <w:tcPr>
            <w:tcW w:w="1641" w:type="dxa"/>
            <w:tcBorders>
              <w:bottom w:val="single" w:sz="12" w:space="0" w:color="000000" w:themeColor="text1"/>
            </w:tcBorders>
          </w:tcPr>
          <w:p w14:paraId="39009AA6" w14:textId="77777777" w:rsidR="001A7132" w:rsidRDefault="00E6565E">
            <w:pPr>
              <w:jc w:val="center"/>
              <w:rPr>
                <w:rFonts w:ascii="Arial" w:hAnsi="Arial" w:cs="Arial"/>
                <w:sz w:val="20"/>
                <w:szCs w:val="20"/>
              </w:rPr>
            </w:pPr>
            <w:r>
              <w:rPr>
                <w:rFonts w:ascii="Arial" w:hAnsi="Arial" w:cs="Arial"/>
                <w:b/>
                <w:bCs/>
                <w:sz w:val="20"/>
                <w:szCs w:val="20"/>
              </w:rPr>
              <w:t>r</w:t>
            </w:r>
          </w:p>
        </w:tc>
        <w:tc>
          <w:tcPr>
            <w:tcW w:w="1641" w:type="dxa"/>
            <w:tcBorders>
              <w:bottom w:val="single" w:sz="12" w:space="0" w:color="000000" w:themeColor="text1"/>
            </w:tcBorders>
          </w:tcPr>
          <w:p w14:paraId="18A46122" w14:textId="77777777" w:rsidR="001A7132" w:rsidRDefault="00E6565E">
            <w:pPr>
              <w:jc w:val="center"/>
              <w:rPr>
                <w:rFonts w:ascii="Arial" w:hAnsi="Arial" w:cs="Arial"/>
                <w:sz w:val="20"/>
                <w:szCs w:val="20"/>
              </w:rPr>
            </w:pPr>
            <w:r>
              <w:rPr>
                <w:rFonts w:ascii="Arial" w:hAnsi="Arial" w:cs="Arial"/>
                <w:b/>
                <w:bCs/>
                <w:sz w:val="20"/>
                <w:szCs w:val="20"/>
              </w:rPr>
              <w:t>R²</w:t>
            </w:r>
          </w:p>
        </w:tc>
        <w:tc>
          <w:tcPr>
            <w:tcW w:w="1641" w:type="dxa"/>
            <w:tcBorders>
              <w:bottom w:val="single" w:sz="12" w:space="0" w:color="000000" w:themeColor="text1"/>
            </w:tcBorders>
          </w:tcPr>
          <w:p w14:paraId="4D916862" w14:textId="77777777" w:rsidR="001A7132" w:rsidRDefault="00E6565E">
            <w:pPr>
              <w:jc w:val="center"/>
              <w:rPr>
                <w:rFonts w:ascii="Arial" w:hAnsi="Arial" w:cs="Arial"/>
                <w:sz w:val="20"/>
                <w:szCs w:val="20"/>
              </w:rPr>
            </w:pPr>
            <w:r>
              <w:rPr>
                <w:rFonts w:ascii="Arial" w:hAnsi="Arial" w:cs="Arial"/>
                <w:b/>
                <w:bCs/>
                <w:sz w:val="20"/>
                <w:szCs w:val="20"/>
              </w:rPr>
              <w:t>B (Unstandardized)</w:t>
            </w:r>
          </w:p>
        </w:tc>
        <w:tc>
          <w:tcPr>
            <w:tcW w:w="1641" w:type="dxa"/>
            <w:tcBorders>
              <w:bottom w:val="single" w:sz="12" w:space="0" w:color="000000" w:themeColor="text1"/>
            </w:tcBorders>
          </w:tcPr>
          <w:p w14:paraId="7971B40D" w14:textId="77777777" w:rsidR="001A7132" w:rsidRDefault="00E6565E">
            <w:pPr>
              <w:jc w:val="center"/>
              <w:rPr>
                <w:rFonts w:ascii="Arial" w:hAnsi="Arial" w:cs="Arial"/>
                <w:sz w:val="20"/>
                <w:szCs w:val="20"/>
              </w:rPr>
            </w:pPr>
            <w:r>
              <w:rPr>
                <w:rFonts w:ascii="Arial" w:hAnsi="Arial" w:cs="Arial"/>
                <w:b/>
                <w:bCs/>
                <w:sz w:val="20"/>
                <w:szCs w:val="20"/>
              </w:rPr>
              <w:t>Interpretation</w:t>
            </w:r>
          </w:p>
        </w:tc>
      </w:tr>
      <w:tr w:rsidR="001A7132" w14:paraId="5436F0E6" w14:textId="77777777">
        <w:trPr>
          <w:trHeight w:val="300"/>
        </w:trPr>
        <w:tc>
          <w:tcPr>
            <w:tcW w:w="1641" w:type="dxa"/>
            <w:tcBorders>
              <w:top w:val="single" w:sz="12" w:space="0" w:color="000000" w:themeColor="text1"/>
            </w:tcBorders>
          </w:tcPr>
          <w:p w14:paraId="27515CB6" w14:textId="77777777" w:rsidR="001A7132" w:rsidRDefault="00E6565E">
            <w:pPr>
              <w:rPr>
                <w:rFonts w:ascii="Arial" w:hAnsi="Arial" w:cs="Arial"/>
                <w:sz w:val="20"/>
                <w:szCs w:val="20"/>
              </w:rPr>
            </w:pPr>
            <w:r>
              <w:rPr>
                <w:rFonts w:ascii="Arial" w:hAnsi="Arial" w:cs="Arial"/>
                <w:sz w:val="20"/>
                <w:szCs w:val="20"/>
              </w:rPr>
              <w:t>Political Awareness → Engagement</w:t>
            </w:r>
          </w:p>
        </w:tc>
        <w:tc>
          <w:tcPr>
            <w:tcW w:w="1641" w:type="dxa"/>
            <w:tcBorders>
              <w:top w:val="single" w:sz="12" w:space="0" w:color="000000" w:themeColor="text1"/>
            </w:tcBorders>
          </w:tcPr>
          <w:p w14:paraId="16B5FCA3" w14:textId="77777777" w:rsidR="001A7132" w:rsidRDefault="00E6565E">
            <w:pPr>
              <w:rPr>
                <w:rFonts w:ascii="Arial" w:hAnsi="Arial" w:cs="Arial"/>
                <w:sz w:val="20"/>
                <w:szCs w:val="20"/>
              </w:rPr>
            </w:pPr>
            <w:r>
              <w:rPr>
                <w:rFonts w:ascii="Arial" w:hAnsi="Arial" w:cs="Arial"/>
                <w:sz w:val="20"/>
                <w:szCs w:val="20"/>
              </w:rPr>
              <w:t>.40</w:t>
            </w:r>
          </w:p>
        </w:tc>
        <w:tc>
          <w:tcPr>
            <w:tcW w:w="1641" w:type="dxa"/>
            <w:tcBorders>
              <w:top w:val="single" w:sz="12" w:space="0" w:color="000000" w:themeColor="text1"/>
            </w:tcBorders>
          </w:tcPr>
          <w:p w14:paraId="143DB09B" w14:textId="77777777" w:rsidR="001A7132" w:rsidRDefault="00E6565E">
            <w:pPr>
              <w:rPr>
                <w:rFonts w:ascii="Arial" w:hAnsi="Arial" w:cs="Arial"/>
                <w:sz w:val="20"/>
                <w:szCs w:val="20"/>
              </w:rPr>
            </w:pPr>
            <w:r>
              <w:rPr>
                <w:rFonts w:ascii="Arial" w:hAnsi="Arial" w:cs="Arial"/>
                <w:sz w:val="20"/>
                <w:szCs w:val="20"/>
              </w:rPr>
              <w:t>.16</w:t>
            </w:r>
          </w:p>
        </w:tc>
        <w:tc>
          <w:tcPr>
            <w:tcW w:w="1641" w:type="dxa"/>
            <w:tcBorders>
              <w:top w:val="single" w:sz="12" w:space="0" w:color="000000" w:themeColor="text1"/>
            </w:tcBorders>
          </w:tcPr>
          <w:p w14:paraId="286D6691" w14:textId="77777777" w:rsidR="001A7132" w:rsidRDefault="00E6565E">
            <w:pPr>
              <w:rPr>
                <w:rFonts w:ascii="Arial" w:hAnsi="Arial" w:cs="Arial"/>
                <w:sz w:val="20"/>
                <w:szCs w:val="20"/>
              </w:rPr>
            </w:pPr>
            <w:r>
              <w:rPr>
                <w:rFonts w:ascii="Arial" w:hAnsi="Arial" w:cs="Arial"/>
                <w:sz w:val="20"/>
                <w:szCs w:val="20"/>
              </w:rPr>
              <w:t>0.46</w:t>
            </w:r>
          </w:p>
        </w:tc>
        <w:tc>
          <w:tcPr>
            <w:tcW w:w="1641" w:type="dxa"/>
            <w:tcBorders>
              <w:top w:val="single" w:sz="12" w:space="0" w:color="000000" w:themeColor="text1"/>
            </w:tcBorders>
          </w:tcPr>
          <w:p w14:paraId="0C488B86" w14:textId="77777777" w:rsidR="001A7132" w:rsidRDefault="00E6565E">
            <w:pPr>
              <w:rPr>
                <w:rFonts w:ascii="Arial" w:hAnsi="Arial" w:cs="Arial"/>
                <w:sz w:val="20"/>
                <w:szCs w:val="20"/>
              </w:rPr>
            </w:pPr>
            <w:r>
              <w:rPr>
                <w:rFonts w:ascii="Arial" w:hAnsi="Arial" w:cs="Arial"/>
                <w:sz w:val="20"/>
                <w:szCs w:val="20"/>
              </w:rPr>
              <w:t>Awareness moderately predicts engagement; barriers limit translation into action.</w:t>
            </w:r>
          </w:p>
        </w:tc>
      </w:tr>
      <w:tr w:rsidR="001A7132" w14:paraId="59612126" w14:textId="77777777">
        <w:trPr>
          <w:trHeight w:val="300"/>
        </w:trPr>
        <w:tc>
          <w:tcPr>
            <w:tcW w:w="1641" w:type="dxa"/>
          </w:tcPr>
          <w:p w14:paraId="109E7551" w14:textId="77777777" w:rsidR="001A7132" w:rsidRDefault="00E6565E">
            <w:pPr>
              <w:rPr>
                <w:rFonts w:ascii="Arial" w:hAnsi="Arial" w:cs="Arial"/>
                <w:sz w:val="20"/>
                <w:szCs w:val="20"/>
              </w:rPr>
            </w:pPr>
            <w:r>
              <w:rPr>
                <w:rFonts w:ascii="Arial" w:hAnsi="Arial" w:cs="Arial"/>
                <w:sz w:val="20"/>
                <w:szCs w:val="20"/>
              </w:rPr>
              <w:t>Civic Awareness → Engagement</w:t>
            </w:r>
          </w:p>
        </w:tc>
        <w:tc>
          <w:tcPr>
            <w:tcW w:w="1641" w:type="dxa"/>
          </w:tcPr>
          <w:p w14:paraId="194EEABE" w14:textId="77777777" w:rsidR="001A7132" w:rsidRDefault="00E6565E">
            <w:pPr>
              <w:rPr>
                <w:rFonts w:ascii="Arial" w:hAnsi="Arial" w:cs="Arial"/>
                <w:sz w:val="20"/>
                <w:szCs w:val="20"/>
              </w:rPr>
            </w:pPr>
            <w:r>
              <w:rPr>
                <w:rFonts w:ascii="Arial" w:hAnsi="Arial" w:cs="Arial"/>
                <w:sz w:val="20"/>
                <w:szCs w:val="20"/>
              </w:rPr>
              <w:t>.67</w:t>
            </w:r>
          </w:p>
        </w:tc>
        <w:tc>
          <w:tcPr>
            <w:tcW w:w="1641" w:type="dxa"/>
          </w:tcPr>
          <w:p w14:paraId="46C71D04" w14:textId="77777777" w:rsidR="001A7132" w:rsidRDefault="00E6565E">
            <w:pPr>
              <w:rPr>
                <w:rFonts w:ascii="Arial" w:hAnsi="Arial" w:cs="Arial"/>
                <w:sz w:val="20"/>
                <w:szCs w:val="20"/>
              </w:rPr>
            </w:pPr>
            <w:r>
              <w:rPr>
                <w:rFonts w:ascii="Arial" w:hAnsi="Arial" w:cs="Arial"/>
                <w:sz w:val="20"/>
                <w:szCs w:val="20"/>
              </w:rPr>
              <w:t>.45</w:t>
            </w:r>
          </w:p>
        </w:tc>
        <w:tc>
          <w:tcPr>
            <w:tcW w:w="1641" w:type="dxa"/>
          </w:tcPr>
          <w:p w14:paraId="61E36D58" w14:textId="77777777" w:rsidR="001A7132" w:rsidRDefault="00E6565E">
            <w:pPr>
              <w:rPr>
                <w:rFonts w:ascii="Arial" w:hAnsi="Arial" w:cs="Arial"/>
                <w:sz w:val="20"/>
                <w:szCs w:val="20"/>
              </w:rPr>
            </w:pPr>
            <w:r>
              <w:rPr>
                <w:rFonts w:ascii="Arial" w:hAnsi="Arial" w:cs="Arial"/>
                <w:sz w:val="20"/>
                <w:szCs w:val="20"/>
              </w:rPr>
              <w:t>0.67</w:t>
            </w:r>
          </w:p>
        </w:tc>
        <w:tc>
          <w:tcPr>
            <w:tcW w:w="1641" w:type="dxa"/>
          </w:tcPr>
          <w:p w14:paraId="734CDCCB" w14:textId="77777777" w:rsidR="001A7132" w:rsidRDefault="00E6565E">
            <w:pPr>
              <w:rPr>
                <w:rFonts w:ascii="Arial" w:hAnsi="Arial" w:cs="Arial"/>
                <w:sz w:val="20"/>
                <w:szCs w:val="20"/>
              </w:rPr>
            </w:pPr>
            <w:r>
              <w:rPr>
                <w:rFonts w:ascii="Arial" w:hAnsi="Arial" w:cs="Arial"/>
                <w:sz w:val="20"/>
                <w:szCs w:val="20"/>
              </w:rPr>
              <w:t xml:space="preserve">Awareness </w:t>
            </w:r>
            <w:r>
              <w:rPr>
                <w:rFonts w:ascii="Arial" w:hAnsi="Arial" w:cs="Arial"/>
                <w:sz w:val="20"/>
                <w:szCs w:val="20"/>
                <w:lang w:val="en-PH"/>
              </w:rPr>
              <w:t>shows a strong association with engagement</w:t>
            </w:r>
            <w:r>
              <w:rPr>
                <w:rFonts w:ascii="Arial" w:hAnsi="Arial" w:cs="Arial"/>
                <w:sz w:val="20"/>
                <w:szCs w:val="20"/>
              </w:rPr>
              <w:t>; civic activities more accessible and immediate.</w:t>
            </w:r>
          </w:p>
        </w:tc>
      </w:tr>
    </w:tbl>
    <w:p w14:paraId="0CB80FB1" w14:textId="77777777" w:rsidR="001A7132" w:rsidRDefault="00E6565E">
      <w:pPr>
        <w:spacing w:line="259" w:lineRule="auto"/>
        <w:rPr>
          <w:rFonts w:ascii="Arial" w:hAnsi="Arial" w:cs="Arial"/>
          <w:lang w:val="en-GB"/>
        </w:rPr>
      </w:pPr>
      <w:r>
        <w:rPr>
          <w:rFonts w:ascii="Arial" w:hAnsi="Arial" w:cs="Arial"/>
          <w:lang w:val="en-GB"/>
        </w:rPr>
        <w:t>Interpretive emphasis: Civic pathways are stronger and more reliable than political pathways, suggesting civic engagement can serve as a gateway to political learning.</w:t>
      </w:r>
    </w:p>
    <w:p w14:paraId="0BB8561E" w14:textId="77777777" w:rsidR="001A7132" w:rsidRDefault="001A7132">
      <w:pPr>
        <w:rPr>
          <w:rFonts w:ascii="Arial" w:hAnsi="Arial" w:cs="Arial"/>
          <w:b/>
          <w:bCs/>
          <w:lang w:val="en-GB"/>
        </w:rPr>
      </w:pPr>
    </w:p>
    <w:p w14:paraId="5A245395" w14:textId="77777777" w:rsidR="001A7132" w:rsidRDefault="001A7132">
      <w:pPr>
        <w:rPr>
          <w:rFonts w:ascii="Arial" w:hAnsi="Arial" w:cs="Arial"/>
          <w:b/>
          <w:bCs/>
          <w:lang w:val="en-GB"/>
        </w:rPr>
      </w:pPr>
    </w:p>
    <w:p w14:paraId="22413DEF" w14:textId="77777777" w:rsidR="001A7132" w:rsidRDefault="00E6565E">
      <w:pPr>
        <w:rPr>
          <w:rFonts w:ascii="Arial" w:hAnsi="Arial" w:cs="Arial"/>
          <w:b/>
          <w:bCs/>
          <w:lang w:val="en-PH"/>
        </w:rPr>
      </w:pPr>
      <w:r>
        <w:rPr>
          <w:rFonts w:ascii="Arial" w:hAnsi="Arial" w:cs="Arial"/>
          <w:b/>
          <w:bCs/>
          <w:lang w:val="en-GB"/>
        </w:rPr>
        <w:t xml:space="preserve">Table </w:t>
      </w:r>
      <w:r>
        <w:rPr>
          <w:rFonts w:ascii="Arial" w:hAnsi="Arial" w:cs="Arial"/>
          <w:b/>
          <w:bCs/>
          <w:lang w:val="en-PH"/>
        </w:rPr>
        <w:t>3. Integration of Quantitative and Qualitative Results</w:t>
      </w:r>
    </w:p>
    <w:p w14:paraId="7D6E2923" w14:textId="77777777" w:rsidR="001A7132" w:rsidRDefault="001A7132">
      <w:pPr>
        <w:rPr>
          <w:rFonts w:ascii="Arial" w:hAnsi="Arial" w:cs="Arial"/>
          <w:b/>
          <w:bCs/>
          <w:lang w:val="en-PH"/>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2357"/>
        <w:gridCol w:w="1955"/>
        <w:gridCol w:w="2418"/>
      </w:tblGrid>
      <w:tr w:rsidR="001A7132" w14:paraId="46DA9493" w14:textId="77777777">
        <w:tc>
          <w:tcPr>
            <w:tcW w:w="1694" w:type="dxa"/>
            <w:tcBorders>
              <w:top w:val="single" w:sz="4" w:space="0" w:color="auto"/>
              <w:left w:val="nil"/>
              <w:bottom w:val="single" w:sz="4" w:space="0" w:color="auto"/>
              <w:right w:val="nil"/>
            </w:tcBorders>
          </w:tcPr>
          <w:p w14:paraId="57275929" w14:textId="77777777" w:rsidR="001A7132" w:rsidRDefault="00E6565E">
            <w:pPr>
              <w:rPr>
                <w:rFonts w:ascii="Arial" w:hAnsi="Arial" w:cs="Arial"/>
                <w:b/>
                <w:bCs/>
                <w:lang w:val="en-PH"/>
              </w:rPr>
            </w:pPr>
            <w:r>
              <w:rPr>
                <w:rFonts w:ascii="Arial" w:hAnsi="Arial" w:cs="Arial"/>
                <w:b/>
                <w:bCs/>
                <w:lang w:val="en-PH"/>
              </w:rPr>
              <w:t>Quantitative Finding</w:t>
            </w:r>
          </w:p>
        </w:tc>
        <w:tc>
          <w:tcPr>
            <w:tcW w:w="2357" w:type="dxa"/>
            <w:tcBorders>
              <w:top w:val="single" w:sz="4" w:space="0" w:color="auto"/>
              <w:left w:val="nil"/>
              <w:bottom w:val="single" w:sz="4" w:space="0" w:color="auto"/>
              <w:right w:val="nil"/>
            </w:tcBorders>
          </w:tcPr>
          <w:p w14:paraId="1F5E80AC" w14:textId="77777777" w:rsidR="001A7132" w:rsidRDefault="00E6565E">
            <w:pPr>
              <w:rPr>
                <w:rFonts w:ascii="Arial" w:hAnsi="Arial" w:cs="Arial"/>
                <w:b/>
                <w:bCs/>
                <w:lang w:val="en-PH"/>
              </w:rPr>
            </w:pPr>
            <w:r>
              <w:rPr>
                <w:rFonts w:ascii="Arial" w:hAnsi="Arial" w:cs="Arial"/>
                <w:b/>
                <w:bCs/>
                <w:lang w:val="en-PH"/>
              </w:rPr>
              <w:t>Qualitative Themes</w:t>
            </w:r>
          </w:p>
        </w:tc>
        <w:tc>
          <w:tcPr>
            <w:tcW w:w="1955" w:type="dxa"/>
            <w:tcBorders>
              <w:top w:val="single" w:sz="4" w:space="0" w:color="auto"/>
              <w:left w:val="nil"/>
              <w:bottom w:val="single" w:sz="4" w:space="0" w:color="auto"/>
              <w:right w:val="nil"/>
            </w:tcBorders>
          </w:tcPr>
          <w:p w14:paraId="6DD877DF" w14:textId="77777777" w:rsidR="001A7132" w:rsidRDefault="00E6565E">
            <w:pPr>
              <w:rPr>
                <w:rFonts w:ascii="Arial" w:hAnsi="Arial" w:cs="Arial"/>
                <w:b/>
                <w:bCs/>
                <w:lang w:val="en-PH"/>
              </w:rPr>
            </w:pPr>
            <w:r>
              <w:rPr>
                <w:rFonts w:ascii="Arial" w:hAnsi="Arial" w:cs="Arial"/>
                <w:b/>
                <w:bCs/>
                <w:lang w:val="en-PH"/>
              </w:rPr>
              <w:t>Integration Type</w:t>
            </w:r>
          </w:p>
        </w:tc>
        <w:tc>
          <w:tcPr>
            <w:tcW w:w="2418" w:type="dxa"/>
            <w:tcBorders>
              <w:top w:val="single" w:sz="4" w:space="0" w:color="auto"/>
              <w:left w:val="nil"/>
              <w:bottom w:val="single" w:sz="4" w:space="0" w:color="auto"/>
              <w:right w:val="nil"/>
            </w:tcBorders>
          </w:tcPr>
          <w:p w14:paraId="26DF02A9" w14:textId="77777777" w:rsidR="001A7132" w:rsidRDefault="00E6565E">
            <w:pPr>
              <w:rPr>
                <w:rFonts w:ascii="Arial" w:hAnsi="Arial" w:cs="Arial"/>
                <w:b/>
                <w:bCs/>
                <w:lang w:val="en-PH"/>
              </w:rPr>
            </w:pPr>
            <w:r>
              <w:rPr>
                <w:rFonts w:ascii="Arial" w:hAnsi="Arial" w:cs="Arial"/>
                <w:b/>
                <w:bCs/>
                <w:lang w:val="en-PH"/>
              </w:rPr>
              <w:t>Meta‑Inference (IPO)</w:t>
            </w:r>
          </w:p>
        </w:tc>
      </w:tr>
      <w:tr w:rsidR="001A7132" w14:paraId="60E5A352" w14:textId="77777777">
        <w:tc>
          <w:tcPr>
            <w:tcW w:w="1694" w:type="dxa"/>
            <w:tcBorders>
              <w:top w:val="single" w:sz="4" w:space="0" w:color="auto"/>
              <w:left w:val="nil"/>
              <w:bottom w:val="nil"/>
              <w:right w:val="nil"/>
            </w:tcBorders>
          </w:tcPr>
          <w:p w14:paraId="77F6F68B" w14:textId="77777777" w:rsidR="001A7132" w:rsidRDefault="00E6565E">
            <w:pPr>
              <w:rPr>
                <w:rFonts w:ascii="Arial" w:hAnsi="Arial" w:cs="Arial"/>
                <w:lang w:val="en-PH"/>
              </w:rPr>
            </w:pPr>
            <w:r>
              <w:rPr>
                <w:rFonts w:ascii="Arial" w:hAnsi="Arial" w:cs="Arial"/>
                <w:lang w:val="en-PH"/>
              </w:rPr>
              <w:t>Females &gt; Males in Political Awareness</w:t>
            </w:r>
          </w:p>
        </w:tc>
        <w:tc>
          <w:tcPr>
            <w:tcW w:w="2357" w:type="dxa"/>
            <w:tcBorders>
              <w:top w:val="single" w:sz="4" w:space="0" w:color="auto"/>
              <w:left w:val="nil"/>
              <w:bottom w:val="nil"/>
              <w:right w:val="nil"/>
            </w:tcBorders>
          </w:tcPr>
          <w:p w14:paraId="653A4FCD" w14:textId="77777777" w:rsidR="001A7132" w:rsidRDefault="00E6565E">
            <w:pPr>
              <w:rPr>
                <w:rFonts w:ascii="Arial" w:hAnsi="Arial" w:cs="Arial"/>
                <w:lang w:val="en-PH"/>
              </w:rPr>
            </w:pPr>
            <w:r>
              <w:rPr>
                <w:rFonts w:ascii="Arial" w:hAnsi="Arial" w:cs="Arial"/>
                <w:lang w:val="en-PH"/>
              </w:rPr>
              <w:t>Digital self‑learning; Critical consciousness</w:t>
            </w:r>
          </w:p>
        </w:tc>
        <w:tc>
          <w:tcPr>
            <w:tcW w:w="1955" w:type="dxa"/>
            <w:tcBorders>
              <w:top w:val="single" w:sz="4" w:space="0" w:color="auto"/>
              <w:left w:val="nil"/>
              <w:bottom w:val="nil"/>
              <w:right w:val="nil"/>
            </w:tcBorders>
          </w:tcPr>
          <w:p w14:paraId="0E9DA367" w14:textId="77777777" w:rsidR="001A7132" w:rsidRDefault="00E6565E">
            <w:pPr>
              <w:rPr>
                <w:rFonts w:ascii="Arial" w:hAnsi="Arial" w:cs="Arial"/>
                <w:lang w:val="en-PH"/>
              </w:rPr>
            </w:pPr>
            <w:r>
              <w:rPr>
                <w:rFonts w:ascii="Arial" w:hAnsi="Arial" w:cs="Arial"/>
                <w:lang w:val="en-PH"/>
              </w:rPr>
              <w:t>Convergence + Explanation</w:t>
            </w:r>
          </w:p>
        </w:tc>
        <w:tc>
          <w:tcPr>
            <w:tcW w:w="2418" w:type="dxa"/>
            <w:tcBorders>
              <w:top w:val="single" w:sz="4" w:space="0" w:color="auto"/>
              <w:left w:val="nil"/>
              <w:bottom w:val="nil"/>
              <w:right w:val="nil"/>
            </w:tcBorders>
          </w:tcPr>
          <w:p w14:paraId="22D4A28A" w14:textId="77777777" w:rsidR="001A7132" w:rsidRDefault="00E6565E">
            <w:pPr>
              <w:rPr>
                <w:rFonts w:ascii="Arial" w:hAnsi="Arial" w:cs="Arial"/>
                <w:lang w:val="en-PH"/>
              </w:rPr>
            </w:pPr>
            <w:r>
              <w:rPr>
                <w:rFonts w:ascii="Arial" w:hAnsi="Arial" w:cs="Arial"/>
                <w:lang w:val="en-PH"/>
              </w:rPr>
              <w:t>Female advantage linked to digital exploration and critical reflection</w:t>
            </w:r>
          </w:p>
        </w:tc>
      </w:tr>
      <w:tr w:rsidR="001A7132" w14:paraId="3594E64C" w14:textId="77777777">
        <w:tc>
          <w:tcPr>
            <w:tcW w:w="1694" w:type="dxa"/>
            <w:tcBorders>
              <w:top w:val="nil"/>
              <w:left w:val="nil"/>
              <w:bottom w:val="nil"/>
              <w:right w:val="nil"/>
            </w:tcBorders>
          </w:tcPr>
          <w:p w14:paraId="6B4C7741" w14:textId="77777777" w:rsidR="001A7132" w:rsidRDefault="00E6565E">
            <w:pPr>
              <w:rPr>
                <w:rFonts w:ascii="Arial" w:hAnsi="Arial" w:cs="Arial"/>
                <w:lang w:val="en-PH"/>
              </w:rPr>
            </w:pPr>
            <w:r>
              <w:rPr>
                <w:rFonts w:ascii="Arial" w:hAnsi="Arial" w:cs="Arial"/>
                <w:lang w:val="en-PH"/>
              </w:rPr>
              <w:t>Academic &gt; TVL in Political Awareness</w:t>
            </w:r>
          </w:p>
        </w:tc>
        <w:tc>
          <w:tcPr>
            <w:tcW w:w="2357" w:type="dxa"/>
            <w:tcBorders>
              <w:top w:val="nil"/>
              <w:left w:val="nil"/>
              <w:bottom w:val="nil"/>
              <w:right w:val="nil"/>
            </w:tcBorders>
          </w:tcPr>
          <w:p w14:paraId="563C9CB7" w14:textId="77777777" w:rsidR="001A7132" w:rsidRDefault="00E6565E">
            <w:pPr>
              <w:rPr>
                <w:rFonts w:ascii="Arial" w:hAnsi="Arial" w:cs="Arial"/>
                <w:lang w:val="en-PH"/>
              </w:rPr>
            </w:pPr>
            <w:r>
              <w:rPr>
                <w:rFonts w:ascii="Arial" w:hAnsi="Arial" w:cs="Arial"/>
                <w:lang w:val="en-PH"/>
              </w:rPr>
              <w:t>Curriculum disparities</w:t>
            </w:r>
          </w:p>
        </w:tc>
        <w:tc>
          <w:tcPr>
            <w:tcW w:w="1955" w:type="dxa"/>
            <w:tcBorders>
              <w:top w:val="nil"/>
              <w:left w:val="nil"/>
              <w:bottom w:val="nil"/>
              <w:right w:val="nil"/>
            </w:tcBorders>
          </w:tcPr>
          <w:p w14:paraId="2A2CD05E" w14:textId="77777777" w:rsidR="001A7132" w:rsidRDefault="00E6565E">
            <w:pPr>
              <w:rPr>
                <w:rFonts w:ascii="Arial" w:hAnsi="Arial" w:cs="Arial"/>
                <w:lang w:val="en-PH"/>
              </w:rPr>
            </w:pPr>
            <w:r>
              <w:rPr>
                <w:rFonts w:ascii="Arial" w:hAnsi="Arial" w:cs="Arial"/>
                <w:lang w:val="en-PH"/>
              </w:rPr>
              <w:t>Convergence + Explanation</w:t>
            </w:r>
          </w:p>
        </w:tc>
        <w:tc>
          <w:tcPr>
            <w:tcW w:w="2418" w:type="dxa"/>
            <w:tcBorders>
              <w:top w:val="nil"/>
              <w:left w:val="nil"/>
              <w:bottom w:val="nil"/>
              <w:right w:val="nil"/>
            </w:tcBorders>
          </w:tcPr>
          <w:p w14:paraId="0F41D94B" w14:textId="77777777" w:rsidR="001A7132" w:rsidRDefault="00E6565E">
            <w:pPr>
              <w:rPr>
                <w:rFonts w:ascii="Arial" w:hAnsi="Arial" w:cs="Arial"/>
                <w:lang w:val="en-PH"/>
              </w:rPr>
            </w:pPr>
            <w:r>
              <w:rPr>
                <w:rFonts w:ascii="Arial" w:hAnsi="Arial" w:cs="Arial"/>
                <w:lang w:val="en-PH"/>
              </w:rPr>
              <w:t>Civics‑rich curriculum drives higher awareness</w:t>
            </w:r>
          </w:p>
        </w:tc>
      </w:tr>
      <w:tr w:rsidR="001A7132" w14:paraId="293D0623" w14:textId="77777777">
        <w:tc>
          <w:tcPr>
            <w:tcW w:w="1694" w:type="dxa"/>
            <w:tcBorders>
              <w:top w:val="nil"/>
              <w:left w:val="nil"/>
              <w:bottom w:val="nil"/>
              <w:right w:val="nil"/>
            </w:tcBorders>
          </w:tcPr>
          <w:p w14:paraId="45F0FBE1" w14:textId="77777777" w:rsidR="001A7132" w:rsidRDefault="00E6565E">
            <w:pPr>
              <w:rPr>
                <w:rFonts w:ascii="Arial" w:hAnsi="Arial" w:cs="Arial"/>
                <w:lang w:val="en-PH"/>
              </w:rPr>
            </w:pPr>
            <w:r>
              <w:rPr>
                <w:rFonts w:ascii="Arial" w:hAnsi="Arial" w:cs="Arial"/>
                <w:lang w:val="en-PH"/>
              </w:rPr>
              <w:t>Civic Awareness strongly associated with Civic Engagement (r = .67, R² = .45)</w:t>
            </w:r>
          </w:p>
        </w:tc>
        <w:tc>
          <w:tcPr>
            <w:tcW w:w="2357" w:type="dxa"/>
            <w:tcBorders>
              <w:top w:val="nil"/>
              <w:left w:val="nil"/>
              <w:bottom w:val="nil"/>
              <w:right w:val="nil"/>
            </w:tcBorders>
          </w:tcPr>
          <w:p w14:paraId="6DE292F7" w14:textId="77777777" w:rsidR="001A7132" w:rsidRDefault="00E6565E">
            <w:pPr>
              <w:rPr>
                <w:rFonts w:ascii="Arial" w:hAnsi="Arial" w:cs="Arial"/>
                <w:lang w:val="en-PH"/>
              </w:rPr>
            </w:pPr>
            <w:r>
              <w:rPr>
                <w:rFonts w:ascii="Arial" w:hAnsi="Arial" w:cs="Arial"/>
                <w:lang w:val="en-PH"/>
              </w:rPr>
              <w:t>Peer networks; Curriculum exposure</w:t>
            </w:r>
          </w:p>
        </w:tc>
        <w:tc>
          <w:tcPr>
            <w:tcW w:w="1955" w:type="dxa"/>
            <w:tcBorders>
              <w:top w:val="nil"/>
              <w:left w:val="nil"/>
              <w:bottom w:val="nil"/>
              <w:right w:val="nil"/>
            </w:tcBorders>
          </w:tcPr>
          <w:p w14:paraId="4522D368" w14:textId="77777777" w:rsidR="001A7132" w:rsidRDefault="00E6565E">
            <w:pPr>
              <w:rPr>
                <w:rFonts w:ascii="Arial" w:hAnsi="Arial" w:cs="Arial"/>
                <w:lang w:val="en-PH"/>
              </w:rPr>
            </w:pPr>
            <w:r>
              <w:rPr>
                <w:rFonts w:ascii="Arial" w:hAnsi="Arial" w:cs="Arial"/>
                <w:lang w:val="en-PH"/>
              </w:rPr>
              <w:t>Convergence + Complementarity</w:t>
            </w:r>
          </w:p>
        </w:tc>
        <w:tc>
          <w:tcPr>
            <w:tcW w:w="2418" w:type="dxa"/>
            <w:tcBorders>
              <w:top w:val="nil"/>
              <w:left w:val="nil"/>
              <w:bottom w:val="nil"/>
              <w:right w:val="nil"/>
            </w:tcBorders>
          </w:tcPr>
          <w:p w14:paraId="134E5E9A" w14:textId="77777777" w:rsidR="001A7132" w:rsidRDefault="00E6565E">
            <w:pPr>
              <w:rPr>
                <w:rFonts w:ascii="Arial" w:hAnsi="Arial" w:cs="Arial"/>
                <w:lang w:val="en-PH"/>
              </w:rPr>
            </w:pPr>
            <w:r>
              <w:rPr>
                <w:rFonts w:ascii="Arial" w:hAnsi="Arial" w:cs="Arial"/>
                <w:lang w:val="en-PH"/>
              </w:rPr>
              <w:t>Awareness translates into action when scaffolded by peers and embedded tasks</w:t>
            </w:r>
          </w:p>
        </w:tc>
      </w:tr>
      <w:tr w:rsidR="001A7132" w14:paraId="1B67F8DE" w14:textId="77777777">
        <w:tc>
          <w:tcPr>
            <w:tcW w:w="1694" w:type="dxa"/>
            <w:tcBorders>
              <w:top w:val="nil"/>
              <w:left w:val="nil"/>
              <w:bottom w:val="single" w:sz="4" w:space="0" w:color="auto"/>
              <w:right w:val="nil"/>
            </w:tcBorders>
          </w:tcPr>
          <w:p w14:paraId="3F94E65F" w14:textId="77777777" w:rsidR="001A7132" w:rsidRDefault="00E6565E">
            <w:pPr>
              <w:rPr>
                <w:rFonts w:ascii="Arial" w:hAnsi="Arial" w:cs="Arial"/>
                <w:lang w:val="en-PH"/>
              </w:rPr>
            </w:pPr>
            <w:r>
              <w:rPr>
                <w:rFonts w:ascii="Arial" w:hAnsi="Arial" w:cs="Arial"/>
                <w:lang w:val="en-PH"/>
              </w:rPr>
              <w:t>Political Awareness moderately associated with Political Engagement (r = .40, R² = .16)</w:t>
            </w:r>
          </w:p>
        </w:tc>
        <w:tc>
          <w:tcPr>
            <w:tcW w:w="2357" w:type="dxa"/>
            <w:tcBorders>
              <w:top w:val="nil"/>
              <w:left w:val="nil"/>
              <w:bottom w:val="single" w:sz="4" w:space="0" w:color="auto"/>
              <w:right w:val="nil"/>
            </w:tcBorders>
          </w:tcPr>
          <w:p w14:paraId="1082DE7B" w14:textId="77777777" w:rsidR="001A7132" w:rsidRDefault="00E6565E">
            <w:pPr>
              <w:rPr>
                <w:rFonts w:ascii="Arial" w:hAnsi="Arial" w:cs="Arial"/>
                <w:lang w:val="en-PH"/>
              </w:rPr>
            </w:pPr>
            <w:r>
              <w:rPr>
                <w:rFonts w:ascii="Arial" w:hAnsi="Arial" w:cs="Arial"/>
                <w:lang w:val="en-PH"/>
              </w:rPr>
              <w:t>Incentive‑dependent participation; Structural factors</w:t>
            </w:r>
          </w:p>
        </w:tc>
        <w:tc>
          <w:tcPr>
            <w:tcW w:w="1955" w:type="dxa"/>
            <w:tcBorders>
              <w:top w:val="nil"/>
              <w:left w:val="nil"/>
              <w:bottom w:val="single" w:sz="4" w:space="0" w:color="auto"/>
              <w:right w:val="nil"/>
            </w:tcBorders>
          </w:tcPr>
          <w:p w14:paraId="75A9F4A6" w14:textId="77777777" w:rsidR="001A7132" w:rsidRDefault="00E6565E">
            <w:pPr>
              <w:rPr>
                <w:rFonts w:ascii="Arial" w:hAnsi="Arial" w:cs="Arial"/>
                <w:lang w:val="en-PH"/>
              </w:rPr>
            </w:pPr>
            <w:r>
              <w:rPr>
                <w:rFonts w:ascii="Arial" w:hAnsi="Arial" w:cs="Arial"/>
                <w:lang w:val="en-PH"/>
              </w:rPr>
              <w:t>Complementarity</w:t>
            </w:r>
          </w:p>
        </w:tc>
        <w:tc>
          <w:tcPr>
            <w:tcW w:w="2418" w:type="dxa"/>
            <w:tcBorders>
              <w:top w:val="nil"/>
              <w:left w:val="nil"/>
              <w:bottom w:val="single" w:sz="4" w:space="0" w:color="auto"/>
              <w:right w:val="nil"/>
            </w:tcBorders>
          </w:tcPr>
          <w:p w14:paraId="11A9B2A5" w14:textId="77777777" w:rsidR="001A7132" w:rsidRDefault="00E6565E">
            <w:pPr>
              <w:rPr>
                <w:rFonts w:ascii="Arial" w:hAnsi="Arial" w:cs="Arial"/>
                <w:lang w:val="en-PH"/>
              </w:rPr>
            </w:pPr>
            <w:r>
              <w:rPr>
                <w:rFonts w:ascii="Arial" w:hAnsi="Arial" w:cs="Arial"/>
                <w:lang w:val="en-PH"/>
              </w:rPr>
              <w:t>Awareness alone insufficient; requires autonomy‑supportive opportunities</w:t>
            </w:r>
          </w:p>
        </w:tc>
      </w:tr>
      <w:tr w:rsidR="001A7132" w14:paraId="526FB5C5" w14:textId="77777777">
        <w:tc>
          <w:tcPr>
            <w:tcW w:w="1694" w:type="dxa"/>
            <w:tcBorders>
              <w:top w:val="single" w:sz="4" w:space="0" w:color="auto"/>
              <w:left w:val="nil"/>
              <w:bottom w:val="single" w:sz="4" w:space="0" w:color="auto"/>
              <w:right w:val="nil"/>
            </w:tcBorders>
          </w:tcPr>
          <w:p w14:paraId="18FAFEB6" w14:textId="77777777" w:rsidR="001A7132" w:rsidRDefault="00E6565E">
            <w:pPr>
              <w:rPr>
                <w:rFonts w:ascii="Arial" w:hAnsi="Arial" w:cs="Arial"/>
                <w:b/>
                <w:bCs/>
                <w:lang w:val="en-PH"/>
              </w:rPr>
            </w:pPr>
            <w:r>
              <w:rPr>
                <w:rFonts w:ascii="Arial" w:hAnsi="Arial" w:cs="Arial"/>
                <w:b/>
                <w:bCs/>
                <w:lang w:val="en-PH"/>
              </w:rPr>
              <w:lastRenderedPageBreak/>
              <w:t>Quantitative Finding</w:t>
            </w:r>
          </w:p>
        </w:tc>
        <w:tc>
          <w:tcPr>
            <w:tcW w:w="2357" w:type="dxa"/>
            <w:tcBorders>
              <w:top w:val="single" w:sz="4" w:space="0" w:color="auto"/>
              <w:left w:val="nil"/>
              <w:bottom w:val="single" w:sz="4" w:space="0" w:color="auto"/>
              <w:right w:val="nil"/>
            </w:tcBorders>
          </w:tcPr>
          <w:p w14:paraId="700A3853" w14:textId="77777777" w:rsidR="001A7132" w:rsidRDefault="00E6565E">
            <w:pPr>
              <w:rPr>
                <w:rFonts w:ascii="Arial" w:hAnsi="Arial" w:cs="Arial"/>
                <w:b/>
                <w:bCs/>
                <w:lang w:val="en-PH"/>
              </w:rPr>
            </w:pPr>
            <w:r>
              <w:rPr>
                <w:rFonts w:ascii="Arial" w:hAnsi="Arial" w:cs="Arial"/>
                <w:b/>
                <w:bCs/>
                <w:lang w:val="en-PH"/>
              </w:rPr>
              <w:t>Qualitative Themes</w:t>
            </w:r>
          </w:p>
        </w:tc>
        <w:tc>
          <w:tcPr>
            <w:tcW w:w="1955" w:type="dxa"/>
            <w:tcBorders>
              <w:top w:val="single" w:sz="4" w:space="0" w:color="auto"/>
              <w:left w:val="nil"/>
              <w:bottom w:val="single" w:sz="4" w:space="0" w:color="auto"/>
              <w:right w:val="nil"/>
            </w:tcBorders>
          </w:tcPr>
          <w:p w14:paraId="531FA86F" w14:textId="77777777" w:rsidR="001A7132" w:rsidRDefault="00E6565E">
            <w:pPr>
              <w:rPr>
                <w:rFonts w:ascii="Arial" w:hAnsi="Arial" w:cs="Arial"/>
                <w:b/>
                <w:bCs/>
                <w:lang w:val="en-PH"/>
              </w:rPr>
            </w:pPr>
            <w:r>
              <w:rPr>
                <w:rFonts w:ascii="Arial" w:hAnsi="Arial" w:cs="Arial"/>
                <w:b/>
                <w:bCs/>
                <w:lang w:val="en-PH"/>
              </w:rPr>
              <w:t>Integration Type</w:t>
            </w:r>
          </w:p>
        </w:tc>
        <w:tc>
          <w:tcPr>
            <w:tcW w:w="2418" w:type="dxa"/>
            <w:tcBorders>
              <w:top w:val="single" w:sz="4" w:space="0" w:color="auto"/>
              <w:left w:val="nil"/>
              <w:bottom w:val="single" w:sz="4" w:space="0" w:color="auto"/>
              <w:right w:val="nil"/>
            </w:tcBorders>
          </w:tcPr>
          <w:p w14:paraId="008D93E7" w14:textId="77777777" w:rsidR="001A7132" w:rsidRDefault="00E6565E">
            <w:pPr>
              <w:rPr>
                <w:rFonts w:ascii="Arial" w:hAnsi="Arial" w:cs="Arial"/>
                <w:b/>
                <w:bCs/>
                <w:lang w:val="en-PH"/>
              </w:rPr>
            </w:pPr>
            <w:r>
              <w:rPr>
                <w:rFonts w:ascii="Arial" w:hAnsi="Arial" w:cs="Arial"/>
                <w:b/>
                <w:bCs/>
                <w:lang w:val="en-PH"/>
              </w:rPr>
              <w:t>Meta</w:t>
            </w:r>
            <w:r>
              <w:rPr>
                <w:rFonts w:ascii="Cambria Math" w:hAnsi="Cambria Math" w:cs="Cambria Math"/>
                <w:b/>
                <w:bCs/>
                <w:lang w:val="en-PH"/>
              </w:rPr>
              <w:t>‑</w:t>
            </w:r>
            <w:r>
              <w:rPr>
                <w:rFonts w:ascii="Arial" w:hAnsi="Arial" w:cs="Arial"/>
                <w:b/>
                <w:bCs/>
                <w:lang w:val="en-PH"/>
              </w:rPr>
              <w:t>Inference (IPO)</w:t>
            </w:r>
          </w:p>
        </w:tc>
      </w:tr>
      <w:tr w:rsidR="001A7132" w14:paraId="3AB220F8" w14:textId="77777777">
        <w:tc>
          <w:tcPr>
            <w:tcW w:w="1694" w:type="dxa"/>
            <w:tcBorders>
              <w:top w:val="nil"/>
              <w:left w:val="nil"/>
              <w:bottom w:val="nil"/>
              <w:right w:val="nil"/>
            </w:tcBorders>
          </w:tcPr>
          <w:p w14:paraId="0084A3E5" w14:textId="77777777" w:rsidR="001A7132" w:rsidRDefault="00E6565E">
            <w:pPr>
              <w:rPr>
                <w:rFonts w:ascii="Arial" w:hAnsi="Arial" w:cs="Arial"/>
                <w:lang w:val="en-PH"/>
              </w:rPr>
            </w:pPr>
            <w:r>
              <w:rPr>
                <w:rFonts w:ascii="Arial" w:hAnsi="Arial" w:cs="Arial"/>
                <w:lang w:val="en-PH"/>
              </w:rPr>
              <w:t>Grade 12 &gt; Grade 11 in Political Engagement</w:t>
            </w:r>
          </w:p>
        </w:tc>
        <w:tc>
          <w:tcPr>
            <w:tcW w:w="2357" w:type="dxa"/>
            <w:tcBorders>
              <w:top w:val="nil"/>
              <w:left w:val="nil"/>
              <w:bottom w:val="nil"/>
              <w:right w:val="nil"/>
            </w:tcBorders>
          </w:tcPr>
          <w:p w14:paraId="63178D71" w14:textId="77777777" w:rsidR="001A7132" w:rsidRDefault="00E6565E">
            <w:pPr>
              <w:rPr>
                <w:rFonts w:ascii="Arial" w:hAnsi="Arial" w:cs="Arial"/>
                <w:lang w:val="en-PH"/>
              </w:rPr>
            </w:pPr>
            <w:r>
              <w:rPr>
                <w:rFonts w:ascii="Arial" w:hAnsi="Arial" w:cs="Arial"/>
                <w:lang w:val="en-PH"/>
              </w:rPr>
              <w:t>Developmental progression; Voting horizon</w:t>
            </w:r>
          </w:p>
        </w:tc>
        <w:tc>
          <w:tcPr>
            <w:tcW w:w="1955" w:type="dxa"/>
            <w:tcBorders>
              <w:top w:val="nil"/>
              <w:left w:val="nil"/>
              <w:bottom w:val="nil"/>
              <w:right w:val="nil"/>
            </w:tcBorders>
          </w:tcPr>
          <w:p w14:paraId="3481F783" w14:textId="77777777" w:rsidR="001A7132" w:rsidRDefault="00E6565E">
            <w:pPr>
              <w:rPr>
                <w:rFonts w:ascii="Arial" w:hAnsi="Arial" w:cs="Arial"/>
                <w:lang w:val="en-PH"/>
              </w:rPr>
            </w:pPr>
            <w:r>
              <w:rPr>
                <w:rFonts w:ascii="Arial" w:hAnsi="Arial" w:cs="Arial"/>
                <w:lang w:val="en-PH"/>
              </w:rPr>
              <w:t>Convergence + Explanation</w:t>
            </w:r>
          </w:p>
        </w:tc>
        <w:tc>
          <w:tcPr>
            <w:tcW w:w="2418" w:type="dxa"/>
            <w:tcBorders>
              <w:top w:val="nil"/>
              <w:left w:val="nil"/>
              <w:bottom w:val="nil"/>
              <w:right w:val="nil"/>
            </w:tcBorders>
          </w:tcPr>
          <w:p w14:paraId="26BCC82B" w14:textId="77777777" w:rsidR="001A7132" w:rsidRDefault="00E6565E">
            <w:pPr>
              <w:rPr>
                <w:rFonts w:ascii="Arial" w:hAnsi="Arial" w:cs="Arial"/>
                <w:lang w:val="en-PH"/>
              </w:rPr>
            </w:pPr>
            <w:r>
              <w:rPr>
                <w:rFonts w:ascii="Arial" w:hAnsi="Arial" w:cs="Arial"/>
                <w:lang w:val="en-PH"/>
              </w:rPr>
              <w:t>Maturity and voting readiness slightly increase engagement</w:t>
            </w:r>
          </w:p>
        </w:tc>
      </w:tr>
      <w:tr w:rsidR="001A7132" w14:paraId="61B9107D" w14:textId="77777777">
        <w:tc>
          <w:tcPr>
            <w:tcW w:w="1694" w:type="dxa"/>
            <w:tcBorders>
              <w:top w:val="nil"/>
              <w:left w:val="nil"/>
              <w:bottom w:val="nil"/>
              <w:right w:val="nil"/>
            </w:tcBorders>
          </w:tcPr>
          <w:p w14:paraId="7463F10C" w14:textId="77777777" w:rsidR="001A7132" w:rsidRDefault="00E6565E">
            <w:pPr>
              <w:rPr>
                <w:rFonts w:ascii="Arial" w:hAnsi="Arial" w:cs="Arial"/>
                <w:lang w:val="en-PH"/>
              </w:rPr>
            </w:pPr>
            <w:r>
              <w:rPr>
                <w:rFonts w:ascii="Arial" w:hAnsi="Arial" w:cs="Arial"/>
                <w:lang w:val="en-PH"/>
              </w:rPr>
              <w:t>Civic Engagement parity by sex and grade</w:t>
            </w:r>
          </w:p>
        </w:tc>
        <w:tc>
          <w:tcPr>
            <w:tcW w:w="2357" w:type="dxa"/>
            <w:tcBorders>
              <w:top w:val="nil"/>
              <w:left w:val="nil"/>
              <w:bottom w:val="nil"/>
              <w:right w:val="nil"/>
            </w:tcBorders>
          </w:tcPr>
          <w:p w14:paraId="18301486" w14:textId="77777777" w:rsidR="001A7132" w:rsidRDefault="00E6565E">
            <w:pPr>
              <w:rPr>
                <w:rFonts w:ascii="Arial" w:hAnsi="Arial" w:cs="Arial"/>
                <w:lang w:val="en-PH"/>
              </w:rPr>
            </w:pPr>
            <w:r>
              <w:rPr>
                <w:rFonts w:ascii="Arial" w:hAnsi="Arial" w:cs="Arial"/>
                <w:lang w:val="en-PH"/>
              </w:rPr>
              <w:t>Peer networks; Institutional routines</w:t>
            </w:r>
          </w:p>
        </w:tc>
        <w:tc>
          <w:tcPr>
            <w:tcW w:w="1955" w:type="dxa"/>
            <w:tcBorders>
              <w:top w:val="nil"/>
              <w:left w:val="nil"/>
              <w:bottom w:val="nil"/>
              <w:right w:val="nil"/>
            </w:tcBorders>
          </w:tcPr>
          <w:p w14:paraId="6925E59B" w14:textId="77777777" w:rsidR="001A7132" w:rsidRDefault="00E6565E">
            <w:pPr>
              <w:rPr>
                <w:rFonts w:ascii="Arial" w:hAnsi="Arial" w:cs="Arial"/>
                <w:lang w:val="en-PH"/>
              </w:rPr>
            </w:pPr>
            <w:r>
              <w:rPr>
                <w:rFonts w:ascii="Arial" w:hAnsi="Arial" w:cs="Arial"/>
                <w:lang w:val="en-PH"/>
              </w:rPr>
              <w:t>Convergence</w:t>
            </w:r>
          </w:p>
        </w:tc>
        <w:tc>
          <w:tcPr>
            <w:tcW w:w="2418" w:type="dxa"/>
            <w:tcBorders>
              <w:top w:val="nil"/>
              <w:left w:val="nil"/>
              <w:bottom w:val="nil"/>
              <w:right w:val="nil"/>
            </w:tcBorders>
          </w:tcPr>
          <w:p w14:paraId="04350450" w14:textId="77777777" w:rsidR="001A7132" w:rsidRDefault="00E6565E">
            <w:pPr>
              <w:rPr>
                <w:rFonts w:ascii="Arial" w:hAnsi="Arial" w:cs="Arial"/>
                <w:lang w:val="en-PH"/>
              </w:rPr>
            </w:pPr>
            <w:r>
              <w:rPr>
                <w:rFonts w:ascii="Arial" w:hAnsi="Arial" w:cs="Arial"/>
                <w:lang w:val="en-PH"/>
              </w:rPr>
              <w:t>Engagement shaped more by peer and school structures than demographics</w:t>
            </w:r>
          </w:p>
        </w:tc>
      </w:tr>
      <w:tr w:rsidR="001A7132" w14:paraId="2FCA95F1" w14:textId="77777777">
        <w:tc>
          <w:tcPr>
            <w:tcW w:w="1694" w:type="dxa"/>
            <w:tcBorders>
              <w:top w:val="nil"/>
              <w:left w:val="nil"/>
              <w:bottom w:val="single" w:sz="4" w:space="0" w:color="auto"/>
              <w:right w:val="nil"/>
            </w:tcBorders>
          </w:tcPr>
          <w:p w14:paraId="35E4F3A9" w14:textId="77777777" w:rsidR="001A7132" w:rsidRDefault="00E6565E">
            <w:pPr>
              <w:rPr>
                <w:rFonts w:ascii="Arial" w:hAnsi="Arial" w:cs="Arial"/>
                <w:lang w:val="en-PH"/>
              </w:rPr>
            </w:pPr>
            <w:r>
              <w:rPr>
                <w:rFonts w:ascii="Arial" w:hAnsi="Arial" w:cs="Arial"/>
                <w:lang w:val="en-PH"/>
              </w:rPr>
              <w:t>Academic &gt; TVL in Civic Engagement</w:t>
            </w:r>
          </w:p>
        </w:tc>
        <w:tc>
          <w:tcPr>
            <w:tcW w:w="2357" w:type="dxa"/>
            <w:tcBorders>
              <w:top w:val="nil"/>
              <w:left w:val="nil"/>
              <w:bottom w:val="single" w:sz="4" w:space="0" w:color="auto"/>
              <w:right w:val="nil"/>
            </w:tcBorders>
          </w:tcPr>
          <w:p w14:paraId="63B4FB36" w14:textId="77777777" w:rsidR="001A7132" w:rsidRDefault="00E6565E">
            <w:pPr>
              <w:rPr>
                <w:rFonts w:ascii="Arial" w:hAnsi="Arial" w:cs="Arial"/>
                <w:lang w:val="en-PH"/>
              </w:rPr>
            </w:pPr>
            <w:r>
              <w:rPr>
                <w:rFonts w:ascii="Arial" w:hAnsi="Arial" w:cs="Arial"/>
                <w:lang w:val="en-PH"/>
              </w:rPr>
              <w:t>Curriculum disparities; Structural factors</w:t>
            </w:r>
          </w:p>
        </w:tc>
        <w:tc>
          <w:tcPr>
            <w:tcW w:w="1955" w:type="dxa"/>
            <w:tcBorders>
              <w:top w:val="nil"/>
              <w:left w:val="nil"/>
              <w:bottom w:val="single" w:sz="4" w:space="0" w:color="auto"/>
              <w:right w:val="nil"/>
            </w:tcBorders>
          </w:tcPr>
          <w:p w14:paraId="193A23EF" w14:textId="77777777" w:rsidR="001A7132" w:rsidRDefault="00E6565E">
            <w:pPr>
              <w:rPr>
                <w:rFonts w:ascii="Arial" w:hAnsi="Arial" w:cs="Arial"/>
                <w:lang w:val="en-PH"/>
              </w:rPr>
            </w:pPr>
            <w:r>
              <w:rPr>
                <w:rFonts w:ascii="Arial" w:hAnsi="Arial" w:cs="Arial"/>
                <w:lang w:val="en-PH"/>
              </w:rPr>
              <w:t>Convergence + Explanation</w:t>
            </w:r>
          </w:p>
        </w:tc>
        <w:tc>
          <w:tcPr>
            <w:tcW w:w="2418" w:type="dxa"/>
            <w:tcBorders>
              <w:top w:val="nil"/>
              <w:left w:val="nil"/>
              <w:bottom w:val="single" w:sz="4" w:space="0" w:color="auto"/>
              <w:right w:val="nil"/>
            </w:tcBorders>
          </w:tcPr>
          <w:p w14:paraId="2C1C23BB" w14:textId="77777777" w:rsidR="001A7132" w:rsidRDefault="00E6565E">
            <w:pPr>
              <w:rPr>
                <w:rFonts w:ascii="Arial" w:hAnsi="Arial" w:cs="Arial"/>
                <w:lang w:val="en-PH"/>
              </w:rPr>
            </w:pPr>
            <w:r>
              <w:rPr>
                <w:rFonts w:ascii="Arial" w:hAnsi="Arial" w:cs="Arial"/>
                <w:lang w:val="en-PH"/>
              </w:rPr>
              <w:t>Embedded civic tasks in academic tracks foster stronger engagement</w:t>
            </w:r>
          </w:p>
        </w:tc>
      </w:tr>
    </w:tbl>
    <w:p w14:paraId="1FBC1D4C" w14:textId="77777777" w:rsidR="001A7132" w:rsidRDefault="001A7132">
      <w:pPr>
        <w:rPr>
          <w:rFonts w:ascii="Arial" w:hAnsi="Arial" w:cs="Arial"/>
          <w:b/>
          <w:bCs/>
          <w:lang w:val="en-PH"/>
        </w:rPr>
      </w:pPr>
    </w:p>
    <w:p w14:paraId="790F70CA" w14:textId="77777777" w:rsidR="001A7132" w:rsidRDefault="00E6565E">
      <w:pPr>
        <w:rPr>
          <w:rFonts w:ascii="Arial" w:hAnsi="Arial" w:cs="Arial"/>
          <w:sz w:val="22"/>
          <w:szCs w:val="22"/>
          <w:lang w:val="en-PH"/>
        </w:rPr>
      </w:pPr>
      <w:r>
        <w:rPr>
          <w:rFonts w:ascii="Arial" w:hAnsi="Arial" w:cs="Arial"/>
          <w:sz w:val="22"/>
          <w:szCs w:val="22"/>
          <w:lang w:val="en-PH"/>
        </w:rPr>
        <w:t>Table 3 demonstrates that civic awareness consistently shows stronger associations with engagement than political awareness, underscoring the accessibility of civic practices as entry points into democratic life. Track disparities highlight the importance of civics‑rich curricula, while parity across sex and grade suggests that peer networks and institutional routines are more influential than demographics. Taken together, these meta‑inferences refine the IPO framework by emphasizing process‑level mediators: curriculum exposure, peer influence, and motivational structures that condition whether awareness becomes engagement. These associations reflect the context of one public SHS in Bacolod City, and generalizability should be interpreted cautiously.</w:t>
      </w:r>
    </w:p>
    <w:p w14:paraId="7C657A65" w14:textId="77777777" w:rsidR="001A7132" w:rsidRDefault="001A7132">
      <w:pPr>
        <w:rPr>
          <w:rFonts w:ascii="Arial" w:hAnsi="Arial" w:cs="Arial"/>
          <w:b/>
          <w:bCs/>
          <w:lang w:val="en-PH"/>
        </w:rPr>
      </w:pPr>
    </w:p>
    <w:p w14:paraId="0AB5E624" w14:textId="77777777" w:rsidR="001A7132" w:rsidRDefault="00E6565E">
      <w:pPr>
        <w:rPr>
          <w:rFonts w:ascii="Arial" w:eastAsia="Arial" w:hAnsi="Arial" w:cs="Arial"/>
          <w:sz w:val="22"/>
          <w:szCs w:val="22"/>
          <w:lang w:val="en-GB"/>
        </w:rPr>
      </w:pPr>
      <w:r>
        <w:rPr>
          <w:rFonts w:ascii="Arial" w:eastAsia="Arial" w:hAnsi="Arial" w:cs="Arial"/>
          <w:sz w:val="22"/>
          <w:szCs w:val="22"/>
          <w:lang w:val="en-GB"/>
        </w:rPr>
        <w:t>The study demonstrates that awareness is significantly associated with engagement, with stronger relationships in the civic domain than in the political domain. This distinction underscores the accessibility of civic practices as entry points into democratic life. Civic activities often demand attentiveness to local needs and participation in familiar routines, making them more proximal and less institutionally complex than political engagement. This finding refines existing models of youth political socialization by showing that awareness is not merely a cognitive precursor to efficacy and trust but is itself shaped by relational and contextual factors. In particular, the IPO framework gains nuance by highlighting how civic awareness operates differently across domains, suggesting refinements to theories that treat awareness as a uniform correlate of engagement.</w:t>
      </w:r>
    </w:p>
    <w:p w14:paraId="771703AF" w14:textId="77777777" w:rsidR="001A7132" w:rsidRDefault="001A7132">
      <w:pPr>
        <w:rPr>
          <w:rFonts w:ascii="Arial" w:eastAsia="Arial" w:hAnsi="Arial" w:cs="Arial"/>
          <w:sz w:val="22"/>
          <w:szCs w:val="22"/>
          <w:lang w:val="en-GB"/>
        </w:rPr>
      </w:pPr>
    </w:p>
    <w:p w14:paraId="04DC985B" w14:textId="77777777" w:rsidR="001A7132" w:rsidRDefault="00E6565E">
      <w:pPr>
        <w:rPr>
          <w:rFonts w:ascii="Arial" w:eastAsia="Arial" w:hAnsi="Arial" w:cs="Arial"/>
          <w:sz w:val="22"/>
          <w:szCs w:val="22"/>
          <w:lang w:val="en-GB"/>
        </w:rPr>
      </w:pPr>
      <w:r>
        <w:rPr>
          <w:rFonts w:ascii="Arial" w:eastAsia="Arial" w:hAnsi="Arial" w:cs="Arial"/>
          <w:sz w:val="22"/>
          <w:szCs w:val="22"/>
          <w:lang w:val="en-GB"/>
        </w:rPr>
        <w:t xml:space="preserve">Qualitative insights further illuminate the mechanisms through which awareness relates to action. Open, discussion‑rich classrooms and predictable civic routines provide relational spaces where awareness is cultivated and enacted. Students’ experiences of peer‑led fact‑checking and guided expression resonate with democratic school climate literature, which emphasizes respect and student voice as drivers of civic outcomes. Importantly, the Philippine case adds to this body of work by showing how classroom openness enhances digital literacy, which in turn mediates online civic engagement. This contribution extends comparative civic education scholarship by situating digital practices within institutional contexts, </w:t>
      </w:r>
      <w:r>
        <w:rPr>
          <w:rFonts w:ascii="Arial" w:eastAsia="Arial" w:hAnsi="Arial" w:cs="Arial"/>
          <w:sz w:val="22"/>
          <w:szCs w:val="22"/>
          <w:lang w:val="en-GB"/>
        </w:rPr>
        <w:lastRenderedPageBreak/>
        <w:t xml:space="preserve">demonstrating that platform </w:t>
      </w:r>
      <w:proofErr w:type="spellStart"/>
      <w:r>
        <w:rPr>
          <w:rFonts w:ascii="Arial" w:eastAsia="Arial" w:hAnsi="Arial" w:cs="Arial"/>
          <w:sz w:val="22"/>
          <w:szCs w:val="22"/>
          <w:lang w:val="en-GB"/>
        </w:rPr>
        <w:t>literac</w:t>
      </w:r>
      <w:proofErr w:type="spellEnd"/>
      <w:r>
        <w:rPr>
          <w:rFonts w:ascii="Arial" w:eastAsia="Arial" w:hAnsi="Arial" w:cs="Arial"/>
          <w:sz w:val="22"/>
          <w:szCs w:val="22"/>
          <w:lang w:val="en-PH"/>
        </w:rPr>
        <w:t>y</w:t>
      </w:r>
      <w:r>
        <w:rPr>
          <w:rFonts w:ascii="Arial" w:eastAsia="Arial" w:hAnsi="Arial" w:cs="Arial"/>
          <w:sz w:val="22"/>
          <w:szCs w:val="22"/>
          <w:lang w:val="en-GB"/>
        </w:rPr>
        <w:t xml:space="preserve"> is not peripheral but central to contemporary civic development.</w:t>
      </w:r>
    </w:p>
    <w:p w14:paraId="6563BB85" w14:textId="77777777" w:rsidR="001A7132" w:rsidRDefault="00E6565E">
      <w:pPr>
        <w:rPr>
          <w:rFonts w:ascii="Arial" w:eastAsia="Arial" w:hAnsi="Arial" w:cs="Arial"/>
          <w:sz w:val="22"/>
          <w:szCs w:val="22"/>
          <w:lang w:val="en-GB"/>
        </w:rPr>
      </w:pPr>
      <w:r>
        <w:rPr>
          <w:rFonts w:ascii="Arial" w:eastAsia="Arial" w:hAnsi="Arial" w:cs="Arial"/>
          <w:sz w:val="22"/>
          <w:szCs w:val="22"/>
          <w:lang w:val="en-GB"/>
        </w:rPr>
        <w:t>The findings also highlight the dual role of digital environments. Students’ self‑directed digital learning fosters immediacy and community but simultaneously exposes them to misinformation and risks. This tension underscores the need for schools to scaffold healthy online participation. Embedding media and information literacy (MIL) tasks such as source triangulation, claim evaluation, and platform‑aware audience design offers a pathway to harness students’ digital motivation while mitigating vulnerabilities. This insight contributes to broader debates on democratic resilience in the digital age, positioning schools as critical sites for cultivating both agency and protection against misinformation. Institutional and contextual factors further shape engagement. The elevated midterm turnout likely amplified civic salience in students’ households and feeds, creating motivational spillovers that reinforced classroom learning. While causality cannot be claimed, this observation suggests that situating civic education during periods of heightened national attention may coincide with stronger effects. Moreover, strand‑based disparities in politically relevant exposure reveal inequities in awareness opportunities. Addressing these gaps requires track‑inclusive civics that embed issue‑based deliberation, simulations, audits, and service‑learning into diverse curricular contexts. Such strategies advance knowledge on equity in civic learning, challenging assumptions that civic education can be uniformly delivered across student populations.</w:t>
      </w:r>
    </w:p>
    <w:p w14:paraId="275DA6D4" w14:textId="77777777" w:rsidR="001A7132" w:rsidRDefault="001A7132">
      <w:pPr>
        <w:rPr>
          <w:rFonts w:ascii="Arial" w:eastAsia="Arial" w:hAnsi="Arial" w:cs="Arial"/>
          <w:sz w:val="22"/>
          <w:szCs w:val="22"/>
          <w:lang w:val="en-GB"/>
        </w:rPr>
      </w:pPr>
    </w:p>
    <w:p w14:paraId="25F8BE61" w14:textId="77777777" w:rsidR="001A7132" w:rsidRDefault="00E6565E">
      <w:pPr>
        <w:rPr>
          <w:rFonts w:ascii="Arial" w:eastAsia="Arial" w:hAnsi="Arial" w:cs="Arial"/>
          <w:sz w:val="22"/>
          <w:szCs w:val="22"/>
          <w:lang w:val="en-GB" w:eastAsia="en-GB"/>
        </w:rPr>
      </w:pPr>
      <w:r>
        <w:rPr>
          <w:rFonts w:ascii="Arial" w:eastAsia="Arial" w:hAnsi="Arial" w:cs="Arial"/>
          <w:sz w:val="22"/>
          <w:szCs w:val="22"/>
          <w:lang w:val="en-GB"/>
        </w:rPr>
        <w:t xml:space="preserve">Taken together, the study contributes to knowledge‑building in three ways. First, it refines theoretical models by showing that awareness is relational and domain‑specific, not a uniform correlate of engagement. Second, it demonstrates the significance of the Philippine SHS case, where institutional reforms and digital realities intersect to shape civic </w:t>
      </w:r>
      <w:proofErr w:type="spellStart"/>
      <w:proofErr w:type="gramStart"/>
      <w:r>
        <w:rPr>
          <w:rFonts w:ascii="Arial" w:eastAsia="Arial" w:hAnsi="Arial" w:cs="Arial"/>
          <w:sz w:val="22"/>
          <w:szCs w:val="22"/>
          <w:lang w:val="en-GB"/>
        </w:rPr>
        <w:t>outcomes.By</w:t>
      </w:r>
      <w:proofErr w:type="spellEnd"/>
      <w:proofErr w:type="gramEnd"/>
      <w:r>
        <w:rPr>
          <w:rFonts w:ascii="Arial" w:eastAsia="Arial" w:hAnsi="Arial" w:cs="Arial"/>
          <w:sz w:val="22"/>
          <w:szCs w:val="22"/>
          <w:lang w:val="en-GB"/>
        </w:rPr>
        <w:t xml:space="preserve"> connecting to ICCS comparative datasets, this study contributes to understanding how local civic education outcomes resonate with international trends (Schulz et al., 2018; Kerr et al., 2010). Third, it highlights the broader societal stakes of civic education, particularly the need to scaffold digital participation and address inequities across student tracks. By situating awareness within systemic, relational, and digital contexts, this study advances understanding of how schools can cultivate durable civic action and democratic resilience.</w:t>
      </w:r>
      <w:r>
        <w:rPr>
          <w:rFonts w:ascii="Arial" w:eastAsia="Arial" w:hAnsi="Arial" w:cs="Arial"/>
          <w:sz w:val="22"/>
          <w:szCs w:val="22"/>
          <w:lang w:val="en-GB" w:eastAsia="en-GB"/>
        </w:rPr>
        <w:t xml:space="preserve"> </w:t>
      </w:r>
    </w:p>
    <w:p w14:paraId="0D8F6452" w14:textId="77777777" w:rsidR="001A7132" w:rsidRDefault="001A7132">
      <w:pPr>
        <w:rPr>
          <w:rFonts w:ascii="Arial" w:hAnsi="Arial" w:cs="Arial"/>
          <w:lang w:val="en-GB"/>
        </w:rPr>
      </w:pPr>
    </w:p>
    <w:p w14:paraId="738610EB" w14:textId="77777777" w:rsidR="001A7132" w:rsidRDefault="00E6565E">
      <w:pPr>
        <w:rPr>
          <w:rFonts w:ascii="Arial" w:eastAsia="Arial" w:hAnsi="Arial" w:cs="Arial"/>
          <w:sz w:val="22"/>
          <w:szCs w:val="22"/>
          <w:lang w:val="en-GB" w:eastAsia="en-GB"/>
        </w:rPr>
      </w:pPr>
      <w:r>
        <w:rPr>
          <w:rFonts w:ascii="Arial" w:eastAsia="Arial" w:hAnsi="Arial" w:cs="Arial"/>
          <w:sz w:val="22"/>
          <w:szCs w:val="22"/>
          <w:lang w:val="en-GB" w:eastAsia="en-GB"/>
        </w:rPr>
        <w:t xml:space="preserve"> </w:t>
      </w:r>
    </w:p>
    <w:p w14:paraId="637805D2" w14:textId="77777777" w:rsidR="001A7132" w:rsidRDefault="001A7132">
      <w:pPr>
        <w:pStyle w:val="Body"/>
        <w:spacing w:after="0"/>
        <w:rPr>
          <w:rFonts w:ascii="Arial" w:hAnsi="Arial" w:cs="Arial"/>
        </w:rPr>
      </w:pPr>
    </w:p>
    <w:p w14:paraId="584F9CB5" w14:textId="77777777" w:rsidR="001A7132" w:rsidRDefault="00E6565E">
      <w:pPr>
        <w:pStyle w:val="ConcHead"/>
        <w:spacing w:after="0"/>
        <w:jc w:val="both"/>
        <w:rPr>
          <w:rFonts w:ascii="Arial" w:hAnsi="Arial" w:cs="Arial"/>
        </w:rPr>
      </w:pPr>
      <w:r>
        <w:rPr>
          <w:rFonts w:ascii="Arial" w:hAnsi="Arial" w:cs="Arial"/>
        </w:rPr>
        <w:t>4. Conclusion</w:t>
      </w:r>
    </w:p>
    <w:p w14:paraId="463F29E8" w14:textId="77777777" w:rsidR="001A7132" w:rsidRDefault="001A7132">
      <w:pPr>
        <w:pStyle w:val="ConcHead"/>
        <w:spacing w:after="0"/>
        <w:jc w:val="both"/>
        <w:rPr>
          <w:rFonts w:ascii="Arial" w:hAnsi="Arial" w:cs="Arial"/>
        </w:rPr>
      </w:pPr>
    </w:p>
    <w:p w14:paraId="74DAA497" w14:textId="77777777" w:rsidR="001A7132" w:rsidRDefault="00E6565E">
      <w:pPr>
        <w:pStyle w:val="Body"/>
        <w:spacing w:after="0"/>
        <w:rPr>
          <w:rFonts w:ascii="Arial" w:eastAsia="Arial" w:hAnsi="Arial" w:cs="Arial"/>
          <w:sz w:val="22"/>
          <w:szCs w:val="22"/>
        </w:rPr>
      </w:pPr>
      <w:r>
        <w:rPr>
          <w:rFonts w:ascii="Arial" w:eastAsia="Arial" w:hAnsi="Arial" w:cs="Arial"/>
          <w:sz w:val="22"/>
          <w:szCs w:val="22"/>
        </w:rPr>
        <w:t xml:space="preserve">This study offers a nuanced portrait of Senior High School students’ civic and political development through the lens of the Input–Process–Output (IPO) framework. However, several limitations must be acknowledged.  First, the study employed a correlational design; therefore, findings should be interpreted as associations rather than causal effects. While regression analyses identified significant relationships between awareness and engagement, the design does not permit causal inference. Second, the sample was drawn from a single public Senior High School in Bacolod City, which constrains the generalizability of results to other </w:t>
      </w:r>
      <w:r>
        <w:rPr>
          <w:rFonts w:ascii="Arial" w:eastAsia="Arial" w:hAnsi="Arial" w:cs="Arial"/>
          <w:sz w:val="22"/>
          <w:szCs w:val="22"/>
        </w:rPr>
        <w:lastRenderedPageBreak/>
        <w:t xml:space="preserve">schools, regions, or educational contexts. Third, although multivariate regression models simultaneously controlled for sex, grade level, and track, further modeling approaches could strengthen analytical rigor by examining interaction effects and additional covariates. Fourth, while the instrument demonstrated excellent reliability and strong content validity through expert review, construct validity was not formally tested using factor analysis. </w:t>
      </w:r>
    </w:p>
    <w:p w14:paraId="63DED19C" w14:textId="77777777" w:rsidR="001A7132" w:rsidRDefault="001A7132">
      <w:pPr>
        <w:pStyle w:val="Body"/>
        <w:spacing w:after="0"/>
        <w:rPr>
          <w:rFonts w:ascii="Arial" w:eastAsia="Arial" w:hAnsi="Arial" w:cs="Arial"/>
          <w:sz w:val="22"/>
          <w:szCs w:val="22"/>
        </w:rPr>
      </w:pPr>
    </w:p>
    <w:p w14:paraId="62AB05A7" w14:textId="77777777" w:rsidR="001A7132" w:rsidRDefault="00E6565E">
      <w:pPr>
        <w:pStyle w:val="Body"/>
        <w:spacing w:after="0"/>
        <w:rPr>
          <w:rFonts w:ascii="Arial" w:eastAsia="Arial" w:hAnsi="Arial" w:cs="Arial"/>
          <w:sz w:val="22"/>
          <w:szCs w:val="22"/>
        </w:rPr>
      </w:pPr>
      <w:r>
        <w:rPr>
          <w:rFonts w:ascii="Arial" w:eastAsia="Arial" w:hAnsi="Arial" w:cs="Arial"/>
          <w:sz w:val="22"/>
          <w:szCs w:val="22"/>
        </w:rPr>
        <w:t>Future research should employ exploratory and confirmatory factor analyses to provide stronger evidence of validity.</w:t>
      </w:r>
      <w:r>
        <w:rPr>
          <w:rFonts w:ascii="Arial" w:eastAsia="Arial" w:hAnsi="Arial" w:cs="Arial"/>
          <w:sz w:val="22"/>
          <w:szCs w:val="22"/>
          <w:lang w:val="en-PH"/>
        </w:rPr>
        <w:t xml:space="preserve"> A</w:t>
      </w:r>
      <w:proofErr w:type="spellStart"/>
      <w:r>
        <w:rPr>
          <w:rFonts w:ascii="Arial" w:eastAsia="Arial" w:hAnsi="Arial" w:cs="Arial"/>
          <w:sz w:val="22"/>
          <w:szCs w:val="22"/>
        </w:rPr>
        <w:t>ddress</w:t>
      </w:r>
      <w:proofErr w:type="spellEnd"/>
      <w:r>
        <w:rPr>
          <w:rFonts w:ascii="Arial" w:eastAsia="Arial" w:hAnsi="Arial" w:cs="Arial"/>
          <w:sz w:val="22"/>
          <w:szCs w:val="22"/>
        </w:rPr>
        <w:t xml:space="preserve"> these limitations by expanding to multi‑site and cross‑regional samples, allowing for comparative analyses across diverse educational contexts. Longitudinal designs are recommended to validate whether strengthening inputs (e.g., track‑inclusive curricula) and processes (e.g., peer networks, autonomy‑supportive pedagogy) lead to sustained outputs in civic and political engagement. Researchers should also test IPO‑based interventions, comparing autonomy‑supportive versus incentive‑driven designs, and examine how socioeconomic supports influence participation quality. Finally, future studies should integrate measures of community‑based and digital civic action, capturing the full spectrum of youth engagement beyond the school environment.</w:t>
      </w:r>
    </w:p>
    <w:p w14:paraId="2DD2EC04" w14:textId="77777777" w:rsidR="001A7132" w:rsidRDefault="001A7132">
      <w:pPr>
        <w:pStyle w:val="Body"/>
        <w:spacing w:after="0"/>
        <w:rPr>
          <w:rFonts w:ascii="Arial" w:eastAsia="Arial" w:hAnsi="Arial" w:cs="Arial"/>
          <w:sz w:val="22"/>
          <w:szCs w:val="22"/>
        </w:rPr>
      </w:pPr>
    </w:p>
    <w:p w14:paraId="4C6F29E5" w14:textId="77777777" w:rsidR="001A7132" w:rsidRDefault="00E6565E">
      <w:pPr>
        <w:pStyle w:val="Body"/>
        <w:spacing w:after="0"/>
        <w:rPr>
          <w:rFonts w:ascii="Arial" w:eastAsia="Arial" w:hAnsi="Arial" w:cs="Arial"/>
          <w:sz w:val="22"/>
          <w:szCs w:val="22"/>
        </w:rPr>
      </w:pPr>
      <w:r>
        <w:rPr>
          <w:rFonts w:ascii="Arial" w:eastAsia="Arial" w:hAnsi="Arial" w:cs="Arial"/>
          <w:sz w:val="22"/>
          <w:szCs w:val="22"/>
        </w:rPr>
        <w:t>In extending Freire’s critical consciousness and Bandura’s social learning perspectives to hybrid classroom and digital contexts, the study underscores how awareness is relational and mediated by peer networks, incentives, and curricular structures.</w:t>
      </w:r>
    </w:p>
    <w:p w14:paraId="3580DA85" w14:textId="77777777" w:rsidR="001A7132" w:rsidRDefault="001A7132">
      <w:pPr>
        <w:pStyle w:val="Body"/>
        <w:spacing w:after="0"/>
        <w:rPr>
          <w:rFonts w:ascii="Arial" w:eastAsia="Arial" w:hAnsi="Arial" w:cs="Arial"/>
          <w:sz w:val="22"/>
          <w:szCs w:val="22"/>
        </w:rPr>
      </w:pPr>
    </w:p>
    <w:p w14:paraId="088B8C3A" w14:textId="77777777" w:rsidR="001A7132" w:rsidRDefault="00E6565E">
      <w:pPr>
        <w:pStyle w:val="Body"/>
        <w:spacing w:after="0"/>
        <w:rPr>
          <w:rFonts w:ascii="Arial" w:eastAsia="Arial" w:hAnsi="Arial" w:cs="Arial"/>
          <w:sz w:val="22"/>
          <w:szCs w:val="22"/>
        </w:rPr>
      </w:pPr>
      <w:r>
        <w:rPr>
          <w:rFonts w:ascii="Arial" w:eastAsia="Arial" w:hAnsi="Arial" w:cs="Arial"/>
          <w:sz w:val="22"/>
          <w:szCs w:val="22"/>
        </w:rPr>
        <w:t>While limited awareness takes its toll through reduced participation and misinformation, stronger civic education can foster deeper engagement and democratic resilience.</w:t>
      </w:r>
    </w:p>
    <w:p w14:paraId="76604389" w14:textId="77777777" w:rsidR="001A7132" w:rsidRDefault="001A7132">
      <w:pPr>
        <w:pStyle w:val="Body"/>
        <w:spacing w:after="0"/>
        <w:rPr>
          <w:rFonts w:ascii="Arial" w:eastAsia="Arial" w:hAnsi="Arial" w:cs="Arial"/>
          <w:sz w:val="22"/>
          <w:szCs w:val="22"/>
        </w:rPr>
      </w:pPr>
    </w:p>
    <w:p w14:paraId="48BF0AD1" w14:textId="77777777" w:rsidR="001A7132" w:rsidRDefault="001A7132"/>
    <w:p w14:paraId="207E64E3" w14:textId="77777777" w:rsidR="001A7132" w:rsidRDefault="001A7132"/>
    <w:p w14:paraId="08849F6C" w14:textId="77777777" w:rsidR="001A7132" w:rsidRDefault="00E6565E">
      <w:pPr>
        <w:rPr>
          <w:rFonts w:ascii="Arial" w:eastAsia="Arial" w:hAnsi="Arial" w:cs="Arial"/>
          <w:b/>
          <w:bCs/>
        </w:rPr>
      </w:pPr>
      <w:r>
        <w:rPr>
          <w:rFonts w:ascii="Arial" w:eastAsia="Arial" w:hAnsi="Arial" w:cs="Arial"/>
          <w:b/>
          <w:bCs/>
          <w:sz w:val="22"/>
          <w:szCs w:val="22"/>
        </w:rPr>
        <w:t>ETHICAL APPROVAL</w:t>
      </w:r>
      <w:r>
        <w:tab/>
      </w:r>
    </w:p>
    <w:p w14:paraId="7A2AF6CF" w14:textId="77777777" w:rsidR="001A7132" w:rsidRDefault="001A7132"/>
    <w:p w14:paraId="2B65A824" w14:textId="77777777" w:rsidR="001A7132" w:rsidRDefault="00E6565E">
      <w:pPr>
        <w:rPr>
          <w:rFonts w:ascii="Arial" w:eastAsia="Arial" w:hAnsi="Arial" w:cs="Arial"/>
          <w:sz w:val="22"/>
          <w:szCs w:val="22"/>
        </w:rPr>
      </w:pPr>
      <w:r>
        <w:rPr>
          <w:rFonts w:ascii="Arial" w:eastAsia="Arial" w:hAnsi="Arial" w:cs="Arial"/>
          <w:sz w:val="22"/>
          <w:szCs w:val="22"/>
        </w:rPr>
        <w:t>All authors hereby declare that the study was conducted in accordance with ethical standards. Ethical safeguards included informed consent, voluntariness, anonymization, and compliance with Republic Act No. 10173 (Data Privacy Act of 2012). The study was reviewed and approved by the appropriate institutional committee.</w:t>
      </w:r>
    </w:p>
    <w:p w14:paraId="33CBD1BD" w14:textId="77777777" w:rsidR="001A7132" w:rsidRDefault="001A7132">
      <w:pPr>
        <w:rPr>
          <w:rFonts w:ascii="Arial" w:eastAsia="Arial" w:hAnsi="Arial" w:cs="Arial"/>
          <w:sz w:val="22"/>
          <w:szCs w:val="22"/>
        </w:rPr>
      </w:pPr>
    </w:p>
    <w:p w14:paraId="066470FE" w14:textId="77777777" w:rsidR="001A7132" w:rsidRDefault="001A7132">
      <w:pPr>
        <w:rPr>
          <w:rFonts w:ascii="Arial" w:eastAsia="Arial" w:hAnsi="Arial" w:cs="Arial"/>
          <w:sz w:val="22"/>
          <w:szCs w:val="22"/>
        </w:rPr>
      </w:pPr>
    </w:p>
    <w:p w14:paraId="555E62E2" w14:textId="77777777" w:rsidR="001A7132" w:rsidRDefault="00E6565E">
      <w:pPr>
        <w:rPr>
          <w:rFonts w:ascii="Arial" w:eastAsia="Arial" w:hAnsi="Arial" w:cs="Arial"/>
          <w:sz w:val="22"/>
          <w:szCs w:val="22"/>
        </w:rPr>
      </w:pPr>
      <w:r>
        <w:rPr>
          <w:rFonts w:ascii="Arial" w:eastAsia="Arial" w:hAnsi="Arial" w:cs="Arial"/>
          <w:sz w:val="22"/>
          <w:szCs w:val="22"/>
        </w:rPr>
        <w:t>COMPETING INTERESTS DISCLAIMER:</w:t>
      </w:r>
    </w:p>
    <w:p w14:paraId="352F940A" w14:textId="77777777" w:rsidR="001A7132" w:rsidRDefault="00E6565E">
      <w:pPr>
        <w:rPr>
          <w:rFonts w:ascii="Arial" w:eastAsia="Arial" w:hAnsi="Arial" w:cs="Arial"/>
          <w:sz w:val="22"/>
          <w:szCs w:val="22"/>
        </w:rPr>
      </w:pPr>
      <w:r>
        <w:rPr>
          <w:rFonts w:ascii="Arial" w:eastAsia="Arial" w:hAnsi="Arial" w:cs="Arial"/>
          <w:sz w:val="22"/>
          <w:szCs w:val="22"/>
        </w:rPr>
        <w:t>Author has declared that she has no known competing financial interests OR non-financial interests OR personal relationships that could have appeared to influence the work reported in this paper.</w:t>
      </w:r>
    </w:p>
    <w:p w14:paraId="054C212A" w14:textId="77777777" w:rsidR="001A7132" w:rsidRDefault="001A7132">
      <w:pPr>
        <w:pStyle w:val="ReferHead"/>
        <w:spacing w:after="0"/>
        <w:jc w:val="both"/>
      </w:pPr>
    </w:p>
    <w:p w14:paraId="5C22EC57" w14:textId="77777777" w:rsidR="00BE64E0" w:rsidRDefault="00BE64E0" w:rsidP="00BE64E0">
      <w:pPr>
        <w:pStyle w:val="Body"/>
        <w:spacing w:after="0"/>
        <w:rPr>
          <w:rFonts w:ascii="Arial" w:eastAsia="Arial" w:hAnsi="Arial" w:cs="Arial"/>
          <w:sz w:val="22"/>
          <w:szCs w:val="22"/>
          <w:lang w:val="en-GB"/>
        </w:rPr>
      </w:pPr>
    </w:p>
    <w:p w14:paraId="42D1AE0E" w14:textId="77777777" w:rsidR="00BE64E0" w:rsidRDefault="00BE64E0" w:rsidP="00BE64E0">
      <w:pPr>
        <w:pStyle w:val="NoSpacing"/>
        <w:rPr>
          <w:rFonts w:ascii="Arial" w:hAnsi="Arial" w:cs="Arial"/>
        </w:rPr>
      </w:pPr>
      <w:bookmarkStart w:id="0" w:name="_Hlk198031404"/>
      <w:r>
        <w:rPr>
          <w:rFonts w:ascii="Arial" w:hAnsi="Arial" w:cs="Arial"/>
        </w:rPr>
        <w:t>Disclaimer (Artificial intelligence)</w:t>
      </w:r>
    </w:p>
    <w:p w14:paraId="010F30DF" w14:textId="77777777" w:rsidR="00BE64E0" w:rsidRDefault="00BE64E0" w:rsidP="00BE64E0">
      <w:pPr>
        <w:pStyle w:val="NoSpacing"/>
        <w:rPr>
          <w:rFonts w:ascii="Arial" w:hAnsi="Arial" w:cs="Arial"/>
          <w:highlight w:val="yellow"/>
        </w:rPr>
      </w:pPr>
    </w:p>
    <w:p w14:paraId="3ED29010" w14:textId="77777777" w:rsidR="00BE64E0" w:rsidRDefault="00BE64E0" w:rsidP="00BE64E0">
      <w:pPr>
        <w:pStyle w:val="NoSpacing"/>
        <w:rPr>
          <w:rFonts w:ascii="Arial" w:hAnsi="Arial" w:cs="Arial"/>
        </w:rPr>
      </w:pPr>
      <w:r>
        <w:rPr>
          <w:rFonts w:ascii="Arial" w:hAnsi="Arial" w:cs="Arial"/>
        </w:rPr>
        <w:lastRenderedPageBreak/>
        <w:t xml:space="preserve">Author hereby </w:t>
      </w:r>
      <w:proofErr w:type="gramStart"/>
      <w:r>
        <w:rPr>
          <w:rFonts w:ascii="Arial" w:hAnsi="Arial" w:cs="Arial"/>
        </w:rPr>
        <w:t>declare</w:t>
      </w:r>
      <w:proofErr w:type="gramEnd"/>
      <w:r>
        <w:rPr>
          <w:rFonts w:ascii="Arial" w:hAnsi="Arial" w:cs="Arial"/>
        </w:rPr>
        <w:t xml:space="preserve"> that NO generative AI technologies such as Large Language Models (ChatGPT, COPILOT, etc.) and text-to-image generators have been used during the writing or editing of this manuscript. </w:t>
      </w:r>
    </w:p>
    <w:bookmarkEnd w:id="0"/>
    <w:p w14:paraId="5C665049" w14:textId="77777777" w:rsidR="00BE64E0" w:rsidRDefault="00BE64E0">
      <w:pPr>
        <w:pStyle w:val="ReferHead"/>
        <w:spacing w:after="0"/>
        <w:jc w:val="both"/>
      </w:pPr>
    </w:p>
    <w:p w14:paraId="3A34074E" w14:textId="77777777" w:rsidR="00BE64E0" w:rsidRDefault="00BE64E0">
      <w:pPr>
        <w:pStyle w:val="ReferHead"/>
        <w:spacing w:after="0"/>
        <w:jc w:val="both"/>
      </w:pPr>
    </w:p>
    <w:p w14:paraId="0EDA24A1" w14:textId="77777777" w:rsidR="001A7132" w:rsidRDefault="00E6565E">
      <w:pPr>
        <w:pStyle w:val="ReferHead"/>
        <w:spacing w:after="0"/>
        <w:jc w:val="both"/>
        <w:rPr>
          <w:rFonts w:ascii="Arial" w:hAnsi="Arial" w:cs="Arial"/>
        </w:rPr>
      </w:pPr>
      <w:r>
        <w:rPr>
          <w:rFonts w:ascii="Arial" w:hAnsi="Arial" w:cs="Arial"/>
        </w:rPr>
        <w:t>References</w:t>
      </w:r>
    </w:p>
    <w:p w14:paraId="68A0DC27" w14:textId="77777777" w:rsidR="001A7132" w:rsidRDefault="001A7132">
      <w:pPr>
        <w:pStyle w:val="ReferHead"/>
        <w:spacing w:after="0"/>
        <w:jc w:val="both"/>
        <w:rPr>
          <w:rFonts w:ascii="Arial" w:hAnsi="Arial" w:cs="Arial"/>
        </w:rPr>
      </w:pPr>
    </w:p>
    <w:p w14:paraId="2EC5F2E4"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ABS CBN News. (2025, May 15). Record voter turnout in 2025 midterm elections. ABS CBN News. https://news.abs-cbn.com</w:t>
      </w:r>
    </w:p>
    <w:p w14:paraId="01DAF29F" w14:textId="77777777" w:rsidR="001A7132" w:rsidRDefault="001A7132">
      <w:pPr>
        <w:pStyle w:val="Body"/>
        <w:spacing w:after="0"/>
        <w:rPr>
          <w:rFonts w:ascii="Arial" w:eastAsia="Arial" w:hAnsi="Arial" w:cs="Arial"/>
          <w:sz w:val="22"/>
          <w:szCs w:val="22"/>
          <w:lang w:val="en-GB"/>
        </w:rPr>
      </w:pPr>
    </w:p>
    <w:p w14:paraId="5E2547BA"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 xml:space="preserve">Achour, M., &amp; Alghamdi, F. (2022). Civic and political awareness among youth: Roles, rights, and responsibilities in contemporary society. Journal of Youth and Society, 54(3), 377–392. </w:t>
      </w:r>
      <w:hyperlink r:id="rId15" w:history="1">
        <w:r>
          <w:rPr>
            <w:rStyle w:val="Hyperlink"/>
            <w:rFonts w:ascii="Arial" w:eastAsia="Arial" w:hAnsi="Arial" w:cs="Arial"/>
            <w:color w:val="000000" w:themeColor="text1"/>
            <w:sz w:val="22"/>
            <w:szCs w:val="22"/>
            <w:u w:val="none"/>
            <w:lang w:val="en-GB"/>
          </w:rPr>
          <w:t>https://doi.org/10.1177/0044118X221098765</w:t>
        </w:r>
      </w:hyperlink>
    </w:p>
    <w:p w14:paraId="6324B25A" w14:textId="77777777" w:rsidR="001A7132" w:rsidRDefault="001A7132">
      <w:pPr>
        <w:pStyle w:val="Body"/>
        <w:spacing w:after="0"/>
        <w:rPr>
          <w:rFonts w:ascii="Arial" w:eastAsia="Arial" w:hAnsi="Arial" w:cs="Arial"/>
          <w:sz w:val="22"/>
          <w:szCs w:val="22"/>
          <w:lang w:val="en-GB"/>
        </w:rPr>
      </w:pPr>
    </w:p>
    <w:p w14:paraId="1495876D"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 xml:space="preserve">Arias, R. B., &amp; Montalbo, M. A. (2024). Influence of social media in shaping adolescents’ political awareness, participation, and activism. Asia Pacific Journal of Management and Sustainable Development, 12(2), 182–191. </w:t>
      </w:r>
      <w:hyperlink r:id="rId16" w:history="1">
        <w:r>
          <w:rPr>
            <w:rStyle w:val="Hyperlink"/>
            <w:rFonts w:ascii="Arial" w:eastAsia="Arial" w:hAnsi="Arial" w:cs="Arial"/>
            <w:color w:val="auto"/>
            <w:sz w:val="22"/>
            <w:szCs w:val="22"/>
            <w:u w:val="none"/>
            <w:lang w:val="en-GB"/>
          </w:rPr>
          <w:t>https://asiapjournals.org/influence-of-social-media-in-shaping-the-adolescents-political-awareness-participation-and-activism/</w:t>
        </w:r>
      </w:hyperlink>
    </w:p>
    <w:p w14:paraId="4815C3BD" w14:textId="77777777" w:rsidR="001A7132" w:rsidRDefault="001A7132">
      <w:pPr>
        <w:pStyle w:val="Body"/>
        <w:spacing w:after="0"/>
        <w:rPr>
          <w:rFonts w:ascii="Arial" w:eastAsia="Arial" w:hAnsi="Arial" w:cs="Arial"/>
          <w:sz w:val="22"/>
          <w:szCs w:val="22"/>
          <w:lang w:val="en-GB"/>
        </w:rPr>
      </w:pPr>
    </w:p>
    <w:p w14:paraId="651AD4BC"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Bandura, A. (1977). Social learning theory. Prentice Hall.</w:t>
      </w:r>
    </w:p>
    <w:p w14:paraId="764514FB" w14:textId="77777777" w:rsidR="001A7132" w:rsidRDefault="001A7132">
      <w:pPr>
        <w:pStyle w:val="Body"/>
        <w:spacing w:after="0"/>
        <w:rPr>
          <w:rFonts w:ascii="Arial" w:eastAsia="Arial" w:hAnsi="Arial" w:cs="Arial"/>
          <w:sz w:val="22"/>
          <w:szCs w:val="22"/>
          <w:lang w:val="en-GB"/>
        </w:rPr>
      </w:pPr>
    </w:p>
    <w:p w14:paraId="0F5FF1F0"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Bandura, A. (1986). Social foundations of thought and action: A social cognitive theory. Prentice Hall.</w:t>
      </w:r>
    </w:p>
    <w:p w14:paraId="2C0D816C" w14:textId="77777777" w:rsidR="001A7132" w:rsidRDefault="001A7132">
      <w:pPr>
        <w:pStyle w:val="Body"/>
        <w:spacing w:after="0"/>
        <w:rPr>
          <w:rFonts w:ascii="Arial" w:eastAsia="Arial" w:hAnsi="Arial" w:cs="Arial"/>
          <w:sz w:val="22"/>
          <w:szCs w:val="22"/>
          <w:lang w:val="en-GB"/>
        </w:rPr>
      </w:pPr>
    </w:p>
    <w:p w14:paraId="0CD97E1E" w14:textId="77777777" w:rsidR="001A7132" w:rsidRDefault="00E6565E" w:rsidP="001565C7">
      <w:pPr>
        <w:pStyle w:val="Body"/>
        <w:numPr>
          <w:ilvl w:val="0"/>
          <w:numId w:val="2"/>
        </w:numPr>
        <w:spacing w:after="0"/>
        <w:rPr>
          <w:rFonts w:ascii="Arial" w:eastAsia="Arial" w:hAnsi="Arial" w:cs="Arial"/>
          <w:sz w:val="22"/>
          <w:szCs w:val="22"/>
          <w:lang w:val="en-PH"/>
        </w:rPr>
      </w:pPr>
      <w:r>
        <w:rPr>
          <w:rFonts w:ascii="Arial" w:eastAsia="Arial" w:hAnsi="Arial" w:cs="Arial"/>
          <w:sz w:val="22"/>
          <w:szCs w:val="22"/>
          <w:lang w:val="en-GB"/>
        </w:rPr>
        <w:t xml:space="preserve">Banyan, J. (2023). Civic engagement and democratic participation: A conceptual review. Journal of Civic Studies, 11(2), 145–160. </w:t>
      </w:r>
      <w:hyperlink r:id="rId17" w:history="1">
        <w:r>
          <w:rPr>
            <w:rStyle w:val="Hyperlink"/>
            <w:rFonts w:ascii="Arial" w:eastAsia="Arial" w:hAnsi="Arial" w:cs="Arial"/>
            <w:color w:val="000000" w:themeColor="text1"/>
            <w:sz w:val="22"/>
            <w:szCs w:val="22"/>
            <w:u w:val="none"/>
            <w:lang w:val="en-GB"/>
          </w:rPr>
          <w:t>https://doi.org/10.1080/17461909231123456</w:t>
        </w:r>
      </w:hyperlink>
      <w:r>
        <w:rPr>
          <w:rFonts w:ascii="Arial" w:eastAsia="Arial" w:hAnsi="Arial" w:cs="Arial"/>
          <w:color w:val="000000" w:themeColor="text1"/>
          <w:sz w:val="22"/>
          <w:szCs w:val="22"/>
          <w:lang w:val="en-PH"/>
        </w:rPr>
        <w:tab/>
      </w:r>
    </w:p>
    <w:p w14:paraId="27AD240A" w14:textId="77777777" w:rsidR="001A7132" w:rsidRDefault="001A7132">
      <w:pPr>
        <w:pStyle w:val="Body"/>
        <w:spacing w:after="0"/>
        <w:rPr>
          <w:rFonts w:ascii="Arial" w:eastAsia="Arial" w:hAnsi="Arial" w:cs="Arial"/>
          <w:sz w:val="22"/>
          <w:szCs w:val="22"/>
          <w:lang w:val="en-GB"/>
        </w:rPr>
      </w:pPr>
    </w:p>
    <w:p w14:paraId="66C095FC"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Barber, B., Gonzales, M., &amp; Reyes, L. (2021). Incentives and civic participation in Philippine schools. Philippine Journal of Civic Education, 7(1), 55–70.</w:t>
      </w:r>
    </w:p>
    <w:p w14:paraId="3AE73969" w14:textId="77777777" w:rsidR="001A7132" w:rsidRDefault="001A7132">
      <w:pPr>
        <w:pStyle w:val="Body"/>
        <w:spacing w:after="0"/>
        <w:rPr>
          <w:rFonts w:ascii="Arial" w:eastAsia="Arial" w:hAnsi="Arial" w:cs="Arial"/>
          <w:sz w:val="22"/>
          <w:szCs w:val="22"/>
          <w:lang w:val="en-GB"/>
        </w:rPr>
      </w:pPr>
    </w:p>
    <w:p w14:paraId="036AF4F5"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Barrett, M. (2018). Youth civic engagement: Relational and contextual mediators. Journal of Social Science Education, 17(3), 5–15. https://doi.org/10.4119/jsse-865</w:t>
      </w:r>
    </w:p>
    <w:p w14:paraId="4FB60FB6" w14:textId="77777777" w:rsidR="001A7132" w:rsidRDefault="001A7132">
      <w:pPr>
        <w:pStyle w:val="Body"/>
        <w:spacing w:after="0"/>
        <w:rPr>
          <w:rFonts w:ascii="Arial" w:eastAsia="Arial" w:hAnsi="Arial" w:cs="Arial"/>
          <w:sz w:val="22"/>
          <w:szCs w:val="22"/>
          <w:lang w:val="en-GB"/>
        </w:rPr>
      </w:pPr>
    </w:p>
    <w:p w14:paraId="564AAF10"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 xml:space="preserve">Barrett, M., &amp; Pachi, D. (2019). Youth civic and political engagement: Practices, challenges, and opportunities. Journal of Youth Studies, 22(3), 345–362. https://doi.org/10.1080/13676261.2019.1571174 </w:t>
      </w:r>
    </w:p>
    <w:p w14:paraId="3CBA4EC3" w14:textId="77777777" w:rsidR="001A7132" w:rsidRDefault="001A7132">
      <w:pPr>
        <w:pStyle w:val="Body"/>
        <w:spacing w:after="0"/>
        <w:rPr>
          <w:rFonts w:ascii="Arial" w:eastAsia="Arial" w:hAnsi="Arial" w:cs="Arial"/>
          <w:sz w:val="22"/>
          <w:szCs w:val="22"/>
          <w:lang w:val="en-GB"/>
        </w:rPr>
      </w:pPr>
    </w:p>
    <w:p w14:paraId="679B5E19"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 xml:space="preserve">Barton, K., &amp; Ho, L. (2020). Civic literacy and responsible citizenship. Citizenship Teaching and Learning, 16(2), 123–138. https://doi.org/10.1386/ctl_00025_1 </w:t>
      </w:r>
    </w:p>
    <w:p w14:paraId="588DBDF2" w14:textId="77777777" w:rsidR="001A7132" w:rsidRDefault="001A7132">
      <w:pPr>
        <w:pStyle w:val="Body"/>
        <w:spacing w:after="0"/>
        <w:rPr>
          <w:rFonts w:ascii="Arial" w:eastAsia="Arial" w:hAnsi="Arial" w:cs="Arial"/>
          <w:sz w:val="22"/>
          <w:szCs w:val="22"/>
          <w:lang w:val="en-GB"/>
        </w:rPr>
      </w:pPr>
    </w:p>
    <w:p w14:paraId="2F0317A0"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lastRenderedPageBreak/>
        <w:t>Calvez, J., &amp; Bual, A. (2024). Grade progression and civic engagement in Philippine classrooms. Philippine Journal of Educational Research, 10(1), 88–102.</w:t>
      </w:r>
    </w:p>
    <w:p w14:paraId="621F42F3"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Carnegie Corporation of New York. (2024). Funding disparities in civics and STEM education. Carnegie Corporation Reports. https://www.carnegie.org</w:t>
      </w:r>
    </w:p>
    <w:p w14:paraId="09F1B050" w14:textId="77777777" w:rsidR="001A7132" w:rsidRDefault="001A7132">
      <w:pPr>
        <w:pStyle w:val="Body"/>
        <w:spacing w:after="0"/>
        <w:rPr>
          <w:rFonts w:ascii="Arial" w:eastAsia="Arial" w:hAnsi="Arial" w:cs="Arial"/>
          <w:sz w:val="22"/>
          <w:szCs w:val="22"/>
          <w:lang w:val="en-GB"/>
        </w:rPr>
      </w:pPr>
    </w:p>
    <w:p w14:paraId="2DAFC763" w14:textId="77777777" w:rsidR="001A7132" w:rsidRDefault="00E6565E" w:rsidP="001565C7">
      <w:pPr>
        <w:pStyle w:val="Body"/>
        <w:numPr>
          <w:ilvl w:val="0"/>
          <w:numId w:val="2"/>
        </w:numPr>
        <w:spacing w:after="0"/>
        <w:rPr>
          <w:rFonts w:ascii="Arial" w:eastAsia="Arial" w:hAnsi="Arial" w:cs="Arial"/>
          <w:sz w:val="22"/>
          <w:szCs w:val="22"/>
          <w:lang w:val="en-GB"/>
        </w:rPr>
      </w:pPr>
      <w:proofErr w:type="spellStart"/>
      <w:r>
        <w:rPr>
          <w:rFonts w:ascii="Arial" w:eastAsia="Arial" w:hAnsi="Arial" w:cs="Arial"/>
          <w:sz w:val="22"/>
          <w:szCs w:val="22"/>
          <w:lang w:val="en-GB"/>
        </w:rPr>
        <w:t>Ceremonia</w:t>
      </w:r>
      <w:proofErr w:type="spellEnd"/>
      <w:r>
        <w:rPr>
          <w:rFonts w:ascii="Arial" w:eastAsia="Arial" w:hAnsi="Arial" w:cs="Arial"/>
          <w:sz w:val="22"/>
          <w:szCs w:val="22"/>
          <w:lang w:val="en-GB"/>
        </w:rPr>
        <w:t xml:space="preserve"> Cerda, M. (2024). Civic competencies in the UCSP curriculum. Philippine Social Science Review, 76(2), 211–229.</w:t>
      </w:r>
    </w:p>
    <w:p w14:paraId="23A007A7" w14:textId="77777777" w:rsidR="001A7132" w:rsidRDefault="001A7132">
      <w:pPr>
        <w:pStyle w:val="Body"/>
        <w:spacing w:after="0"/>
        <w:rPr>
          <w:rFonts w:ascii="Arial" w:eastAsia="Arial" w:hAnsi="Arial" w:cs="Arial"/>
          <w:sz w:val="22"/>
          <w:szCs w:val="22"/>
          <w:lang w:val="en-GB"/>
        </w:rPr>
      </w:pPr>
    </w:p>
    <w:p w14:paraId="26DEF614"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Creswell, J. W., &amp; Plano Clark, V. L. (2018). Designing and conducting mixed methods research (3rd ed.). SAGE Publications.</w:t>
      </w:r>
    </w:p>
    <w:p w14:paraId="75F9CB90"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 xml:space="preserve">Department of Education. (2013). Republic Act No. 10533: Enhanced Basic Education Act. </w:t>
      </w:r>
      <w:proofErr w:type="spellStart"/>
      <w:r>
        <w:rPr>
          <w:rFonts w:ascii="Arial" w:eastAsia="Arial" w:hAnsi="Arial" w:cs="Arial"/>
          <w:sz w:val="22"/>
          <w:szCs w:val="22"/>
          <w:lang w:val="en-GB"/>
        </w:rPr>
        <w:t>Lawphil</w:t>
      </w:r>
      <w:proofErr w:type="spellEnd"/>
      <w:r>
        <w:rPr>
          <w:rFonts w:ascii="Arial" w:eastAsia="Arial" w:hAnsi="Arial" w:cs="Arial"/>
          <w:sz w:val="22"/>
          <w:szCs w:val="22"/>
          <w:lang w:val="en-GB"/>
        </w:rPr>
        <w:t>. https://lawphil.net/statutes/repacts/ra2013/ra_10533_2013.html</w:t>
      </w:r>
    </w:p>
    <w:p w14:paraId="749E9F87" w14:textId="77777777" w:rsidR="001A7132" w:rsidRDefault="001A7132">
      <w:pPr>
        <w:pStyle w:val="Body"/>
        <w:spacing w:after="0"/>
        <w:rPr>
          <w:rFonts w:ascii="Arial" w:eastAsia="Arial" w:hAnsi="Arial" w:cs="Arial"/>
          <w:sz w:val="22"/>
          <w:szCs w:val="22"/>
          <w:lang w:val="en-GB"/>
        </w:rPr>
      </w:pPr>
    </w:p>
    <w:p w14:paraId="26810F6D"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Department of Education. (2019). Media and Information Literacy curriculum guide. DepEd Curriculum Guides. https://www.deped.gov.ph</w:t>
      </w:r>
    </w:p>
    <w:p w14:paraId="3860D3C1" w14:textId="77777777" w:rsidR="001A7132" w:rsidRDefault="001A7132">
      <w:pPr>
        <w:pStyle w:val="Body"/>
        <w:spacing w:after="0"/>
        <w:rPr>
          <w:rFonts w:ascii="Arial" w:eastAsia="Arial" w:hAnsi="Arial" w:cs="Arial"/>
          <w:sz w:val="22"/>
          <w:szCs w:val="22"/>
          <w:lang w:val="en-GB"/>
        </w:rPr>
      </w:pPr>
    </w:p>
    <w:p w14:paraId="241582EB"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Department of Education. (2020). Senior High School tracks: Academic and Technical‑Vocational‑Livelihood pathways. DepEd Policy Notes. https://www.deped.gov.ph</w:t>
      </w:r>
    </w:p>
    <w:p w14:paraId="4E2F880C" w14:textId="77777777" w:rsidR="001A7132" w:rsidRDefault="001A7132">
      <w:pPr>
        <w:pStyle w:val="Body"/>
        <w:spacing w:after="0"/>
        <w:rPr>
          <w:rFonts w:ascii="Arial" w:eastAsia="Arial" w:hAnsi="Arial" w:cs="Arial"/>
          <w:sz w:val="22"/>
          <w:szCs w:val="22"/>
          <w:lang w:val="en-GB"/>
        </w:rPr>
      </w:pPr>
    </w:p>
    <w:p w14:paraId="10798CB3"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Department of Education. (2021). Senior High School program overview. DepEd Policy Notes.</w:t>
      </w:r>
      <w:r>
        <w:rPr>
          <w:rFonts w:ascii="Arial" w:eastAsia="Arial" w:hAnsi="Arial" w:cs="Arial"/>
          <w:color w:val="000000" w:themeColor="text1"/>
          <w:sz w:val="22"/>
          <w:szCs w:val="22"/>
          <w:lang w:val="en-GB"/>
        </w:rPr>
        <w:t xml:space="preserve"> </w:t>
      </w:r>
      <w:hyperlink r:id="rId18" w:history="1">
        <w:r>
          <w:rPr>
            <w:rStyle w:val="Hyperlink"/>
            <w:rFonts w:ascii="Arial" w:eastAsia="Arial" w:hAnsi="Arial" w:cs="Arial"/>
            <w:color w:val="000000" w:themeColor="text1"/>
            <w:sz w:val="22"/>
            <w:szCs w:val="22"/>
            <w:u w:val="none"/>
            <w:lang w:val="en-GB"/>
          </w:rPr>
          <w:t>https://www.deped.gov.ph</w:t>
        </w:r>
      </w:hyperlink>
    </w:p>
    <w:p w14:paraId="73E64A45" w14:textId="77777777" w:rsidR="001A7132" w:rsidRDefault="001A7132">
      <w:pPr>
        <w:pStyle w:val="Body"/>
        <w:spacing w:after="0"/>
        <w:rPr>
          <w:rFonts w:ascii="Arial" w:eastAsia="Arial" w:hAnsi="Arial" w:cs="Arial"/>
          <w:sz w:val="22"/>
          <w:szCs w:val="22"/>
          <w:lang w:val="en-GB"/>
        </w:rPr>
      </w:pPr>
    </w:p>
    <w:p w14:paraId="1B515747"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Encina, C., &amp; Berger, R. (2021). Institutionalized civic routines and sustained participation. Journal of Civic Studies, 5(1), 33–49.</w:t>
      </w:r>
    </w:p>
    <w:p w14:paraId="0D52CDDE"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García Albacete, G., &amp; Hoskins, B. (2025). Generational divides in European civic engagement. European Journal of Political Research, 64(1), 77–95. https://doi.org/10.1111/ejpr.12567</w:t>
      </w:r>
    </w:p>
    <w:p w14:paraId="21BC71B6" w14:textId="77777777" w:rsidR="001A7132" w:rsidRDefault="001A7132">
      <w:pPr>
        <w:pStyle w:val="Body"/>
        <w:spacing w:after="0"/>
        <w:rPr>
          <w:rFonts w:ascii="Arial" w:eastAsia="Arial" w:hAnsi="Arial" w:cs="Arial"/>
          <w:sz w:val="22"/>
          <w:szCs w:val="22"/>
          <w:lang w:val="en-GB"/>
        </w:rPr>
      </w:pPr>
    </w:p>
    <w:p w14:paraId="706ED794" w14:textId="77777777" w:rsidR="001A7132" w:rsidRDefault="00E6565E" w:rsidP="001565C7">
      <w:pPr>
        <w:pStyle w:val="Body"/>
        <w:numPr>
          <w:ilvl w:val="0"/>
          <w:numId w:val="2"/>
        </w:numPr>
        <w:spacing w:after="0"/>
        <w:rPr>
          <w:rFonts w:ascii="Arial" w:eastAsia="Arial" w:hAnsi="Arial" w:cs="Arial"/>
          <w:sz w:val="22"/>
          <w:szCs w:val="22"/>
          <w:lang w:val="en-PH"/>
        </w:rPr>
      </w:pPr>
      <w:r>
        <w:rPr>
          <w:rFonts w:ascii="Arial" w:eastAsia="Arial" w:hAnsi="Arial" w:cs="Arial"/>
          <w:sz w:val="22"/>
          <w:szCs w:val="22"/>
          <w:lang w:val="en-GB"/>
        </w:rPr>
        <w:t>Freire, P. (2000). Pedagogy of the oppressed (30th anniversary ed.). Continuum. (Original work published 1970)</w:t>
      </w:r>
      <w:r>
        <w:rPr>
          <w:rFonts w:ascii="Arial" w:eastAsia="Arial" w:hAnsi="Arial" w:cs="Arial"/>
          <w:sz w:val="22"/>
          <w:szCs w:val="22"/>
          <w:lang w:val="en-PH"/>
        </w:rPr>
        <w:t xml:space="preserve"> </w:t>
      </w:r>
    </w:p>
    <w:p w14:paraId="5F8FE10A" w14:textId="77777777" w:rsidR="001A7132" w:rsidRDefault="001A7132">
      <w:pPr>
        <w:pStyle w:val="Body"/>
        <w:spacing w:after="0"/>
        <w:rPr>
          <w:rFonts w:ascii="Arial" w:eastAsia="Arial" w:hAnsi="Arial" w:cs="Arial"/>
          <w:sz w:val="22"/>
          <w:szCs w:val="22"/>
          <w:lang w:val="en-PH"/>
        </w:rPr>
      </w:pPr>
    </w:p>
    <w:p w14:paraId="2A9F81FD"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GMA News Online. (2025, May 15). Youth voter turnout in 2025 midterm elections. GMA News Online. https://www.gmanews.tv</w:t>
      </w:r>
    </w:p>
    <w:p w14:paraId="5B050E5C" w14:textId="77777777" w:rsidR="001A7132" w:rsidRDefault="001A7132">
      <w:pPr>
        <w:pStyle w:val="Body"/>
        <w:spacing w:after="0"/>
        <w:rPr>
          <w:rFonts w:ascii="Arial" w:eastAsia="Arial" w:hAnsi="Arial" w:cs="Arial"/>
          <w:sz w:val="22"/>
          <w:szCs w:val="22"/>
          <w:lang w:val="en-GB"/>
        </w:rPr>
      </w:pPr>
    </w:p>
    <w:p w14:paraId="42834FBF"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 xml:space="preserve">Hermosa, R. (2021). Awareness–action link in Philippine civic education. Philippine Political Science Journal, 42(2), 145–160. https://doi.org/10.1080/01154451.2021.1934567 </w:t>
      </w:r>
    </w:p>
    <w:p w14:paraId="747A20B0" w14:textId="77777777" w:rsidR="001A7132" w:rsidRDefault="001A7132">
      <w:pPr>
        <w:pStyle w:val="Body"/>
        <w:spacing w:after="0"/>
        <w:rPr>
          <w:rFonts w:ascii="Arial" w:eastAsia="Arial" w:hAnsi="Arial" w:cs="Arial"/>
          <w:sz w:val="22"/>
          <w:szCs w:val="22"/>
          <w:lang w:val="en-GB"/>
        </w:rPr>
      </w:pPr>
    </w:p>
    <w:p w14:paraId="0FE0AB5B"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Hoover Institution. (2025). Declining civics scores and educational priorities. Hoover Institution Policy Briefs. https://www.hoover.org</w:t>
      </w:r>
    </w:p>
    <w:p w14:paraId="09E0A9B6" w14:textId="77777777" w:rsidR="001A7132" w:rsidRDefault="001A7132">
      <w:pPr>
        <w:pStyle w:val="Body"/>
        <w:spacing w:after="0"/>
        <w:rPr>
          <w:rFonts w:ascii="Arial" w:eastAsia="Arial" w:hAnsi="Arial" w:cs="Arial"/>
          <w:sz w:val="22"/>
          <w:szCs w:val="22"/>
          <w:lang w:val="en-GB"/>
        </w:rPr>
      </w:pPr>
    </w:p>
    <w:p w14:paraId="6946E428"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Johnson, R. (2013). Survey instrument validation in education research. Educational Measurement Journal, 28(3), 201–215.</w:t>
      </w:r>
    </w:p>
    <w:p w14:paraId="360D0068" w14:textId="77777777" w:rsidR="001A7132" w:rsidRDefault="001A7132">
      <w:pPr>
        <w:pStyle w:val="Body"/>
        <w:spacing w:after="0"/>
        <w:rPr>
          <w:rFonts w:ascii="Arial" w:eastAsia="Arial" w:hAnsi="Arial" w:cs="Arial"/>
          <w:sz w:val="22"/>
          <w:szCs w:val="22"/>
          <w:lang w:val="en-GB"/>
        </w:rPr>
      </w:pPr>
    </w:p>
    <w:p w14:paraId="4823F408"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lastRenderedPageBreak/>
        <w:t>Kerr, D., Sturman, L., Schulz, W., &amp; Burge, B. (2010). ICCS 2009 European report: Civic knowledge, attitudes, and engagement among lower‑secondary students in 24 European countries. International Association for the Evaluation of Educational Achievement (IEA)</w:t>
      </w:r>
    </w:p>
    <w:p w14:paraId="7AF8F0B6" w14:textId="77777777" w:rsidR="001A7132" w:rsidRDefault="001A7132">
      <w:pPr>
        <w:pStyle w:val="Body"/>
        <w:spacing w:after="0"/>
        <w:rPr>
          <w:rFonts w:ascii="Arial" w:eastAsia="Arial" w:hAnsi="Arial" w:cs="Arial"/>
          <w:sz w:val="22"/>
          <w:szCs w:val="22"/>
          <w:lang w:val="en-GB"/>
        </w:rPr>
      </w:pPr>
    </w:p>
    <w:p w14:paraId="46F18AA5"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Kristensen, N., Denk, T., Olson, D., &amp; Solhaug, T. (2021). Civic engagement and political literacy. Nordic Journal of Comparative Education, 5(2), 45–62.</w:t>
      </w:r>
    </w:p>
    <w:p w14:paraId="02E419F3" w14:textId="77777777" w:rsidR="001A7132" w:rsidRDefault="001A7132">
      <w:pPr>
        <w:pStyle w:val="Body"/>
        <w:spacing w:after="0"/>
        <w:rPr>
          <w:rFonts w:ascii="Arial" w:eastAsia="Arial" w:hAnsi="Arial" w:cs="Arial"/>
          <w:sz w:val="22"/>
          <w:szCs w:val="22"/>
          <w:lang w:val="en-GB"/>
        </w:rPr>
      </w:pPr>
    </w:p>
    <w:p w14:paraId="407FD203"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 xml:space="preserve">Kristensen, N., Denk, T., Olson, D., &amp; Solhaug, T. (2022). Democratic school climates and civic outcomes. Education, Citizenship and Social Justice, 17(1), 45–62. https://doi.org/10.1177/17461909211012345 </w:t>
      </w:r>
    </w:p>
    <w:p w14:paraId="5A6A1F24" w14:textId="77777777" w:rsidR="001A7132" w:rsidRDefault="001A7132">
      <w:pPr>
        <w:pStyle w:val="Body"/>
        <w:spacing w:after="0"/>
        <w:rPr>
          <w:rFonts w:ascii="Arial" w:eastAsia="Arial" w:hAnsi="Arial" w:cs="Arial"/>
          <w:sz w:val="22"/>
          <w:szCs w:val="22"/>
          <w:lang w:val="en-GB"/>
        </w:rPr>
      </w:pPr>
    </w:p>
    <w:p w14:paraId="5E0C5D56"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Landig, J., &amp; Landig, M. (2024). Civic awareness and engagement among Filipino youth. Philippine Journal of Civic Studies, 9(1), 33–50.</w:t>
      </w:r>
    </w:p>
    <w:p w14:paraId="34174310" w14:textId="77777777" w:rsidR="001A7132" w:rsidRDefault="001A7132">
      <w:pPr>
        <w:pStyle w:val="Body"/>
        <w:spacing w:after="0"/>
        <w:rPr>
          <w:rFonts w:ascii="Arial" w:eastAsia="Arial" w:hAnsi="Arial" w:cs="Arial"/>
          <w:sz w:val="22"/>
          <w:szCs w:val="22"/>
          <w:lang w:val="en-GB"/>
        </w:rPr>
      </w:pPr>
    </w:p>
    <w:p w14:paraId="671C6258" w14:textId="77777777" w:rsidR="001A7132" w:rsidRDefault="00E6565E" w:rsidP="001565C7">
      <w:pPr>
        <w:pStyle w:val="Body"/>
        <w:numPr>
          <w:ilvl w:val="0"/>
          <w:numId w:val="2"/>
        </w:numPr>
        <w:spacing w:after="0"/>
        <w:rPr>
          <w:rFonts w:ascii="Arial" w:eastAsia="Arial" w:hAnsi="Arial" w:cs="Arial"/>
          <w:sz w:val="22"/>
          <w:szCs w:val="22"/>
          <w:lang w:val="en-GB"/>
        </w:rPr>
      </w:pPr>
      <w:proofErr w:type="spellStart"/>
      <w:r>
        <w:rPr>
          <w:rFonts w:ascii="Arial" w:eastAsia="Arial" w:hAnsi="Arial" w:cs="Arial"/>
          <w:sz w:val="22"/>
          <w:szCs w:val="22"/>
          <w:lang w:val="en-GB"/>
        </w:rPr>
        <w:t>Lawphil</w:t>
      </w:r>
      <w:proofErr w:type="spellEnd"/>
      <w:r>
        <w:rPr>
          <w:rFonts w:ascii="Arial" w:eastAsia="Arial" w:hAnsi="Arial" w:cs="Arial"/>
          <w:sz w:val="22"/>
          <w:szCs w:val="22"/>
          <w:lang w:val="en-GB"/>
        </w:rPr>
        <w:t xml:space="preserve">. (2013). Republic Act No. 10533. </w:t>
      </w:r>
      <w:proofErr w:type="spellStart"/>
      <w:r>
        <w:rPr>
          <w:rFonts w:ascii="Arial" w:eastAsia="Arial" w:hAnsi="Arial" w:cs="Arial"/>
          <w:sz w:val="22"/>
          <w:szCs w:val="22"/>
          <w:lang w:val="en-GB"/>
        </w:rPr>
        <w:t>Lawphil</w:t>
      </w:r>
      <w:proofErr w:type="spellEnd"/>
      <w:r>
        <w:rPr>
          <w:rFonts w:ascii="Arial" w:eastAsia="Arial" w:hAnsi="Arial" w:cs="Arial"/>
          <w:sz w:val="22"/>
          <w:szCs w:val="22"/>
          <w:lang w:val="en-GB"/>
        </w:rPr>
        <w:t xml:space="preserve">. https://lawphil.net/statutes/repacts/ra2013/ra_10533_2013.html </w:t>
      </w:r>
    </w:p>
    <w:p w14:paraId="7F6961D6" w14:textId="77777777" w:rsidR="001A7132" w:rsidRDefault="001A7132">
      <w:pPr>
        <w:pStyle w:val="Body"/>
        <w:spacing w:after="0"/>
        <w:rPr>
          <w:rFonts w:ascii="Arial" w:eastAsia="Arial" w:hAnsi="Arial" w:cs="Arial"/>
          <w:sz w:val="22"/>
          <w:szCs w:val="22"/>
          <w:lang w:val="en-GB"/>
        </w:rPr>
      </w:pPr>
    </w:p>
    <w:p w14:paraId="73CF65F3"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 xml:space="preserve">Longley, R. (2022). Civic engagement definitions and practices. ThoughtCo. https://www.thoughtco.com/civic-engagement-definition-5198321 </w:t>
      </w:r>
    </w:p>
    <w:p w14:paraId="0DB35959" w14:textId="77777777" w:rsidR="001A7132" w:rsidRDefault="001A7132">
      <w:pPr>
        <w:pStyle w:val="Body"/>
        <w:spacing w:after="0"/>
        <w:rPr>
          <w:rFonts w:ascii="Arial" w:eastAsia="Arial" w:hAnsi="Arial" w:cs="Arial"/>
          <w:sz w:val="22"/>
          <w:szCs w:val="22"/>
          <w:lang w:val="en-GB"/>
        </w:rPr>
      </w:pPr>
    </w:p>
    <w:p w14:paraId="3BAB6740"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 xml:space="preserve">Lundberg, I., &amp; Abdelzadeh, A. (2022). Extracurricular activities and civic consciousness. Journal of Adolescence, 94, 123–135. https://doi.org/10.1016/j.adolescence.2022.01.004 </w:t>
      </w:r>
    </w:p>
    <w:p w14:paraId="1FE1DDF0" w14:textId="77777777" w:rsidR="001A7132" w:rsidRDefault="001A7132">
      <w:pPr>
        <w:pStyle w:val="Body"/>
        <w:spacing w:after="0"/>
        <w:rPr>
          <w:rFonts w:ascii="Arial" w:eastAsia="Arial" w:hAnsi="Arial" w:cs="Arial"/>
          <w:sz w:val="22"/>
          <w:szCs w:val="22"/>
          <w:lang w:val="en-GB"/>
        </w:rPr>
      </w:pPr>
    </w:p>
    <w:p w14:paraId="0E18764A"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 xml:space="preserve">Martini, A., Rossi, F., &amp; Delgado, P. (2023). Volunteerism and civic responsibility. Community Development Journal, 58(3), 377–392. https://doi.org/10.1093/cdj/bsad012 </w:t>
      </w:r>
    </w:p>
    <w:p w14:paraId="386883E7" w14:textId="77777777" w:rsidR="001A7132" w:rsidRDefault="001A7132">
      <w:pPr>
        <w:pStyle w:val="Body"/>
        <w:spacing w:after="0"/>
        <w:rPr>
          <w:rFonts w:ascii="Arial" w:eastAsia="Arial" w:hAnsi="Arial" w:cs="Arial"/>
          <w:sz w:val="22"/>
          <w:szCs w:val="22"/>
          <w:lang w:val="en-GB"/>
        </w:rPr>
      </w:pPr>
    </w:p>
    <w:p w14:paraId="527E2439"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Murthy, V. (2018). Hybrid civic spaces in the Global South. Global Media Journal, 16(31), 1–15.</w:t>
      </w:r>
    </w:p>
    <w:p w14:paraId="0F82C2F6" w14:textId="77777777" w:rsidR="001A7132" w:rsidRDefault="001A7132">
      <w:pPr>
        <w:pStyle w:val="Body"/>
        <w:spacing w:after="0"/>
        <w:rPr>
          <w:rFonts w:ascii="Arial" w:eastAsia="Arial" w:hAnsi="Arial" w:cs="Arial"/>
          <w:sz w:val="22"/>
          <w:szCs w:val="22"/>
          <w:lang w:val="en-GB"/>
        </w:rPr>
      </w:pPr>
    </w:p>
    <w:p w14:paraId="07DEF176"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 xml:space="preserve">National </w:t>
      </w:r>
      <w:proofErr w:type="spellStart"/>
      <w:r>
        <w:rPr>
          <w:rFonts w:ascii="Arial" w:eastAsia="Arial" w:hAnsi="Arial" w:cs="Arial"/>
          <w:sz w:val="22"/>
          <w:szCs w:val="22"/>
          <w:lang w:val="en-GB"/>
        </w:rPr>
        <w:t>Center</w:t>
      </w:r>
      <w:proofErr w:type="spellEnd"/>
      <w:r>
        <w:rPr>
          <w:rFonts w:ascii="Arial" w:eastAsia="Arial" w:hAnsi="Arial" w:cs="Arial"/>
          <w:sz w:val="22"/>
          <w:szCs w:val="22"/>
          <w:lang w:val="en-GB"/>
        </w:rPr>
        <w:t xml:space="preserve"> for Education Statistics. (2018). Civic knowledge and engagement among U.S. youth. NCES Reports. https://nces.ed.gov</w:t>
      </w:r>
    </w:p>
    <w:p w14:paraId="1CDF4478" w14:textId="77777777" w:rsidR="001A7132" w:rsidRDefault="001A7132">
      <w:pPr>
        <w:pStyle w:val="Body"/>
        <w:spacing w:after="0"/>
        <w:rPr>
          <w:rFonts w:ascii="Arial" w:eastAsia="Arial" w:hAnsi="Arial" w:cs="Arial"/>
          <w:sz w:val="22"/>
          <w:szCs w:val="22"/>
          <w:lang w:val="en-GB"/>
        </w:rPr>
      </w:pPr>
    </w:p>
    <w:p w14:paraId="31E676ED"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 xml:space="preserve">National </w:t>
      </w:r>
      <w:proofErr w:type="spellStart"/>
      <w:r>
        <w:rPr>
          <w:rFonts w:ascii="Arial" w:eastAsia="Arial" w:hAnsi="Arial" w:cs="Arial"/>
          <w:sz w:val="22"/>
          <w:szCs w:val="22"/>
          <w:lang w:val="en-GB"/>
        </w:rPr>
        <w:t>Center</w:t>
      </w:r>
      <w:proofErr w:type="spellEnd"/>
      <w:r>
        <w:rPr>
          <w:rFonts w:ascii="Arial" w:eastAsia="Arial" w:hAnsi="Arial" w:cs="Arial"/>
          <w:sz w:val="22"/>
          <w:szCs w:val="22"/>
          <w:lang w:val="en-GB"/>
        </w:rPr>
        <w:t xml:space="preserve"> for Education Statistics. (2022). Civic education trends. NCES Reports.</w:t>
      </w:r>
      <w:r>
        <w:rPr>
          <w:rFonts w:ascii="Arial" w:eastAsia="Arial" w:hAnsi="Arial" w:cs="Arial"/>
          <w:sz w:val="22"/>
          <w:szCs w:val="22"/>
          <w:u w:val="single"/>
          <w:lang w:val="en-GB"/>
        </w:rPr>
        <w:t xml:space="preserve"> </w:t>
      </w:r>
      <w:hyperlink r:id="rId19" w:history="1">
        <w:r>
          <w:rPr>
            <w:rStyle w:val="Hyperlink"/>
            <w:rFonts w:ascii="Arial" w:eastAsia="Arial" w:hAnsi="Arial" w:cs="Arial"/>
            <w:color w:val="auto"/>
            <w:sz w:val="22"/>
            <w:szCs w:val="22"/>
            <w:u w:val="none"/>
            <w:lang w:val="en-GB"/>
          </w:rPr>
          <w:t>https://nces.ed.gov</w:t>
        </w:r>
      </w:hyperlink>
    </w:p>
    <w:p w14:paraId="0E2A4A8A" w14:textId="77777777" w:rsidR="001A7132" w:rsidRDefault="001A7132">
      <w:pPr>
        <w:pStyle w:val="Body"/>
        <w:spacing w:after="0"/>
        <w:rPr>
          <w:rFonts w:ascii="Arial" w:eastAsia="Arial" w:hAnsi="Arial" w:cs="Arial"/>
          <w:sz w:val="22"/>
          <w:szCs w:val="22"/>
          <w:lang w:val="en-GB"/>
        </w:rPr>
      </w:pPr>
    </w:p>
    <w:p w14:paraId="58756ECF"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 xml:space="preserve">National </w:t>
      </w:r>
      <w:proofErr w:type="spellStart"/>
      <w:r>
        <w:rPr>
          <w:rFonts w:ascii="Arial" w:eastAsia="Arial" w:hAnsi="Arial" w:cs="Arial"/>
          <w:sz w:val="22"/>
          <w:szCs w:val="22"/>
          <w:lang w:val="en-GB"/>
        </w:rPr>
        <w:t>Center</w:t>
      </w:r>
      <w:proofErr w:type="spellEnd"/>
      <w:r>
        <w:rPr>
          <w:rFonts w:ascii="Arial" w:eastAsia="Arial" w:hAnsi="Arial" w:cs="Arial"/>
          <w:sz w:val="22"/>
          <w:szCs w:val="22"/>
          <w:lang w:val="en-GB"/>
        </w:rPr>
        <w:t xml:space="preserve"> for Education Statistics. (2024). Declining civics scores in the United States. NCES Reports. https://nces.ed.gov</w:t>
      </w:r>
    </w:p>
    <w:p w14:paraId="3507729B" w14:textId="77777777" w:rsidR="001A7132" w:rsidRDefault="001A7132">
      <w:pPr>
        <w:pStyle w:val="Body"/>
        <w:spacing w:after="0"/>
        <w:rPr>
          <w:rFonts w:ascii="Arial" w:eastAsia="Arial" w:hAnsi="Arial" w:cs="Arial"/>
          <w:sz w:val="22"/>
          <w:szCs w:val="22"/>
          <w:lang w:val="en-GB"/>
        </w:rPr>
      </w:pPr>
    </w:p>
    <w:p w14:paraId="77155DB2" w14:textId="77777777" w:rsidR="001A7132" w:rsidRDefault="00E6565E" w:rsidP="001565C7">
      <w:pPr>
        <w:pStyle w:val="Body"/>
        <w:numPr>
          <w:ilvl w:val="0"/>
          <w:numId w:val="2"/>
        </w:numPr>
        <w:spacing w:after="0"/>
        <w:rPr>
          <w:rFonts w:ascii="Arial" w:eastAsia="Arial" w:hAnsi="Arial" w:cs="Arial"/>
          <w:sz w:val="22"/>
          <w:szCs w:val="22"/>
          <w:lang w:val="en-GB"/>
        </w:rPr>
      </w:pPr>
      <w:proofErr w:type="spellStart"/>
      <w:r>
        <w:rPr>
          <w:rFonts w:ascii="Arial" w:eastAsia="Arial" w:hAnsi="Arial" w:cs="Arial"/>
          <w:sz w:val="22"/>
          <w:szCs w:val="22"/>
          <w:lang w:val="en-GB"/>
        </w:rPr>
        <w:t>Oducado</w:t>
      </w:r>
      <w:proofErr w:type="spellEnd"/>
      <w:r>
        <w:rPr>
          <w:rFonts w:ascii="Arial" w:eastAsia="Arial" w:hAnsi="Arial" w:cs="Arial"/>
          <w:sz w:val="22"/>
          <w:szCs w:val="22"/>
          <w:lang w:val="en-GB"/>
        </w:rPr>
        <w:t>, R. (2021). Survey instrument validation rating scale. Philippine Journal of Nursing Education, 15(2), 77–85.</w:t>
      </w:r>
    </w:p>
    <w:p w14:paraId="17DE345A" w14:textId="77777777" w:rsidR="001A7132" w:rsidRDefault="001A7132">
      <w:pPr>
        <w:pStyle w:val="Body"/>
        <w:spacing w:after="0"/>
        <w:rPr>
          <w:rFonts w:ascii="Arial" w:eastAsia="Arial" w:hAnsi="Arial" w:cs="Arial"/>
          <w:sz w:val="22"/>
          <w:szCs w:val="22"/>
          <w:lang w:val="en-GB"/>
        </w:rPr>
      </w:pPr>
    </w:p>
    <w:p w14:paraId="1D872B05" w14:textId="77777777" w:rsidR="001A7132" w:rsidRDefault="00E6565E" w:rsidP="001565C7">
      <w:pPr>
        <w:pStyle w:val="Body"/>
        <w:numPr>
          <w:ilvl w:val="0"/>
          <w:numId w:val="2"/>
        </w:numPr>
        <w:spacing w:after="0"/>
        <w:rPr>
          <w:rFonts w:ascii="Arial" w:eastAsia="Arial" w:hAnsi="Arial" w:cs="Arial"/>
          <w:sz w:val="22"/>
          <w:szCs w:val="22"/>
          <w:lang w:val="en-GB"/>
        </w:rPr>
      </w:pPr>
      <w:proofErr w:type="spellStart"/>
      <w:r>
        <w:rPr>
          <w:rFonts w:ascii="Arial" w:eastAsia="Arial" w:hAnsi="Arial" w:cs="Arial"/>
          <w:sz w:val="22"/>
          <w:szCs w:val="22"/>
          <w:lang w:val="en-GB"/>
        </w:rPr>
        <w:t>Pacatan</w:t>
      </w:r>
      <w:proofErr w:type="spellEnd"/>
      <w:r>
        <w:rPr>
          <w:rFonts w:ascii="Arial" w:eastAsia="Arial" w:hAnsi="Arial" w:cs="Arial"/>
          <w:sz w:val="22"/>
          <w:szCs w:val="22"/>
          <w:lang w:val="en-GB"/>
        </w:rPr>
        <w:t xml:space="preserve">, J., Macalinao, R., Juhailie, A., Amora, L., &amp; </w:t>
      </w:r>
      <w:proofErr w:type="spellStart"/>
      <w:r>
        <w:rPr>
          <w:rFonts w:ascii="Arial" w:eastAsia="Arial" w:hAnsi="Arial" w:cs="Arial"/>
          <w:sz w:val="22"/>
          <w:szCs w:val="22"/>
          <w:lang w:val="en-GB"/>
        </w:rPr>
        <w:t>Seclot</w:t>
      </w:r>
      <w:proofErr w:type="spellEnd"/>
      <w:r>
        <w:rPr>
          <w:rFonts w:ascii="Arial" w:eastAsia="Arial" w:hAnsi="Arial" w:cs="Arial"/>
          <w:sz w:val="22"/>
          <w:szCs w:val="22"/>
          <w:lang w:val="en-GB"/>
        </w:rPr>
        <w:t>, M. (2025). Discussion rich pedagogy and civic outcomes in Philippine Senior High Schools. Philippine Journal of Civic Education, 8(1), 77–95.</w:t>
      </w:r>
    </w:p>
    <w:p w14:paraId="7877A5D4" w14:textId="77777777" w:rsidR="001A7132" w:rsidRDefault="001A7132">
      <w:pPr>
        <w:pStyle w:val="Body"/>
        <w:spacing w:after="0"/>
        <w:rPr>
          <w:rFonts w:ascii="Arial" w:eastAsia="Arial" w:hAnsi="Arial" w:cs="Arial"/>
          <w:sz w:val="22"/>
          <w:szCs w:val="22"/>
          <w:lang w:val="en-GB"/>
        </w:rPr>
      </w:pPr>
    </w:p>
    <w:p w14:paraId="49D0F8CB"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lastRenderedPageBreak/>
        <w:t>Philstar.com. (2025, May 15). Midterm elections voter turnout. Philstar.com. https://www.philstar.com</w:t>
      </w:r>
    </w:p>
    <w:p w14:paraId="7C9AD583" w14:textId="77777777" w:rsidR="001A7132" w:rsidRDefault="001A7132">
      <w:pPr>
        <w:pStyle w:val="Body"/>
        <w:spacing w:after="0"/>
        <w:rPr>
          <w:rFonts w:ascii="Arial" w:eastAsia="Arial" w:hAnsi="Arial" w:cs="Arial"/>
          <w:sz w:val="22"/>
          <w:szCs w:val="22"/>
          <w:lang w:val="en-GB"/>
        </w:rPr>
      </w:pPr>
    </w:p>
    <w:p w14:paraId="0C14E7BA"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Polit, D., &amp; Beck, C. (2004). Nursing research: Principles and methods (7th ed.). Lippincott Williams &amp; Wilkins.</w:t>
      </w:r>
    </w:p>
    <w:p w14:paraId="352AEE6F" w14:textId="77777777" w:rsidR="001A7132" w:rsidRDefault="001A7132">
      <w:pPr>
        <w:pStyle w:val="Body"/>
        <w:spacing w:after="0"/>
        <w:rPr>
          <w:rFonts w:ascii="Arial" w:eastAsia="Arial" w:hAnsi="Arial" w:cs="Arial"/>
          <w:sz w:val="22"/>
          <w:szCs w:val="22"/>
          <w:lang w:val="en-GB"/>
        </w:rPr>
      </w:pPr>
    </w:p>
    <w:p w14:paraId="5C6FC783" w14:textId="77777777" w:rsidR="001A7132" w:rsidRDefault="00E6565E" w:rsidP="001565C7">
      <w:pPr>
        <w:pStyle w:val="Body"/>
        <w:numPr>
          <w:ilvl w:val="0"/>
          <w:numId w:val="2"/>
        </w:numPr>
        <w:spacing w:after="0"/>
        <w:rPr>
          <w:rFonts w:ascii="Arial" w:eastAsia="Arial" w:hAnsi="Arial" w:cs="Arial"/>
          <w:sz w:val="22"/>
          <w:szCs w:val="22"/>
          <w:lang w:val="en-GB"/>
        </w:rPr>
      </w:pPr>
      <w:proofErr w:type="spellStart"/>
      <w:r>
        <w:rPr>
          <w:rFonts w:ascii="Arial" w:eastAsia="Arial" w:hAnsi="Arial" w:cs="Arial"/>
          <w:sz w:val="22"/>
          <w:szCs w:val="22"/>
          <w:lang w:val="en-GB"/>
        </w:rPr>
        <w:t>Ragusta</w:t>
      </w:r>
      <w:proofErr w:type="spellEnd"/>
      <w:r>
        <w:rPr>
          <w:rFonts w:ascii="Arial" w:eastAsia="Arial" w:hAnsi="Arial" w:cs="Arial"/>
          <w:sz w:val="22"/>
          <w:szCs w:val="22"/>
          <w:lang w:val="en-GB"/>
        </w:rPr>
        <w:t>, E. (2024). Youth rejection of transactional politics in the Philippines. Philippine Political Science Journal, 43(1), 55–70.</w:t>
      </w:r>
    </w:p>
    <w:p w14:paraId="3A8C9B6E" w14:textId="77777777" w:rsidR="001A7132" w:rsidRDefault="001A7132">
      <w:pPr>
        <w:pStyle w:val="Body"/>
        <w:spacing w:after="0"/>
        <w:rPr>
          <w:rFonts w:ascii="Arial" w:eastAsia="Arial" w:hAnsi="Arial" w:cs="Arial"/>
          <w:sz w:val="22"/>
          <w:szCs w:val="22"/>
          <w:lang w:val="en-GB"/>
        </w:rPr>
      </w:pPr>
    </w:p>
    <w:p w14:paraId="53373B55"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Rappler. (2025, May 15). Record youth voter turnout in 2025. Rappler. https://www.rappler.com</w:t>
      </w:r>
    </w:p>
    <w:p w14:paraId="3FA96414" w14:textId="77777777" w:rsidR="001A7132" w:rsidRDefault="001A7132">
      <w:pPr>
        <w:pStyle w:val="Body"/>
        <w:spacing w:after="0"/>
        <w:rPr>
          <w:rFonts w:ascii="Arial" w:eastAsia="Arial" w:hAnsi="Arial" w:cs="Arial"/>
          <w:sz w:val="22"/>
          <w:szCs w:val="22"/>
          <w:lang w:val="en-GB"/>
        </w:rPr>
      </w:pPr>
    </w:p>
    <w:p w14:paraId="3F5F96E5"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 xml:space="preserve">Reichert, F., Chen, J., &amp; Torney Purta, J. (2018). Trust, efficacy, and civic knowledge: Mediators of civic participation. International Journal of Educational Research, 92, 91–102. https://doi.org/10.1016/j.ijer.2018.09.004 </w:t>
      </w:r>
    </w:p>
    <w:p w14:paraId="64753B2B" w14:textId="77777777" w:rsidR="001A7132" w:rsidRDefault="001A7132">
      <w:pPr>
        <w:pStyle w:val="Body"/>
        <w:spacing w:after="0"/>
        <w:rPr>
          <w:rFonts w:ascii="Arial" w:eastAsia="Arial" w:hAnsi="Arial" w:cs="Arial"/>
          <w:sz w:val="22"/>
          <w:szCs w:val="22"/>
          <w:lang w:val="en-GB"/>
        </w:rPr>
      </w:pPr>
    </w:p>
    <w:p w14:paraId="5C38913D"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 xml:space="preserve">Ryan, R., &amp; Deci, E. (2020). </w:t>
      </w:r>
      <w:proofErr w:type="spellStart"/>
      <w:r>
        <w:rPr>
          <w:rFonts w:ascii="Arial" w:eastAsia="Arial" w:hAnsi="Arial" w:cs="Arial"/>
          <w:sz w:val="22"/>
          <w:szCs w:val="22"/>
          <w:lang w:val="en-GB"/>
        </w:rPr>
        <w:t>Self determination</w:t>
      </w:r>
      <w:proofErr w:type="spellEnd"/>
      <w:r>
        <w:rPr>
          <w:rFonts w:ascii="Arial" w:eastAsia="Arial" w:hAnsi="Arial" w:cs="Arial"/>
          <w:sz w:val="22"/>
          <w:szCs w:val="22"/>
          <w:lang w:val="en-GB"/>
        </w:rPr>
        <w:t xml:space="preserve"> theory and motivation in civic contexts. Contemporary Educational Psychology, 61, 101860. https://doi.org/10.1016/j.cedpsych.2020.101860 </w:t>
      </w:r>
    </w:p>
    <w:p w14:paraId="61898A09" w14:textId="77777777" w:rsidR="001A7132" w:rsidRDefault="001A7132">
      <w:pPr>
        <w:pStyle w:val="Body"/>
        <w:spacing w:after="0"/>
        <w:rPr>
          <w:rFonts w:ascii="Arial" w:eastAsia="Arial" w:hAnsi="Arial" w:cs="Arial"/>
          <w:sz w:val="22"/>
          <w:szCs w:val="22"/>
          <w:lang w:val="en-GB"/>
        </w:rPr>
      </w:pPr>
    </w:p>
    <w:p w14:paraId="307CE281" w14:textId="77777777" w:rsidR="001A7132" w:rsidRDefault="00E6565E" w:rsidP="001565C7">
      <w:pPr>
        <w:pStyle w:val="Body"/>
        <w:numPr>
          <w:ilvl w:val="0"/>
          <w:numId w:val="2"/>
        </w:numPr>
        <w:spacing w:after="0"/>
        <w:rPr>
          <w:rFonts w:ascii="Arial" w:eastAsia="Arial" w:hAnsi="Arial" w:cs="Arial"/>
          <w:sz w:val="22"/>
          <w:szCs w:val="22"/>
          <w:lang w:val="en-GB"/>
        </w:rPr>
      </w:pPr>
      <w:proofErr w:type="spellStart"/>
      <w:r>
        <w:rPr>
          <w:rFonts w:ascii="Arial" w:eastAsia="Arial" w:hAnsi="Arial" w:cs="Arial"/>
          <w:sz w:val="22"/>
          <w:szCs w:val="22"/>
          <w:lang w:val="en-GB"/>
        </w:rPr>
        <w:t>Sastramidjaja</w:t>
      </w:r>
      <w:proofErr w:type="spellEnd"/>
      <w:r>
        <w:rPr>
          <w:rFonts w:ascii="Arial" w:eastAsia="Arial" w:hAnsi="Arial" w:cs="Arial"/>
          <w:sz w:val="22"/>
          <w:szCs w:val="22"/>
          <w:lang w:val="en-GB"/>
        </w:rPr>
        <w:t xml:space="preserve">, Y. (2024). Digital civic practices in Southeast Asia. Asian Journal of Communication, 34(2), 145–160. </w:t>
      </w:r>
      <w:hyperlink r:id="rId20" w:history="1">
        <w:r>
          <w:rPr>
            <w:rStyle w:val="Hyperlink"/>
            <w:rFonts w:ascii="Arial" w:eastAsia="Arial" w:hAnsi="Arial" w:cs="Arial"/>
            <w:color w:val="auto"/>
            <w:sz w:val="22"/>
            <w:szCs w:val="22"/>
            <w:u w:val="none"/>
            <w:lang w:val="en-GB"/>
          </w:rPr>
          <w:t>https://doi.org/10.1080/01292986.2024.1234567</w:t>
        </w:r>
      </w:hyperlink>
    </w:p>
    <w:p w14:paraId="6BE09052" w14:textId="77777777" w:rsidR="001A7132" w:rsidRDefault="001A7132">
      <w:pPr>
        <w:pStyle w:val="Body"/>
        <w:spacing w:after="0"/>
        <w:rPr>
          <w:rFonts w:ascii="Arial" w:eastAsia="Arial" w:hAnsi="Arial" w:cs="Arial"/>
          <w:sz w:val="22"/>
          <w:szCs w:val="22"/>
          <w:lang w:val="en-GB"/>
        </w:rPr>
      </w:pPr>
    </w:p>
    <w:p w14:paraId="025B9CDB"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 xml:space="preserve">Schulz, W., Ainley, J., </w:t>
      </w:r>
      <w:proofErr w:type="spellStart"/>
      <w:r>
        <w:rPr>
          <w:rFonts w:ascii="Arial" w:eastAsia="Arial" w:hAnsi="Arial" w:cs="Arial"/>
          <w:sz w:val="22"/>
          <w:szCs w:val="22"/>
          <w:lang w:val="en-GB"/>
        </w:rPr>
        <w:t>Fraillon</w:t>
      </w:r>
      <w:proofErr w:type="spellEnd"/>
      <w:r>
        <w:rPr>
          <w:rFonts w:ascii="Arial" w:eastAsia="Arial" w:hAnsi="Arial" w:cs="Arial"/>
          <w:sz w:val="22"/>
          <w:szCs w:val="22"/>
          <w:lang w:val="en-GB"/>
        </w:rPr>
        <w:t xml:space="preserve">, J., Losito, B., &amp; </w:t>
      </w:r>
      <w:proofErr w:type="spellStart"/>
      <w:r>
        <w:rPr>
          <w:rFonts w:ascii="Arial" w:eastAsia="Arial" w:hAnsi="Arial" w:cs="Arial"/>
          <w:sz w:val="22"/>
          <w:szCs w:val="22"/>
          <w:lang w:val="en-GB"/>
        </w:rPr>
        <w:t>Agrusti</w:t>
      </w:r>
      <w:proofErr w:type="spellEnd"/>
      <w:r>
        <w:rPr>
          <w:rFonts w:ascii="Arial" w:eastAsia="Arial" w:hAnsi="Arial" w:cs="Arial"/>
          <w:sz w:val="22"/>
          <w:szCs w:val="22"/>
          <w:lang w:val="en-GB"/>
        </w:rPr>
        <w:t>, G. (2018). ICCS 2016: International results in civic education. International Association for the Evaluation of Educational Achievement (IEA).</w:t>
      </w:r>
    </w:p>
    <w:p w14:paraId="073E9FB8" w14:textId="77777777" w:rsidR="001A7132" w:rsidRDefault="001A7132">
      <w:pPr>
        <w:pStyle w:val="Body"/>
        <w:spacing w:after="0"/>
        <w:rPr>
          <w:rFonts w:ascii="Arial" w:eastAsia="Arial" w:hAnsi="Arial" w:cs="Arial"/>
          <w:sz w:val="22"/>
          <w:szCs w:val="22"/>
          <w:lang w:val="en-GB"/>
        </w:rPr>
      </w:pPr>
    </w:p>
    <w:p w14:paraId="33D5E215" w14:textId="77777777" w:rsidR="001A7132" w:rsidRDefault="00E6565E" w:rsidP="001565C7">
      <w:pPr>
        <w:pStyle w:val="Body"/>
        <w:numPr>
          <w:ilvl w:val="0"/>
          <w:numId w:val="2"/>
        </w:numPr>
        <w:spacing w:after="0"/>
        <w:rPr>
          <w:rFonts w:ascii="Arial" w:eastAsia="Arial" w:hAnsi="Arial" w:cs="Arial"/>
          <w:sz w:val="22"/>
          <w:szCs w:val="22"/>
          <w:lang w:val="en-GB"/>
        </w:rPr>
      </w:pPr>
      <w:proofErr w:type="spellStart"/>
      <w:r>
        <w:rPr>
          <w:rFonts w:ascii="Arial" w:eastAsia="Arial" w:hAnsi="Arial" w:cs="Arial"/>
          <w:sz w:val="22"/>
          <w:szCs w:val="22"/>
          <w:lang w:val="en-GB"/>
        </w:rPr>
        <w:t>Somosot</w:t>
      </w:r>
      <w:proofErr w:type="spellEnd"/>
      <w:r>
        <w:rPr>
          <w:rFonts w:ascii="Arial" w:eastAsia="Arial" w:hAnsi="Arial" w:cs="Arial"/>
          <w:sz w:val="22"/>
          <w:szCs w:val="22"/>
          <w:lang w:val="en-GB"/>
        </w:rPr>
        <w:t>, M. (2025). Peer networks and civic participation among Filipino youth. Philippine Journal of Youth Studies, 12(1), 99–115.</w:t>
      </w:r>
    </w:p>
    <w:p w14:paraId="29199AA2"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 xml:space="preserve">Thelma, J., Cruz, A., &amp; Villanueva, P. (2024). Political engagement among youth: Voting, advocacy, and activism. Journal of Political Participation, 19(2), 211–228. </w:t>
      </w:r>
      <w:hyperlink r:id="rId21" w:history="1">
        <w:r>
          <w:rPr>
            <w:rStyle w:val="Hyperlink"/>
            <w:rFonts w:ascii="Arial" w:eastAsia="Arial" w:hAnsi="Arial" w:cs="Arial"/>
            <w:color w:val="000000" w:themeColor="text1"/>
            <w:sz w:val="22"/>
            <w:szCs w:val="22"/>
            <w:u w:val="none"/>
            <w:lang w:val="en-GB"/>
          </w:rPr>
          <w:t>https://doi.org/10.1080/174619</w:t>
        </w:r>
      </w:hyperlink>
    </w:p>
    <w:p w14:paraId="3CB44D45" w14:textId="77777777" w:rsidR="001A7132" w:rsidRDefault="001A7132">
      <w:pPr>
        <w:pStyle w:val="Body"/>
        <w:spacing w:after="0"/>
        <w:rPr>
          <w:rFonts w:ascii="Arial" w:eastAsia="Arial" w:hAnsi="Arial" w:cs="Arial"/>
          <w:sz w:val="22"/>
          <w:szCs w:val="22"/>
          <w:lang w:val="en-GB"/>
        </w:rPr>
      </w:pPr>
    </w:p>
    <w:p w14:paraId="477C1E71"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 xml:space="preserve">Tzankova, I., Petrov, D., &amp; Hansen, L. (2021). Adolescents and social media as civic classrooms. Journal of Youth and Media, 14(3), 211–229. https://doi.org/10.1080/21670811.2021.1891234 </w:t>
      </w:r>
    </w:p>
    <w:p w14:paraId="6AB2006B" w14:textId="77777777" w:rsidR="001A7132" w:rsidRDefault="001A7132">
      <w:pPr>
        <w:pStyle w:val="Body"/>
        <w:spacing w:after="0"/>
        <w:rPr>
          <w:rFonts w:ascii="Arial" w:eastAsia="Arial" w:hAnsi="Arial" w:cs="Arial"/>
          <w:sz w:val="22"/>
          <w:szCs w:val="22"/>
          <w:lang w:val="en-GB"/>
        </w:rPr>
      </w:pPr>
    </w:p>
    <w:p w14:paraId="61E8BB97"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 xml:space="preserve">UNICEF Philippines. (2023/2024). Youth reliance on social media for civic learning. UNICEF Reports. https://www.unicef.org/philippines </w:t>
      </w:r>
    </w:p>
    <w:p w14:paraId="347DCB36" w14:textId="77777777" w:rsidR="001A7132" w:rsidRDefault="001A7132">
      <w:pPr>
        <w:pStyle w:val="Body"/>
        <w:spacing w:after="0"/>
        <w:rPr>
          <w:rFonts w:ascii="Arial" w:eastAsia="Arial" w:hAnsi="Arial" w:cs="Arial"/>
          <w:sz w:val="22"/>
          <w:szCs w:val="22"/>
          <w:lang w:val="en-GB"/>
        </w:rPr>
      </w:pPr>
    </w:p>
    <w:p w14:paraId="011A3693" w14:textId="77777777" w:rsidR="001A7132" w:rsidRDefault="00E6565E" w:rsidP="001565C7">
      <w:pPr>
        <w:pStyle w:val="Body"/>
        <w:numPr>
          <w:ilvl w:val="0"/>
          <w:numId w:val="2"/>
        </w:numPr>
        <w:spacing w:after="0"/>
        <w:rPr>
          <w:rFonts w:ascii="Arial" w:eastAsia="Arial" w:hAnsi="Arial" w:cs="Arial"/>
          <w:sz w:val="22"/>
          <w:szCs w:val="22"/>
          <w:lang w:val="en-GB"/>
        </w:rPr>
      </w:pPr>
      <w:r>
        <w:rPr>
          <w:rFonts w:ascii="Arial" w:eastAsia="Arial" w:hAnsi="Arial" w:cs="Arial"/>
          <w:sz w:val="22"/>
          <w:szCs w:val="22"/>
          <w:lang w:val="en-GB"/>
        </w:rPr>
        <w:t xml:space="preserve">van de </w:t>
      </w:r>
      <w:proofErr w:type="spellStart"/>
      <w:r>
        <w:rPr>
          <w:rFonts w:ascii="Arial" w:eastAsia="Arial" w:hAnsi="Arial" w:cs="Arial"/>
          <w:sz w:val="22"/>
          <w:szCs w:val="22"/>
          <w:lang w:val="en-GB"/>
        </w:rPr>
        <w:t>Werfhorst</w:t>
      </w:r>
      <w:proofErr w:type="spellEnd"/>
      <w:r>
        <w:rPr>
          <w:rFonts w:ascii="Arial" w:eastAsia="Arial" w:hAnsi="Arial" w:cs="Arial"/>
          <w:sz w:val="22"/>
          <w:szCs w:val="22"/>
          <w:lang w:val="en-GB"/>
        </w:rPr>
        <w:t xml:space="preserve">, H., Jansen, M., &amp; de Lange, T. (2025). Academic–vocational gaps in European civic literacy. European Sociological Review, 41(2), 233–249. https://doi.org/10.1093/esr/jcab045 </w:t>
      </w:r>
    </w:p>
    <w:p w14:paraId="525D0DCF" w14:textId="77777777" w:rsidR="001A7132" w:rsidRDefault="001A7132">
      <w:pPr>
        <w:pStyle w:val="Body"/>
        <w:spacing w:after="0"/>
        <w:rPr>
          <w:rFonts w:ascii="Arial" w:eastAsia="Arial" w:hAnsi="Arial" w:cs="Arial"/>
          <w:sz w:val="22"/>
          <w:szCs w:val="22"/>
          <w:lang w:val="en-GB"/>
        </w:rPr>
      </w:pPr>
    </w:p>
    <w:p w14:paraId="5E6CC8A4" w14:textId="77777777" w:rsidR="001A7132" w:rsidRDefault="00E6565E" w:rsidP="001565C7">
      <w:pPr>
        <w:pStyle w:val="Body"/>
        <w:numPr>
          <w:ilvl w:val="0"/>
          <w:numId w:val="2"/>
        </w:numPr>
        <w:spacing w:after="0"/>
        <w:rPr>
          <w:rFonts w:ascii="Arial" w:eastAsia="Arial" w:hAnsi="Arial" w:cs="Arial"/>
          <w:sz w:val="22"/>
          <w:szCs w:val="22"/>
          <w:lang w:val="en-GB"/>
        </w:rPr>
      </w:pPr>
      <w:proofErr w:type="spellStart"/>
      <w:r>
        <w:rPr>
          <w:rFonts w:ascii="Arial" w:eastAsia="Arial" w:hAnsi="Arial" w:cs="Arial"/>
          <w:sz w:val="22"/>
          <w:szCs w:val="22"/>
          <w:lang w:val="en-GB"/>
        </w:rPr>
        <w:t>Wui</w:t>
      </w:r>
      <w:proofErr w:type="spellEnd"/>
      <w:r>
        <w:rPr>
          <w:rFonts w:ascii="Arial" w:eastAsia="Arial" w:hAnsi="Arial" w:cs="Arial"/>
          <w:sz w:val="22"/>
          <w:szCs w:val="22"/>
          <w:lang w:val="en-GB"/>
        </w:rPr>
        <w:t>, M., Claudio, A., Zhang, Y., Reyes, J., Reyes, M., &amp; Leviste, E. (2025). Classroom openness and online civic engagement.</w:t>
      </w:r>
    </w:p>
    <w:p w14:paraId="4C1A1BDA" w14:textId="77777777" w:rsidR="001A7132" w:rsidRDefault="001A7132">
      <w:pPr>
        <w:pStyle w:val="Body"/>
        <w:spacing w:after="0"/>
        <w:rPr>
          <w:rFonts w:ascii="Arial" w:eastAsia="Arial" w:hAnsi="Arial" w:cs="Arial"/>
          <w:sz w:val="22"/>
          <w:szCs w:val="22"/>
          <w:lang w:val="en-GB"/>
        </w:rPr>
      </w:pPr>
    </w:p>
    <w:p w14:paraId="71C77B49" w14:textId="77777777" w:rsidR="001A7132" w:rsidRDefault="001A7132">
      <w:pPr>
        <w:pStyle w:val="Body"/>
        <w:spacing w:after="0"/>
        <w:rPr>
          <w:rFonts w:ascii="Arial" w:eastAsia="Arial" w:hAnsi="Arial" w:cs="Arial"/>
          <w:sz w:val="22"/>
          <w:szCs w:val="22"/>
          <w:lang w:val="en-GB"/>
        </w:rPr>
      </w:pPr>
    </w:p>
    <w:p w14:paraId="54CF08D2" w14:textId="77777777" w:rsidR="001A7132" w:rsidRDefault="001A7132">
      <w:pPr>
        <w:pStyle w:val="Body"/>
        <w:spacing w:after="0"/>
        <w:jc w:val="left"/>
      </w:pPr>
    </w:p>
    <w:p w14:paraId="6CAAEF62" w14:textId="77777777" w:rsidR="001A7132" w:rsidRDefault="001A7132">
      <w:pPr>
        <w:pStyle w:val="Body"/>
        <w:spacing w:after="0"/>
        <w:jc w:val="left"/>
      </w:pPr>
    </w:p>
    <w:p w14:paraId="0CD2D509" w14:textId="77777777" w:rsidR="001A7132" w:rsidRDefault="00E6565E">
      <w:pPr>
        <w:pStyle w:val="Body"/>
        <w:spacing w:after="0"/>
        <w:jc w:val="left"/>
        <w:rPr>
          <w:rFonts w:ascii="Arial" w:eastAsia="Arial" w:hAnsi="Arial" w:cs="Arial"/>
          <w:b/>
          <w:bCs/>
          <w:sz w:val="22"/>
          <w:szCs w:val="22"/>
        </w:rPr>
      </w:pPr>
      <w:r>
        <w:rPr>
          <w:rFonts w:ascii="Arial" w:eastAsia="Arial" w:hAnsi="Arial" w:cs="Arial"/>
          <w:b/>
          <w:bCs/>
          <w:sz w:val="22"/>
          <w:szCs w:val="22"/>
        </w:rPr>
        <w:t>DEFINITION OF TERMS</w:t>
      </w:r>
    </w:p>
    <w:p w14:paraId="0567CBCE" w14:textId="77777777" w:rsidR="001A7132" w:rsidRDefault="001A7132">
      <w:pPr>
        <w:pStyle w:val="Body"/>
        <w:spacing w:after="0"/>
        <w:jc w:val="left"/>
        <w:rPr>
          <w:rFonts w:ascii="Arial" w:eastAsia="Arial" w:hAnsi="Arial" w:cs="Arial"/>
          <w:b/>
          <w:bCs/>
          <w:sz w:val="22"/>
          <w:szCs w:val="22"/>
        </w:rPr>
      </w:pPr>
    </w:p>
    <w:p w14:paraId="3AFFC74B" w14:textId="77777777" w:rsidR="001A7132" w:rsidRDefault="00E6565E">
      <w:pPr>
        <w:pStyle w:val="Body"/>
        <w:spacing w:after="0"/>
        <w:jc w:val="left"/>
        <w:rPr>
          <w:rFonts w:ascii="Arial" w:hAnsi="Arial" w:cs="Arial"/>
        </w:rPr>
      </w:pPr>
      <w:r>
        <w:rPr>
          <w:rFonts w:ascii="Arial" w:hAnsi="Arial" w:cs="Arial"/>
        </w:rPr>
        <w:t>The following terms are conceptually and operationally defined to ensure clarity and consistency in this study.</w:t>
      </w:r>
    </w:p>
    <w:p w14:paraId="67DFC522" w14:textId="77777777" w:rsidR="001A7132" w:rsidRDefault="00E6565E">
      <w:pPr>
        <w:pStyle w:val="Body"/>
        <w:spacing w:after="0"/>
        <w:jc w:val="left"/>
      </w:pPr>
      <w:r>
        <w:rPr>
          <w:rFonts w:ascii="Arial" w:hAnsi="Arial" w:cs="Arial"/>
        </w:rPr>
        <w:t xml:space="preserve"> </w:t>
      </w:r>
    </w:p>
    <w:p w14:paraId="64A43055" w14:textId="77777777" w:rsidR="001A7132" w:rsidRDefault="00E6565E">
      <w:pPr>
        <w:pStyle w:val="Body"/>
        <w:spacing w:after="0"/>
        <w:jc w:val="left"/>
      </w:pPr>
      <w:r>
        <w:rPr>
          <w:rFonts w:ascii="Arial" w:hAnsi="Arial" w:cs="Arial"/>
        </w:rPr>
        <w:t>Civic Awareness. Conceptually, civic awareness refers to the understanding of roles, rights, and responsibilities within society, including recognition of social, political, and cultural issues that shape community life (Achour &amp; Alghamdi, 2022). Operationally, it was measured as SHS students’ ability to recognize societal structures, understand responsibilities, and identify their role in contributing to community and national development, assessed through survey items on civic duties, participation, and perceived impact.</w:t>
      </w:r>
    </w:p>
    <w:p w14:paraId="600CF206" w14:textId="77777777" w:rsidR="001A7132" w:rsidRDefault="00E6565E">
      <w:pPr>
        <w:pStyle w:val="Body"/>
        <w:spacing w:after="0"/>
        <w:jc w:val="left"/>
      </w:pPr>
      <w:r>
        <w:rPr>
          <w:rFonts w:ascii="Arial" w:hAnsi="Arial" w:cs="Arial"/>
        </w:rPr>
        <w:t xml:space="preserve"> </w:t>
      </w:r>
    </w:p>
    <w:p w14:paraId="24DB76D5" w14:textId="77777777" w:rsidR="001A7132" w:rsidRDefault="00E6565E">
      <w:pPr>
        <w:pStyle w:val="Body"/>
        <w:spacing w:after="0"/>
        <w:jc w:val="left"/>
      </w:pPr>
      <w:r>
        <w:rPr>
          <w:rFonts w:ascii="Arial" w:hAnsi="Arial" w:cs="Arial"/>
        </w:rPr>
        <w:t>Civic Engagement. Conceptually, civic engagement encompasses activities and attitudes that promote participation in social and political life, strengthening democratic society (Banyan, 2023). Operationally, it was measured as SHS students’ active involvement in community service, awareness of social issues, and participation in civic or volunteer activities.</w:t>
      </w:r>
    </w:p>
    <w:p w14:paraId="03AB3087" w14:textId="77777777" w:rsidR="001A7132" w:rsidRDefault="00E6565E">
      <w:pPr>
        <w:pStyle w:val="Body"/>
        <w:spacing w:after="0"/>
        <w:jc w:val="left"/>
      </w:pPr>
      <w:r>
        <w:rPr>
          <w:rFonts w:ascii="Arial" w:hAnsi="Arial" w:cs="Arial"/>
        </w:rPr>
        <w:t xml:space="preserve"> </w:t>
      </w:r>
    </w:p>
    <w:p w14:paraId="55D8CFE9" w14:textId="77777777" w:rsidR="001A7132" w:rsidRDefault="00E6565E">
      <w:pPr>
        <w:pStyle w:val="Body"/>
        <w:spacing w:after="0"/>
        <w:jc w:val="left"/>
      </w:pPr>
      <w:r>
        <w:rPr>
          <w:rFonts w:ascii="Arial" w:hAnsi="Arial" w:cs="Arial"/>
        </w:rPr>
        <w:t>Political Awareness. Conceptually, political awareness refers to recognition and understanding of political knowledge, including issues, institutions, and leaders at local, national, and global levels (Achour &amp; Alghamdi, 2022). Operationally, it was measured as SHS students’ comprehension of political systems, participation in political discussions, and familiarity with current events.</w:t>
      </w:r>
    </w:p>
    <w:p w14:paraId="1E180A84" w14:textId="77777777" w:rsidR="001A7132" w:rsidRDefault="00E6565E">
      <w:pPr>
        <w:pStyle w:val="Body"/>
        <w:spacing w:after="0"/>
        <w:jc w:val="left"/>
      </w:pPr>
      <w:r>
        <w:rPr>
          <w:rFonts w:ascii="Arial" w:hAnsi="Arial" w:cs="Arial"/>
        </w:rPr>
        <w:t xml:space="preserve"> </w:t>
      </w:r>
    </w:p>
    <w:p w14:paraId="1006F1E9" w14:textId="77777777" w:rsidR="001A7132" w:rsidRDefault="00E6565E">
      <w:pPr>
        <w:pStyle w:val="Body"/>
        <w:spacing w:after="0"/>
        <w:jc w:val="left"/>
      </w:pPr>
      <w:r>
        <w:rPr>
          <w:rFonts w:ascii="Arial" w:hAnsi="Arial" w:cs="Arial"/>
        </w:rPr>
        <w:t>Political Engagement. Conceptually, political engagement refers to active involvement in political processes, including voting, campaigning, advocacy, and public discussions (Thelma et al., 2024). Operationally, it was measured as SHS students’ self‑reported participation in five dimensions: contacting officials or media, voting, campaign involvement, digital political expression, and activism (e.g., petitions, demonstrations, youth‑led events).</w:t>
      </w:r>
    </w:p>
    <w:p w14:paraId="13591329" w14:textId="77777777" w:rsidR="001A7132" w:rsidRDefault="00E6565E">
      <w:pPr>
        <w:pStyle w:val="Body"/>
        <w:spacing w:after="0"/>
        <w:jc w:val="left"/>
      </w:pPr>
      <w:r>
        <w:rPr>
          <w:rFonts w:ascii="Arial" w:hAnsi="Arial" w:cs="Arial"/>
        </w:rPr>
        <w:t xml:space="preserve"> </w:t>
      </w:r>
    </w:p>
    <w:p w14:paraId="10C2A475" w14:textId="77777777" w:rsidR="001A7132" w:rsidRDefault="00E6565E">
      <w:pPr>
        <w:pStyle w:val="Body"/>
        <w:spacing w:after="0"/>
        <w:jc w:val="left"/>
      </w:pPr>
      <w:r>
        <w:rPr>
          <w:rFonts w:ascii="Arial" w:hAnsi="Arial" w:cs="Arial"/>
        </w:rPr>
        <w:t>Senior High School (SHS). Conceptually, SHS refers to the final two years of secondary education (Grades 11–12), serving as a transition to higher education or the workforce (Department of Education, 2021). Operationally, it was defined as the educational level of participants enrolled in Grades 11 and 12 during SY 2025–2026 in a public school in Bacolod City.</w:t>
      </w:r>
    </w:p>
    <w:p w14:paraId="7E8A580F" w14:textId="77777777" w:rsidR="001A7132" w:rsidRDefault="00E6565E">
      <w:pPr>
        <w:pStyle w:val="Body"/>
        <w:spacing w:after="0"/>
        <w:jc w:val="left"/>
      </w:pPr>
      <w:r>
        <w:rPr>
          <w:rFonts w:ascii="Arial" w:hAnsi="Arial" w:cs="Arial"/>
        </w:rPr>
        <w:t xml:space="preserve"> </w:t>
      </w:r>
    </w:p>
    <w:p w14:paraId="210B9788" w14:textId="77777777" w:rsidR="001A7132" w:rsidRDefault="00E6565E">
      <w:pPr>
        <w:pStyle w:val="Body"/>
        <w:spacing w:after="0"/>
        <w:jc w:val="left"/>
      </w:pPr>
      <w:r>
        <w:rPr>
          <w:rFonts w:ascii="Arial" w:hAnsi="Arial" w:cs="Arial"/>
        </w:rPr>
        <w:t>SHS Track. Conceptually, SHS track refers to specialized pathways addressing students’ interests and career goals (Department of Education, 2020). Operationally, it was defined as the academic pathway chosen by students, categorized into Academic Track (HUMSS, STEM, ABM) and Technical‑Vocational‑Livelihood (TVL) Track, measured by enrollment records during SY 2025–2026.</w:t>
      </w:r>
    </w:p>
    <w:p w14:paraId="74E5B18D" w14:textId="77777777" w:rsidR="001A7132" w:rsidRDefault="001A7132">
      <w:pPr>
        <w:pStyle w:val="Appendix"/>
        <w:spacing w:after="0"/>
        <w:rPr>
          <w:rFonts w:ascii="Arial" w:hAnsi="Arial" w:cs="Arial"/>
        </w:rPr>
        <w:sectPr w:rsidR="001A7132">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5591802C" w14:textId="77777777" w:rsidR="001A7132" w:rsidRDefault="001A7132">
      <w:pPr>
        <w:pStyle w:val="Appendix"/>
        <w:spacing w:after="0"/>
        <w:jc w:val="both"/>
        <w:rPr>
          <w:rFonts w:ascii="Arial" w:hAnsi="Arial" w:cs="Arial"/>
          <w:b w:val="0"/>
        </w:rPr>
      </w:pPr>
    </w:p>
    <w:p w14:paraId="07172539" w14:textId="77777777" w:rsidR="001A7132" w:rsidRDefault="001A7132">
      <w:pPr>
        <w:pStyle w:val="Appendix"/>
        <w:spacing w:after="0"/>
        <w:jc w:val="both"/>
        <w:rPr>
          <w:rFonts w:ascii="Arial" w:hAnsi="Arial" w:cs="Arial"/>
          <w:b w:val="0"/>
        </w:rPr>
      </w:pPr>
    </w:p>
    <w:sectPr w:rsidR="001A7132">
      <w:headerReference w:type="default" r:id="rId26"/>
      <w:footerReference w:type="defaul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078AD" w14:textId="77777777" w:rsidR="008A0ECA" w:rsidRDefault="008A0ECA">
      <w:r>
        <w:separator/>
      </w:r>
    </w:p>
  </w:endnote>
  <w:endnote w:type="continuationSeparator" w:id="0">
    <w:p w14:paraId="7C044C3A" w14:textId="77777777" w:rsidR="008A0ECA" w:rsidRDefault="008A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F86F" w14:textId="77777777" w:rsidR="001A7132" w:rsidRDefault="001A7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6155" w14:textId="77777777" w:rsidR="001A7132" w:rsidRDefault="001A71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225B" w14:textId="77777777" w:rsidR="001A7132" w:rsidRDefault="001A71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7E92C" w14:textId="77777777" w:rsidR="001A7132" w:rsidRDefault="001A71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20A7" w14:textId="77777777" w:rsidR="001A7132" w:rsidRDefault="001A7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0DA2F" w14:textId="77777777" w:rsidR="008A0ECA" w:rsidRDefault="008A0ECA">
      <w:r>
        <w:separator/>
      </w:r>
    </w:p>
  </w:footnote>
  <w:footnote w:type="continuationSeparator" w:id="0">
    <w:p w14:paraId="45E4B720" w14:textId="77777777" w:rsidR="008A0ECA" w:rsidRDefault="008A0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56A51" w14:textId="77777777" w:rsidR="001A7132" w:rsidRDefault="00000000">
    <w:pPr>
      <w:pStyle w:val="Header"/>
    </w:pPr>
    <w:r>
      <w:pict w14:anchorId="3CAF0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987595" o:spid="_x0000_s1026" type="#_x0000_t136" style="position:absolute;margin-left:0;margin-top:0;width:519.9pt;height:58.6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4212C" w14:textId="77777777" w:rsidR="001A7132" w:rsidRDefault="00000000">
    <w:pPr>
      <w:pStyle w:val="Header"/>
    </w:pPr>
    <w:r>
      <w:pict w14:anchorId="46587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987596" o:spid="_x0000_s1027" type="#_x0000_t136" style="position:absolute;margin-left:0;margin-top:0;width:519.9pt;height:58.6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F5C7" w14:textId="77777777" w:rsidR="001A7132" w:rsidRDefault="00000000">
    <w:pPr>
      <w:ind w:left="2160"/>
      <w:jc w:val="center"/>
      <w:rPr>
        <w:rFonts w:ascii="Times New Roman" w:eastAsia="Calibri" w:hAnsi="Times New Roman"/>
        <w:i/>
        <w:sz w:val="18"/>
        <w:szCs w:val="22"/>
      </w:rPr>
    </w:pPr>
    <w:r>
      <w:pict w14:anchorId="1E378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987594" o:spid="_x0000_s1025" type="#_x0000_t136" style="position:absolute;left:0;text-align:left;margin-left:0;margin-top:0;width:519.9pt;height:58.6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38995E5C" w14:textId="77777777" w:rsidR="001A7132" w:rsidRDefault="00E6565E">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7D63B4E" w14:textId="77777777" w:rsidR="001A7132" w:rsidRDefault="00E6565E">
    <w:pPr>
      <w:jc w:val="center"/>
      <w:rPr>
        <w:rFonts w:ascii="Times New Roman" w:eastAsia="Calibri" w:hAnsi="Times New Roman"/>
        <w:i/>
        <w:sz w:val="18"/>
        <w:szCs w:val="22"/>
      </w:rPr>
    </w:pPr>
    <w:r>
      <w:rPr>
        <w:rFonts w:ascii="Times New Roman" w:eastAsia="Calibri" w:hAnsi="Times New Roman"/>
        <w:i/>
        <w:sz w:val="18"/>
        <w:szCs w:val="22"/>
      </w:rPr>
      <w:t>.</w:t>
    </w:r>
  </w:p>
  <w:p w14:paraId="11E21A1D" w14:textId="77777777" w:rsidR="001A7132" w:rsidRDefault="00E6565E">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30AD2919" w14:textId="77777777" w:rsidR="001A7132" w:rsidRDefault="00E6565E">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40FE43D" w14:textId="77777777" w:rsidR="001A7132" w:rsidRDefault="00E6565E">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B45C121" w14:textId="77777777" w:rsidR="001A7132" w:rsidRDefault="00E6565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2F9C" w14:textId="77777777" w:rsidR="001A7132" w:rsidRDefault="00000000">
    <w:pPr>
      <w:pStyle w:val="Header"/>
    </w:pPr>
    <w:r>
      <w:pict w14:anchorId="77BFB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987598" o:spid="_x0000_s1033" type="#_x0000_t136" style="position:absolute;margin-left:0;margin-top:0;width:519.9pt;height:58.65pt;rotation:315;z-index:-25164800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FD32F" w14:textId="77777777" w:rsidR="001A7132" w:rsidRDefault="00000000">
    <w:pPr>
      <w:pStyle w:val="Header"/>
    </w:pPr>
    <w:r>
      <w:pict w14:anchorId="56A9E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19.9pt;height:58.65pt;rotation:315;z-index:-25164697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D51B" w14:textId="77777777" w:rsidR="001A7132" w:rsidRDefault="00000000">
    <w:pPr>
      <w:pStyle w:val="Header"/>
    </w:pPr>
    <w:r>
      <w:pict w14:anchorId="62EA7C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987597" o:spid="_x0000_s1031" type="#_x0000_t136" style="position:absolute;margin-left:0;margin-top:0;width:519.9pt;height:58.65pt;rotation:315;z-index:-25164902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5B7B8" w14:textId="77777777" w:rsidR="001A7132" w:rsidRDefault="00000000">
    <w:pPr>
      <w:pStyle w:val="Header"/>
    </w:pPr>
    <w:r>
      <w:pict w14:anchorId="70BF2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6987599" o:spid="_x0000_s1030" type="#_x0000_t136" style="position:absolute;margin-left:0;margin-top:0;width:519.9pt;height:58.6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F574B"/>
    <w:multiLevelType w:val="hybridMultilevel"/>
    <w:tmpl w:val="1DD85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719283244">
    <w:abstractNumId w:val="1"/>
  </w:num>
  <w:num w:numId="2" w16cid:durableId="1739791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7"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2030"/>
    <w:rsid w:val="00030174"/>
    <w:rsid w:val="0004579C"/>
    <w:rsid w:val="000A47FA"/>
    <w:rsid w:val="000A65D3"/>
    <w:rsid w:val="000B1E33"/>
    <w:rsid w:val="000D689F"/>
    <w:rsid w:val="000E7B7B"/>
    <w:rsid w:val="000E7D62"/>
    <w:rsid w:val="00103357"/>
    <w:rsid w:val="00123C9F"/>
    <w:rsid w:val="00126190"/>
    <w:rsid w:val="00130F17"/>
    <w:rsid w:val="001320BF"/>
    <w:rsid w:val="001565C7"/>
    <w:rsid w:val="00163BC4"/>
    <w:rsid w:val="00191062"/>
    <w:rsid w:val="00192B72"/>
    <w:rsid w:val="001A29D8"/>
    <w:rsid w:val="001A5CAA"/>
    <w:rsid w:val="001A7132"/>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B7E88"/>
    <w:rsid w:val="002C57D2"/>
    <w:rsid w:val="002E0D56"/>
    <w:rsid w:val="00315186"/>
    <w:rsid w:val="0033343E"/>
    <w:rsid w:val="003512C2"/>
    <w:rsid w:val="00371FB6"/>
    <w:rsid w:val="003763C1"/>
    <w:rsid w:val="00376BBE"/>
    <w:rsid w:val="0039224F"/>
    <w:rsid w:val="003A43A4"/>
    <w:rsid w:val="003A7E18"/>
    <w:rsid w:val="003C3410"/>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5F5822"/>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7352"/>
    <w:rsid w:val="007369E6"/>
    <w:rsid w:val="00746E59"/>
    <w:rsid w:val="00754C9A"/>
    <w:rsid w:val="0075599A"/>
    <w:rsid w:val="00761D52"/>
    <w:rsid w:val="0077749E"/>
    <w:rsid w:val="00790ADA"/>
    <w:rsid w:val="007D2288"/>
    <w:rsid w:val="007E088F"/>
    <w:rsid w:val="007E1548"/>
    <w:rsid w:val="007F7B32"/>
    <w:rsid w:val="00804BC2"/>
    <w:rsid w:val="0081431A"/>
    <w:rsid w:val="0083216F"/>
    <w:rsid w:val="00860000"/>
    <w:rsid w:val="00863BD3"/>
    <w:rsid w:val="008641ED"/>
    <w:rsid w:val="00866D66"/>
    <w:rsid w:val="008671C6"/>
    <w:rsid w:val="00875803"/>
    <w:rsid w:val="008A0ECA"/>
    <w:rsid w:val="008B459E"/>
    <w:rsid w:val="008E13AE"/>
    <w:rsid w:val="008E1506"/>
    <w:rsid w:val="008E710C"/>
    <w:rsid w:val="008F69D6"/>
    <w:rsid w:val="00902823"/>
    <w:rsid w:val="00915CA6"/>
    <w:rsid w:val="00927834"/>
    <w:rsid w:val="009464E9"/>
    <w:rsid w:val="009500A6"/>
    <w:rsid w:val="00957C18"/>
    <w:rsid w:val="009659BA"/>
    <w:rsid w:val="00983040"/>
    <w:rsid w:val="009B3FB9"/>
    <w:rsid w:val="009C2465"/>
    <w:rsid w:val="009C4D63"/>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524C"/>
    <w:rsid w:val="00A94063"/>
    <w:rsid w:val="00AA6219"/>
    <w:rsid w:val="00AA74E0"/>
    <w:rsid w:val="00AB703F"/>
    <w:rsid w:val="00AC6BB8"/>
    <w:rsid w:val="00AE008F"/>
    <w:rsid w:val="00B01FCD"/>
    <w:rsid w:val="00B1776C"/>
    <w:rsid w:val="00B230C0"/>
    <w:rsid w:val="00B43CFE"/>
    <w:rsid w:val="00B52583"/>
    <w:rsid w:val="00B52896"/>
    <w:rsid w:val="00B95236"/>
    <w:rsid w:val="00B96BD9"/>
    <w:rsid w:val="00BA1B01"/>
    <w:rsid w:val="00BA2641"/>
    <w:rsid w:val="00BB37AA"/>
    <w:rsid w:val="00BC53A0"/>
    <w:rsid w:val="00BE62AD"/>
    <w:rsid w:val="00BE64E0"/>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565E"/>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3105E00"/>
    <w:rsid w:val="041F43E0"/>
    <w:rsid w:val="06E6691E"/>
    <w:rsid w:val="091D8D8C"/>
    <w:rsid w:val="0A54268E"/>
    <w:rsid w:val="0A66B81B"/>
    <w:rsid w:val="0C47CABB"/>
    <w:rsid w:val="0C5A4504"/>
    <w:rsid w:val="0C9EF550"/>
    <w:rsid w:val="0E7590A3"/>
    <w:rsid w:val="0F0F04E7"/>
    <w:rsid w:val="11BC2DEA"/>
    <w:rsid w:val="132B623A"/>
    <w:rsid w:val="141AF3B3"/>
    <w:rsid w:val="173714C3"/>
    <w:rsid w:val="1ABE93F4"/>
    <w:rsid w:val="1B2FA641"/>
    <w:rsid w:val="1B5E4B0E"/>
    <w:rsid w:val="1BA3C64F"/>
    <w:rsid w:val="1C6FBE15"/>
    <w:rsid w:val="1C72F8C8"/>
    <w:rsid w:val="1D735DE6"/>
    <w:rsid w:val="1E9D84C7"/>
    <w:rsid w:val="1ED48296"/>
    <w:rsid w:val="1F36E5D3"/>
    <w:rsid w:val="1FA27784"/>
    <w:rsid w:val="1FF2F7F6"/>
    <w:rsid w:val="2038F1F9"/>
    <w:rsid w:val="20BE0F22"/>
    <w:rsid w:val="211CC5AF"/>
    <w:rsid w:val="21A5F723"/>
    <w:rsid w:val="22DD443E"/>
    <w:rsid w:val="24EEED11"/>
    <w:rsid w:val="257B28A1"/>
    <w:rsid w:val="2619E591"/>
    <w:rsid w:val="264C5473"/>
    <w:rsid w:val="269AE3D2"/>
    <w:rsid w:val="28400010"/>
    <w:rsid w:val="2C70E8E0"/>
    <w:rsid w:val="2CEDC6B3"/>
    <w:rsid w:val="2D9646C2"/>
    <w:rsid w:val="2FD922B4"/>
    <w:rsid w:val="3089B873"/>
    <w:rsid w:val="3435757C"/>
    <w:rsid w:val="345CE957"/>
    <w:rsid w:val="3521D059"/>
    <w:rsid w:val="35339DC5"/>
    <w:rsid w:val="3562ABAA"/>
    <w:rsid w:val="3791BCCF"/>
    <w:rsid w:val="37936C3F"/>
    <w:rsid w:val="383BF839"/>
    <w:rsid w:val="3BE5FC8B"/>
    <w:rsid w:val="3C95664F"/>
    <w:rsid w:val="3D828598"/>
    <w:rsid w:val="3DFA5AA3"/>
    <w:rsid w:val="3F085926"/>
    <w:rsid w:val="4036DC4C"/>
    <w:rsid w:val="41878F11"/>
    <w:rsid w:val="441DC0C1"/>
    <w:rsid w:val="460A2461"/>
    <w:rsid w:val="482E2110"/>
    <w:rsid w:val="4905475A"/>
    <w:rsid w:val="490832C1"/>
    <w:rsid w:val="491688C2"/>
    <w:rsid w:val="49C52F66"/>
    <w:rsid w:val="4A8D707E"/>
    <w:rsid w:val="4AF09757"/>
    <w:rsid w:val="4B1CA42E"/>
    <w:rsid w:val="4E9E24F4"/>
    <w:rsid w:val="4F146A99"/>
    <w:rsid w:val="4FC273A0"/>
    <w:rsid w:val="4FF85CF6"/>
    <w:rsid w:val="52EF1DD4"/>
    <w:rsid w:val="53586884"/>
    <w:rsid w:val="54148484"/>
    <w:rsid w:val="54FCC8E9"/>
    <w:rsid w:val="5789C771"/>
    <w:rsid w:val="58A07C06"/>
    <w:rsid w:val="5A8427DB"/>
    <w:rsid w:val="5AE49A44"/>
    <w:rsid w:val="5BF24C9C"/>
    <w:rsid w:val="5D32286C"/>
    <w:rsid w:val="5D6891E7"/>
    <w:rsid w:val="5E237312"/>
    <w:rsid w:val="5F9FD613"/>
    <w:rsid w:val="612A4363"/>
    <w:rsid w:val="676BACD3"/>
    <w:rsid w:val="67AAAACF"/>
    <w:rsid w:val="67EC7979"/>
    <w:rsid w:val="6AD9B011"/>
    <w:rsid w:val="6B2BC5A5"/>
    <w:rsid w:val="6CC2CE7E"/>
    <w:rsid w:val="7206B205"/>
    <w:rsid w:val="73EF4FA6"/>
    <w:rsid w:val="7515688B"/>
    <w:rsid w:val="7617381C"/>
    <w:rsid w:val="7CDA107B"/>
    <w:rsid w:val="7F9A7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color="white">
      <v:fill color="white"/>
    </o:shapedefaults>
    <o:shapelayout v:ext="edit">
      <o:idmap v:ext="edit" data="2"/>
      <o:rules v:ext="edit">
        <o:r id="V:Rule1" type="connector" idref="#_x0000_s2056"/>
      </o:rules>
    </o:shapelayout>
  </w:shapeDefaults>
  <w:decimalSymbol w:val="."/>
  <w:listSeparator w:val=","/>
  <w14:docId w14:val="4113FF37"/>
  <w15:docId w15:val="{E994C73C-85F3-4886-B4D0-8484E122A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deped.gov.ph" TargetMode="Externa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yperlink" Target="https://doi.org/10.1080/174619"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080/17461909231123456"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asiapjournals.org/influence-of-social-media-in-shaping-the-adolescents-political-awareness-participation-and-activism/" TargetMode="External"/><Relationship Id="rId20" Type="http://schemas.openxmlformats.org/officeDocument/2006/relationships/hyperlink" Target="https://doi.org/10.1080/01292986.2024.123456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doi.org/10.1177/0044118X221098765"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nces.ed.gov"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6"/>
    <customShpInfo spid="_x0000_s2057"/>
    <customShpInfo spid="_x0000_s2055"/>
    <customShpInfo spid="_x0000_s2054"/>
    <customShpInfo spid="_x0000_s1026"/>
    <customShpInfo spid="_x0000_s1027"/>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72387C40-C371-4CC2-8F2A-156FC0D4806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19</Pages>
  <Words>8173</Words>
  <Characters>46592</Characters>
  <Application>Microsoft Office Word</Application>
  <DocSecurity>0</DocSecurity>
  <Lines>388</Lines>
  <Paragraphs>109</Paragraphs>
  <ScaleCrop>false</ScaleCrop>
  <Company>aaaa</Company>
  <LinksUpToDate>false</LinksUpToDate>
  <CharactersWithSpaces>54656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Acc 101</cp:lastModifiedBy>
  <cp:revision>16</cp:revision>
  <cp:lastPrinted>1999-07-06T11:00:00Z</cp:lastPrinted>
  <dcterms:created xsi:type="dcterms:W3CDTF">2014-10-25T14:34:00Z</dcterms:created>
  <dcterms:modified xsi:type="dcterms:W3CDTF">2026-03-13T10:26:00Z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eyJoZGlkIjoiMWM4MmVkOTA1MjFjYzMwZWNmZGFhODliZDBjZWU4YWMiLCJ1c2VySWQiOiI4ODEzNTQ0NTA2NjQ3In0=</vt:lpwstr>
  </property>
  <property fmtid="{D5CDD505-2E9C-101B-9397-08002B2CF9AE}" pid="3" name="KSOProductBuildVer">
    <vt:lpwstr>1033-12.1.0.25180</vt:lpwstr>
  </property>
  <property fmtid="{D5CDD505-2E9C-101B-9397-08002B2CF9AE}" pid="4" name="ICV">
    <vt:lpwstr>FF2C3EB9CD7948C7B4FCC5F585B44967_12</vt:lpwstr>
  </property>
</Properties>
</file>