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D74AF" w14:textId="55BC573D" w:rsidR="00754C9A" w:rsidRDefault="001832FA" w:rsidP="00441B6F">
      <w:pPr>
        <w:pStyle w:val="Title"/>
        <w:spacing w:after="0"/>
        <w:jc w:val="both"/>
        <w:rPr>
          <w:rFonts w:ascii="Arial" w:hAnsi="Arial" w:cs="Arial"/>
          <w:u w:val="single"/>
        </w:rPr>
      </w:pPr>
      <w:bookmarkStart w:id="0" w:name="_GoBack"/>
      <w:bookmarkEnd w:id="0"/>
      <w:r w:rsidRPr="001832FA">
        <w:rPr>
          <w:rFonts w:ascii="Arial" w:hAnsi="Arial" w:cs="Arial"/>
          <w:u w:val="single"/>
        </w:rPr>
        <w:t>Original Research Article</w:t>
      </w:r>
    </w:p>
    <w:p w14:paraId="4740579B" w14:textId="77777777" w:rsidR="001832FA" w:rsidRPr="001832FA" w:rsidRDefault="001832FA" w:rsidP="00441B6F">
      <w:pPr>
        <w:pStyle w:val="Title"/>
        <w:spacing w:after="0"/>
        <w:jc w:val="both"/>
        <w:rPr>
          <w:rFonts w:ascii="Arial" w:hAnsi="Arial" w:cs="Arial"/>
          <w:u w:val="single"/>
        </w:rPr>
      </w:pPr>
    </w:p>
    <w:p w14:paraId="4BE23936" w14:textId="4E96901D" w:rsidR="00163BC4" w:rsidRPr="00163BC4" w:rsidRDefault="001D7750" w:rsidP="00441B6F">
      <w:pPr>
        <w:pStyle w:val="Author"/>
        <w:spacing w:line="240" w:lineRule="auto"/>
        <w:rPr>
          <w:rFonts w:ascii="Arial" w:hAnsi="Arial" w:cs="Arial"/>
          <w:bCs/>
          <w:iCs/>
          <w:kern w:val="28"/>
          <w:sz w:val="36"/>
        </w:rPr>
      </w:pPr>
      <w:r>
        <w:rPr>
          <w:rFonts w:ascii="Arial" w:hAnsi="Arial" w:cs="Arial"/>
          <w:bCs/>
          <w:iCs/>
          <w:kern w:val="28"/>
          <w:sz w:val="36"/>
        </w:rPr>
        <w:t>Teacher Interpersonal Behavior and Physical Self-Perception as Predictors of Situational Interest in P</w:t>
      </w:r>
      <w:r w:rsidR="00846FFE">
        <w:rPr>
          <w:rFonts w:ascii="Arial" w:hAnsi="Arial" w:cs="Arial"/>
          <w:bCs/>
          <w:iCs/>
          <w:kern w:val="28"/>
          <w:sz w:val="36"/>
        </w:rPr>
        <w:t>E among University Students in Davao Oriental</w:t>
      </w:r>
      <w:r w:rsidR="00231920">
        <w:rPr>
          <w:rFonts w:ascii="Arial" w:hAnsi="Arial" w:cs="Arial"/>
          <w:bCs/>
          <w:iCs/>
          <w:kern w:val="28"/>
          <w:sz w:val="36"/>
        </w:rPr>
        <w:t xml:space="preserve"> </w:t>
      </w:r>
    </w:p>
    <w:p w14:paraId="40B9AC13" w14:textId="77777777" w:rsidR="00A258C3" w:rsidRPr="00790ADA" w:rsidRDefault="00A258C3" w:rsidP="00441B6F">
      <w:pPr>
        <w:pStyle w:val="Author"/>
        <w:spacing w:line="240" w:lineRule="auto"/>
        <w:jc w:val="both"/>
        <w:rPr>
          <w:rFonts w:ascii="Arial" w:hAnsi="Arial" w:cs="Arial"/>
          <w:sz w:val="36"/>
        </w:rPr>
      </w:pPr>
    </w:p>
    <w:p w14:paraId="1D388C6D" w14:textId="77777777" w:rsidR="00790ADA" w:rsidRDefault="00790ADA" w:rsidP="00441B6F">
      <w:pPr>
        <w:pStyle w:val="Affiliation"/>
        <w:spacing w:after="0" w:line="240" w:lineRule="auto"/>
        <w:jc w:val="both"/>
        <w:rPr>
          <w:rFonts w:ascii="Arial" w:hAnsi="Arial" w:cs="Arial"/>
        </w:rPr>
      </w:pPr>
    </w:p>
    <w:p w14:paraId="1D70043F" w14:textId="77777777" w:rsidR="002C57D2" w:rsidRPr="00FB3A86" w:rsidRDefault="002C57D2" w:rsidP="00441B6F">
      <w:pPr>
        <w:pStyle w:val="Affiliation"/>
        <w:spacing w:after="0" w:line="240" w:lineRule="auto"/>
        <w:jc w:val="both"/>
        <w:rPr>
          <w:rFonts w:ascii="Arial" w:hAnsi="Arial" w:cs="Arial"/>
        </w:rPr>
      </w:pPr>
    </w:p>
    <w:p w14:paraId="6D5FA5C6" w14:textId="77777777" w:rsidR="00B01FCD" w:rsidRPr="00FB3A86" w:rsidRDefault="00810470" w:rsidP="00441B6F">
      <w:pPr>
        <w:pStyle w:val="Copyright"/>
        <w:spacing w:after="0" w:line="240" w:lineRule="auto"/>
        <w:jc w:val="both"/>
        <w:rPr>
          <w:rFonts w:ascii="Arial" w:hAnsi="Arial" w:cs="Arial"/>
        </w:rPr>
        <w:sectPr w:rsidR="00B01FCD" w:rsidRPr="00FB3A86" w:rsidSect="004D3C8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AE9FD1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9678250" w14:textId="2C6664B3" w:rsidR="00B01FCD" w:rsidRDefault="00B01FCD" w:rsidP="00441B6F">
      <w:pPr>
        <w:pStyle w:val="AbstHead"/>
        <w:spacing w:after="0"/>
        <w:jc w:val="both"/>
        <w:rPr>
          <w:rFonts w:ascii="Arial" w:hAnsi="Arial" w:cs="Arial"/>
        </w:rPr>
      </w:pPr>
      <w:r w:rsidRPr="00FB3A86">
        <w:rPr>
          <w:rFonts w:ascii="Arial" w:hAnsi="Arial" w:cs="Arial"/>
        </w:rPr>
        <w:t>ABSTRACT</w:t>
      </w:r>
    </w:p>
    <w:p w14:paraId="62FEE16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E034A51" w14:textId="77777777" w:rsidTr="001E44FE">
        <w:tc>
          <w:tcPr>
            <w:tcW w:w="9576" w:type="dxa"/>
            <w:shd w:val="clear" w:color="auto" w:fill="F2F2F2"/>
          </w:tcPr>
          <w:p w14:paraId="55C552B8" w14:textId="443F8DFA" w:rsidR="00505F06" w:rsidRPr="007F5C99" w:rsidRDefault="009303CC" w:rsidP="007F5C99">
            <w:pPr>
              <w:pStyle w:val="Body"/>
              <w:spacing w:after="0"/>
              <w:rPr>
                <w:lang w:val="en-PH"/>
              </w:rPr>
            </w:pPr>
            <w:r w:rsidRPr="009303CC">
              <w:rPr>
                <w:lang w:val="en-PH"/>
              </w:rPr>
              <w:t>Grounded in Self-Determination Theory, which posits that motivation is enhanced when the basic psychological needs for autonomy, competence, and relatedness are supported, this study examined whether</w:t>
            </w:r>
            <w:r w:rsidR="007F5C99" w:rsidRPr="007F5C99">
              <w:rPr>
                <w:lang w:val="en-PH"/>
              </w:rPr>
              <w:t xml:space="preserve"> teacher interpersonal behavior and physical self-perception significantly </w:t>
            </w:r>
            <w:r w:rsidR="007F5C99">
              <w:rPr>
                <w:lang w:val="en-PH"/>
              </w:rPr>
              <w:t>associated with</w:t>
            </w:r>
            <w:r w:rsidR="007F5C99" w:rsidRPr="007F5C99">
              <w:rPr>
                <w:lang w:val="en-PH"/>
              </w:rPr>
              <w:t xml:space="preserve"> university students’ situational interest (SI) in physical education (PE) in Davao Oriental, Philippines. This paper employed a quantitative, descriptive-correlational method with 369 university students as respondents and utilized validated standardized instrument</w:t>
            </w:r>
            <w:r w:rsidR="007F5C99">
              <w:rPr>
                <w:lang w:val="en-PH"/>
              </w:rPr>
              <w:t>s</w:t>
            </w:r>
            <w:r w:rsidR="007F5C99" w:rsidRPr="007F5C99">
              <w:rPr>
                <w:lang w:val="en-PH"/>
              </w:rPr>
              <w:t xml:space="preserve">. Stratified random sampling was used to obtain an effective representation of participants. In analyzing the data gathered, mean, Pearson r, and multiple linear regression were applied. Results indicated that teacher interpersonal behavior (M = 4.01) and students’ SI in PE (M = 3.92) were rated high, while physical self-perception (M = 3.04) was moderate. Significant positive relationships were found between teacher interpersonal behavior and SI in PE (r = .406, </w:t>
            </w:r>
            <w:r w:rsidR="007F5C99" w:rsidRPr="007F5C99">
              <w:rPr>
                <w:i/>
                <w:iCs/>
                <w:lang w:val="en-PH"/>
              </w:rPr>
              <w:t>P</w:t>
            </w:r>
            <w:r w:rsidR="007F5C99" w:rsidRPr="007F5C99">
              <w:rPr>
                <w:lang w:val="en-PH"/>
              </w:rPr>
              <w:t xml:space="preserve"> = .000), and between physical self-perception and SI in PE (r = .397, </w:t>
            </w:r>
            <w:r w:rsidR="007F5C99" w:rsidRPr="007F5C99">
              <w:rPr>
                <w:i/>
                <w:iCs/>
                <w:lang w:val="en-PH"/>
              </w:rPr>
              <w:t>P</w:t>
            </w:r>
            <w:r w:rsidR="007F5C99" w:rsidRPr="007F5C99">
              <w:rPr>
                <w:lang w:val="en-PH"/>
              </w:rPr>
              <w:t xml:space="preserve"> = .000). Regression analysis further revealed that both variables jointly explained a significant portion of the variance in students’ SI in PE (R² = .202, </w:t>
            </w:r>
            <w:r w:rsidR="007F5C99" w:rsidRPr="007F5C99">
              <w:rPr>
                <w:i/>
                <w:iCs/>
                <w:lang w:val="en-PH"/>
              </w:rPr>
              <w:t>P</w:t>
            </w:r>
            <w:r w:rsidR="007F5C99" w:rsidRPr="007F5C99">
              <w:rPr>
                <w:lang w:val="en-PH"/>
              </w:rPr>
              <w:t xml:space="preserve"> = .001). The findings imply that teachers who demonstrate supportive interpersonal behavior and encourage students’ confidence in their physical abilities can significantly influence students’ SI in PE classes.</w:t>
            </w:r>
          </w:p>
        </w:tc>
      </w:tr>
    </w:tbl>
    <w:p w14:paraId="2F46C75D" w14:textId="77777777" w:rsidR="00636EB2" w:rsidRDefault="00636EB2" w:rsidP="00441B6F">
      <w:pPr>
        <w:pStyle w:val="Body"/>
        <w:spacing w:after="0"/>
        <w:rPr>
          <w:rFonts w:ascii="Arial" w:hAnsi="Arial" w:cs="Arial"/>
          <w:i/>
        </w:rPr>
      </w:pPr>
    </w:p>
    <w:p w14:paraId="495B0EA1" w14:textId="0AB24FD5" w:rsidR="00A24E7E" w:rsidRDefault="00A24E7E" w:rsidP="00441B6F">
      <w:pPr>
        <w:pStyle w:val="Body"/>
        <w:spacing w:after="0"/>
        <w:rPr>
          <w:rFonts w:ascii="Arial" w:hAnsi="Arial" w:cs="Arial"/>
          <w:i/>
        </w:rPr>
      </w:pPr>
      <w:r>
        <w:rPr>
          <w:rFonts w:ascii="Arial" w:hAnsi="Arial" w:cs="Arial"/>
          <w:i/>
        </w:rPr>
        <w:t>Keywords:</w:t>
      </w:r>
      <w:r w:rsidR="001D7750" w:rsidRPr="001D7750">
        <w:rPr>
          <w:rFonts w:ascii="Arial" w:hAnsi="Arial" w:cs="Arial"/>
          <w:i/>
        </w:rPr>
        <w:t xml:space="preserve"> teacher interpersonal behavior, physical self-perception, situational interest in physical education, university students, quantitative research, SDG# 3 (good health and well-being), SDG# 4 (quality education), Philippines</w:t>
      </w:r>
    </w:p>
    <w:p w14:paraId="171DFFAB" w14:textId="77777777" w:rsidR="00505F06" w:rsidRPr="00A24E7E" w:rsidRDefault="00505F06" w:rsidP="00441B6F">
      <w:pPr>
        <w:pStyle w:val="Body"/>
        <w:spacing w:after="0"/>
        <w:rPr>
          <w:rFonts w:ascii="Arial" w:hAnsi="Arial" w:cs="Arial"/>
          <w:i/>
        </w:rPr>
      </w:pPr>
    </w:p>
    <w:p w14:paraId="74E5F46C" w14:textId="2B83450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4DEC101" w14:textId="77777777" w:rsidR="00790ADA" w:rsidRPr="00FB3A86" w:rsidRDefault="00790ADA" w:rsidP="00441B6F">
      <w:pPr>
        <w:pStyle w:val="AbstHead"/>
        <w:spacing w:after="0"/>
        <w:jc w:val="both"/>
        <w:rPr>
          <w:rFonts w:ascii="Arial" w:hAnsi="Arial" w:cs="Arial"/>
        </w:rPr>
      </w:pPr>
    </w:p>
    <w:p w14:paraId="3BF834CC" w14:textId="43B0B409" w:rsidR="00B01FCD" w:rsidRDefault="001D7750" w:rsidP="00441B6F">
      <w:pPr>
        <w:pStyle w:val="Body"/>
        <w:spacing w:after="0"/>
        <w:rPr>
          <w:rFonts w:ascii="Arial" w:hAnsi="Arial" w:cs="Arial"/>
        </w:rPr>
      </w:pPr>
      <w:r w:rsidRPr="001D7750">
        <w:rPr>
          <w:rFonts w:ascii="Arial" w:hAnsi="Arial" w:cs="Arial"/>
        </w:rPr>
        <w:tab/>
        <w:t>Declining students’ interest in physical education poses a significant challenge for educators. For instance, a lack of variety in activities or instructional methods may reduce situational interest, potentially leading to student disengagement. Also, interdisciplinary approaches can sometimes fail to sustain situational interest when the integration of different disciplines is limited or poorly executed (</w:t>
      </w:r>
      <w:proofErr w:type="spellStart"/>
      <w:r w:rsidRPr="001D7750">
        <w:rPr>
          <w:rFonts w:ascii="Arial" w:hAnsi="Arial" w:cs="Arial"/>
        </w:rPr>
        <w:t>Tonnetti</w:t>
      </w:r>
      <w:proofErr w:type="spellEnd"/>
      <w:r w:rsidRPr="001D7750">
        <w:rPr>
          <w:rFonts w:ascii="Arial" w:hAnsi="Arial" w:cs="Arial"/>
        </w:rPr>
        <w:t xml:space="preserve"> &amp; </w:t>
      </w:r>
      <w:proofErr w:type="spellStart"/>
      <w:r w:rsidRPr="001D7750">
        <w:rPr>
          <w:rFonts w:ascii="Arial" w:hAnsi="Arial" w:cs="Arial"/>
        </w:rPr>
        <w:t>Lentillon-Kaestner</w:t>
      </w:r>
      <w:proofErr w:type="spellEnd"/>
      <w:r w:rsidRPr="001D7750">
        <w:rPr>
          <w:rFonts w:ascii="Arial" w:hAnsi="Arial" w:cs="Arial"/>
        </w:rPr>
        <w:t xml:space="preserve">, 2023). Similarly, Chen et al. (2021) highlighted that situational interest often produces immediate engagement, but its motivational effects tend to be temporary unless maintained through carefully designed instruction. Without ongoing reinforcement, its influence fades quickly. Additionally, Aslan et al. (2021) revealed that misconceptions about curiosity can negatively impact situational interest, with students less likely to engage fully in PE if they believe that </w:t>
      </w:r>
      <w:r w:rsidRPr="001D7750">
        <w:rPr>
          <w:rFonts w:ascii="Arial" w:hAnsi="Arial" w:cs="Arial"/>
        </w:rPr>
        <w:lastRenderedPageBreak/>
        <w:t>curiosity is only applicable to certain subjects or activities. These obstacles can lead to disengagement, decreased motivation, and hinder students' overall learning outcomes.</w:t>
      </w:r>
    </w:p>
    <w:p w14:paraId="5030BC45" w14:textId="245E6ECE" w:rsidR="001D7750" w:rsidRDefault="001D7750" w:rsidP="00441B6F">
      <w:pPr>
        <w:pStyle w:val="Body"/>
        <w:spacing w:after="0"/>
        <w:rPr>
          <w:rFonts w:ascii="Arial" w:hAnsi="Arial" w:cs="Arial"/>
        </w:rPr>
      </w:pPr>
      <w:r>
        <w:rPr>
          <w:rFonts w:ascii="Arial" w:hAnsi="Arial" w:cs="Arial"/>
        </w:rPr>
        <w:tab/>
      </w:r>
      <w:r w:rsidRPr="001D7750">
        <w:rPr>
          <w:rFonts w:ascii="Arial" w:hAnsi="Arial" w:cs="Arial"/>
        </w:rPr>
        <w:t>Teachers' interpersonal behaviors can significantly influence students' situational interest within PE setting. Tian and Shen (2023) mentioned that supportive interpersonal behaviors from teachers, such as providing positive feedback and demonstrating care, fostering students' enjoyment, and a sense of autonomy, subsequently promoting situational interest in PE. Meanwhile, situational interest is affected when students exhibit lower physical self-perception. A focus on skill development and cooperative activities potentially boosts the situational interest of those with negative body image (</w:t>
      </w:r>
      <w:proofErr w:type="spellStart"/>
      <w:r w:rsidRPr="001D7750">
        <w:rPr>
          <w:rFonts w:ascii="Arial" w:hAnsi="Arial" w:cs="Arial"/>
        </w:rPr>
        <w:t>Roure</w:t>
      </w:r>
      <w:proofErr w:type="spellEnd"/>
      <w:r w:rsidRPr="001D7750">
        <w:rPr>
          <w:rFonts w:ascii="Arial" w:hAnsi="Arial" w:cs="Arial"/>
        </w:rPr>
        <w:t xml:space="preserve"> &amp; </w:t>
      </w:r>
      <w:proofErr w:type="spellStart"/>
      <w:r w:rsidRPr="001D7750">
        <w:rPr>
          <w:rFonts w:ascii="Arial" w:hAnsi="Arial" w:cs="Arial"/>
        </w:rPr>
        <w:t>Lentillon-Kaestner</w:t>
      </w:r>
      <w:proofErr w:type="spellEnd"/>
      <w:r w:rsidRPr="001D7750">
        <w:rPr>
          <w:rFonts w:ascii="Arial" w:hAnsi="Arial" w:cs="Arial"/>
        </w:rPr>
        <w:t>, 2021).</w:t>
      </w:r>
    </w:p>
    <w:p w14:paraId="4F73C627" w14:textId="7F651C94" w:rsidR="001D7750" w:rsidRDefault="001D7750" w:rsidP="001D7750">
      <w:pPr>
        <w:pStyle w:val="Body"/>
        <w:spacing w:after="0"/>
        <w:ind w:firstLine="720"/>
        <w:rPr>
          <w:rFonts w:ascii="Arial" w:hAnsi="Arial" w:cs="Arial"/>
        </w:rPr>
      </w:pPr>
      <w:r>
        <w:rPr>
          <w:rFonts w:ascii="Arial" w:hAnsi="Arial" w:cs="Arial"/>
        </w:rPr>
        <w:t>Moreover, p</w:t>
      </w:r>
      <w:r w:rsidRPr="001D7750">
        <w:rPr>
          <w:rFonts w:ascii="Arial" w:hAnsi="Arial" w:cs="Arial"/>
        </w:rPr>
        <w:t>hysical self-perception is highly influential in shaping a person's self-esteem and confidence, as it involves both an internal appraisal of one's body and the internalization of external standards from family, peers, and the media (Kim &amp; Ahn, 2021; Sáez et al., 2020). Moreover, an individual's assessment of their body is not a single concept, but rather a complex, multi-dimensional view that includes feelings about their physical health, strength, and appearance (</w:t>
      </w:r>
      <w:proofErr w:type="spellStart"/>
      <w:r w:rsidRPr="001D7750">
        <w:rPr>
          <w:rFonts w:ascii="Arial" w:hAnsi="Arial" w:cs="Arial"/>
        </w:rPr>
        <w:t>Caramenti</w:t>
      </w:r>
      <w:proofErr w:type="spellEnd"/>
      <w:r w:rsidRPr="001D7750">
        <w:rPr>
          <w:rFonts w:ascii="Arial" w:hAnsi="Arial" w:cs="Arial"/>
        </w:rPr>
        <w:t xml:space="preserve"> &amp; Castiglioni, 2022; Wang et al., 2022).</w:t>
      </w:r>
    </w:p>
    <w:p w14:paraId="5709790A" w14:textId="7C2DEBED" w:rsidR="001D7750" w:rsidRDefault="001D7750" w:rsidP="001D7750">
      <w:pPr>
        <w:pStyle w:val="Body"/>
        <w:spacing w:after="0"/>
        <w:ind w:firstLine="720"/>
        <w:rPr>
          <w:rFonts w:ascii="Arial" w:hAnsi="Arial" w:cs="Arial"/>
        </w:rPr>
      </w:pPr>
      <w:r w:rsidRPr="001D7750">
        <w:rPr>
          <w:rFonts w:ascii="Arial" w:hAnsi="Arial" w:cs="Arial"/>
        </w:rPr>
        <w:t>Given that situational interest is context-sensitive and malleable during lesson delivery, measuring it in PE settings provides a practical indicator for monitoring and adapting instructional strategies to support student motivation in real time. Teachers should intentionally design physical-education tasks that incorporate novelty, enjoyment, challenge, and relevance to ignite and sustain students’ situational interest, thereby enhancing engagement and involvement (</w:t>
      </w:r>
      <w:proofErr w:type="spellStart"/>
      <w:r w:rsidRPr="001D7750">
        <w:rPr>
          <w:rFonts w:ascii="Arial" w:hAnsi="Arial" w:cs="Arial"/>
        </w:rPr>
        <w:t>Hudo</w:t>
      </w:r>
      <w:proofErr w:type="spellEnd"/>
      <w:r w:rsidRPr="001D7750">
        <w:rPr>
          <w:rFonts w:ascii="Arial" w:hAnsi="Arial" w:cs="Arial"/>
        </w:rPr>
        <w:t xml:space="preserve"> &amp; Perlman, 2024).</w:t>
      </w:r>
      <w:r>
        <w:rPr>
          <w:rFonts w:ascii="Arial" w:hAnsi="Arial" w:cs="Arial"/>
        </w:rPr>
        <w:t xml:space="preserve"> </w:t>
      </w:r>
      <w:r w:rsidRPr="001D7750">
        <w:rPr>
          <w:rFonts w:ascii="Arial" w:hAnsi="Arial" w:cs="Arial"/>
        </w:rPr>
        <w:t xml:space="preserve">Additionally, </w:t>
      </w:r>
      <w:proofErr w:type="spellStart"/>
      <w:r w:rsidRPr="001D7750">
        <w:rPr>
          <w:rFonts w:ascii="Arial" w:hAnsi="Arial" w:cs="Arial"/>
        </w:rPr>
        <w:t>Lentillon-Kaestner</w:t>
      </w:r>
      <w:proofErr w:type="spellEnd"/>
      <w:r w:rsidRPr="001D7750">
        <w:rPr>
          <w:rFonts w:ascii="Arial" w:hAnsi="Arial" w:cs="Arial"/>
        </w:rPr>
        <w:t xml:space="preserve"> and </w:t>
      </w:r>
      <w:proofErr w:type="spellStart"/>
      <w:r w:rsidRPr="001D7750">
        <w:rPr>
          <w:rFonts w:ascii="Arial" w:hAnsi="Arial" w:cs="Arial"/>
        </w:rPr>
        <w:t>Roure</w:t>
      </w:r>
      <w:proofErr w:type="spellEnd"/>
      <w:r w:rsidRPr="001D7750">
        <w:rPr>
          <w:rFonts w:ascii="Arial" w:hAnsi="Arial" w:cs="Arial"/>
        </w:rPr>
        <w:t xml:space="preserve"> (2023) mentioned that to enhance students’ situational interest in PE lessons using the reciprocal teaching style, teachers should allow self-selected dyads rather than ability-based pairings, because self-selection yielded higher SI and feelings of relatedness.</w:t>
      </w:r>
    </w:p>
    <w:p w14:paraId="74658BB6" w14:textId="77777777" w:rsidR="001D7750" w:rsidRPr="001D7750" w:rsidRDefault="001D7750" w:rsidP="001D7750">
      <w:pPr>
        <w:pStyle w:val="Body"/>
        <w:spacing w:after="0"/>
        <w:ind w:firstLine="720"/>
        <w:rPr>
          <w:rFonts w:ascii="Arial" w:hAnsi="Arial" w:cs="Arial"/>
        </w:rPr>
      </w:pPr>
      <w:r w:rsidRPr="001D7750">
        <w:rPr>
          <w:rFonts w:ascii="Arial" w:hAnsi="Arial" w:cs="Arial"/>
        </w:rPr>
        <w:t>Although numerous studies have explored the links between teacher interpersonal behavior, physical self</w:t>
      </w:r>
      <w:r w:rsidRPr="001D7750">
        <w:rPr>
          <w:rFonts w:ascii="Cambria Math" w:hAnsi="Cambria Math" w:cs="Cambria Math"/>
        </w:rPr>
        <w:t>‑</w:t>
      </w:r>
      <w:r w:rsidRPr="001D7750">
        <w:rPr>
          <w:rFonts w:ascii="Arial" w:hAnsi="Arial" w:cs="Arial"/>
        </w:rPr>
        <w:t>perception, and situational interest in physical education, critical gaps remain. Empirically, findings remain inconsistent: the systematic review by Tian and Shen (2023) confirmed a relationship between perceived supportive teacher behavior and students’ psychological well-being and activity levels in PE but also noted that the evidence is still insufficient regarding the effects on situational interest.</w:t>
      </w:r>
    </w:p>
    <w:p w14:paraId="76ADC983" w14:textId="77777777" w:rsidR="001D7750" w:rsidRPr="001D7750" w:rsidRDefault="001D7750" w:rsidP="001D7750">
      <w:pPr>
        <w:pStyle w:val="Body"/>
        <w:spacing w:after="0"/>
        <w:ind w:firstLine="720"/>
        <w:rPr>
          <w:rFonts w:ascii="Arial" w:hAnsi="Arial" w:cs="Arial"/>
        </w:rPr>
      </w:pPr>
      <w:r w:rsidRPr="001D7750">
        <w:rPr>
          <w:rFonts w:ascii="Arial" w:hAnsi="Arial" w:cs="Arial"/>
        </w:rPr>
        <w:t>Contextually, almost no research has examined these dynamics in the unique socio</w:t>
      </w:r>
      <w:r w:rsidRPr="001D7750">
        <w:rPr>
          <w:rFonts w:ascii="Cambria Math" w:hAnsi="Cambria Math" w:cs="Cambria Math"/>
        </w:rPr>
        <w:t>‑</w:t>
      </w:r>
      <w:r w:rsidRPr="001D7750">
        <w:rPr>
          <w:rFonts w:ascii="Arial" w:hAnsi="Arial" w:cs="Arial"/>
        </w:rPr>
        <w:t xml:space="preserve">cultural and educational environment of Davao Oriental or broader Philippine higher education, despite localized studies such as </w:t>
      </w:r>
      <w:proofErr w:type="spellStart"/>
      <w:r w:rsidRPr="001D7750">
        <w:rPr>
          <w:rFonts w:ascii="Arial" w:hAnsi="Arial" w:cs="Arial"/>
        </w:rPr>
        <w:t>Barlizo</w:t>
      </w:r>
      <w:proofErr w:type="spellEnd"/>
      <w:r w:rsidRPr="001D7750">
        <w:rPr>
          <w:rFonts w:ascii="Arial" w:hAnsi="Arial" w:cs="Arial"/>
        </w:rPr>
        <w:t xml:space="preserve"> et al. (2022), which examined related constructs like anxiety and motivation but neither teacher interpersonal behavior nor physical self</w:t>
      </w:r>
      <w:r w:rsidRPr="001D7750">
        <w:rPr>
          <w:rFonts w:ascii="Cambria Math" w:hAnsi="Cambria Math" w:cs="Cambria Math"/>
        </w:rPr>
        <w:t>‑</w:t>
      </w:r>
      <w:r w:rsidRPr="001D7750">
        <w:rPr>
          <w:rFonts w:ascii="Arial" w:hAnsi="Arial" w:cs="Arial"/>
        </w:rPr>
        <w:t>perception as predictors of situational interest.</w:t>
      </w:r>
    </w:p>
    <w:p w14:paraId="0418A54C" w14:textId="77777777" w:rsidR="001D7750" w:rsidRPr="001D7750" w:rsidRDefault="001D7750" w:rsidP="001D7750">
      <w:pPr>
        <w:pStyle w:val="Body"/>
        <w:spacing w:after="0"/>
        <w:ind w:firstLine="720"/>
        <w:rPr>
          <w:rFonts w:ascii="Arial" w:hAnsi="Arial" w:cs="Arial"/>
        </w:rPr>
      </w:pPr>
      <w:r w:rsidRPr="001D7750">
        <w:rPr>
          <w:rFonts w:ascii="Arial" w:hAnsi="Arial" w:cs="Arial"/>
        </w:rPr>
        <w:t>Lastly, there is a lack of localized, applied guidance for PE instructors in Davao Oriental on how to leverage interpersonal teaching strategies alongside students’ physical self</w:t>
      </w:r>
      <w:r w:rsidRPr="001D7750">
        <w:rPr>
          <w:rFonts w:ascii="Cambria Math" w:hAnsi="Cambria Math" w:cs="Cambria Math"/>
        </w:rPr>
        <w:t>‑</w:t>
      </w:r>
      <w:r w:rsidRPr="001D7750">
        <w:rPr>
          <w:rFonts w:ascii="Arial" w:hAnsi="Arial" w:cs="Arial"/>
        </w:rPr>
        <w:t>perceptions to foster situational interest. Addressing these gaps is crucial for developing a comprehensive understanding of the dynamics at play in physical education settings, ultimately informing more effective teaching practices and interventions. For these reasons, this study aims to investigate the influence of teacher interpersonal behaviors and physical self-perception as predictors of situational interest in physical education.</w:t>
      </w:r>
    </w:p>
    <w:p w14:paraId="408A0E14" w14:textId="7BACCC85" w:rsidR="001D7750" w:rsidRPr="001D7750" w:rsidRDefault="001D7750" w:rsidP="001D7750">
      <w:pPr>
        <w:pStyle w:val="Body"/>
        <w:spacing w:after="0"/>
        <w:ind w:firstLine="720"/>
        <w:rPr>
          <w:rFonts w:ascii="Arial" w:hAnsi="Arial" w:cs="Arial"/>
        </w:rPr>
      </w:pPr>
      <w:r w:rsidRPr="001D7750">
        <w:rPr>
          <w:rFonts w:ascii="Arial" w:hAnsi="Arial" w:cs="Arial"/>
        </w:rPr>
        <w:t xml:space="preserve">Specifically, it aims to determine the following: the level of teacher interpersonal behavior in terms of autonomy-supportive behaviors, competence-supportive behaviors, relatedness-supportive behaviors, autonomy-thwarting behaviors, competence-thwarting behaviors, and relatedness-thwarting behaviors;  the level of physical self-perception in terms of sports competence, physical conditioning, body attractiveness, and physical strength; the level of student situational interest in PE in terms of total interest, instant enjoyment, exploration intention, attention demand, challenge, and novelty; the relationship between interpersonal behaviors and student situational interest in PE; the relationship between physical self-perception and student situational interest in PE; and whether teacher </w:t>
      </w:r>
      <w:r w:rsidRPr="001D7750">
        <w:rPr>
          <w:rFonts w:ascii="Arial" w:hAnsi="Arial" w:cs="Arial"/>
        </w:rPr>
        <w:lastRenderedPageBreak/>
        <w:t>interpersonal behavior and physical self-perception significantly predict the student situational interest in PE.</w:t>
      </w:r>
    </w:p>
    <w:p w14:paraId="5CCE2EA5" w14:textId="77777777" w:rsidR="00B902CB" w:rsidRDefault="001D7750" w:rsidP="00B902CB">
      <w:pPr>
        <w:pStyle w:val="Body"/>
        <w:spacing w:after="0"/>
        <w:ind w:firstLine="720"/>
        <w:rPr>
          <w:rFonts w:ascii="Arial" w:hAnsi="Arial" w:cs="Arial"/>
        </w:rPr>
      </w:pPr>
      <w:r w:rsidRPr="001D7750">
        <w:rPr>
          <w:rFonts w:ascii="Arial" w:hAnsi="Arial" w:cs="Arial"/>
        </w:rPr>
        <w:t>Moreover, the hypotheses in this study, which were tested at a 0.05 level of significance, state that</w:t>
      </w:r>
      <w:r w:rsidR="00B902CB">
        <w:rPr>
          <w:rFonts w:ascii="Arial" w:hAnsi="Arial" w:cs="Arial"/>
        </w:rPr>
        <w:t>:</w:t>
      </w:r>
    </w:p>
    <w:p w14:paraId="548A153F" w14:textId="4FA7FCFB" w:rsidR="00B902CB" w:rsidRPr="00B902CB" w:rsidRDefault="00B902CB" w:rsidP="00B902CB">
      <w:pPr>
        <w:pStyle w:val="Body"/>
        <w:spacing w:after="0"/>
        <w:ind w:firstLine="720"/>
        <w:rPr>
          <w:rFonts w:ascii="Arial" w:hAnsi="Arial" w:cs="Arial"/>
        </w:rPr>
      </w:pPr>
      <w:r w:rsidRPr="00B902CB">
        <w:rPr>
          <w:rFonts w:ascii="Arial" w:hAnsi="Arial" w:cs="Arial"/>
          <w:lang w:val="en-PH"/>
        </w:rPr>
        <w:t>H</w:t>
      </w:r>
      <w:r w:rsidRPr="00CF4E66">
        <w:rPr>
          <w:rFonts w:ascii="Arial" w:hAnsi="Arial" w:cs="Arial"/>
          <w:vertAlign w:val="subscript"/>
          <w:lang w:val="en-PH"/>
        </w:rPr>
        <w:t>1</w:t>
      </w:r>
      <w:r w:rsidRPr="00B902CB">
        <w:rPr>
          <w:rFonts w:ascii="Arial" w:hAnsi="Arial" w:cs="Arial"/>
          <w:lang w:val="en-PH"/>
        </w:rPr>
        <w:t xml:space="preserve">: </w:t>
      </w:r>
      <w:r w:rsidR="00CF4E66">
        <w:rPr>
          <w:rFonts w:ascii="Arial" w:hAnsi="Arial" w:cs="Arial"/>
          <w:lang w:val="en-PH"/>
        </w:rPr>
        <w:t>t</w:t>
      </w:r>
      <w:r w:rsidRPr="00B902CB">
        <w:rPr>
          <w:rFonts w:ascii="Arial" w:hAnsi="Arial" w:cs="Arial"/>
          <w:lang w:val="en-PH"/>
        </w:rPr>
        <w:t>eacher interpersonal behavior is significantly associated with situational interest</w:t>
      </w:r>
      <w:r w:rsidR="00CF4E66">
        <w:rPr>
          <w:rFonts w:ascii="Arial" w:hAnsi="Arial" w:cs="Arial"/>
          <w:lang w:val="en-PH"/>
        </w:rPr>
        <w:t>;</w:t>
      </w:r>
    </w:p>
    <w:p w14:paraId="3A94430A" w14:textId="055BED1A" w:rsidR="00B902CB" w:rsidRDefault="00B902CB" w:rsidP="00B902CB">
      <w:pPr>
        <w:pStyle w:val="Body"/>
        <w:spacing w:after="0"/>
        <w:ind w:firstLine="720"/>
        <w:rPr>
          <w:rFonts w:ascii="Arial" w:hAnsi="Arial" w:cs="Arial"/>
          <w:lang w:val="en-GB"/>
        </w:rPr>
      </w:pPr>
      <w:r w:rsidRPr="00B902CB">
        <w:rPr>
          <w:rFonts w:ascii="Arial" w:hAnsi="Arial" w:cs="Arial"/>
          <w:lang w:val="en-PH"/>
        </w:rPr>
        <w:t>H</w:t>
      </w:r>
      <w:r w:rsidRPr="00CF4E66">
        <w:rPr>
          <w:rFonts w:ascii="Arial" w:hAnsi="Arial" w:cs="Arial"/>
          <w:vertAlign w:val="subscript"/>
          <w:lang w:val="en-PH"/>
        </w:rPr>
        <w:t>2</w:t>
      </w:r>
      <w:r w:rsidRPr="00B902CB">
        <w:rPr>
          <w:rFonts w:ascii="Arial" w:hAnsi="Arial" w:cs="Arial"/>
          <w:lang w:val="en-PH"/>
        </w:rPr>
        <w:t xml:space="preserve">: </w:t>
      </w:r>
      <w:r w:rsidR="00CF4E66">
        <w:rPr>
          <w:rFonts w:ascii="Arial" w:hAnsi="Arial" w:cs="Arial"/>
          <w:lang w:val="en-PH"/>
        </w:rPr>
        <w:t>p</w:t>
      </w:r>
      <w:r w:rsidRPr="00B902CB">
        <w:rPr>
          <w:rFonts w:ascii="Arial" w:hAnsi="Arial" w:cs="Arial"/>
          <w:lang w:val="en-PH"/>
        </w:rPr>
        <w:t>hysical self-perception is significantly associated with situational interest</w:t>
      </w:r>
      <w:r w:rsidR="00CF4E66">
        <w:rPr>
          <w:rFonts w:ascii="Arial" w:hAnsi="Arial" w:cs="Arial"/>
          <w:lang w:val="en-PH"/>
        </w:rPr>
        <w:t>; and</w:t>
      </w:r>
    </w:p>
    <w:p w14:paraId="1058A650" w14:textId="7F3C88DE" w:rsidR="00B902CB" w:rsidRDefault="00B902CB" w:rsidP="00B902CB">
      <w:pPr>
        <w:pStyle w:val="Body"/>
        <w:spacing w:after="0"/>
        <w:ind w:firstLine="720"/>
        <w:rPr>
          <w:rFonts w:ascii="Arial" w:hAnsi="Arial" w:cs="Arial"/>
          <w:lang w:val="en-GB"/>
        </w:rPr>
      </w:pPr>
      <w:r w:rsidRPr="00B902CB">
        <w:rPr>
          <w:rFonts w:ascii="Arial" w:hAnsi="Arial" w:cs="Arial"/>
          <w:lang w:val="en-PH"/>
        </w:rPr>
        <w:t>H</w:t>
      </w:r>
      <w:r w:rsidRPr="00CF4E66">
        <w:rPr>
          <w:rFonts w:ascii="Arial" w:hAnsi="Arial" w:cs="Arial"/>
          <w:vertAlign w:val="subscript"/>
          <w:lang w:val="en-PH"/>
        </w:rPr>
        <w:t>3</w:t>
      </w:r>
      <w:r w:rsidRPr="00B902CB">
        <w:rPr>
          <w:rFonts w:ascii="Arial" w:hAnsi="Arial" w:cs="Arial"/>
          <w:lang w:val="en-PH"/>
        </w:rPr>
        <w:t xml:space="preserve">: </w:t>
      </w:r>
      <w:r w:rsidR="00CF4E66">
        <w:rPr>
          <w:rFonts w:ascii="Arial" w:hAnsi="Arial" w:cs="Arial"/>
          <w:lang w:val="en-PH"/>
        </w:rPr>
        <w:t>t</w:t>
      </w:r>
      <w:r w:rsidRPr="00B902CB">
        <w:rPr>
          <w:rFonts w:ascii="Arial" w:hAnsi="Arial" w:cs="Arial"/>
          <w:lang w:val="en-PH"/>
        </w:rPr>
        <w:t>eacher interpersonal behavior and physical self-perception significantly predict situational interest.</w:t>
      </w:r>
    </w:p>
    <w:p w14:paraId="56983B66" w14:textId="48FA628A" w:rsidR="001D7750" w:rsidRPr="00B902CB" w:rsidRDefault="001D7750" w:rsidP="00B902CB">
      <w:pPr>
        <w:pStyle w:val="Body"/>
        <w:spacing w:after="0"/>
        <w:ind w:firstLine="720"/>
        <w:rPr>
          <w:rFonts w:ascii="Arial" w:hAnsi="Arial" w:cs="Arial"/>
          <w:lang w:val="en-GB"/>
        </w:rPr>
      </w:pPr>
      <w:r w:rsidRPr="001D7750">
        <w:rPr>
          <w:rFonts w:ascii="Arial" w:hAnsi="Arial" w:cs="Arial"/>
        </w:rPr>
        <w:t>Furthermore, this study is grounded in Self-Determination Theory (SDT). SDT of Ryan and Deci (2017) involves examining how teachers' supportive behaviors can fulfill students' basic psychological needs for autonomy, competence, and relatedness. In the context of PE, teachers</w:t>
      </w:r>
      <w:r w:rsidR="009F6FBF">
        <w:rPr>
          <w:rFonts w:ascii="Arial" w:hAnsi="Arial" w:cs="Arial"/>
        </w:rPr>
        <w:t xml:space="preserve"> </w:t>
      </w:r>
      <w:r>
        <w:rPr>
          <w:rFonts w:ascii="Arial" w:hAnsi="Arial" w:cs="Arial"/>
        </w:rPr>
        <w:t xml:space="preserve">who </w:t>
      </w:r>
      <w:r w:rsidRPr="001D7750">
        <w:rPr>
          <w:rFonts w:ascii="Arial" w:hAnsi="Arial" w:cs="Arial"/>
        </w:rPr>
        <w:t>encourage student choice and self-directed learning (autonomy), provide constructive feedback and recognize students' efforts (competence), and create a supportive and inclusive environment (relatedness) can enhance students' situational interest.</w:t>
      </w:r>
    </w:p>
    <w:p w14:paraId="0EC77271" w14:textId="11A27A21" w:rsidR="001D7750" w:rsidRPr="00B902CB" w:rsidRDefault="001D7750" w:rsidP="00B902CB">
      <w:pPr>
        <w:pStyle w:val="Body"/>
        <w:spacing w:after="0"/>
        <w:ind w:firstLine="720"/>
        <w:rPr>
          <w:rFonts w:ascii="Arial" w:hAnsi="Arial" w:cs="Arial"/>
        </w:rPr>
      </w:pPr>
      <w:r w:rsidRPr="001D7750">
        <w:rPr>
          <w:rFonts w:ascii="Arial" w:hAnsi="Arial" w:cs="Arial"/>
        </w:rPr>
        <w:t>Supporting this framework, the Interest Theory of Renninger and Su (2012) further explain</w:t>
      </w:r>
      <w:r>
        <w:rPr>
          <w:rFonts w:ascii="Arial" w:hAnsi="Arial" w:cs="Arial"/>
        </w:rPr>
        <w:t>s</w:t>
      </w:r>
      <w:r w:rsidRPr="001D7750">
        <w:rPr>
          <w:rFonts w:ascii="Arial" w:hAnsi="Arial" w:cs="Arial"/>
        </w:rPr>
        <w:t xml:space="preserve"> that interest is influenced by various factors such as biological predispositions, environmental influences, and personal experiences. Individuals' interactions with others can significantly impact their interests.  Teacher interpersonal behavior aligns with the theory's emphasis on environmental influences and personal experiences. As outlined by Yu et al (2020), positive social interactions, such as those fostered by supportive teachers, can significantly impact students' interest development. A teacher's behavior can act as a catalyst, either encouraging or discouraging student engagement in PE.</w:t>
      </w:r>
      <w:r w:rsidR="00B902CB">
        <w:rPr>
          <w:rFonts w:ascii="Arial" w:hAnsi="Arial" w:cs="Arial"/>
        </w:rPr>
        <w:t xml:space="preserve"> </w:t>
      </w:r>
      <w:r w:rsidRPr="001D7750">
        <w:rPr>
          <w:rFonts w:ascii="Arial" w:hAnsi="Arial" w:cs="Arial"/>
        </w:rPr>
        <w:t>On the other hand, students' physical self-perception relates to the theory's consideration of personal experiences. Nicolosi et al. (2021) highlights the role of individuals' perceptions of their physical abilities and appearance in shaping their interest levels. A student's confidence and comfort level in PE, influenced by their self-perception, can directly impact their situational interest. Together, these theories form the foundation for understanding teacher interpersonal behavior and physical self-perception as predictors of student situational interest in physical education.</w:t>
      </w:r>
    </w:p>
    <w:p w14:paraId="011C3330" w14:textId="6A16EED1" w:rsidR="001D7750" w:rsidRPr="00B902CB" w:rsidRDefault="00B902CB" w:rsidP="001D7750">
      <w:pPr>
        <w:pStyle w:val="Body"/>
        <w:spacing w:after="0"/>
        <w:ind w:firstLine="720"/>
        <w:rPr>
          <w:rFonts w:ascii="Arial" w:hAnsi="Arial" w:cs="Arial"/>
        </w:rPr>
      </w:pPr>
      <w:r w:rsidRPr="00B902CB">
        <w:rPr>
          <w:rFonts w:ascii="Arial" w:hAnsi="Arial" w:cs="Arial"/>
        </w:rPr>
        <w:t xml:space="preserve">Aligned with the formed theories, a conceptual framework showing the direct influence of teacher interpersonal behavior and physical self-perception as predictors of student situational interest in PE is constructed by the researcher. The first independent variable is the Teacher Interpersonal Behavior, which has six indicators, namely: autonomy-supportive behaviors, competence-supportive behaviors, relatedness-supportive behaviors, autonomy-thwarting behaviors, competence-thwarting behaviors, and relatedness-thwarting behaviors. The second independent variable is Physical Self-Perception, which has four indicators, namely sports competence, physical conditioning, body attractiveness, and physical strength. The dependent variable of the study is the Situational Interest in PE, which has six indicators, namely </w:t>
      </w:r>
      <w:bookmarkStart w:id="1" w:name="_Hlk158987721"/>
      <w:r w:rsidRPr="00B902CB">
        <w:rPr>
          <w:rFonts w:ascii="Arial" w:hAnsi="Arial" w:cs="Arial"/>
        </w:rPr>
        <w:t>total interest, instant enjoyment, exploration intention, attention demand, challenge, and novelty.</w:t>
      </w:r>
      <w:bookmarkEnd w:id="1"/>
      <w:r w:rsidRPr="00B902CB">
        <w:rPr>
          <w:rFonts w:ascii="Arial" w:hAnsi="Arial" w:cs="Arial"/>
        </w:rPr>
        <w:t xml:space="preserve"> Shown in Figure 1 is the conceptual framework of the study.</w:t>
      </w:r>
    </w:p>
    <w:p w14:paraId="763E912C" w14:textId="382E28EE" w:rsidR="00B902CB" w:rsidRDefault="009F6FBF" w:rsidP="001D7750">
      <w:pPr>
        <w:pStyle w:val="Body"/>
        <w:spacing w:after="0"/>
        <w:ind w:firstLine="720"/>
        <w:rPr>
          <w:rFonts w:ascii="Arial" w:hAnsi="Arial" w:cs="Arial"/>
        </w:rPr>
      </w:pPr>
      <w:r>
        <w:rPr>
          <w:rFonts w:ascii="Times New Roman" w:hAnsi="Times New Roman"/>
          <w:noProof/>
        </w:rPr>
        <w:drawing>
          <wp:anchor distT="0" distB="0" distL="114300" distR="114300" simplePos="0" relativeHeight="251658240" behindDoc="0" locked="0" layoutInCell="1" allowOverlap="1" wp14:anchorId="37F4C404" wp14:editId="3A98A95D">
            <wp:simplePos x="0" y="0"/>
            <wp:positionH relativeFrom="column">
              <wp:posOffset>1402080</wp:posOffset>
            </wp:positionH>
            <wp:positionV relativeFrom="paragraph">
              <wp:posOffset>16510</wp:posOffset>
            </wp:positionV>
            <wp:extent cx="2537460" cy="1661795"/>
            <wp:effectExtent l="0" t="0" r="0" b="0"/>
            <wp:wrapNone/>
            <wp:docPr id="103069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37460" cy="1661795"/>
                    </a:xfrm>
                    <a:prstGeom prst="rect">
                      <a:avLst/>
                    </a:prstGeom>
                    <a:noFill/>
                  </pic:spPr>
                </pic:pic>
              </a:graphicData>
            </a:graphic>
            <wp14:sizeRelH relativeFrom="page">
              <wp14:pctWidth>0</wp14:pctWidth>
            </wp14:sizeRelH>
            <wp14:sizeRelV relativeFrom="page">
              <wp14:pctHeight>0</wp14:pctHeight>
            </wp14:sizeRelV>
          </wp:anchor>
        </w:drawing>
      </w:r>
    </w:p>
    <w:p w14:paraId="706BBEAA" w14:textId="55945FDB" w:rsidR="00B902CB" w:rsidRDefault="00B902CB" w:rsidP="001D7750">
      <w:pPr>
        <w:pStyle w:val="Body"/>
        <w:spacing w:after="0"/>
        <w:ind w:firstLine="720"/>
        <w:rPr>
          <w:rFonts w:ascii="Arial" w:hAnsi="Arial" w:cs="Arial"/>
        </w:rPr>
      </w:pPr>
    </w:p>
    <w:p w14:paraId="3E6A846D" w14:textId="013642CC" w:rsidR="00B902CB" w:rsidRDefault="00B902CB" w:rsidP="001D7750">
      <w:pPr>
        <w:pStyle w:val="Body"/>
        <w:spacing w:after="0"/>
        <w:ind w:firstLine="720"/>
        <w:rPr>
          <w:rFonts w:ascii="Arial" w:hAnsi="Arial" w:cs="Arial"/>
        </w:rPr>
      </w:pPr>
    </w:p>
    <w:p w14:paraId="67E77277" w14:textId="307BA169" w:rsidR="00B902CB" w:rsidRDefault="00B902CB" w:rsidP="001D7750">
      <w:pPr>
        <w:pStyle w:val="Body"/>
        <w:spacing w:after="0"/>
        <w:ind w:firstLine="720"/>
        <w:rPr>
          <w:rFonts w:ascii="Arial" w:hAnsi="Arial" w:cs="Arial"/>
        </w:rPr>
      </w:pPr>
    </w:p>
    <w:p w14:paraId="07E038E2" w14:textId="77777777" w:rsidR="00B902CB" w:rsidRDefault="00B902CB" w:rsidP="001D7750">
      <w:pPr>
        <w:pStyle w:val="Body"/>
        <w:spacing w:after="0"/>
        <w:ind w:firstLine="720"/>
        <w:rPr>
          <w:rFonts w:ascii="Arial" w:hAnsi="Arial" w:cs="Arial"/>
        </w:rPr>
      </w:pPr>
    </w:p>
    <w:p w14:paraId="65BB1BA4" w14:textId="77777777" w:rsidR="00B902CB" w:rsidRDefault="00B902CB" w:rsidP="001D7750">
      <w:pPr>
        <w:pStyle w:val="Body"/>
        <w:spacing w:after="0"/>
        <w:ind w:firstLine="720"/>
        <w:rPr>
          <w:rFonts w:ascii="Arial" w:hAnsi="Arial" w:cs="Arial"/>
        </w:rPr>
      </w:pPr>
    </w:p>
    <w:p w14:paraId="31A8B948" w14:textId="77777777" w:rsidR="00B902CB" w:rsidRDefault="00B902CB" w:rsidP="001D7750">
      <w:pPr>
        <w:pStyle w:val="Body"/>
        <w:spacing w:after="0"/>
        <w:ind w:firstLine="720"/>
        <w:rPr>
          <w:rFonts w:ascii="Arial" w:hAnsi="Arial" w:cs="Arial"/>
        </w:rPr>
      </w:pPr>
    </w:p>
    <w:p w14:paraId="0688A8A9" w14:textId="77777777" w:rsidR="00B902CB" w:rsidRDefault="00B902CB" w:rsidP="001D7750">
      <w:pPr>
        <w:pStyle w:val="Body"/>
        <w:spacing w:after="0"/>
        <w:ind w:firstLine="720"/>
        <w:rPr>
          <w:rFonts w:ascii="Arial" w:hAnsi="Arial" w:cs="Arial"/>
        </w:rPr>
      </w:pPr>
    </w:p>
    <w:p w14:paraId="7D1BF150" w14:textId="77777777" w:rsidR="00B902CB" w:rsidRDefault="00B902CB" w:rsidP="001D7750">
      <w:pPr>
        <w:pStyle w:val="Body"/>
        <w:spacing w:after="0"/>
        <w:ind w:firstLine="720"/>
        <w:rPr>
          <w:rFonts w:ascii="Arial" w:hAnsi="Arial" w:cs="Arial"/>
        </w:rPr>
      </w:pPr>
    </w:p>
    <w:p w14:paraId="55289258" w14:textId="77777777" w:rsidR="00B902CB" w:rsidRDefault="00B902CB" w:rsidP="001D7750">
      <w:pPr>
        <w:pStyle w:val="Body"/>
        <w:spacing w:after="0"/>
        <w:ind w:firstLine="720"/>
        <w:rPr>
          <w:rFonts w:ascii="Arial" w:hAnsi="Arial" w:cs="Arial"/>
        </w:rPr>
      </w:pPr>
    </w:p>
    <w:p w14:paraId="7304897D" w14:textId="77777777" w:rsidR="00810470" w:rsidRDefault="00810470" w:rsidP="00810470">
      <w:pPr>
        <w:pStyle w:val="Body"/>
        <w:spacing w:after="0"/>
        <w:rPr>
          <w:rFonts w:ascii="Arial" w:hAnsi="Arial" w:cs="Arial"/>
        </w:rPr>
      </w:pPr>
    </w:p>
    <w:p w14:paraId="20F223D9" w14:textId="5E6E8073" w:rsidR="00B902CB" w:rsidRDefault="00810470" w:rsidP="00810470">
      <w:pPr>
        <w:pStyle w:val="Body"/>
        <w:spacing w:after="0"/>
        <w:rPr>
          <w:rFonts w:ascii="Arial" w:hAnsi="Arial" w:cs="Arial"/>
        </w:rPr>
      </w:pPr>
      <w:r>
        <w:rPr>
          <w:rFonts w:ascii="Times New Roman" w:hAnsi="Times New Roman"/>
          <w:b/>
          <w:bCs/>
        </w:rPr>
        <w:lastRenderedPageBreak/>
        <w:t xml:space="preserve">                                      </w:t>
      </w:r>
      <w:r w:rsidR="00B902CB" w:rsidRPr="00720743">
        <w:rPr>
          <w:rFonts w:ascii="Times New Roman" w:hAnsi="Times New Roman"/>
          <w:b/>
          <w:bCs/>
        </w:rPr>
        <w:t>Fig 1. Conceptual Model of the Study</w:t>
      </w:r>
    </w:p>
    <w:p w14:paraId="0D688015" w14:textId="686AF04D"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D064B17" w14:textId="77777777" w:rsidR="00790ADA" w:rsidRPr="00FB3A86" w:rsidRDefault="00790ADA" w:rsidP="00441B6F">
      <w:pPr>
        <w:pStyle w:val="AbstHead"/>
        <w:spacing w:after="0"/>
        <w:jc w:val="both"/>
        <w:rPr>
          <w:rFonts w:ascii="Arial" w:hAnsi="Arial" w:cs="Arial"/>
        </w:rPr>
      </w:pPr>
    </w:p>
    <w:p w14:paraId="554D60C3" w14:textId="11E8B511" w:rsidR="001D7750" w:rsidRPr="001D7750" w:rsidRDefault="001D7750" w:rsidP="001D7750">
      <w:pPr>
        <w:pStyle w:val="Body"/>
        <w:spacing w:after="0"/>
        <w:rPr>
          <w:rFonts w:ascii="Arial" w:hAnsi="Arial" w:cs="Arial"/>
          <w:b/>
          <w:bCs/>
        </w:rPr>
      </w:pPr>
      <w:r w:rsidRPr="001D7750">
        <w:rPr>
          <w:rFonts w:ascii="Arial" w:hAnsi="Arial" w:cs="Arial"/>
          <w:b/>
          <w:bCs/>
        </w:rPr>
        <w:t>2.1 Research Respondent</w:t>
      </w:r>
    </w:p>
    <w:p w14:paraId="1485FD19" w14:textId="77777777" w:rsidR="001D7750" w:rsidRPr="001D7750" w:rsidRDefault="001D7750" w:rsidP="001D7750">
      <w:pPr>
        <w:pStyle w:val="Body"/>
        <w:spacing w:after="0"/>
        <w:ind w:firstLine="720"/>
        <w:rPr>
          <w:rFonts w:ascii="Arial" w:hAnsi="Arial" w:cs="Arial"/>
        </w:rPr>
      </w:pPr>
      <w:r w:rsidRPr="001D7750">
        <w:rPr>
          <w:rFonts w:ascii="Arial" w:hAnsi="Arial" w:cs="Arial"/>
        </w:rPr>
        <w:t xml:space="preserve">The respondents of this study were university students who were enrolled in Service PE 2 and 4 (SPEAR 2 and SPEAR 4) subjects. These courses were offered during the second semester in higher education institutions (HEIs) across the province of Davao Oriental for the Academic Year 2024-2025. While PE 1, 2, 3, and 4 are fundamental PE subjects, only PE 2 and 4 were offered during that semester. As a result, students enrolled in these subjects were exclusively selected as the respondents for this study. Since PE 2 and 4 were standard curricular offerings for students at this academic level, focusing on these subjects ensured a representative sample of the student population engaged in physical education during the specified academic period. </w:t>
      </w:r>
    </w:p>
    <w:p w14:paraId="734B5CE7" w14:textId="77777777" w:rsidR="001D7750" w:rsidRPr="001D7750" w:rsidRDefault="001D7750" w:rsidP="001D7750">
      <w:pPr>
        <w:pStyle w:val="Body"/>
        <w:spacing w:after="0"/>
        <w:ind w:firstLine="720"/>
        <w:rPr>
          <w:rFonts w:ascii="Arial" w:hAnsi="Arial" w:cs="Arial"/>
        </w:rPr>
      </w:pPr>
      <w:r w:rsidRPr="001D7750">
        <w:rPr>
          <w:rFonts w:ascii="Arial" w:hAnsi="Arial" w:cs="Arial"/>
        </w:rPr>
        <w:t xml:space="preserve">To ensure a representative sample, the researcher utilized stratified random sampling. The </w:t>
      </w:r>
      <w:proofErr w:type="spellStart"/>
      <w:r w:rsidRPr="001D7750">
        <w:rPr>
          <w:rFonts w:ascii="Arial" w:hAnsi="Arial" w:cs="Arial"/>
        </w:rPr>
        <w:t>Raosoft</w:t>
      </w:r>
      <w:proofErr w:type="spellEnd"/>
      <w:r w:rsidRPr="001D7750">
        <w:rPr>
          <w:rFonts w:ascii="Arial" w:hAnsi="Arial" w:cs="Arial"/>
        </w:rPr>
        <w:t xml:space="preserve"> sample size calculator was used to determine the number of respondents needed from the total 8,749 PE 2 and 4 students. With a 95% confidence level and a 5% margin of error, the final number of respondents was 369. To ensure that each subgroup was adequately represented in the sample, providing a comprehensive understanding of the student population's engagement in physical education, the distribution of respondents for each HEI was as follows: HEI-A with 29 respondents, HEI-B with 23 respondents, HEI-C with 13 respondents, HEI-D with 17 respondents, HEI-E with 29 respondents, HEI-F with 192 respondents, HEI-G with 12 respondents, HEI-H with 26 respondents, and HEI-I with 29 respondents.</w:t>
      </w:r>
    </w:p>
    <w:p w14:paraId="2D380C4B" w14:textId="77777777" w:rsidR="001D7750" w:rsidRPr="001D7750" w:rsidRDefault="001D7750" w:rsidP="001D7750">
      <w:pPr>
        <w:pStyle w:val="Body"/>
        <w:spacing w:after="0"/>
        <w:ind w:firstLine="720"/>
        <w:rPr>
          <w:rFonts w:ascii="Arial" w:hAnsi="Arial" w:cs="Arial"/>
        </w:rPr>
      </w:pPr>
      <w:r w:rsidRPr="001D7750">
        <w:rPr>
          <w:rFonts w:ascii="Arial" w:hAnsi="Arial" w:cs="Arial"/>
        </w:rPr>
        <w:t>The following are considerations in selecting Service PE students as respondents: Firstly, students often exhibit relatively homogeneous composition, sharing similar characteristics that may contribute to more consistent and comparable data; secondly, service PE students represent an appropriate population for investigation, as the study is situated within the context of the educational setting. Lastly, engaging students as respondents is cost-effective, since they are generally less expensive to reach compared to other groups.</w:t>
      </w:r>
    </w:p>
    <w:p w14:paraId="5A3C752F" w14:textId="77777777" w:rsidR="001D7750" w:rsidRPr="001D7750" w:rsidRDefault="001D7750" w:rsidP="001D7750">
      <w:pPr>
        <w:pStyle w:val="Body"/>
        <w:spacing w:after="0"/>
        <w:rPr>
          <w:rFonts w:ascii="Arial" w:hAnsi="Arial" w:cs="Arial"/>
        </w:rPr>
      </w:pPr>
      <w:r w:rsidRPr="001D7750">
        <w:rPr>
          <w:rFonts w:ascii="Arial" w:hAnsi="Arial" w:cs="Arial"/>
        </w:rPr>
        <w:tab/>
        <w:t xml:space="preserve">Respondents eligible for this study were 18 years old or above at the time of data collection, currently enrolled as university students in identified higher education institutions within the province of Davao Oriental, and taking Service PE subjects offered during the 2nd semester of the Academic Year 2024-2025. However, students were excluded if they had officially withdrawn from their Service PE subjects during the specified semester, had an incomplete enrollment status such as being on leave of absence or not officially registered, had prior academic or disciplinary sanctions that could affect their participation in PE classes, or declined to provide informed consent for the study. Additionally, participants were withdrawn from the study if they voluntarily chose to discontinue their participation, failed to comply with study protocols, or developed health conditions that prevented them from engaging in PE activities. </w:t>
      </w:r>
    </w:p>
    <w:p w14:paraId="1F64E570" w14:textId="5C68610B" w:rsidR="00A03B96" w:rsidRDefault="001D7750" w:rsidP="001D7750">
      <w:pPr>
        <w:pStyle w:val="Body"/>
        <w:spacing w:after="0"/>
        <w:rPr>
          <w:rFonts w:ascii="Arial" w:hAnsi="Arial" w:cs="Arial"/>
        </w:rPr>
      </w:pPr>
      <w:r w:rsidRPr="001D7750">
        <w:rPr>
          <w:rFonts w:ascii="Arial" w:hAnsi="Arial" w:cs="Arial"/>
        </w:rPr>
        <w:tab/>
        <w:t>The study was conducted at higher education institutions in Davao Oriental, a province located in the Southeastern part of Mindanao, specifically in Region XI. Known as the country’s easternmost province, it features Pusan Point, where the sunrise can be seen first. Davao Oriental borders Davao de Oro to the west and Agusan and Surigao del Sur to the north. This province is traditionally home to the Mandaya and Kagan/</w:t>
      </w:r>
      <w:proofErr w:type="spellStart"/>
      <w:r w:rsidRPr="001D7750">
        <w:rPr>
          <w:rFonts w:ascii="Arial" w:hAnsi="Arial" w:cs="Arial"/>
        </w:rPr>
        <w:t>Kalagan</w:t>
      </w:r>
      <w:proofErr w:type="spellEnd"/>
      <w:r w:rsidRPr="001D7750">
        <w:rPr>
          <w:rFonts w:ascii="Arial" w:hAnsi="Arial" w:cs="Arial"/>
        </w:rPr>
        <w:t xml:space="preserve"> tribes and is celebrated as the Coconut Capital of the Philippines due to its status as the leading coconut producer in the country.</w:t>
      </w:r>
    </w:p>
    <w:p w14:paraId="3B67B48C" w14:textId="77777777" w:rsidR="00790ADA" w:rsidRPr="00FB3A86" w:rsidRDefault="00790ADA" w:rsidP="00441B6F">
      <w:pPr>
        <w:pStyle w:val="Body"/>
        <w:spacing w:after="0"/>
        <w:rPr>
          <w:rFonts w:ascii="Arial" w:hAnsi="Arial" w:cs="Arial"/>
        </w:rPr>
      </w:pPr>
    </w:p>
    <w:p w14:paraId="63072E17" w14:textId="30560A6A" w:rsidR="001D7750" w:rsidRPr="001D7750" w:rsidRDefault="001D7750" w:rsidP="001D7750">
      <w:pPr>
        <w:pStyle w:val="Body"/>
        <w:spacing w:after="0"/>
        <w:rPr>
          <w:rFonts w:ascii="Arial" w:hAnsi="Arial" w:cs="Arial"/>
          <w:b/>
          <w:bCs/>
        </w:rPr>
      </w:pPr>
      <w:r>
        <w:rPr>
          <w:rFonts w:ascii="Arial" w:hAnsi="Arial" w:cs="Arial"/>
          <w:b/>
          <w:bCs/>
        </w:rPr>
        <w:t xml:space="preserve">2.2 </w:t>
      </w:r>
      <w:r w:rsidRPr="001D7750">
        <w:rPr>
          <w:rFonts w:ascii="Arial" w:hAnsi="Arial" w:cs="Arial"/>
          <w:b/>
          <w:bCs/>
        </w:rPr>
        <w:t>Materials and Instrument</w:t>
      </w:r>
    </w:p>
    <w:p w14:paraId="2580074B" w14:textId="78BEE363" w:rsidR="001D7750" w:rsidRPr="001D7750" w:rsidRDefault="001D7750" w:rsidP="001D7750">
      <w:pPr>
        <w:pStyle w:val="Body"/>
        <w:spacing w:after="0"/>
        <w:rPr>
          <w:rFonts w:ascii="Arial" w:hAnsi="Arial" w:cs="Arial"/>
        </w:rPr>
      </w:pPr>
      <w:r w:rsidRPr="001D7750">
        <w:rPr>
          <w:rFonts w:ascii="Arial" w:hAnsi="Arial" w:cs="Arial"/>
        </w:rPr>
        <w:tab/>
        <w:t xml:space="preserve">There were three adapted instruments used in this study. The first instrument utilized is the Interpersonal Behaviors in PE of </w:t>
      </w:r>
      <w:proofErr w:type="spellStart"/>
      <w:r w:rsidRPr="001D7750">
        <w:rPr>
          <w:rFonts w:ascii="Arial" w:hAnsi="Arial" w:cs="Arial"/>
        </w:rPr>
        <w:t>Burgueño</w:t>
      </w:r>
      <w:proofErr w:type="spellEnd"/>
      <w:r w:rsidRPr="001D7750">
        <w:rPr>
          <w:rFonts w:ascii="Arial" w:hAnsi="Arial" w:cs="Arial"/>
        </w:rPr>
        <w:t xml:space="preserve"> and Medina-</w:t>
      </w:r>
      <w:proofErr w:type="spellStart"/>
      <w:r w:rsidRPr="001D7750">
        <w:rPr>
          <w:rFonts w:ascii="Arial" w:hAnsi="Arial" w:cs="Arial"/>
        </w:rPr>
        <w:t>Casaubón</w:t>
      </w:r>
      <w:proofErr w:type="spellEnd"/>
      <w:r w:rsidRPr="001D7750">
        <w:rPr>
          <w:rFonts w:ascii="Arial" w:hAnsi="Arial" w:cs="Arial"/>
        </w:rPr>
        <w:t xml:space="preserve"> (2021), which composed of six indicators, namely: autonomy-supportive behaviors, competence-</w:t>
      </w:r>
      <w:r w:rsidRPr="001D7750">
        <w:rPr>
          <w:rFonts w:ascii="Arial" w:hAnsi="Arial" w:cs="Arial"/>
        </w:rPr>
        <w:lastRenderedPageBreak/>
        <w:t>supportive behaviors, relatedness-supportive behaviors, with four items each, thus with a total of 24 items. The second research instrument utilized is the Physical Self-Perception of Lindwall et al. (2011), which is composed of four indicators, namely: sports competence, physical conditioning, body attractiveness, and physical strength, with six items each, thus with a total of 24 items. The last research instrument utilized is the Situational Interest in PE of Roure and Pasco (2018), which is composed of six indicators, namely: total interest with four items, challenge, attention demand, instant enjoyment, novelty, and exploration intention with three items each, thus with a total of 19 items.</w:t>
      </w:r>
    </w:p>
    <w:p w14:paraId="3BA4810B" w14:textId="5848520D" w:rsidR="001D7750" w:rsidRPr="001D7750" w:rsidRDefault="001D7750" w:rsidP="001D7750">
      <w:pPr>
        <w:pStyle w:val="Body"/>
        <w:spacing w:after="0"/>
        <w:ind w:firstLine="720"/>
        <w:rPr>
          <w:rFonts w:ascii="Arial" w:hAnsi="Arial" w:cs="Arial"/>
        </w:rPr>
      </w:pPr>
      <w:r w:rsidRPr="001D7750">
        <w:rPr>
          <w:rFonts w:ascii="Arial" w:hAnsi="Arial" w:cs="Arial"/>
        </w:rPr>
        <w:t xml:space="preserve">All variables in this study were measured using a 5-point Likert scale. The interpretation of mean scores was as follows: a mean ranging from 4.20 to 5.00 indicates a very high level, meaning measures of the variable is always manifested; 3.40 to 4.19 is considered high, reflecting that the measures of the variable is often manifested; 2.60 to 3.39 is interpreted as moderate, signifying the measures of the variable is sometimes manifested; 1.80 to 2.59 is classified as low, indicating the measures of the variable is seldom manifested; and 1.00 to 1.79 is labeled very low, demonstrating the measures of the variable is never manifested. This interpretation scale </w:t>
      </w:r>
      <w:r>
        <w:rPr>
          <w:rFonts w:ascii="Arial" w:hAnsi="Arial" w:cs="Arial"/>
        </w:rPr>
        <w:t>i</w:t>
      </w:r>
      <w:r w:rsidRPr="001D7750">
        <w:rPr>
          <w:rFonts w:ascii="Arial" w:hAnsi="Arial" w:cs="Arial"/>
        </w:rPr>
        <w:t>s consistently applied to variables such as physical self-perception, student situational interest in physical education, and the supportive teacher interpersonal behavior indicators (supportive competence, autonomy, and relatedness), where higher scores indicate more positive perceptions and experiences.</w:t>
      </w:r>
    </w:p>
    <w:p w14:paraId="7DFD4864" w14:textId="30F750B3" w:rsidR="00505F06" w:rsidRDefault="001D7750" w:rsidP="001D7750">
      <w:pPr>
        <w:pStyle w:val="Body"/>
        <w:spacing w:after="0"/>
        <w:ind w:firstLine="720"/>
        <w:rPr>
          <w:rFonts w:ascii="Arial" w:hAnsi="Arial" w:cs="Arial"/>
        </w:rPr>
      </w:pPr>
      <w:r w:rsidRPr="001D7750">
        <w:rPr>
          <w:rFonts w:ascii="Arial" w:hAnsi="Arial" w:cs="Arial"/>
        </w:rPr>
        <w:t xml:space="preserve">To ensure the instruments were appropriate for the study's context, the researcher adapted all tools and had them reviewed by a panel of experts, resulting in an average suitability rating of 4.54 out of 5. A pilot test was then conducted with 100 students enrolled in Basic PE courses to assess the instruments’ reliability and effectiveness prior to full-scale implementation. The reliability coefficients, as measured by Cronbach’s alpha, were as follows: Teacher Interpersonal Behavior scored 0.934, Physical Self-Perception scored 0.958, and Student Situational Interest in Physical Education scored 0.922, all indicating excellent internal consistency. </w:t>
      </w:r>
    </w:p>
    <w:p w14:paraId="6413BB83" w14:textId="77777777" w:rsidR="001D7750" w:rsidRDefault="001D7750" w:rsidP="001D7750">
      <w:pPr>
        <w:pStyle w:val="Body"/>
        <w:spacing w:after="0"/>
        <w:rPr>
          <w:rFonts w:ascii="Arial" w:hAnsi="Arial" w:cs="Arial"/>
        </w:rPr>
      </w:pPr>
    </w:p>
    <w:p w14:paraId="7BCDBA0E" w14:textId="5CAFEC93" w:rsidR="001D7750" w:rsidRPr="001D7750" w:rsidRDefault="001D7750" w:rsidP="001D7750">
      <w:pPr>
        <w:pStyle w:val="Body"/>
        <w:spacing w:after="0"/>
        <w:rPr>
          <w:rFonts w:ascii="Arial" w:hAnsi="Arial" w:cs="Arial"/>
          <w:b/>
          <w:bCs/>
        </w:rPr>
      </w:pPr>
      <w:r w:rsidRPr="001D7750">
        <w:rPr>
          <w:rFonts w:ascii="Arial" w:hAnsi="Arial" w:cs="Arial"/>
          <w:b/>
          <w:bCs/>
        </w:rPr>
        <w:t>Design and Procedure</w:t>
      </w:r>
    </w:p>
    <w:p w14:paraId="1E67AB71" w14:textId="77777777" w:rsidR="001D7750" w:rsidRPr="001D7750" w:rsidRDefault="001D7750" w:rsidP="001D7750">
      <w:pPr>
        <w:pStyle w:val="Body"/>
        <w:spacing w:after="0"/>
        <w:rPr>
          <w:rFonts w:ascii="Arial" w:hAnsi="Arial" w:cs="Arial"/>
        </w:rPr>
      </w:pPr>
      <w:r w:rsidRPr="001D7750">
        <w:rPr>
          <w:rFonts w:ascii="Arial" w:hAnsi="Arial" w:cs="Arial"/>
        </w:rPr>
        <w:tab/>
        <w:t>This study utilized a non-experimental quantitative and descriptive-correlational research design. Quantitative research is a systematic methodology used to investigate social phenomena through numerical data and statistical analysis. This approach emphasized measurement and aimed to identify trends, relationships, and verifications within those measurements (Watson, 2015). With this, non-experimental study designs describe existing phenomena without manipulating conditions to influence subjects’ responses, meaning there were no manipulations of an independent variable (Radhakrishnan, 2014).</w:t>
      </w:r>
    </w:p>
    <w:p w14:paraId="2B427296" w14:textId="0A28C760" w:rsidR="00AA74E0" w:rsidRDefault="001D7750" w:rsidP="001D7750">
      <w:pPr>
        <w:pStyle w:val="Body"/>
        <w:spacing w:after="0"/>
        <w:ind w:firstLine="720"/>
        <w:rPr>
          <w:rFonts w:ascii="Arial" w:hAnsi="Arial" w:cs="Arial"/>
        </w:rPr>
      </w:pPr>
      <w:r w:rsidRPr="001D7750">
        <w:rPr>
          <w:rFonts w:ascii="Arial" w:hAnsi="Arial" w:cs="Arial"/>
        </w:rPr>
        <w:t>Moreover, the study specifically employed a descriptive-correlational research design which investigates the statistical association between two or more variables, determining the strength and direction of their relationships using methods like correlation coefficients. A crucial limitation of this approach is that it establishes association, not causation. Meanwhile, this design is valuable for identifying potential patterns and generating new hypotheses for subsequent experimental research (Selvam et al., 2024). Therefore, this research design was deemed suitable for the study, as it was neither feasible nor ethical to manipulate factors such as teacher interpersonal behaviors and physical self-perception as predictors of situational interest in PE among university students.</w:t>
      </w:r>
    </w:p>
    <w:p w14:paraId="3ADB7696" w14:textId="1AF14B50" w:rsidR="001D7750" w:rsidRDefault="001D7750" w:rsidP="001D7750">
      <w:pPr>
        <w:pStyle w:val="Body"/>
        <w:spacing w:after="0"/>
        <w:ind w:firstLine="720"/>
        <w:rPr>
          <w:rFonts w:ascii="Arial" w:hAnsi="Arial" w:cs="Arial"/>
        </w:rPr>
      </w:pPr>
      <w:r w:rsidRPr="001D7750">
        <w:rPr>
          <w:rFonts w:ascii="Arial" w:hAnsi="Arial" w:cs="Arial"/>
        </w:rPr>
        <w:t xml:space="preserve">The data collected were systematically classified, analyzed, and interpreted using designated statistical methods. Specifically, the mean was calculated to describe the levels of interpersonal behaviors, physical self-perception, and situational interest in PE. Pearson's correlation coefficient (r) was employed to assess the significance of the relationships between interpersonal behaviors and situational interest in PE, as well as between physical self-perception and situational interest in PE. Additionally, regression analysis was </w:t>
      </w:r>
      <w:r w:rsidRPr="001D7750">
        <w:rPr>
          <w:rFonts w:ascii="Arial" w:hAnsi="Arial" w:cs="Arial"/>
        </w:rPr>
        <w:lastRenderedPageBreak/>
        <w:t>conducted to evaluate whether one or both independent variables significantly affected situational interest in PE among students at a state university.</w:t>
      </w:r>
    </w:p>
    <w:p w14:paraId="2F32A2AF" w14:textId="77777777" w:rsidR="00790ADA" w:rsidRPr="00FB3A86" w:rsidRDefault="00790ADA" w:rsidP="00441B6F">
      <w:pPr>
        <w:pStyle w:val="Body"/>
        <w:spacing w:after="0"/>
        <w:rPr>
          <w:rFonts w:ascii="Arial" w:hAnsi="Arial" w:cs="Arial"/>
        </w:rPr>
      </w:pPr>
    </w:p>
    <w:p w14:paraId="4497E44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21D1CF6" w14:textId="77777777" w:rsidR="00790ADA" w:rsidRPr="00FB3A86" w:rsidRDefault="00790ADA" w:rsidP="00441B6F">
      <w:pPr>
        <w:pStyle w:val="Head1"/>
        <w:spacing w:after="0"/>
        <w:jc w:val="both"/>
        <w:rPr>
          <w:rFonts w:ascii="Arial" w:hAnsi="Arial" w:cs="Arial"/>
        </w:rPr>
      </w:pPr>
    </w:p>
    <w:p w14:paraId="275A11C3" w14:textId="2B34E9B5" w:rsidR="007A5143" w:rsidRDefault="007A5143" w:rsidP="007A5143">
      <w:pPr>
        <w:pStyle w:val="Body"/>
        <w:spacing w:after="0"/>
        <w:rPr>
          <w:rFonts w:ascii="Arial" w:hAnsi="Arial" w:cs="Arial"/>
          <w:b/>
          <w:bCs/>
        </w:rPr>
      </w:pPr>
      <w:r w:rsidRPr="007A5143">
        <w:rPr>
          <w:rFonts w:ascii="Arial" w:hAnsi="Arial" w:cs="Arial"/>
          <w:b/>
          <w:bCs/>
        </w:rPr>
        <w:t>3.1 Teacher Interpersonal Behavior</w:t>
      </w:r>
    </w:p>
    <w:p w14:paraId="54489EED" w14:textId="0105DD57" w:rsidR="007F5C99" w:rsidRPr="007A5143" w:rsidRDefault="007F5C99" w:rsidP="007F5C99">
      <w:pPr>
        <w:pStyle w:val="Body"/>
        <w:spacing w:after="0"/>
        <w:ind w:firstLine="720"/>
        <w:rPr>
          <w:rFonts w:ascii="Arial" w:hAnsi="Arial" w:cs="Arial"/>
          <w:b/>
          <w:bCs/>
        </w:rPr>
      </w:pPr>
      <w:r w:rsidRPr="0083441B">
        <w:t>Table 1 presents the level of teacher interpersonal behavior as perceived by the students, with an overall mean of 4.01 (SD = 0.67), which corresponds to a high level. Among the six indicators, competence-supportive behaviors obtained the highest mean of 4.45 (SD = 0.68). In contrast, autonomy-thwarting behaviors recorded the lowest mean of 3.57 (SD = 1.17), which, due to reverse coding, corresponds to a low level.</w:t>
      </w:r>
    </w:p>
    <w:p w14:paraId="28AAA6F3" w14:textId="19F51B98" w:rsidR="00C04FC1" w:rsidRDefault="005B528D" w:rsidP="00C04FC1">
      <w:pPr>
        <w:pStyle w:val="BodyText"/>
        <w:suppressAutoHyphens/>
        <w:spacing w:after="0"/>
        <w:rPr>
          <w:rFonts w:ascii="Arial" w:eastAsiaTheme="minorHAnsi" w:hAnsi="Arial" w:cs="Arial"/>
          <w:kern w:val="2"/>
          <w:lang w:val="en-PH"/>
        </w:rPr>
      </w:pPr>
      <w:r>
        <w:rPr>
          <w:rFonts w:ascii="Arial" w:eastAsiaTheme="minorHAnsi" w:hAnsi="Arial" w:cs="Arial"/>
          <w:kern w:val="2"/>
          <w:lang w:val="en-PH"/>
        </w:rPr>
        <w:t xml:space="preserve"> </w:t>
      </w:r>
    </w:p>
    <w:p w14:paraId="70544BC5" w14:textId="1C0BE2C9" w:rsidR="00C04FC1" w:rsidRPr="00F9794D" w:rsidRDefault="00C04FC1" w:rsidP="00F9794D">
      <w:pPr>
        <w:pStyle w:val="BodyText"/>
        <w:suppressAutoHyphens/>
        <w:spacing w:after="0"/>
        <w:rPr>
          <w:rFonts w:ascii="Arial" w:eastAsiaTheme="minorHAnsi" w:hAnsi="Arial" w:cs="Arial"/>
          <w:b/>
          <w:bCs/>
          <w:kern w:val="2"/>
          <w:lang w:val="en-PH"/>
        </w:rPr>
      </w:pPr>
      <w:r w:rsidRPr="00F9794D">
        <w:rPr>
          <w:rFonts w:ascii="Arial" w:eastAsiaTheme="minorHAnsi" w:hAnsi="Arial" w:cs="Arial"/>
          <w:b/>
          <w:bCs/>
          <w:kern w:val="2"/>
          <w:lang w:val="en-PH"/>
        </w:rPr>
        <w:t>Table 1</w:t>
      </w:r>
      <w:r w:rsidR="00F9794D" w:rsidRPr="00F9794D">
        <w:rPr>
          <w:rFonts w:ascii="Arial" w:eastAsiaTheme="minorHAnsi" w:hAnsi="Arial" w:cs="Arial"/>
          <w:b/>
          <w:bCs/>
          <w:kern w:val="2"/>
          <w:lang w:val="en-PH"/>
        </w:rPr>
        <w:t xml:space="preserve">. </w:t>
      </w:r>
      <w:r w:rsidRPr="00F9794D">
        <w:rPr>
          <w:rFonts w:ascii="Arial" w:eastAsiaTheme="minorHAnsi" w:hAnsi="Arial" w:cs="Arial"/>
          <w:b/>
          <w:bCs/>
          <w:kern w:val="2"/>
          <w:lang w:val="en-PH"/>
        </w:rPr>
        <w:t>Level of Teacher Interpersonal Behavior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9"/>
        <w:gridCol w:w="1022"/>
        <w:gridCol w:w="1048"/>
        <w:gridCol w:w="1927"/>
      </w:tblGrid>
      <w:tr w:rsidR="00C04FC1" w:rsidRPr="00F6055C" w14:paraId="763E7DA5" w14:textId="77777777" w:rsidTr="00C04FC1">
        <w:tc>
          <w:tcPr>
            <w:tcW w:w="5103" w:type="dxa"/>
            <w:tcBorders>
              <w:top w:val="single" w:sz="4" w:space="0" w:color="auto"/>
              <w:bottom w:val="single" w:sz="4" w:space="0" w:color="auto"/>
            </w:tcBorders>
            <w:vAlign w:val="center"/>
          </w:tcPr>
          <w:p w14:paraId="6CEBC24B" w14:textId="77777777" w:rsidR="00C04FC1" w:rsidRPr="00F6055C" w:rsidRDefault="00C04FC1" w:rsidP="001D3E52">
            <w:pPr>
              <w:jc w:val="center"/>
              <w:rPr>
                <w:rFonts w:ascii="Arial" w:hAnsi="Arial" w:cs="Arial"/>
                <w:sz w:val="20"/>
                <w:szCs w:val="20"/>
              </w:rPr>
            </w:pPr>
            <w:r w:rsidRPr="00F6055C">
              <w:rPr>
                <w:rFonts w:ascii="Arial" w:hAnsi="Arial" w:cs="Arial"/>
                <w:b/>
                <w:bCs/>
                <w:sz w:val="20"/>
                <w:szCs w:val="20"/>
              </w:rPr>
              <w:t>Indicator</w:t>
            </w:r>
          </w:p>
        </w:tc>
        <w:tc>
          <w:tcPr>
            <w:tcW w:w="1134" w:type="dxa"/>
            <w:tcBorders>
              <w:top w:val="single" w:sz="4" w:space="0" w:color="auto"/>
              <w:bottom w:val="single" w:sz="4" w:space="0" w:color="auto"/>
            </w:tcBorders>
            <w:vAlign w:val="center"/>
          </w:tcPr>
          <w:p w14:paraId="2B89AFA8" w14:textId="77777777" w:rsidR="00C04FC1" w:rsidRPr="00F6055C" w:rsidRDefault="00C04FC1" w:rsidP="001D3E52">
            <w:pPr>
              <w:jc w:val="center"/>
              <w:rPr>
                <w:rFonts w:ascii="Arial" w:hAnsi="Arial" w:cs="Arial"/>
                <w:sz w:val="20"/>
                <w:szCs w:val="20"/>
              </w:rPr>
            </w:pPr>
            <w:r w:rsidRPr="00F6055C">
              <w:rPr>
                <w:rFonts w:ascii="Arial" w:hAnsi="Arial" w:cs="Arial"/>
                <w:b/>
                <w:bCs/>
                <w:sz w:val="20"/>
                <w:szCs w:val="20"/>
              </w:rPr>
              <w:t>SD</w:t>
            </w:r>
          </w:p>
        </w:tc>
        <w:tc>
          <w:tcPr>
            <w:tcW w:w="1134" w:type="dxa"/>
            <w:tcBorders>
              <w:top w:val="single" w:sz="4" w:space="0" w:color="auto"/>
              <w:bottom w:val="single" w:sz="4" w:space="0" w:color="auto"/>
            </w:tcBorders>
            <w:vAlign w:val="center"/>
          </w:tcPr>
          <w:p w14:paraId="5C2495F9" w14:textId="77777777" w:rsidR="00C04FC1" w:rsidRPr="00F6055C" w:rsidRDefault="00C04FC1" w:rsidP="001D3E52">
            <w:pPr>
              <w:jc w:val="center"/>
              <w:rPr>
                <w:rFonts w:ascii="Arial" w:hAnsi="Arial" w:cs="Arial"/>
                <w:sz w:val="20"/>
                <w:szCs w:val="20"/>
              </w:rPr>
            </w:pPr>
            <w:r w:rsidRPr="00F6055C">
              <w:rPr>
                <w:rFonts w:ascii="Arial" w:hAnsi="Arial" w:cs="Arial"/>
                <w:b/>
                <w:bCs/>
                <w:sz w:val="20"/>
                <w:szCs w:val="20"/>
              </w:rPr>
              <w:t>Mean</w:t>
            </w:r>
          </w:p>
        </w:tc>
        <w:tc>
          <w:tcPr>
            <w:tcW w:w="2097" w:type="dxa"/>
            <w:tcBorders>
              <w:top w:val="single" w:sz="4" w:space="0" w:color="auto"/>
              <w:bottom w:val="single" w:sz="4" w:space="0" w:color="auto"/>
            </w:tcBorders>
            <w:vAlign w:val="center"/>
          </w:tcPr>
          <w:p w14:paraId="029A586A" w14:textId="77777777" w:rsidR="00C04FC1" w:rsidRPr="00F6055C" w:rsidRDefault="00C04FC1" w:rsidP="001D3E52">
            <w:pPr>
              <w:jc w:val="center"/>
              <w:rPr>
                <w:rFonts w:ascii="Arial" w:hAnsi="Arial" w:cs="Arial"/>
                <w:sz w:val="20"/>
                <w:szCs w:val="20"/>
              </w:rPr>
            </w:pPr>
            <w:r w:rsidRPr="00F6055C">
              <w:rPr>
                <w:rFonts w:ascii="Arial" w:hAnsi="Arial" w:cs="Arial"/>
                <w:b/>
                <w:bCs/>
                <w:sz w:val="20"/>
                <w:szCs w:val="20"/>
              </w:rPr>
              <w:t>Descriptive Level</w:t>
            </w:r>
          </w:p>
        </w:tc>
      </w:tr>
      <w:tr w:rsidR="00C04FC1" w:rsidRPr="00F6055C" w14:paraId="138DFC27" w14:textId="77777777" w:rsidTr="00C04FC1">
        <w:tc>
          <w:tcPr>
            <w:tcW w:w="5103" w:type="dxa"/>
            <w:tcBorders>
              <w:top w:val="single" w:sz="4" w:space="0" w:color="auto"/>
            </w:tcBorders>
            <w:vAlign w:val="center"/>
          </w:tcPr>
          <w:p w14:paraId="56672A6A" w14:textId="77777777" w:rsidR="00C04FC1" w:rsidRPr="00F6055C" w:rsidRDefault="00C04FC1" w:rsidP="001D3E52">
            <w:pPr>
              <w:rPr>
                <w:rFonts w:ascii="Arial" w:hAnsi="Arial" w:cs="Arial"/>
                <w:sz w:val="20"/>
                <w:szCs w:val="20"/>
              </w:rPr>
            </w:pPr>
            <w:r w:rsidRPr="00F6055C">
              <w:rPr>
                <w:rFonts w:ascii="Arial" w:hAnsi="Arial" w:cs="Arial"/>
                <w:sz w:val="20"/>
                <w:szCs w:val="20"/>
              </w:rPr>
              <w:t>Autonomy-Supportive Behaviors</w:t>
            </w:r>
          </w:p>
        </w:tc>
        <w:tc>
          <w:tcPr>
            <w:tcW w:w="1134" w:type="dxa"/>
            <w:tcBorders>
              <w:top w:val="single" w:sz="4" w:space="0" w:color="auto"/>
            </w:tcBorders>
            <w:vAlign w:val="center"/>
          </w:tcPr>
          <w:p w14:paraId="4ED2FEA5"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0.77</w:t>
            </w:r>
          </w:p>
        </w:tc>
        <w:tc>
          <w:tcPr>
            <w:tcW w:w="1134" w:type="dxa"/>
            <w:tcBorders>
              <w:top w:val="single" w:sz="4" w:space="0" w:color="auto"/>
            </w:tcBorders>
            <w:vAlign w:val="center"/>
          </w:tcPr>
          <w:p w14:paraId="0F7FED7D"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4.28</w:t>
            </w:r>
          </w:p>
        </w:tc>
        <w:tc>
          <w:tcPr>
            <w:tcW w:w="2097" w:type="dxa"/>
            <w:tcBorders>
              <w:top w:val="single" w:sz="4" w:space="0" w:color="auto"/>
            </w:tcBorders>
            <w:vAlign w:val="center"/>
          </w:tcPr>
          <w:p w14:paraId="39C69D51"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Very High</w:t>
            </w:r>
          </w:p>
        </w:tc>
      </w:tr>
      <w:tr w:rsidR="00C04FC1" w:rsidRPr="00F6055C" w14:paraId="1CBC6997" w14:textId="77777777" w:rsidTr="00C04FC1">
        <w:tc>
          <w:tcPr>
            <w:tcW w:w="5103" w:type="dxa"/>
            <w:vAlign w:val="center"/>
          </w:tcPr>
          <w:p w14:paraId="490F21D5" w14:textId="77777777" w:rsidR="00C04FC1" w:rsidRPr="00F6055C" w:rsidRDefault="00C04FC1" w:rsidP="001D3E52">
            <w:pPr>
              <w:rPr>
                <w:rFonts w:ascii="Arial" w:hAnsi="Arial" w:cs="Arial"/>
                <w:sz w:val="20"/>
                <w:szCs w:val="20"/>
              </w:rPr>
            </w:pPr>
            <w:r w:rsidRPr="00F6055C">
              <w:rPr>
                <w:rFonts w:ascii="Arial" w:hAnsi="Arial" w:cs="Arial"/>
                <w:sz w:val="20"/>
                <w:szCs w:val="20"/>
              </w:rPr>
              <w:t>Competence-Supportive Behaviors</w:t>
            </w:r>
          </w:p>
        </w:tc>
        <w:tc>
          <w:tcPr>
            <w:tcW w:w="1134" w:type="dxa"/>
            <w:vAlign w:val="center"/>
          </w:tcPr>
          <w:p w14:paraId="6491D506"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0.68</w:t>
            </w:r>
          </w:p>
        </w:tc>
        <w:tc>
          <w:tcPr>
            <w:tcW w:w="1134" w:type="dxa"/>
            <w:vAlign w:val="center"/>
          </w:tcPr>
          <w:p w14:paraId="49A62F8E"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4.45</w:t>
            </w:r>
          </w:p>
        </w:tc>
        <w:tc>
          <w:tcPr>
            <w:tcW w:w="2097" w:type="dxa"/>
            <w:vAlign w:val="center"/>
          </w:tcPr>
          <w:p w14:paraId="077B3567"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Very High</w:t>
            </w:r>
          </w:p>
        </w:tc>
      </w:tr>
      <w:tr w:rsidR="00C04FC1" w:rsidRPr="00F6055C" w14:paraId="5D94F132" w14:textId="77777777" w:rsidTr="00C04FC1">
        <w:tc>
          <w:tcPr>
            <w:tcW w:w="5103" w:type="dxa"/>
            <w:vAlign w:val="center"/>
          </w:tcPr>
          <w:p w14:paraId="032B900A" w14:textId="77777777" w:rsidR="00C04FC1" w:rsidRPr="00F6055C" w:rsidRDefault="00C04FC1" w:rsidP="001D3E52">
            <w:pPr>
              <w:rPr>
                <w:rFonts w:ascii="Arial" w:hAnsi="Arial" w:cs="Arial"/>
                <w:sz w:val="20"/>
                <w:szCs w:val="20"/>
              </w:rPr>
            </w:pPr>
            <w:r w:rsidRPr="00F6055C">
              <w:rPr>
                <w:rFonts w:ascii="Arial" w:hAnsi="Arial" w:cs="Arial"/>
                <w:sz w:val="20"/>
                <w:szCs w:val="20"/>
              </w:rPr>
              <w:t>Relatedness-Supportive Behaviors</w:t>
            </w:r>
          </w:p>
        </w:tc>
        <w:tc>
          <w:tcPr>
            <w:tcW w:w="1134" w:type="dxa"/>
            <w:vAlign w:val="center"/>
          </w:tcPr>
          <w:p w14:paraId="39417C5E"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0.84</w:t>
            </w:r>
          </w:p>
        </w:tc>
        <w:tc>
          <w:tcPr>
            <w:tcW w:w="1134" w:type="dxa"/>
            <w:vAlign w:val="center"/>
          </w:tcPr>
          <w:p w14:paraId="204CE67D"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4.02</w:t>
            </w:r>
          </w:p>
        </w:tc>
        <w:tc>
          <w:tcPr>
            <w:tcW w:w="2097" w:type="dxa"/>
            <w:vAlign w:val="center"/>
          </w:tcPr>
          <w:p w14:paraId="413306B4"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High</w:t>
            </w:r>
          </w:p>
        </w:tc>
      </w:tr>
      <w:tr w:rsidR="00C04FC1" w:rsidRPr="00F6055C" w14:paraId="38D37EA6" w14:textId="77777777" w:rsidTr="00C04FC1">
        <w:tc>
          <w:tcPr>
            <w:tcW w:w="5103" w:type="dxa"/>
            <w:vAlign w:val="center"/>
          </w:tcPr>
          <w:p w14:paraId="35F5E1C8" w14:textId="77777777" w:rsidR="00C04FC1" w:rsidRPr="00F6055C" w:rsidRDefault="00C04FC1" w:rsidP="001D3E52">
            <w:pPr>
              <w:rPr>
                <w:rFonts w:ascii="Arial" w:hAnsi="Arial" w:cs="Arial"/>
                <w:sz w:val="20"/>
                <w:szCs w:val="20"/>
              </w:rPr>
            </w:pPr>
            <w:r w:rsidRPr="00F6055C">
              <w:rPr>
                <w:rFonts w:ascii="Arial" w:hAnsi="Arial" w:cs="Arial"/>
                <w:sz w:val="20"/>
                <w:szCs w:val="20"/>
              </w:rPr>
              <w:t>Autonomy-Thwarting Behaviors*</w:t>
            </w:r>
          </w:p>
        </w:tc>
        <w:tc>
          <w:tcPr>
            <w:tcW w:w="1134" w:type="dxa"/>
            <w:vAlign w:val="center"/>
          </w:tcPr>
          <w:p w14:paraId="34E38E99"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1.17</w:t>
            </w:r>
          </w:p>
        </w:tc>
        <w:tc>
          <w:tcPr>
            <w:tcW w:w="1134" w:type="dxa"/>
            <w:vAlign w:val="center"/>
          </w:tcPr>
          <w:p w14:paraId="18E24E5D"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3.57</w:t>
            </w:r>
          </w:p>
        </w:tc>
        <w:tc>
          <w:tcPr>
            <w:tcW w:w="2097" w:type="dxa"/>
            <w:vAlign w:val="center"/>
          </w:tcPr>
          <w:p w14:paraId="3CE503E7"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High</w:t>
            </w:r>
          </w:p>
        </w:tc>
      </w:tr>
      <w:tr w:rsidR="00C04FC1" w:rsidRPr="00F6055C" w14:paraId="520765B8" w14:textId="77777777" w:rsidTr="00C04FC1">
        <w:tc>
          <w:tcPr>
            <w:tcW w:w="5103" w:type="dxa"/>
            <w:vAlign w:val="center"/>
          </w:tcPr>
          <w:p w14:paraId="24AE75F5" w14:textId="77777777" w:rsidR="00C04FC1" w:rsidRPr="00F6055C" w:rsidRDefault="00C04FC1" w:rsidP="001D3E52">
            <w:pPr>
              <w:rPr>
                <w:rFonts w:ascii="Arial" w:hAnsi="Arial" w:cs="Arial"/>
                <w:sz w:val="20"/>
                <w:szCs w:val="20"/>
              </w:rPr>
            </w:pPr>
            <w:r w:rsidRPr="00F6055C">
              <w:rPr>
                <w:rFonts w:ascii="Arial" w:hAnsi="Arial" w:cs="Arial"/>
                <w:sz w:val="20"/>
                <w:szCs w:val="20"/>
              </w:rPr>
              <w:t>Competence-Thwarting Behaviors*</w:t>
            </w:r>
          </w:p>
        </w:tc>
        <w:tc>
          <w:tcPr>
            <w:tcW w:w="1134" w:type="dxa"/>
            <w:vAlign w:val="center"/>
          </w:tcPr>
          <w:p w14:paraId="53EFEEB3"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1.19</w:t>
            </w:r>
          </w:p>
        </w:tc>
        <w:tc>
          <w:tcPr>
            <w:tcW w:w="1134" w:type="dxa"/>
            <w:vAlign w:val="center"/>
          </w:tcPr>
          <w:p w14:paraId="36A539CC"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3.98</w:t>
            </w:r>
          </w:p>
        </w:tc>
        <w:tc>
          <w:tcPr>
            <w:tcW w:w="2097" w:type="dxa"/>
            <w:vAlign w:val="center"/>
          </w:tcPr>
          <w:p w14:paraId="7BA708BE"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High</w:t>
            </w:r>
          </w:p>
        </w:tc>
      </w:tr>
      <w:tr w:rsidR="00C04FC1" w:rsidRPr="00F6055C" w14:paraId="09555192" w14:textId="77777777" w:rsidTr="00C04FC1">
        <w:tc>
          <w:tcPr>
            <w:tcW w:w="5103" w:type="dxa"/>
            <w:vAlign w:val="center"/>
          </w:tcPr>
          <w:p w14:paraId="00D63810" w14:textId="77777777" w:rsidR="00C04FC1" w:rsidRPr="00F6055C" w:rsidRDefault="00C04FC1" w:rsidP="001D3E52">
            <w:pPr>
              <w:rPr>
                <w:rFonts w:ascii="Arial" w:hAnsi="Arial" w:cs="Arial"/>
                <w:sz w:val="20"/>
                <w:szCs w:val="20"/>
              </w:rPr>
            </w:pPr>
            <w:r w:rsidRPr="00F6055C">
              <w:rPr>
                <w:rFonts w:ascii="Arial" w:hAnsi="Arial" w:cs="Arial"/>
                <w:sz w:val="20"/>
                <w:szCs w:val="20"/>
              </w:rPr>
              <w:t>Relatedness-Thwarting Behaviors*</w:t>
            </w:r>
          </w:p>
        </w:tc>
        <w:tc>
          <w:tcPr>
            <w:tcW w:w="1134" w:type="dxa"/>
            <w:vAlign w:val="center"/>
          </w:tcPr>
          <w:p w14:paraId="353166B9"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1.04</w:t>
            </w:r>
          </w:p>
        </w:tc>
        <w:tc>
          <w:tcPr>
            <w:tcW w:w="1134" w:type="dxa"/>
            <w:vAlign w:val="center"/>
          </w:tcPr>
          <w:p w14:paraId="433EA7CA"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3.76</w:t>
            </w:r>
          </w:p>
        </w:tc>
        <w:tc>
          <w:tcPr>
            <w:tcW w:w="2097" w:type="dxa"/>
            <w:vAlign w:val="center"/>
          </w:tcPr>
          <w:p w14:paraId="55B7DAE4"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High</w:t>
            </w:r>
          </w:p>
        </w:tc>
      </w:tr>
      <w:tr w:rsidR="00C04FC1" w:rsidRPr="00F6055C" w14:paraId="3006F8BA" w14:textId="77777777" w:rsidTr="00C04FC1">
        <w:tc>
          <w:tcPr>
            <w:tcW w:w="5103" w:type="dxa"/>
            <w:tcBorders>
              <w:bottom w:val="single" w:sz="4" w:space="0" w:color="auto"/>
            </w:tcBorders>
            <w:vAlign w:val="center"/>
          </w:tcPr>
          <w:p w14:paraId="2927015E" w14:textId="77777777" w:rsidR="00C04FC1" w:rsidRPr="00F6055C" w:rsidRDefault="00C04FC1" w:rsidP="001D3E52">
            <w:pPr>
              <w:jc w:val="center"/>
              <w:rPr>
                <w:rFonts w:ascii="Arial" w:hAnsi="Arial" w:cs="Arial"/>
                <w:b/>
                <w:bCs/>
                <w:sz w:val="20"/>
                <w:szCs w:val="20"/>
              </w:rPr>
            </w:pPr>
            <w:r w:rsidRPr="00F6055C">
              <w:rPr>
                <w:rFonts w:ascii="Arial" w:hAnsi="Arial" w:cs="Arial"/>
                <w:b/>
                <w:bCs/>
                <w:sz w:val="20"/>
                <w:szCs w:val="20"/>
              </w:rPr>
              <w:t>Overall</w:t>
            </w:r>
          </w:p>
        </w:tc>
        <w:tc>
          <w:tcPr>
            <w:tcW w:w="1134" w:type="dxa"/>
            <w:tcBorders>
              <w:bottom w:val="single" w:sz="4" w:space="0" w:color="auto"/>
            </w:tcBorders>
          </w:tcPr>
          <w:p w14:paraId="586C36E2" w14:textId="77777777" w:rsidR="00C04FC1" w:rsidRPr="00F6055C" w:rsidRDefault="00C04FC1" w:rsidP="001D3E52">
            <w:pPr>
              <w:jc w:val="center"/>
              <w:rPr>
                <w:rFonts w:ascii="Arial" w:hAnsi="Arial" w:cs="Arial"/>
                <w:b/>
                <w:bCs/>
                <w:sz w:val="20"/>
                <w:szCs w:val="20"/>
              </w:rPr>
            </w:pPr>
            <w:r w:rsidRPr="00F6055C">
              <w:rPr>
                <w:rFonts w:ascii="Arial" w:hAnsi="Arial" w:cs="Arial"/>
                <w:b/>
                <w:bCs/>
                <w:sz w:val="20"/>
                <w:szCs w:val="20"/>
              </w:rPr>
              <w:t>0.67</w:t>
            </w:r>
          </w:p>
        </w:tc>
        <w:tc>
          <w:tcPr>
            <w:tcW w:w="1134" w:type="dxa"/>
            <w:tcBorders>
              <w:bottom w:val="single" w:sz="4" w:space="0" w:color="auto"/>
            </w:tcBorders>
          </w:tcPr>
          <w:p w14:paraId="4A825DBC" w14:textId="77777777" w:rsidR="00C04FC1" w:rsidRPr="00F6055C" w:rsidRDefault="00C04FC1" w:rsidP="001D3E52">
            <w:pPr>
              <w:jc w:val="center"/>
              <w:rPr>
                <w:rFonts w:ascii="Arial" w:hAnsi="Arial" w:cs="Arial"/>
                <w:b/>
                <w:bCs/>
                <w:sz w:val="20"/>
                <w:szCs w:val="20"/>
              </w:rPr>
            </w:pPr>
            <w:r w:rsidRPr="00F6055C">
              <w:rPr>
                <w:rFonts w:ascii="Arial" w:hAnsi="Arial" w:cs="Arial"/>
                <w:b/>
                <w:bCs/>
                <w:sz w:val="20"/>
                <w:szCs w:val="20"/>
              </w:rPr>
              <w:t>4.01</w:t>
            </w:r>
          </w:p>
        </w:tc>
        <w:tc>
          <w:tcPr>
            <w:tcW w:w="2097" w:type="dxa"/>
            <w:tcBorders>
              <w:bottom w:val="single" w:sz="4" w:space="0" w:color="auto"/>
            </w:tcBorders>
          </w:tcPr>
          <w:p w14:paraId="0652C2C7" w14:textId="77777777" w:rsidR="00C04FC1" w:rsidRPr="00F6055C" w:rsidRDefault="00C04FC1" w:rsidP="001D3E52">
            <w:pPr>
              <w:jc w:val="center"/>
              <w:rPr>
                <w:rFonts w:ascii="Arial" w:hAnsi="Arial" w:cs="Arial"/>
                <w:b/>
                <w:bCs/>
                <w:sz w:val="20"/>
                <w:szCs w:val="20"/>
              </w:rPr>
            </w:pPr>
            <w:r w:rsidRPr="00F6055C">
              <w:rPr>
                <w:rFonts w:ascii="Arial" w:hAnsi="Arial" w:cs="Arial"/>
                <w:b/>
                <w:bCs/>
                <w:sz w:val="20"/>
                <w:szCs w:val="20"/>
              </w:rPr>
              <w:t>High</w:t>
            </w:r>
          </w:p>
        </w:tc>
      </w:tr>
    </w:tbl>
    <w:p w14:paraId="08C07C73" w14:textId="1680C666" w:rsidR="005C01D5" w:rsidRDefault="00C04FC1" w:rsidP="00C04FC1">
      <w:pPr>
        <w:pStyle w:val="Body"/>
        <w:spacing w:after="0"/>
        <w:rPr>
          <w:rFonts w:ascii="Arial" w:hAnsi="Arial" w:cs="Arial"/>
          <w:sz w:val="18"/>
          <w:szCs w:val="18"/>
        </w:rPr>
      </w:pPr>
      <w:r w:rsidRPr="00F6055C">
        <w:rPr>
          <w:rFonts w:ascii="Arial" w:hAnsi="Arial" w:cs="Arial"/>
          <w:sz w:val="18"/>
          <w:szCs w:val="18"/>
        </w:rPr>
        <w:t>*Reverse coded</w:t>
      </w:r>
    </w:p>
    <w:p w14:paraId="586954F3" w14:textId="77777777" w:rsidR="00C04FC1" w:rsidRPr="007A5143" w:rsidRDefault="00C04FC1" w:rsidP="00C04FC1">
      <w:pPr>
        <w:pStyle w:val="Body"/>
        <w:spacing w:after="0"/>
        <w:rPr>
          <w:rFonts w:ascii="Arial" w:hAnsi="Arial" w:cs="Arial"/>
        </w:rPr>
      </w:pPr>
    </w:p>
    <w:p w14:paraId="48016EAE" w14:textId="77777777" w:rsidR="007A5143" w:rsidRPr="007A5143" w:rsidRDefault="007A5143" w:rsidP="007A5143">
      <w:pPr>
        <w:pStyle w:val="Body"/>
        <w:spacing w:after="0"/>
        <w:ind w:firstLine="720"/>
        <w:rPr>
          <w:rFonts w:ascii="Arial" w:hAnsi="Arial" w:cs="Arial"/>
        </w:rPr>
      </w:pPr>
      <w:r w:rsidRPr="007A5143">
        <w:rPr>
          <w:rFonts w:ascii="Arial" w:hAnsi="Arial" w:cs="Arial"/>
        </w:rPr>
        <w:t xml:space="preserve">The results show that teacher interpersonal behavior level is high, which implies that students often perceived their PE teachers to exhibit supportive behaviors, with supportive behaviors being consistently high and thwarting behaviors being rarely observed. These findings are consistent with those of </w:t>
      </w:r>
      <w:proofErr w:type="spellStart"/>
      <w:r w:rsidRPr="007A5143">
        <w:rPr>
          <w:rFonts w:ascii="Arial" w:hAnsi="Arial" w:cs="Arial"/>
        </w:rPr>
        <w:t>Diloy</w:t>
      </w:r>
      <w:proofErr w:type="spellEnd"/>
      <w:r w:rsidRPr="007A5143">
        <w:rPr>
          <w:rFonts w:ascii="Arial" w:hAnsi="Arial" w:cs="Arial"/>
        </w:rPr>
        <w:t xml:space="preserve"> Peña et al. (2021) who mentioned that students reported high levels of perceived support for autonomy, competence, and especially relatedness, making students feel connected, included, and respected. Moreover, Leo et al. (2022) found that most PE teachers displayed supportive interpersonal behavior, particularly in competence and relatedness. Similarly, students generally perceived moderate to high levels of these supportive behaviors across studies (Tian &amp; Shen, 2023).</w:t>
      </w:r>
    </w:p>
    <w:p w14:paraId="79FFEB4A" w14:textId="77777777" w:rsidR="007A5143" w:rsidRDefault="007A5143" w:rsidP="007A5143">
      <w:pPr>
        <w:pStyle w:val="Body"/>
        <w:spacing w:after="0"/>
        <w:rPr>
          <w:rFonts w:ascii="Arial" w:hAnsi="Arial" w:cs="Arial"/>
        </w:rPr>
      </w:pPr>
    </w:p>
    <w:p w14:paraId="68C4F0BC" w14:textId="77777777" w:rsidR="002069CC" w:rsidRPr="007A5143" w:rsidRDefault="002069CC" w:rsidP="007A5143">
      <w:pPr>
        <w:pStyle w:val="Body"/>
        <w:spacing w:after="0"/>
        <w:rPr>
          <w:rFonts w:ascii="Arial" w:hAnsi="Arial" w:cs="Arial"/>
        </w:rPr>
      </w:pPr>
    </w:p>
    <w:p w14:paraId="69F26D2B" w14:textId="6B6F35B4" w:rsidR="007A5143" w:rsidRPr="007A5143" w:rsidRDefault="007A5143" w:rsidP="007A5143">
      <w:pPr>
        <w:pStyle w:val="Body"/>
        <w:spacing w:after="0"/>
        <w:rPr>
          <w:rFonts w:ascii="Arial" w:hAnsi="Arial" w:cs="Arial"/>
          <w:b/>
          <w:bCs/>
        </w:rPr>
      </w:pPr>
      <w:r w:rsidRPr="007A5143">
        <w:rPr>
          <w:rFonts w:ascii="Arial" w:hAnsi="Arial" w:cs="Arial"/>
          <w:b/>
          <w:bCs/>
        </w:rPr>
        <w:t>3.2 Physical Self-Perception</w:t>
      </w:r>
    </w:p>
    <w:p w14:paraId="1452EB0F" w14:textId="77777777" w:rsidR="007A5143" w:rsidRDefault="007A5143" w:rsidP="007A5143">
      <w:pPr>
        <w:pStyle w:val="Body"/>
        <w:spacing w:after="0"/>
        <w:ind w:firstLine="720"/>
        <w:rPr>
          <w:rFonts w:ascii="Arial" w:hAnsi="Arial" w:cs="Arial"/>
        </w:rPr>
      </w:pPr>
      <w:r w:rsidRPr="007A5143">
        <w:rPr>
          <w:rFonts w:ascii="Arial" w:hAnsi="Arial" w:cs="Arial"/>
        </w:rPr>
        <w:t>Table 2 presents the level of physical self-perception among students, which resulted in an overall mean of 3.04 (SD = 0.84), interpreted as a moderate level. All four indicators under this variable were likewise rated as moderate. Specifically, physical conditioning obtained the highest mean of 3.28 (SD = 0.94), followed by sports competence with a mean of 3.19 (SD = 1.00). Meanwhile, physical strength and body attractiveness garnered mean scores of 2.87 (SD = 0.99) and 2.81 (SD = 0.97), respectively.</w:t>
      </w:r>
    </w:p>
    <w:p w14:paraId="5D2DDC5B" w14:textId="77777777" w:rsidR="00C04FC1" w:rsidRDefault="00C04FC1" w:rsidP="00C04FC1">
      <w:pPr>
        <w:pStyle w:val="Body"/>
        <w:spacing w:after="0"/>
        <w:rPr>
          <w:rFonts w:ascii="Arial" w:hAnsi="Arial" w:cs="Arial"/>
        </w:rPr>
      </w:pPr>
    </w:p>
    <w:p w14:paraId="41A45DA8" w14:textId="3175D671" w:rsidR="00C04FC1" w:rsidRPr="00F9794D" w:rsidRDefault="00C04FC1" w:rsidP="00F9794D">
      <w:pPr>
        <w:pStyle w:val="BodyText"/>
        <w:suppressAutoHyphens/>
        <w:spacing w:after="0"/>
        <w:rPr>
          <w:rFonts w:ascii="Arial" w:eastAsiaTheme="minorHAnsi" w:hAnsi="Arial" w:cs="Arial"/>
          <w:b/>
          <w:bCs/>
          <w:kern w:val="2"/>
          <w:lang w:val="en-PH"/>
        </w:rPr>
      </w:pPr>
      <w:r w:rsidRPr="00F9794D">
        <w:rPr>
          <w:rFonts w:ascii="Arial" w:eastAsiaTheme="minorHAnsi" w:hAnsi="Arial" w:cs="Arial"/>
          <w:b/>
          <w:bCs/>
          <w:kern w:val="2"/>
          <w:lang w:val="en-PH"/>
        </w:rPr>
        <w:t>Table 2</w:t>
      </w:r>
      <w:r w:rsidR="00F9794D">
        <w:rPr>
          <w:rFonts w:ascii="Arial" w:eastAsiaTheme="minorHAnsi" w:hAnsi="Arial" w:cs="Arial"/>
          <w:b/>
          <w:bCs/>
          <w:kern w:val="2"/>
          <w:lang w:val="en-PH"/>
        </w:rPr>
        <w:t>.</w:t>
      </w:r>
      <w:r w:rsidR="00F9794D" w:rsidRPr="00F9794D">
        <w:rPr>
          <w:rFonts w:ascii="Arial" w:eastAsiaTheme="minorHAnsi" w:hAnsi="Arial" w:cs="Arial"/>
          <w:b/>
          <w:bCs/>
          <w:kern w:val="2"/>
          <w:lang w:val="en-PH"/>
        </w:rPr>
        <w:t xml:space="preserve"> </w:t>
      </w:r>
      <w:r w:rsidRPr="00F9794D">
        <w:rPr>
          <w:rFonts w:ascii="Arial" w:eastAsiaTheme="minorHAnsi" w:hAnsi="Arial" w:cs="Arial"/>
          <w:b/>
          <w:bCs/>
          <w:kern w:val="2"/>
          <w:lang w:val="en-PH"/>
        </w:rPr>
        <w:t>Level of Physical Self-Perception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1021"/>
        <w:gridCol w:w="1047"/>
        <w:gridCol w:w="1925"/>
      </w:tblGrid>
      <w:tr w:rsidR="00C04FC1" w:rsidRPr="00F6055C" w14:paraId="43C4949E" w14:textId="77777777" w:rsidTr="00C04FC1">
        <w:tc>
          <w:tcPr>
            <w:tcW w:w="5103" w:type="dxa"/>
            <w:tcBorders>
              <w:top w:val="single" w:sz="4" w:space="0" w:color="auto"/>
              <w:bottom w:val="single" w:sz="4" w:space="0" w:color="auto"/>
            </w:tcBorders>
            <w:vAlign w:val="center"/>
          </w:tcPr>
          <w:p w14:paraId="59A9D963" w14:textId="77777777" w:rsidR="00C04FC1" w:rsidRPr="00F6055C" w:rsidRDefault="00C04FC1" w:rsidP="001D3E52">
            <w:pPr>
              <w:jc w:val="center"/>
              <w:rPr>
                <w:rFonts w:ascii="Arial" w:hAnsi="Arial" w:cs="Arial"/>
                <w:sz w:val="20"/>
                <w:szCs w:val="20"/>
              </w:rPr>
            </w:pPr>
            <w:r w:rsidRPr="00F6055C">
              <w:rPr>
                <w:rFonts w:ascii="Arial" w:hAnsi="Arial" w:cs="Arial"/>
                <w:b/>
                <w:bCs/>
                <w:sz w:val="20"/>
                <w:szCs w:val="20"/>
              </w:rPr>
              <w:t>Indicator</w:t>
            </w:r>
          </w:p>
        </w:tc>
        <w:tc>
          <w:tcPr>
            <w:tcW w:w="1134" w:type="dxa"/>
            <w:tcBorders>
              <w:top w:val="single" w:sz="4" w:space="0" w:color="auto"/>
              <w:bottom w:val="single" w:sz="4" w:space="0" w:color="auto"/>
            </w:tcBorders>
            <w:vAlign w:val="center"/>
          </w:tcPr>
          <w:p w14:paraId="64057F42" w14:textId="77777777" w:rsidR="00C04FC1" w:rsidRPr="00F6055C" w:rsidRDefault="00C04FC1" w:rsidP="001D3E52">
            <w:pPr>
              <w:jc w:val="center"/>
              <w:rPr>
                <w:rFonts w:ascii="Arial" w:hAnsi="Arial" w:cs="Arial"/>
                <w:sz w:val="20"/>
                <w:szCs w:val="20"/>
              </w:rPr>
            </w:pPr>
            <w:r w:rsidRPr="00F6055C">
              <w:rPr>
                <w:rFonts w:ascii="Arial" w:hAnsi="Arial" w:cs="Arial"/>
                <w:b/>
                <w:bCs/>
                <w:sz w:val="20"/>
                <w:szCs w:val="20"/>
              </w:rPr>
              <w:t>SD</w:t>
            </w:r>
          </w:p>
        </w:tc>
        <w:tc>
          <w:tcPr>
            <w:tcW w:w="1134" w:type="dxa"/>
            <w:tcBorders>
              <w:top w:val="single" w:sz="4" w:space="0" w:color="auto"/>
              <w:bottom w:val="single" w:sz="4" w:space="0" w:color="auto"/>
            </w:tcBorders>
            <w:vAlign w:val="center"/>
          </w:tcPr>
          <w:p w14:paraId="41EFEE14" w14:textId="77777777" w:rsidR="00C04FC1" w:rsidRPr="00F6055C" w:rsidRDefault="00C04FC1" w:rsidP="001D3E52">
            <w:pPr>
              <w:jc w:val="center"/>
              <w:rPr>
                <w:rFonts w:ascii="Arial" w:hAnsi="Arial" w:cs="Arial"/>
                <w:sz w:val="20"/>
                <w:szCs w:val="20"/>
              </w:rPr>
            </w:pPr>
            <w:r w:rsidRPr="00F6055C">
              <w:rPr>
                <w:rFonts w:ascii="Arial" w:hAnsi="Arial" w:cs="Arial"/>
                <w:b/>
                <w:bCs/>
                <w:sz w:val="20"/>
                <w:szCs w:val="20"/>
              </w:rPr>
              <w:t>Mean</w:t>
            </w:r>
          </w:p>
        </w:tc>
        <w:tc>
          <w:tcPr>
            <w:tcW w:w="2097" w:type="dxa"/>
            <w:tcBorders>
              <w:top w:val="single" w:sz="4" w:space="0" w:color="auto"/>
              <w:bottom w:val="single" w:sz="4" w:space="0" w:color="auto"/>
            </w:tcBorders>
            <w:vAlign w:val="center"/>
          </w:tcPr>
          <w:p w14:paraId="2C8D4CB5" w14:textId="77777777" w:rsidR="00C04FC1" w:rsidRPr="00F6055C" w:rsidRDefault="00C04FC1" w:rsidP="001D3E52">
            <w:pPr>
              <w:jc w:val="center"/>
              <w:rPr>
                <w:rFonts w:ascii="Arial" w:hAnsi="Arial" w:cs="Arial"/>
                <w:sz w:val="20"/>
                <w:szCs w:val="20"/>
              </w:rPr>
            </w:pPr>
            <w:r w:rsidRPr="00F6055C">
              <w:rPr>
                <w:rFonts w:ascii="Arial" w:hAnsi="Arial" w:cs="Arial"/>
                <w:b/>
                <w:bCs/>
                <w:sz w:val="20"/>
                <w:szCs w:val="20"/>
              </w:rPr>
              <w:t>Descriptive Level</w:t>
            </w:r>
          </w:p>
        </w:tc>
      </w:tr>
      <w:tr w:rsidR="00C04FC1" w:rsidRPr="00F6055C" w14:paraId="1054AD18" w14:textId="77777777" w:rsidTr="00C04FC1">
        <w:tc>
          <w:tcPr>
            <w:tcW w:w="5103" w:type="dxa"/>
            <w:tcBorders>
              <w:top w:val="single" w:sz="4" w:space="0" w:color="auto"/>
            </w:tcBorders>
            <w:vAlign w:val="center"/>
          </w:tcPr>
          <w:p w14:paraId="67865B92" w14:textId="77777777" w:rsidR="00C04FC1" w:rsidRPr="00F6055C" w:rsidRDefault="00C04FC1" w:rsidP="001D3E52">
            <w:pPr>
              <w:rPr>
                <w:rFonts w:ascii="Arial" w:hAnsi="Arial" w:cs="Arial"/>
                <w:sz w:val="20"/>
                <w:szCs w:val="20"/>
              </w:rPr>
            </w:pPr>
            <w:r w:rsidRPr="00F6055C">
              <w:rPr>
                <w:rFonts w:ascii="Arial" w:hAnsi="Arial" w:cs="Arial"/>
                <w:sz w:val="20"/>
                <w:szCs w:val="20"/>
              </w:rPr>
              <w:t>Sports Competence</w:t>
            </w:r>
          </w:p>
        </w:tc>
        <w:tc>
          <w:tcPr>
            <w:tcW w:w="1134" w:type="dxa"/>
            <w:tcBorders>
              <w:top w:val="single" w:sz="4" w:space="0" w:color="auto"/>
            </w:tcBorders>
            <w:vAlign w:val="center"/>
          </w:tcPr>
          <w:p w14:paraId="2873D8A4"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1.00</w:t>
            </w:r>
          </w:p>
        </w:tc>
        <w:tc>
          <w:tcPr>
            <w:tcW w:w="1134" w:type="dxa"/>
            <w:tcBorders>
              <w:top w:val="single" w:sz="4" w:space="0" w:color="auto"/>
            </w:tcBorders>
            <w:vAlign w:val="center"/>
          </w:tcPr>
          <w:p w14:paraId="7F4AD4EE"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3.19</w:t>
            </w:r>
          </w:p>
        </w:tc>
        <w:tc>
          <w:tcPr>
            <w:tcW w:w="2097" w:type="dxa"/>
            <w:tcBorders>
              <w:top w:val="single" w:sz="4" w:space="0" w:color="auto"/>
            </w:tcBorders>
            <w:vAlign w:val="center"/>
          </w:tcPr>
          <w:p w14:paraId="74D7A7FE"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Moderate</w:t>
            </w:r>
          </w:p>
        </w:tc>
      </w:tr>
      <w:tr w:rsidR="00C04FC1" w:rsidRPr="00F6055C" w14:paraId="5655C648" w14:textId="77777777" w:rsidTr="00C04FC1">
        <w:tc>
          <w:tcPr>
            <w:tcW w:w="5103" w:type="dxa"/>
            <w:vAlign w:val="center"/>
          </w:tcPr>
          <w:p w14:paraId="1B8121E6" w14:textId="77777777" w:rsidR="00C04FC1" w:rsidRPr="00F6055C" w:rsidRDefault="00C04FC1" w:rsidP="001D3E52">
            <w:pPr>
              <w:rPr>
                <w:rFonts w:ascii="Arial" w:hAnsi="Arial" w:cs="Arial"/>
                <w:sz w:val="20"/>
                <w:szCs w:val="20"/>
              </w:rPr>
            </w:pPr>
            <w:r w:rsidRPr="00F6055C">
              <w:rPr>
                <w:rFonts w:ascii="Arial" w:hAnsi="Arial" w:cs="Arial"/>
                <w:sz w:val="20"/>
                <w:szCs w:val="20"/>
              </w:rPr>
              <w:t>Physical Conditioning</w:t>
            </w:r>
          </w:p>
        </w:tc>
        <w:tc>
          <w:tcPr>
            <w:tcW w:w="1134" w:type="dxa"/>
            <w:vAlign w:val="center"/>
          </w:tcPr>
          <w:p w14:paraId="43FE4687"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0.94</w:t>
            </w:r>
          </w:p>
        </w:tc>
        <w:tc>
          <w:tcPr>
            <w:tcW w:w="1134" w:type="dxa"/>
            <w:vAlign w:val="center"/>
          </w:tcPr>
          <w:p w14:paraId="0CE477F2"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3.28</w:t>
            </w:r>
          </w:p>
        </w:tc>
        <w:tc>
          <w:tcPr>
            <w:tcW w:w="2097" w:type="dxa"/>
            <w:vAlign w:val="center"/>
          </w:tcPr>
          <w:p w14:paraId="33DA3CA8"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Moderate</w:t>
            </w:r>
          </w:p>
        </w:tc>
      </w:tr>
      <w:tr w:rsidR="00C04FC1" w:rsidRPr="00F6055C" w14:paraId="4122092C" w14:textId="77777777" w:rsidTr="00C04FC1">
        <w:tc>
          <w:tcPr>
            <w:tcW w:w="5103" w:type="dxa"/>
            <w:vAlign w:val="center"/>
          </w:tcPr>
          <w:p w14:paraId="33A49C69" w14:textId="77777777" w:rsidR="00C04FC1" w:rsidRPr="00F6055C" w:rsidRDefault="00C04FC1" w:rsidP="001D3E52">
            <w:pPr>
              <w:rPr>
                <w:rFonts w:ascii="Arial" w:hAnsi="Arial" w:cs="Arial"/>
                <w:sz w:val="20"/>
                <w:szCs w:val="20"/>
              </w:rPr>
            </w:pPr>
            <w:r w:rsidRPr="00F6055C">
              <w:rPr>
                <w:rFonts w:ascii="Arial" w:hAnsi="Arial" w:cs="Arial"/>
                <w:sz w:val="20"/>
                <w:szCs w:val="20"/>
              </w:rPr>
              <w:t>Body Attractiveness</w:t>
            </w:r>
          </w:p>
        </w:tc>
        <w:tc>
          <w:tcPr>
            <w:tcW w:w="1134" w:type="dxa"/>
            <w:vAlign w:val="center"/>
          </w:tcPr>
          <w:p w14:paraId="4D114355"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0.97</w:t>
            </w:r>
          </w:p>
        </w:tc>
        <w:tc>
          <w:tcPr>
            <w:tcW w:w="1134" w:type="dxa"/>
            <w:vAlign w:val="center"/>
          </w:tcPr>
          <w:p w14:paraId="2A50EFE4"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2.81</w:t>
            </w:r>
          </w:p>
        </w:tc>
        <w:tc>
          <w:tcPr>
            <w:tcW w:w="2097" w:type="dxa"/>
            <w:vAlign w:val="center"/>
          </w:tcPr>
          <w:p w14:paraId="7E0FD9C3"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Moderate</w:t>
            </w:r>
          </w:p>
        </w:tc>
      </w:tr>
      <w:tr w:rsidR="00C04FC1" w:rsidRPr="00F6055C" w14:paraId="2DF7BB02" w14:textId="77777777" w:rsidTr="00C04FC1">
        <w:tc>
          <w:tcPr>
            <w:tcW w:w="5103" w:type="dxa"/>
            <w:vAlign w:val="center"/>
          </w:tcPr>
          <w:p w14:paraId="51C6B639" w14:textId="77777777" w:rsidR="00C04FC1" w:rsidRPr="00F6055C" w:rsidRDefault="00C04FC1" w:rsidP="001D3E52">
            <w:pPr>
              <w:rPr>
                <w:rFonts w:ascii="Arial" w:hAnsi="Arial" w:cs="Arial"/>
                <w:sz w:val="20"/>
                <w:szCs w:val="20"/>
              </w:rPr>
            </w:pPr>
            <w:r w:rsidRPr="00F6055C">
              <w:rPr>
                <w:rFonts w:ascii="Arial" w:hAnsi="Arial" w:cs="Arial"/>
                <w:sz w:val="20"/>
                <w:szCs w:val="20"/>
              </w:rPr>
              <w:t>Physical Strength</w:t>
            </w:r>
          </w:p>
        </w:tc>
        <w:tc>
          <w:tcPr>
            <w:tcW w:w="1134" w:type="dxa"/>
            <w:vAlign w:val="center"/>
          </w:tcPr>
          <w:p w14:paraId="4F498F5C"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0.99</w:t>
            </w:r>
          </w:p>
        </w:tc>
        <w:tc>
          <w:tcPr>
            <w:tcW w:w="1134" w:type="dxa"/>
            <w:vAlign w:val="center"/>
          </w:tcPr>
          <w:p w14:paraId="540D906A"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2.87</w:t>
            </w:r>
          </w:p>
        </w:tc>
        <w:tc>
          <w:tcPr>
            <w:tcW w:w="2097" w:type="dxa"/>
            <w:vAlign w:val="center"/>
          </w:tcPr>
          <w:p w14:paraId="276A241A"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Moderate</w:t>
            </w:r>
          </w:p>
        </w:tc>
      </w:tr>
      <w:tr w:rsidR="00C04FC1" w:rsidRPr="00F6055C" w14:paraId="6E257DE6" w14:textId="77777777" w:rsidTr="00C04FC1">
        <w:tc>
          <w:tcPr>
            <w:tcW w:w="5103" w:type="dxa"/>
            <w:tcBorders>
              <w:bottom w:val="single" w:sz="4" w:space="0" w:color="auto"/>
            </w:tcBorders>
            <w:vAlign w:val="center"/>
          </w:tcPr>
          <w:p w14:paraId="13CE1319" w14:textId="77777777" w:rsidR="00C04FC1" w:rsidRPr="00F6055C" w:rsidRDefault="00C04FC1" w:rsidP="001D3E52">
            <w:pPr>
              <w:jc w:val="center"/>
              <w:rPr>
                <w:rFonts w:ascii="Arial" w:hAnsi="Arial" w:cs="Arial"/>
                <w:b/>
                <w:bCs/>
                <w:sz w:val="20"/>
                <w:szCs w:val="20"/>
              </w:rPr>
            </w:pPr>
            <w:r w:rsidRPr="00F6055C">
              <w:rPr>
                <w:rFonts w:ascii="Arial" w:hAnsi="Arial" w:cs="Arial"/>
                <w:b/>
                <w:bCs/>
                <w:sz w:val="20"/>
                <w:szCs w:val="20"/>
              </w:rPr>
              <w:t>Overall</w:t>
            </w:r>
          </w:p>
        </w:tc>
        <w:tc>
          <w:tcPr>
            <w:tcW w:w="1134" w:type="dxa"/>
            <w:tcBorders>
              <w:bottom w:val="single" w:sz="4" w:space="0" w:color="auto"/>
            </w:tcBorders>
            <w:vAlign w:val="center"/>
          </w:tcPr>
          <w:p w14:paraId="63BF519D" w14:textId="77777777" w:rsidR="00C04FC1" w:rsidRPr="00F6055C" w:rsidRDefault="00C04FC1" w:rsidP="001D3E52">
            <w:pPr>
              <w:jc w:val="center"/>
              <w:rPr>
                <w:rFonts w:ascii="Arial" w:hAnsi="Arial" w:cs="Arial"/>
                <w:b/>
                <w:bCs/>
                <w:sz w:val="20"/>
                <w:szCs w:val="20"/>
              </w:rPr>
            </w:pPr>
            <w:r w:rsidRPr="00F6055C">
              <w:rPr>
                <w:rFonts w:ascii="Arial" w:hAnsi="Arial" w:cs="Arial"/>
                <w:b/>
                <w:bCs/>
                <w:sz w:val="20"/>
                <w:szCs w:val="20"/>
              </w:rPr>
              <w:t>0.84</w:t>
            </w:r>
          </w:p>
        </w:tc>
        <w:tc>
          <w:tcPr>
            <w:tcW w:w="1134" w:type="dxa"/>
            <w:tcBorders>
              <w:bottom w:val="single" w:sz="4" w:space="0" w:color="auto"/>
            </w:tcBorders>
            <w:vAlign w:val="center"/>
          </w:tcPr>
          <w:p w14:paraId="3DAAE254" w14:textId="77777777" w:rsidR="00C04FC1" w:rsidRPr="00F6055C" w:rsidRDefault="00C04FC1" w:rsidP="001D3E52">
            <w:pPr>
              <w:jc w:val="center"/>
              <w:rPr>
                <w:rFonts w:ascii="Arial" w:hAnsi="Arial" w:cs="Arial"/>
                <w:b/>
                <w:bCs/>
                <w:sz w:val="20"/>
                <w:szCs w:val="20"/>
              </w:rPr>
            </w:pPr>
            <w:r w:rsidRPr="00F6055C">
              <w:rPr>
                <w:rFonts w:ascii="Arial" w:hAnsi="Arial" w:cs="Arial"/>
                <w:b/>
                <w:bCs/>
                <w:sz w:val="20"/>
                <w:szCs w:val="20"/>
              </w:rPr>
              <w:t>3.04</w:t>
            </w:r>
          </w:p>
        </w:tc>
        <w:tc>
          <w:tcPr>
            <w:tcW w:w="2097" w:type="dxa"/>
            <w:tcBorders>
              <w:bottom w:val="single" w:sz="4" w:space="0" w:color="auto"/>
            </w:tcBorders>
            <w:vAlign w:val="center"/>
          </w:tcPr>
          <w:p w14:paraId="5FB998BD" w14:textId="77777777" w:rsidR="00C04FC1" w:rsidRPr="00F6055C" w:rsidRDefault="00C04FC1" w:rsidP="001D3E52">
            <w:pPr>
              <w:jc w:val="center"/>
              <w:rPr>
                <w:rFonts w:ascii="Arial" w:hAnsi="Arial" w:cs="Arial"/>
                <w:b/>
                <w:bCs/>
                <w:sz w:val="20"/>
                <w:szCs w:val="20"/>
              </w:rPr>
            </w:pPr>
            <w:r w:rsidRPr="00F6055C">
              <w:rPr>
                <w:rFonts w:ascii="Arial" w:hAnsi="Arial" w:cs="Arial"/>
                <w:b/>
                <w:bCs/>
                <w:sz w:val="20"/>
                <w:szCs w:val="20"/>
              </w:rPr>
              <w:t>Moderate</w:t>
            </w:r>
          </w:p>
        </w:tc>
      </w:tr>
    </w:tbl>
    <w:p w14:paraId="72887E0E" w14:textId="77777777" w:rsidR="00C04FC1" w:rsidRPr="007A5143" w:rsidRDefault="00C04FC1" w:rsidP="00C04FC1">
      <w:pPr>
        <w:pStyle w:val="Body"/>
        <w:spacing w:after="0"/>
        <w:rPr>
          <w:rFonts w:ascii="Arial" w:hAnsi="Arial" w:cs="Arial"/>
        </w:rPr>
      </w:pPr>
    </w:p>
    <w:p w14:paraId="4C104928" w14:textId="77777777" w:rsidR="007A5143" w:rsidRPr="007A5143" w:rsidRDefault="007A5143" w:rsidP="007A5143">
      <w:pPr>
        <w:pStyle w:val="Body"/>
        <w:spacing w:after="0"/>
        <w:ind w:firstLine="720"/>
        <w:rPr>
          <w:rFonts w:ascii="Arial" w:hAnsi="Arial" w:cs="Arial"/>
        </w:rPr>
      </w:pPr>
      <w:r w:rsidRPr="007A5143">
        <w:rPr>
          <w:rFonts w:ascii="Arial" w:hAnsi="Arial" w:cs="Arial"/>
        </w:rPr>
        <w:t xml:space="preserve">The results indicate that students held a moderate level of confidence in their physical abilities and appearance, which implies that students sometimes feel confident and satisfied with their physical abilities and body image. Correspondingly, in the meta-analysis </w:t>
      </w:r>
      <w:r w:rsidRPr="007A5143">
        <w:rPr>
          <w:rFonts w:ascii="Arial" w:hAnsi="Arial" w:cs="Arial"/>
        </w:rPr>
        <w:lastRenderedPageBreak/>
        <w:t>by Yang et al. (2024), the baseline levels of physical self-perception among college students were generally described as moderate before any intervention. The study synthesized data from multiple research articles and found that most college students demonstrated average to slightly below-average perceptions of their physical abilities and appearance. Students commonly reported moderate levels of physical self-worth, perceived competence in sports, physical condition, strength, and body attractiveness. Similarly, Hao et al. (2023) measured body dissatisfaction, a core aspect of physical self-perception, and found that most students fell into the low-dissatisfaction group, suggesting relatively positive physical self-perception overall.</w:t>
      </w:r>
    </w:p>
    <w:p w14:paraId="27D371E7" w14:textId="77777777" w:rsidR="007A5143" w:rsidRPr="007A5143" w:rsidRDefault="007A5143" w:rsidP="007A5143">
      <w:pPr>
        <w:pStyle w:val="Body"/>
        <w:spacing w:after="0"/>
        <w:rPr>
          <w:rFonts w:ascii="Arial" w:hAnsi="Arial" w:cs="Arial"/>
        </w:rPr>
      </w:pPr>
    </w:p>
    <w:p w14:paraId="75C573BF" w14:textId="03F3A76B" w:rsidR="007A5143" w:rsidRPr="007A5143" w:rsidRDefault="007A5143" w:rsidP="007A5143">
      <w:pPr>
        <w:pStyle w:val="Body"/>
        <w:spacing w:after="0"/>
        <w:rPr>
          <w:rFonts w:ascii="Arial" w:hAnsi="Arial" w:cs="Arial"/>
          <w:b/>
          <w:bCs/>
        </w:rPr>
      </w:pPr>
      <w:r>
        <w:rPr>
          <w:rFonts w:ascii="Arial" w:hAnsi="Arial" w:cs="Arial"/>
          <w:b/>
          <w:bCs/>
        </w:rPr>
        <w:t xml:space="preserve">3.3 </w:t>
      </w:r>
      <w:r w:rsidRPr="007A5143">
        <w:rPr>
          <w:rFonts w:ascii="Arial" w:hAnsi="Arial" w:cs="Arial"/>
          <w:b/>
          <w:bCs/>
        </w:rPr>
        <w:t>Student Situational Interest in PE</w:t>
      </w:r>
    </w:p>
    <w:p w14:paraId="32F65582" w14:textId="77777777" w:rsidR="007A5143" w:rsidRDefault="007A5143" w:rsidP="007A5143">
      <w:pPr>
        <w:pStyle w:val="Body"/>
        <w:spacing w:after="0"/>
        <w:ind w:firstLine="720"/>
        <w:rPr>
          <w:rFonts w:ascii="Arial" w:hAnsi="Arial" w:cs="Arial"/>
        </w:rPr>
      </w:pPr>
      <w:r w:rsidRPr="007A5143">
        <w:rPr>
          <w:rFonts w:ascii="Arial" w:hAnsi="Arial" w:cs="Arial"/>
        </w:rPr>
        <w:t>Table 3 presents the level of situational interest in PE, yielding an overall mean of 3.92 (SD = 0.61), which is interpreted as high. Among the six indicators, total interest obtained the highest mean of 4.29 (SD = 0.75). On the other hand, challenge recorded the lowest mean of 3.06 (SD = 1.03).</w:t>
      </w:r>
    </w:p>
    <w:p w14:paraId="7092848B" w14:textId="77777777" w:rsidR="005C01D5" w:rsidRDefault="005C01D5" w:rsidP="00C04FC1">
      <w:pPr>
        <w:pStyle w:val="Body"/>
        <w:spacing w:after="0"/>
        <w:rPr>
          <w:rFonts w:ascii="Arial" w:hAnsi="Arial" w:cs="Arial"/>
        </w:rPr>
      </w:pPr>
    </w:p>
    <w:p w14:paraId="72F57FCD" w14:textId="710049DC" w:rsidR="00C04FC1" w:rsidRPr="00F9794D" w:rsidRDefault="00C04FC1" w:rsidP="00F9794D">
      <w:pPr>
        <w:pStyle w:val="BodyText"/>
        <w:suppressAutoHyphens/>
        <w:spacing w:after="0"/>
        <w:rPr>
          <w:rFonts w:ascii="Arial" w:eastAsiaTheme="minorHAnsi" w:hAnsi="Arial" w:cs="Arial"/>
          <w:b/>
          <w:bCs/>
          <w:kern w:val="2"/>
          <w:lang w:val="en-PH"/>
        </w:rPr>
      </w:pPr>
      <w:r w:rsidRPr="00F9794D">
        <w:rPr>
          <w:rFonts w:ascii="Arial" w:eastAsiaTheme="minorHAnsi" w:hAnsi="Arial" w:cs="Arial"/>
          <w:b/>
          <w:bCs/>
          <w:kern w:val="2"/>
          <w:lang w:val="en-PH"/>
        </w:rPr>
        <w:t>Table 3</w:t>
      </w:r>
      <w:r w:rsidR="00F9794D" w:rsidRPr="00F9794D">
        <w:rPr>
          <w:rFonts w:ascii="Arial" w:eastAsiaTheme="minorHAnsi" w:hAnsi="Arial" w:cs="Arial"/>
          <w:b/>
          <w:bCs/>
          <w:kern w:val="2"/>
          <w:lang w:val="en-PH"/>
        </w:rPr>
        <w:t xml:space="preserve">. </w:t>
      </w:r>
      <w:r w:rsidRPr="00F9794D">
        <w:rPr>
          <w:rFonts w:ascii="Arial" w:eastAsiaTheme="minorHAnsi" w:hAnsi="Arial" w:cs="Arial"/>
          <w:b/>
          <w:bCs/>
          <w:kern w:val="2"/>
          <w:lang w:val="en-PH"/>
        </w:rPr>
        <w:t xml:space="preserve">Level of </w:t>
      </w:r>
      <w:r w:rsidRPr="00F9794D">
        <w:rPr>
          <w:rFonts w:ascii="Arial" w:hAnsi="Arial" w:cs="Arial"/>
          <w:b/>
          <w:bCs/>
        </w:rPr>
        <w:t xml:space="preserve">Student </w:t>
      </w:r>
      <w:r w:rsidRPr="00F9794D">
        <w:rPr>
          <w:rFonts w:ascii="Arial" w:hAnsi="Arial" w:cs="Arial"/>
          <w:b/>
          <w:bCs/>
          <w:lang w:val="en-PH"/>
        </w:rPr>
        <w:t>Situational Interest in PE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1026"/>
        <w:gridCol w:w="1051"/>
        <w:gridCol w:w="1933"/>
      </w:tblGrid>
      <w:tr w:rsidR="00C04FC1" w:rsidRPr="00F6055C" w14:paraId="7E9D21B6" w14:textId="77777777" w:rsidTr="00C04FC1">
        <w:tc>
          <w:tcPr>
            <w:tcW w:w="5103" w:type="dxa"/>
            <w:tcBorders>
              <w:top w:val="single" w:sz="4" w:space="0" w:color="auto"/>
              <w:bottom w:val="single" w:sz="4" w:space="0" w:color="auto"/>
            </w:tcBorders>
            <w:vAlign w:val="center"/>
          </w:tcPr>
          <w:p w14:paraId="4F34C8A5" w14:textId="77777777" w:rsidR="00C04FC1" w:rsidRPr="00F6055C" w:rsidRDefault="00C04FC1" w:rsidP="001D3E52">
            <w:pPr>
              <w:jc w:val="center"/>
              <w:rPr>
                <w:rFonts w:ascii="Arial" w:hAnsi="Arial" w:cs="Arial"/>
                <w:sz w:val="20"/>
                <w:szCs w:val="20"/>
              </w:rPr>
            </w:pPr>
            <w:r w:rsidRPr="00F6055C">
              <w:rPr>
                <w:rFonts w:ascii="Arial" w:hAnsi="Arial" w:cs="Arial"/>
                <w:b/>
                <w:bCs/>
                <w:sz w:val="20"/>
                <w:szCs w:val="20"/>
              </w:rPr>
              <w:t>Indicator</w:t>
            </w:r>
          </w:p>
        </w:tc>
        <w:tc>
          <w:tcPr>
            <w:tcW w:w="1134" w:type="dxa"/>
            <w:tcBorders>
              <w:top w:val="single" w:sz="4" w:space="0" w:color="auto"/>
              <w:bottom w:val="single" w:sz="4" w:space="0" w:color="auto"/>
            </w:tcBorders>
            <w:vAlign w:val="center"/>
          </w:tcPr>
          <w:p w14:paraId="370239FC" w14:textId="77777777" w:rsidR="00C04FC1" w:rsidRPr="00F6055C" w:rsidRDefault="00C04FC1" w:rsidP="001D3E52">
            <w:pPr>
              <w:jc w:val="center"/>
              <w:rPr>
                <w:rFonts w:ascii="Arial" w:hAnsi="Arial" w:cs="Arial"/>
                <w:sz w:val="20"/>
                <w:szCs w:val="20"/>
              </w:rPr>
            </w:pPr>
            <w:r w:rsidRPr="00F6055C">
              <w:rPr>
                <w:rFonts w:ascii="Arial" w:hAnsi="Arial" w:cs="Arial"/>
                <w:b/>
                <w:bCs/>
                <w:sz w:val="20"/>
                <w:szCs w:val="20"/>
              </w:rPr>
              <w:t>SD</w:t>
            </w:r>
          </w:p>
        </w:tc>
        <w:tc>
          <w:tcPr>
            <w:tcW w:w="1134" w:type="dxa"/>
            <w:tcBorders>
              <w:top w:val="single" w:sz="4" w:space="0" w:color="auto"/>
              <w:bottom w:val="single" w:sz="4" w:space="0" w:color="auto"/>
            </w:tcBorders>
            <w:vAlign w:val="center"/>
          </w:tcPr>
          <w:p w14:paraId="6B773C6E" w14:textId="77777777" w:rsidR="00C04FC1" w:rsidRPr="00F6055C" w:rsidRDefault="00C04FC1" w:rsidP="001D3E52">
            <w:pPr>
              <w:jc w:val="center"/>
              <w:rPr>
                <w:rFonts w:ascii="Arial" w:hAnsi="Arial" w:cs="Arial"/>
                <w:sz w:val="20"/>
                <w:szCs w:val="20"/>
              </w:rPr>
            </w:pPr>
            <w:r w:rsidRPr="00F6055C">
              <w:rPr>
                <w:rFonts w:ascii="Arial" w:hAnsi="Arial" w:cs="Arial"/>
                <w:b/>
                <w:bCs/>
                <w:sz w:val="20"/>
                <w:szCs w:val="20"/>
              </w:rPr>
              <w:t>Mean</w:t>
            </w:r>
          </w:p>
        </w:tc>
        <w:tc>
          <w:tcPr>
            <w:tcW w:w="2097" w:type="dxa"/>
            <w:tcBorders>
              <w:top w:val="single" w:sz="4" w:space="0" w:color="auto"/>
              <w:bottom w:val="single" w:sz="4" w:space="0" w:color="auto"/>
            </w:tcBorders>
            <w:vAlign w:val="center"/>
          </w:tcPr>
          <w:p w14:paraId="58563787" w14:textId="77777777" w:rsidR="00C04FC1" w:rsidRPr="00F6055C" w:rsidRDefault="00C04FC1" w:rsidP="001D3E52">
            <w:pPr>
              <w:jc w:val="center"/>
              <w:rPr>
                <w:rFonts w:ascii="Arial" w:hAnsi="Arial" w:cs="Arial"/>
                <w:sz w:val="20"/>
                <w:szCs w:val="20"/>
              </w:rPr>
            </w:pPr>
            <w:r w:rsidRPr="00F6055C">
              <w:rPr>
                <w:rFonts w:ascii="Arial" w:hAnsi="Arial" w:cs="Arial"/>
                <w:b/>
                <w:bCs/>
                <w:sz w:val="20"/>
                <w:szCs w:val="20"/>
              </w:rPr>
              <w:t>Descriptive Level</w:t>
            </w:r>
          </w:p>
        </w:tc>
      </w:tr>
      <w:tr w:rsidR="00C04FC1" w:rsidRPr="00F6055C" w14:paraId="57651EB9" w14:textId="77777777" w:rsidTr="00C04FC1">
        <w:tc>
          <w:tcPr>
            <w:tcW w:w="5103" w:type="dxa"/>
            <w:tcBorders>
              <w:top w:val="single" w:sz="4" w:space="0" w:color="auto"/>
            </w:tcBorders>
            <w:vAlign w:val="center"/>
          </w:tcPr>
          <w:p w14:paraId="6D2343FE" w14:textId="77777777" w:rsidR="00C04FC1" w:rsidRPr="00F6055C" w:rsidRDefault="00C04FC1" w:rsidP="001D3E52">
            <w:pPr>
              <w:rPr>
                <w:rFonts w:ascii="Arial" w:hAnsi="Arial" w:cs="Arial"/>
                <w:sz w:val="20"/>
                <w:szCs w:val="20"/>
              </w:rPr>
            </w:pPr>
            <w:r w:rsidRPr="00F6055C">
              <w:rPr>
                <w:rFonts w:ascii="Arial" w:hAnsi="Arial" w:cs="Arial"/>
                <w:sz w:val="20"/>
                <w:szCs w:val="20"/>
              </w:rPr>
              <w:t>Total Interest</w:t>
            </w:r>
          </w:p>
        </w:tc>
        <w:tc>
          <w:tcPr>
            <w:tcW w:w="1134" w:type="dxa"/>
            <w:tcBorders>
              <w:top w:val="single" w:sz="4" w:space="0" w:color="auto"/>
            </w:tcBorders>
            <w:vAlign w:val="center"/>
          </w:tcPr>
          <w:p w14:paraId="7CF4514B"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0.75</w:t>
            </w:r>
          </w:p>
        </w:tc>
        <w:tc>
          <w:tcPr>
            <w:tcW w:w="1134" w:type="dxa"/>
            <w:tcBorders>
              <w:top w:val="single" w:sz="4" w:space="0" w:color="auto"/>
            </w:tcBorders>
            <w:vAlign w:val="center"/>
          </w:tcPr>
          <w:p w14:paraId="43DFAB59"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4.29</w:t>
            </w:r>
          </w:p>
        </w:tc>
        <w:tc>
          <w:tcPr>
            <w:tcW w:w="2097" w:type="dxa"/>
            <w:tcBorders>
              <w:top w:val="single" w:sz="4" w:space="0" w:color="auto"/>
            </w:tcBorders>
            <w:vAlign w:val="center"/>
          </w:tcPr>
          <w:p w14:paraId="76BD4DF8"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Very High</w:t>
            </w:r>
          </w:p>
        </w:tc>
      </w:tr>
      <w:tr w:rsidR="00C04FC1" w:rsidRPr="00F6055C" w14:paraId="22752FD0" w14:textId="77777777" w:rsidTr="00C04FC1">
        <w:tc>
          <w:tcPr>
            <w:tcW w:w="5103" w:type="dxa"/>
            <w:vAlign w:val="center"/>
          </w:tcPr>
          <w:p w14:paraId="5D589452" w14:textId="77777777" w:rsidR="00C04FC1" w:rsidRPr="00F6055C" w:rsidRDefault="00C04FC1" w:rsidP="001D3E52">
            <w:pPr>
              <w:rPr>
                <w:rFonts w:ascii="Arial" w:hAnsi="Arial" w:cs="Arial"/>
                <w:sz w:val="20"/>
                <w:szCs w:val="20"/>
              </w:rPr>
            </w:pPr>
            <w:r w:rsidRPr="00F6055C">
              <w:rPr>
                <w:rFonts w:ascii="Arial" w:hAnsi="Arial" w:cs="Arial"/>
                <w:sz w:val="20"/>
                <w:szCs w:val="20"/>
              </w:rPr>
              <w:t>Instant Enjoyment</w:t>
            </w:r>
          </w:p>
        </w:tc>
        <w:tc>
          <w:tcPr>
            <w:tcW w:w="1134" w:type="dxa"/>
            <w:vAlign w:val="center"/>
          </w:tcPr>
          <w:p w14:paraId="2A3EE3F5"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0.75</w:t>
            </w:r>
          </w:p>
        </w:tc>
        <w:tc>
          <w:tcPr>
            <w:tcW w:w="1134" w:type="dxa"/>
            <w:vAlign w:val="center"/>
          </w:tcPr>
          <w:p w14:paraId="49BC037F"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4.28</w:t>
            </w:r>
          </w:p>
        </w:tc>
        <w:tc>
          <w:tcPr>
            <w:tcW w:w="2097" w:type="dxa"/>
            <w:vAlign w:val="center"/>
          </w:tcPr>
          <w:p w14:paraId="4CDF02A4"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Very High</w:t>
            </w:r>
          </w:p>
        </w:tc>
      </w:tr>
      <w:tr w:rsidR="00C04FC1" w:rsidRPr="00F6055C" w14:paraId="6F3B4CA8" w14:textId="77777777" w:rsidTr="00C04FC1">
        <w:tc>
          <w:tcPr>
            <w:tcW w:w="5103" w:type="dxa"/>
            <w:vAlign w:val="center"/>
          </w:tcPr>
          <w:p w14:paraId="04B7F710" w14:textId="77777777" w:rsidR="00C04FC1" w:rsidRPr="00F6055C" w:rsidRDefault="00C04FC1" w:rsidP="001D3E52">
            <w:pPr>
              <w:rPr>
                <w:rFonts w:ascii="Arial" w:hAnsi="Arial" w:cs="Arial"/>
                <w:sz w:val="20"/>
                <w:szCs w:val="20"/>
              </w:rPr>
            </w:pPr>
            <w:r w:rsidRPr="00F6055C">
              <w:rPr>
                <w:rFonts w:ascii="Arial" w:hAnsi="Arial" w:cs="Arial"/>
                <w:sz w:val="20"/>
                <w:szCs w:val="20"/>
              </w:rPr>
              <w:t>Exploration Intention</w:t>
            </w:r>
          </w:p>
        </w:tc>
        <w:tc>
          <w:tcPr>
            <w:tcW w:w="1134" w:type="dxa"/>
            <w:vAlign w:val="center"/>
          </w:tcPr>
          <w:p w14:paraId="208DD2A4"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0.78</w:t>
            </w:r>
          </w:p>
        </w:tc>
        <w:tc>
          <w:tcPr>
            <w:tcW w:w="1134" w:type="dxa"/>
            <w:vAlign w:val="center"/>
          </w:tcPr>
          <w:p w14:paraId="7BD6AF66"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4.25</w:t>
            </w:r>
          </w:p>
        </w:tc>
        <w:tc>
          <w:tcPr>
            <w:tcW w:w="2097" w:type="dxa"/>
            <w:vAlign w:val="center"/>
          </w:tcPr>
          <w:p w14:paraId="7613C361"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Very High</w:t>
            </w:r>
          </w:p>
        </w:tc>
      </w:tr>
      <w:tr w:rsidR="00C04FC1" w:rsidRPr="00F6055C" w14:paraId="107321A2" w14:textId="77777777" w:rsidTr="00C04FC1">
        <w:tc>
          <w:tcPr>
            <w:tcW w:w="5103" w:type="dxa"/>
            <w:vAlign w:val="center"/>
          </w:tcPr>
          <w:p w14:paraId="50F8C2F0" w14:textId="77777777" w:rsidR="00C04FC1" w:rsidRPr="00F6055C" w:rsidRDefault="00C04FC1" w:rsidP="001D3E52">
            <w:pPr>
              <w:rPr>
                <w:rFonts w:ascii="Arial" w:hAnsi="Arial" w:cs="Arial"/>
                <w:sz w:val="20"/>
                <w:szCs w:val="20"/>
              </w:rPr>
            </w:pPr>
            <w:r w:rsidRPr="00F6055C">
              <w:rPr>
                <w:rFonts w:ascii="Arial" w:hAnsi="Arial" w:cs="Arial"/>
                <w:sz w:val="20"/>
                <w:szCs w:val="20"/>
              </w:rPr>
              <w:t>Attention Demand</w:t>
            </w:r>
          </w:p>
        </w:tc>
        <w:tc>
          <w:tcPr>
            <w:tcW w:w="1134" w:type="dxa"/>
            <w:vAlign w:val="center"/>
          </w:tcPr>
          <w:p w14:paraId="725B5F67"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0.77</w:t>
            </w:r>
          </w:p>
        </w:tc>
        <w:tc>
          <w:tcPr>
            <w:tcW w:w="1134" w:type="dxa"/>
            <w:vAlign w:val="center"/>
          </w:tcPr>
          <w:p w14:paraId="3667FA0A"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3.96</w:t>
            </w:r>
          </w:p>
        </w:tc>
        <w:tc>
          <w:tcPr>
            <w:tcW w:w="2097" w:type="dxa"/>
            <w:vAlign w:val="center"/>
          </w:tcPr>
          <w:p w14:paraId="4DF022C8"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High</w:t>
            </w:r>
          </w:p>
        </w:tc>
      </w:tr>
      <w:tr w:rsidR="00C04FC1" w:rsidRPr="00F6055C" w14:paraId="28126504" w14:textId="77777777" w:rsidTr="00C04FC1">
        <w:tc>
          <w:tcPr>
            <w:tcW w:w="5103" w:type="dxa"/>
            <w:vAlign w:val="center"/>
          </w:tcPr>
          <w:p w14:paraId="2BDE0890" w14:textId="77777777" w:rsidR="00C04FC1" w:rsidRPr="00F6055C" w:rsidRDefault="00C04FC1" w:rsidP="001D3E52">
            <w:pPr>
              <w:rPr>
                <w:rFonts w:ascii="Arial" w:hAnsi="Arial" w:cs="Arial"/>
                <w:sz w:val="20"/>
                <w:szCs w:val="20"/>
              </w:rPr>
            </w:pPr>
            <w:r w:rsidRPr="00F6055C">
              <w:rPr>
                <w:rFonts w:ascii="Arial" w:hAnsi="Arial" w:cs="Arial"/>
                <w:sz w:val="20"/>
                <w:szCs w:val="20"/>
              </w:rPr>
              <w:t>Challenge</w:t>
            </w:r>
          </w:p>
        </w:tc>
        <w:tc>
          <w:tcPr>
            <w:tcW w:w="1134" w:type="dxa"/>
            <w:vAlign w:val="center"/>
          </w:tcPr>
          <w:p w14:paraId="7FFB4570"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1.03</w:t>
            </w:r>
          </w:p>
        </w:tc>
        <w:tc>
          <w:tcPr>
            <w:tcW w:w="1134" w:type="dxa"/>
            <w:vAlign w:val="center"/>
          </w:tcPr>
          <w:p w14:paraId="65A3E4AD"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3.06</w:t>
            </w:r>
          </w:p>
        </w:tc>
        <w:tc>
          <w:tcPr>
            <w:tcW w:w="2097" w:type="dxa"/>
            <w:vAlign w:val="center"/>
          </w:tcPr>
          <w:p w14:paraId="5B88BEF3"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Moderate</w:t>
            </w:r>
          </w:p>
        </w:tc>
      </w:tr>
      <w:tr w:rsidR="00C04FC1" w:rsidRPr="00F6055C" w14:paraId="6A846E30" w14:textId="77777777" w:rsidTr="00C04FC1">
        <w:tc>
          <w:tcPr>
            <w:tcW w:w="5103" w:type="dxa"/>
            <w:vAlign w:val="center"/>
          </w:tcPr>
          <w:p w14:paraId="64BA2424" w14:textId="77777777" w:rsidR="00C04FC1" w:rsidRPr="00F6055C" w:rsidRDefault="00C04FC1" w:rsidP="001D3E52">
            <w:pPr>
              <w:rPr>
                <w:rFonts w:ascii="Arial" w:hAnsi="Arial" w:cs="Arial"/>
                <w:sz w:val="20"/>
                <w:szCs w:val="20"/>
              </w:rPr>
            </w:pPr>
            <w:r w:rsidRPr="00F6055C">
              <w:rPr>
                <w:rFonts w:ascii="Arial" w:hAnsi="Arial" w:cs="Arial"/>
                <w:sz w:val="20"/>
                <w:szCs w:val="20"/>
              </w:rPr>
              <w:t>Novelty</w:t>
            </w:r>
          </w:p>
        </w:tc>
        <w:tc>
          <w:tcPr>
            <w:tcW w:w="1134" w:type="dxa"/>
            <w:vAlign w:val="center"/>
          </w:tcPr>
          <w:p w14:paraId="5409632D"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1.01</w:t>
            </w:r>
          </w:p>
        </w:tc>
        <w:tc>
          <w:tcPr>
            <w:tcW w:w="1134" w:type="dxa"/>
            <w:vAlign w:val="center"/>
          </w:tcPr>
          <w:p w14:paraId="072E96FC"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3.66</w:t>
            </w:r>
          </w:p>
        </w:tc>
        <w:tc>
          <w:tcPr>
            <w:tcW w:w="2097" w:type="dxa"/>
            <w:vAlign w:val="center"/>
          </w:tcPr>
          <w:p w14:paraId="2162E8A9" w14:textId="77777777" w:rsidR="00C04FC1" w:rsidRPr="00F6055C" w:rsidRDefault="00C04FC1" w:rsidP="001D3E52">
            <w:pPr>
              <w:jc w:val="center"/>
              <w:rPr>
                <w:rFonts w:ascii="Arial" w:hAnsi="Arial" w:cs="Arial"/>
                <w:sz w:val="20"/>
                <w:szCs w:val="20"/>
              </w:rPr>
            </w:pPr>
            <w:r w:rsidRPr="00F6055C">
              <w:rPr>
                <w:rFonts w:ascii="Arial" w:hAnsi="Arial" w:cs="Arial"/>
                <w:sz w:val="20"/>
                <w:szCs w:val="20"/>
              </w:rPr>
              <w:t>High</w:t>
            </w:r>
          </w:p>
        </w:tc>
      </w:tr>
      <w:tr w:rsidR="00C04FC1" w:rsidRPr="00F6055C" w14:paraId="0396663E" w14:textId="77777777" w:rsidTr="00C04FC1">
        <w:tc>
          <w:tcPr>
            <w:tcW w:w="5103" w:type="dxa"/>
            <w:tcBorders>
              <w:bottom w:val="single" w:sz="4" w:space="0" w:color="auto"/>
            </w:tcBorders>
            <w:vAlign w:val="center"/>
          </w:tcPr>
          <w:p w14:paraId="75841C9F" w14:textId="77777777" w:rsidR="00C04FC1" w:rsidRPr="00F6055C" w:rsidRDefault="00C04FC1" w:rsidP="001D3E52">
            <w:pPr>
              <w:jc w:val="center"/>
              <w:rPr>
                <w:rFonts w:ascii="Arial" w:hAnsi="Arial" w:cs="Arial"/>
                <w:b/>
                <w:bCs/>
                <w:sz w:val="20"/>
                <w:szCs w:val="20"/>
              </w:rPr>
            </w:pPr>
            <w:r w:rsidRPr="00F6055C">
              <w:rPr>
                <w:rFonts w:ascii="Arial" w:hAnsi="Arial" w:cs="Arial"/>
                <w:b/>
                <w:bCs/>
                <w:sz w:val="20"/>
                <w:szCs w:val="20"/>
              </w:rPr>
              <w:t>Overall</w:t>
            </w:r>
          </w:p>
        </w:tc>
        <w:tc>
          <w:tcPr>
            <w:tcW w:w="1134" w:type="dxa"/>
            <w:tcBorders>
              <w:bottom w:val="single" w:sz="4" w:space="0" w:color="auto"/>
            </w:tcBorders>
            <w:vAlign w:val="center"/>
          </w:tcPr>
          <w:p w14:paraId="684B0342" w14:textId="77777777" w:rsidR="00C04FC1" w:rsidRPr="00F6055C" w:rsidRDefault="00C04FC1" w:rsidP="001D3E52">
            <w:pPr>
              <w:jc w:val="center"/>
              <w:rPr>
                <w:rFonts w:ascii="Arial" w:hAnsi="Arial" w:cs="Arial"/>
                <w:b/>
                <w:bCs/>
                <w:sz w:val="20"/>
                <w:szCs w:val="20"/>
              </w:rPr>
            </w:pPr>
            <w:r w:rsidRPr="00F6055C">
              <w:rPr>
                <w:rFonts w:ascii="Arial" w:hAnsi="Arial" w:cs="Arial"/>
                <w:b/>
                <w:bCs/>
                <w:sz w:val="20"/>
                <w:szCs w:val="20"/>
              </w:rPr>
              <w:t>0.61</w:t>
            </w:r>
          </w:p>
        </w:tc>
        <w:tc>
          <w:tcPr>
            <w:tcW w:w="1134" w:type="dxa"/>
            <w:tcBorders>
              <w:bottom w:val="single" w:sz="4" w:space="0" w:color="auto"/>
            </w:tcBorders>
            <w:vAlign w:val="center"/>
          </w:tcPr>
          <w:p w14:paraId="20C8F2CA" w14:textId="77777777" w:rsidR="00C04FC1" w:rsidRPr="00F6055C" w:rsidRDefault="00C04FC1" w:rsidP="001D3E52">
            <w:pPr>
              <w:jc w:val="center"/>
              <w:rPr>
                <w:rFonts w:ascii="Arial" w:hAnsi="Arial" w:cs="Arial"/>
                <w:b/>
                <w:bCs/>
                <w:sz w:val="20"/>
                <w:szCs w:val="20"/>
              </w:rPr>
            </w:pPr>
            <w:r w:rsidRPr="00F6055C">
              <w:rPr>
                <w:rFonts w:ascii="Arial" w:hAnsi="Arial" w:cs="Arial"/>
                <w:b/>
                <w:bCs/>
                <w:sz w:val="20"/>
                <w:szCs w:val="20"/>
              </w:rPr>
              <w:t>3.92</w:t>
            </w:r>
          </w:p>
        </w:tc>
        <w:tc>
          <w:tcPr>
            <w:tcW w:w="2097" w:type="dxa"/>
            <w:tcBorders>
              <w:bottom w:val="single" w:sz="4" w:space="0" w:color="auto"/>
            </w:tcBorders>
            <w:vAlign w:val="center"/>
          </w:tcPr>
          <w:p w14:paraId="5816F3DE" w14:textId="77777777" w:rsidR="00C04FC1" w:rsidRPr="00F6055C" w:rsidRDefault="00C04FC1" w:rsidP="001D3E52">
            <w:pPr>
              <w:jc w:val="center"/>
              <w:rPr>
                <w:rFonts w:ascii="Arial" w:hAnsi="Arial" w:cs="Arial"/>
                <w:b/>
                <w:bCs/>
                <w:sz w:val="20"/>
                <w:szCs w:val="20"/>
              </w:rPr>
            </w:pPr>
            <w:r w:rsidRPr="00F6055C">
              <w:rPr>
                <w:rFonts w:ascii="Arial" w:hAnsi="Arial" w:cs="Arial"/>
                <w:b/>
                <w:bCs/>
                <w:sz w:val="20"/>
                <w:szCs w:val="20"/>
              </w:rPr>
              <w:t>High</w:t>
            </w:r>
          </w:p>
        </w:tc>
      </w:tr>
    </w:tbl>
    <w:p w14:paraId="5478CF62" w14:textId="77777777" w:rsidR="00C04FC1" w:rsidRPr="007A5143" w:rsidRDefault="00C04FC1" w:rsidP="00C04FC1">
      <w:pPr>
        <w:pStyle w:val="Body"/>
        <w:spacing w:after="0"/>
        <w:rPr>
          <w:rFonts w:ascii="Arial" w:hAnsi="Arial" w:cs="Arial"/>
        </w:rPr>
      </w:pPr>
    </w:p>
    <w:p w14:paraId="2F3B1E17" w14:textId="77777777" w:rsidR="007A5143" w:rsidRPr="007A5143" w:rsidRDefault="007A5143" w:rsidP="007A5143">
      <w:pPr>
        <w:pStyle w:val="Body"/>
        <w:spacing w:after="0"/>
        <w:ind w:firstLine="720"/>
        <w:rPr>
          <w:rFonts w:ascii="Arial" w:hAnsi="Arial" w:cs="Arial"/>
        </w:rPr>
      </w:pPr>
      <w:r w:rsidRPr="007A5143">
        <w:rPr>
          <w:rFonts w:ascii="Arial" w:hAnsi="Arial" w:cs="Arial"/>
        </w:rPr>
        <w:t xml:space="preserve">The results reveal that students maintain a high level of situational interest in PE, which implies that the learning experiences provided in PE generally capture students’ interest and promote active participation. These findings are consistent with </w:t>
      </w:r>
      <w:proofErr w:type="spellStart"/>
      <w:r w:rsidRPr="007A5143">
        <w:rPr>
          <w:rFonts w:ascii="Arial" w:hAnsi="Arial" w:cs="Arial"/>
        </w:rPr>
        <w:t>Kolovelonis</w:t>
      </w:r>
      <w:proofErr w:type="spellEnd"/>
      <w:r w:rsidRPr="007A5143">
        <w:rPr>
          <w:rFonts w:ascii="Arial" w:hAnsi="Arial" w:cs="Arial"/>
        </w:rPr>
        <w:t xml:space="preserve"> and Goudas (2023), who reported a high level of situational interest in PE, especially within activities categorized as cognitively challenging games. Specifically, students engaged in these games demonstrated notably higher levels of instant enjoyment and overall interest compared to their peers participating in fitness-oriented activities. Similarly, Roure and Pasco (2022) found that personalizing learning tasks according to students’ preferences enhanced the perceived relevance of the activities and increased their motivational appeal. This instructional strategy was designed to promote greater autonomy, enjoyment, and engagement, resulting in significantly higher levels of situational interest among students in the experimental group compared to those in the control group, who experienced a traditional, non-personalized version of the unit.</w:t>
      </w:r>
    </w:p>
    <w:p w14:paraId="09FE253C" w14:textId="77777777" w:rsidR="007A5143" w:rsidRPr="007A5143" w:rsidRDefault="007A5143" w:rsidP="007A5143">
      <w:pPr>
        <w:pStyle w:val="Body"/>
        <w:spacing w:after="0"/>
        <w:ind w:firstLine="720"/>
        <w:rPr>
          <w:rFonts w:ascii="Arial" w:hAnsi="Arial" w:cs="Arial"/>
        </w:rPr>
      </w:pPr>
      <w:r w:rsidRPr="007A5143">
        <w:rPr>
          <w:rFonts w:ascii="Arial" w:hAnsi="Arial" w:cs="Arial"/>
        </w:rPr>
        <w:t>Meanwhile, Allard-Latour et al. (2022) found that adolescent boys reported significantly higher overall situational interest than girls when engaging with a technical learning task in physical education. Moreover, Scott et al. (2020) pointed out that situational interest is highly sensitive to the type of PE content, with its strength depending on the specific activity being taught, rather than exhibiting a uniform level across different lessons.</w:t>
      </w:r>
    </w:p>
    <w:p w14:paraId="75E73035" w14:textId="77777777" w:rsidR="007A5143" w:rsidRPr="007A5143" w:rsidRDefault="007A5143" w:rsidP="007A5143">
      <w:pPr>
        <w:pStyle w:val="Body"/>
        <w:spacing w:after="0"/>
        <w:rPr>
          <w:rFonts w:ascii="Arial" w:hAnsi="Arial" w:cs="Arial"/>
        </w:rPr>
      </w:pPr>
    </w:p>
    <w:p w14:paraId="4131510C" w14:textId="1A5075B2" w:rsidR="007A5143" w:rsidRPr="007A5143" w:rsidRDefault="007A5143" w:rsidP="007A5143">
      <w:pPr>
        <w:pStyle w:val="Body"/>
        <w:spacing w:after="0"/>
        <w:rPr>
          <w:rFonts w:ascii="Arial" w:hAnsi="Arial" w:cs="Arial"/>
          <w:b/>
          <w:bCs/>
        </w:rPr>
      </w:pPr>
      <w:r>
        <w:rPr>
          <w:rFonts w:ascii="Arial" w:hAnsi="Arial" w:cs="Arial"/>
          <w:b/>
          <w:bCs/>
        </w:rPr>
        <w:t xml:space="preserve">3.4 </w:t>
      </w:r>
      <w:r w:rsidRPr="007A5143">
        <w:rPr>
          <w:rFonts w:ascii="Arial" w:hAnsi="Arial" w:cs="Arial"/>
          <w:b/>
          <w:bCs/>
        </w:rPr>
        <w:t>Relationship between Teacher Interpersonal Behavior and Student Situational Interest in PE</w:t>
      </w:r>
    </w:p>
    <w:p w14:paraId="28C4ACE3" w14:textId="0AED7F19" w:rsidR="005C01D5" w:rsidRDefault="007A5143" w:rsidP="007A5143">
      <w:pPr>
        <w:pStyle w:val="Body"/>
        <w:spacing w:after="0"/>
        <w:ind w:firstLine="720"/>
        <w:rPr>
          <w:rFonts w:ascii="Arial" w:hAnsi="Arial" w:cs="Arial"/>
        </w:rPr>
      </w:pPr>
      <w:r w:rsidRPr="007A5143">
        <w:rPr>
          <w:rFonts w:ascii="Arial" w:hAnsi="Arial" w:cs="Arial"/>
        </w:rPr>
        <w:t xml:space="preserve">Table 4 illustrates the significance of the correlation between teacher interpersonal behavior and students’ situational interest in PE. The analysis revealed an overall computed </w:t>
      </w:r>
      <w:proofErr w:type="spellStart"/>
      <w:r w:rsidRPr="007A5143">
        <w:rPr>
          <w:rFonts w:ascii="Arial" w:hAnsi="Arial" w:cs="Arial"/>
        </w:rPr>
        <w:t>r-value</w:t>
      </w:r>
      <w:proofErr w:type="spellEnd"/>
      <w:r w:rsidRPr="007A5143">
        <w:rPr>
          <w:rFonts w:ascii="Arial" w:hAnsi="Arial" w:cs="Arial"/>
        </w:rPr>
        <w:t xml:space="preserve"> of .406, which indicates a moderate positive relationship, and a </w:t>
      </w:r>
      <w:r w:rsidRPr="005C01D5">
        <w:rPr>
          <w:rFonts w:ascii="Arial" w:hAnsi="Arial" w:cs="Arial"/>
          <w:i/>
          <w:iCs/>
        </w:rPr>
        <w:t>P =</w:t>
      </w:r>
      <w:r w:rsidRPr="007A5143">
        <w:rPr>
          <w:rFonts w:ascii="Arial" w:hAnsi="Arial" w:cs="Arial"/>
        </w:rPr>
        <w:t xml:space="preserve"> 0.00</w:t>
      </w:r>
      <w:r w:rsidR="002B1CA7">
        <w:rPr>
          <w:rFonts w:ascii="Arial" w:hAnsi="Arial" w:cs="Arial"/>
        </w:rPr>
        <w:t>1</w:t>
      </w:r>
      <w:r w:rsidRPr="007A5143">
        <w:rPr>
          <w:rFonts w:ascii="Arial" w:hAnsi="Arial" w:cs="Arial"/>
        </w:rPr>
        <w:t xml:space="preserve">, which is less than the alpha value of 0.05. This result leads to the rejection of the corresponding null hypothesis, confirming that there is a statistically significant relationship between teacher interpersonal behavior and students' situational interest in PE. This affirms the applicability </w:t>
      </w:r>
      <w:r w:rsidRPr="007A5143">
        <w:rPr>
          <w:rFonts w:ascii="Arial" w:hAnsi="Arial" w:cs="Arial"/>
        </w:rPr>
        <w:lastRenderedPageBreak/>
        <w:t>of Self-determination theory, which posits that supportive social environments satisfying students’ basic psychological needs for autonomy, competence, and relatedness enhance their intrinsic motivation and engagement in learning activities.</w:t>
      </w:r>
    </w:p>
    <w:p w14:paraId="28E4951B" w14:textId="77777777" w:rsidR="00C04FC1" w:rsidRDefault="00C04FC1" w:rsidP="00C04FC1">
      <w:pPr>
        <w:pStyle w:val="Body"/>
        <w:spacing w:after="0"/>
        <w:rPr>
          <w:rFonts w:ascii="Arial" w:hAnsi="Arial" w:cs="Arial"/>
        </w:rPr>
      </w:pPr>
    </w:p>
    <w:p w14:paraId="653DB81A" w14:textId="0303D273" w:rsidR="00C04FC1" w:rsidRPr="00F9794D" w:rsidRDefault="00C04FC1" w:rsidP="00F9794D">
      <w:pPr>
        <w:tabs>
          <w:tab w:val="left" w:pos="1650"/>
        </w:tabs>
        <w:suppressAutoHyphens/>
        <w:jc w:val="both"/>
        <w:rPr>
          <w:rFonts w:ascii="Arial" w:hAnsi="Arial" w:cs="Arial"/>
          <w:b/>
          <w:bCs/>
          <w:lang w:eastAsia="ar-SA"/>
        </w:rPr>
      </w:pPr>
      <w:r w:rsidRPr="00F9794D">
        <w:rPr>
          <w:rFonts w:ascii="Arial" w:hAnsi="Arial" w:cs="Arial"/>
          <w:b/>
          <w:bCs/>
          <w:lang w:eastAsia="ar-SA"/>
        </w:rPr>
        <w:t>Table 4</w:t>
      </w:r>
      <w:bookmarkStart w:id="2" w:name="_Hlk70894310"/>
      <w:r w:rsidR="00F9794D" w:rsidRPr="00F9794D">
        <w:rPr>
          <w:rFonts w:ascii="Arial" w:hAnsi="Arial" w:cs="Arial"/>
          <w:b/>
          <w:bCs/>
          <w:lang w:eastAsia="ar-SA"/>
        </w:rPr>
        <w:t xml:space="preserve">. </w:t>
      </w:r>
      <w:r w:rsidRPr="00F9794D">
        <w:rPr>
          <w:rFonts w:ascii="Arial" w:hAnsi="Arial" w:cs="Arial"/>
          <w:b/>
          <w:bCs/>
          <w:lang w:eastAsia="ar-SA"/>
        </w:rPr>
        <w:t xml:space="preserve">Significance of the Relationship between </w:t>
      </w:r>
      <w:bookmarkEnd w:id="2"/>
      <w:r w:rsidRPr="00F9794D">
        <w:rPr>
          <w:rFonts w:ascii="Arial" w:hAnsi="Arial" w:cs="Arial"/>
          <w:b/>
          <w:bCs/>
          <w:lang w:eastAsia="ar-SA"/>
        </w:rPr>
        <w:t>Teacher Interpersonal Behavior and Student Situational Interest in PE</w:t>
      </w:r>
    </w:p>
    <w:tbl>
      <w:tblPr>
        <w:tblW w:w="9214" w:type="dxa"/>
        <w:tblLayout w:type="fixed"/>
        <w:tblLook w:val="04A0" w:firstRow="1" w:lastRow="0" w:firstColumn="1" w:lastColumn="0" w:noHBand="0" w:noVBand="1"/>
      </w:tblPr>
      <w:tblGrid>
        <w:gridCol w:w="1668"/>
        <w:gridCol w:w="992"/>
        <w:gridCol w:w="1276"/>
        <w:gridCol w:w="1275"/>
        <w:gridCol w:w="1134"/>
        <w:gridCol w:w="993"/>
        <w:gridCol w:w="992"/>
        <w:gridCol w:w="884"/>
      </w:tblGrid>
      <w:tr w:rsidR="00C04FC1" w:rsidRPr="00F6055C" w14:paraId="0EE145CB" w14:textId="77777777" w:rsidTr="001D3E52">
        <w:trPr>
          <w:trHeight w:val="43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0BCCA287" w14:textId="77777777" w:rsidR="00C04FC1" w:rsidRPr="00F6055C" w:rsidRDefault="00C04FC1" w:rsidP="001D3E52">
            <w:pPr>
              <w:jc w:val="center"/>
              <w:rPr>
                <w:rFonts w:ascii="Arial" w:hAnsi="Arial" w:cs="Arial"/>
                <w:b/>
                <w:bCs/>
                <w:iCs/>
                <w:color w:val="000000"/>
                <w:lang w:eastAsia="en-PH"/>
              </w:rPr>
            </w:pPr>
            <w:bookmarkStart w:id="3" w:name="_Hlk205195114"/>
            <w:r w:rsidRPr="00F6055C">
              <w:rPr>
                <w:rFonts w:ascii="Arial" w:hAnsi="Arial" w:cs="Arial"/>
                <w:b/>
                <w:bCs/>
                <w:iCs/>
              </w:rPr>
              <w:t>Teacher Interpersonal Behavior</w:t>
            </w:r>
          </w:p>
        </w:tc>
        <w:tc>
          <w:tcPr>
            <w:tcW w:w="7546" w:type="dxa"/>
            <w:gridSpan w:val="7"/>
            <w:tcBorders>
              <w:top w:val="single" w:sz="4" w:space="0" w:color="auto"/>
              <w:left w:val="single" w:sz="4" w:space="0" w:color="auto"/>
              <w:bottom w:val="single" w:sz="4" w:space="0" w:color="auto"/>
              <w:right w:val="single" w:sz="4" w:space="0" w:color="auto"/>
            </w:tcBorders>
            <w:vAlign w:val="center"/>
          </w:tcPr>
          <w:p w14:paraId="4483C9CB" w14:textId="77777777" w:rsidR="00C04FC1" w:rsidRPr="00F6055C" w:rsidRDefault="00C04FC1" w:rsidP="001D3E52">
            <w:pPr>
              <w:jc w:val="center"/>
              <w:rPr>
                <w:rFonts w:ascii="Arial" w:hAnsi="Arial" w:cs="Arial"/>
                <w:b/>
                <w:bCs/>
                <w:iCs/>
                <w:color w:val="000000"/>
                <w:lang w:eastAsia="en-PH"/>
              </w:rPr>
            </w:pPr>
            <w:r w:rsidRPr="00F6055C">
              <w:rPr>
                <w:rFonts w:ascii="Arial" w:hAnsi="Arial" w:cs="Arial"/>
                <w:b/>
                <w:bCs/>
                <w:iCs/>
              </w:rPr>
              <w:t>Student Situational Interest in PE</w:t>
            </w:r>
          </w:p>
        </w:tc>
      </w:tr>
      <w:tr w:rsidR="00C04FC1" w:rsidRPr="00F6055C" w14:paraId="48C8C1D9" w14:textId="77777777" w:rsidTr="001D3E52">
        <w:trPr>
          <w:trHeight w:val="437"/>
        </w:trPr>
        <w:tc>
          <w:tcPr>
            <w:tcW w:w="1668" w:type="dxa"/>
            <w:vMerge/>
            <w:tcBorders>
              <w:top w:val="single" w:sz="4" w:space="0" w:color="auto"/>
              <w:left w:val="single" w:sz="4" w:space="0" w:color="auto"/>
              <w:bottom w:val="single" w:sz="4" w:space="0" w:color="auto"/>
              <w:right w:val="single" w:sz="4" w:space="0" w:color="auto"/>
            </w:tcBorders>
            <w:vAlign w:val="center"/>
          </w:tcPr>
          <w:p w14:paraId="733F3670" w14:textId="77777777" w:rsidR="00C04FC1" w:rsidRPr="00F6055C" w:rsidRDefault="00C04FC1" w:rsidP="001D3E52">
            <w:pPr>
              <w:rPr>
                <w:rFonts w:ascii="Arial" w:hAnsi="Arial" w:cs="Arial"/>
                <w:color w:val="000000"/>
                <w:lang w:eastAsia="en-PH"/>
              </w:rPr>
            </w:pPr>
          </w:p>
        </w:tc>
        <w:tc>
          <w:tcPr>
            <w:tcW w:w="992" w:type="dxa"/>
            <w:tcBorders>
              <w:top w:val="single" w:sz="4" w:space="0" w:color="auto"/>
              <w:left w:val="single" w:sz="4" w:space="0" w:color="auto"/>
              <w:bottom w:val="single" w:sz="4" w:space="0" w:color="auto"/>
              <w:right w:val="single" w:sz="4" w:space="0" w:color="auto"/>
            </w:tcBorders>
            <w:vAlign w:val="center"/>
          </w:tcPr>
          <w:p w14:paraId="5B1861A5" w14:textId="77777777" w:rsidR="00C04FC1" w:rsidRPr="00C04FC1" w:rsidRDefault="00C04FC1" w:rsidP="001D3E52">
            <w:pPr>
              <w:jc w:val="center"/>
              <w:rPr>
                <w:rFonts w:ascii="Arial" w:hAnsi="Arial" w:cs="Arial"/>
                <w:color w:val="000000"/>
                <w:lang w:eastAsia="en-PH"/>
              </w:rPr>
            </w:pPr>
            <w:r w:rsidRPr="00C04FC1">
              <w:rPr>
                <w:rFonts w:ascii="Arial" w:hAnsi="Arial" w:cs="Arial"/>
                <w:color w:val="000000"/>
                <w:lang w:eastAsia="en-PH"/>
              </w:rPr>
              <w:t>Total Interest</w:t>
            </w:r>
          </w:p>
        </w:tc>
        <w:tc>
          <w:tcPr>
            <w:tcW w:w="1276" w:type="dxa"/>
            <w:tcBorders>
              <w:top w:val="single" w:sz="4" w:space="0" w:color="auto"/>
              <w:left w:val="single" w:sz="4" w:space="0" w:color="auto"/>
              <w:bottom w:val="single" w:sz="4" w:space="0" w:color="auto"/>
              <w:right w:val="single" w:sz="4" w:space="0" w:color="auto"/>
            </w:tcBorders>
            <w:vAlign w:val="center"/>
          </w:tcPr>
          <w:p w14:paraId="5166D3A1" w14:textId="77777777" w:rsidR="00C04FC1" w:rsidRPr="00C04FC1" w:rsidRDefault="00C04FC1" w:rsidP="001D3E52">
            <w:pPr>
              <w:jc w:val="center"/>
              <w:rPr>
                <w:rFonts w:ascii="Arial" w:hAnsi="Arial" w:cs="Arial"/>
                <w:color w:val="000000"/>
                <w:lang w:eastAsia="en-PH"/>
              </w:rPr>
            </w:pPr>
            <w:r w:rsidRPr="00C04FC1">
              <w:rPr>
                <w:rFonts w:ascii="Arial" w:hAnsi="Arial" w:cs="Arial"/>
                <w:color w:val="000000"/>
                <w:lang w:eastAsia="en-PH"/>
              </w:rPr>
              <w:t>Instant Enjoyment</w:t>
            </w:r>
          </w:p>
        </w:tc>
        <w:tc>
          <w:tcPr>
            <w:tcW w:w="1275" w:type="dxa"/>
            <w:tcBorders>
              <w:top w:val="single" w:sz="4" w:space="0" w:color="auto"/>
              <w:left w:val="single" w:sz="4" w:space="0" w:color="auto"/>
              <w:bottom w:val="single" w:sz="4" w:space="0" w:color="auto"/>
              <w:right w:val="single" w:sz="4" w:space="0" w:color="auto"/>
            </w:tcBorders>
            <w:vAlign w:val="center"/>
          </w:tcPr>
          <w:p w14:paraId="70D19569" w14:textId="77777777" w:rsidR="00C04FC1" w:rsidRPr="00C04FC1" w:rsidRDefault="00C04FC1" w:rsidP="001D3E52">
            <w:pPr>
              <w:jc w:val="center"/>
              <w:rPr>
                <w:rFonts w:ascii="Arial" w:hAnsi="Arial" w:cs="Arial"/>
                <w:color w:val="000000"/>
                <w:sz w:val="18"/>
                <w:szCs w:val="18"/>
                <w:lang w:eastAsia="en-PH"/>
              </w:rPr>
            </w:pPr>
            <w:r w:rsidRPr="00C04FC1">
              <w:rPr>
                <w:rFonts w:ascii="Arial" w:hAnsi="Arial" w:cs="Arial"/>
                <w:color w:val="000000"/>
                <w:sz w:val="18"/>
                <w:szCs w:val="18"/>
                <w:lang w:eastAsia="en-PH"/>
              </w:rPr>
              <w:t>Exploration Intention</w:t>
            </w:r>
          </w:p>
        </w:tc>
        <w:tc>
          <w:tcPr>
            <w:tcW w:w="1134" w:type="dxa"/>
            <w:tcBorders>
              <w:top w:val="single" w:sz="4" w:space="0" w:color="auto"/>
              <w:left w:val="single" w:sz="4" w:space="0" w:color="auto"/>
              <w:bottom w:val="single" w:sz="4" w:space="0" w:color="auto"/>
              <w:right w:val="single" w:sz="4" w:space="0" w:color="auto"/>
            </w:tcBorders>
            <w:vAlign w:val="center"/>
          </w:tcPr>
          <w:p w14:paraId="335DD9C0" w14:textId="77777777" w:rsidR="00C04FC1" w:rsidRPr="00C04FC1" w:rsidRDefault="00C04FC1" w:rsidP="001D3E52">
            <w:pPr>
              <w:jc w:val="center"/>
              <w:rPr>
                <w:rFonts w:ascii="Arial" w:hAnsi="Arial" w:cs="Arial"/>
                <w:color w:val="000000"/>
                <w:lang w:eastAsia="en-PH"/>
              </w:rPr>
            </w:pPr>
            <w:r w:rsidRPr="00C04FC1">
              <w:rPr>
                <w:rFonts w:ascii="Arial" w:hAnsi="Arial" w:cs="Arial"/>
                <w:color w:val="000000"/>
                <w:lang w:eastAsia="en-PH"/>
              </w:rPr>
              <w:t>Attention Demand</w:t>
            </w:r>
          </w:p>
        </w:tc>
        <w:tc>
          <w:tcPr>
            <w:tcW w:w="993" w:type="dxa"/>
            <w:tcBorders>
              <w:top w:val="single" w:sz="4" w:space="0" w:color="auto"/>
              <w:left w:val="single" w:sz="4" w:space="0" w:color="auto"/>
              <w:bottom w:val="single" w:sz="4" w:space="0" w:color="auto"/>
              <w:right w:val="single" w:sz="4" w:space="0" w:color="auto"/>
            </w:tcBorders>
            <w:vAlign w:val="center"/>
          </w:tcPr>
          <w:p w14:paraId="3277774A" w14:textId="77777777" w:rsidR="00C04FC1" w:rsidRPr="00C04FC1" w:rsidRDefault="00C04FC1" w:rsidP="001D3E52">
            <w:pPr>
              <w:jc w:val="center"/>
              <w:rPr>
                <w:rFonts w:ascii="Arial" w:hAnsi="Arial" w:cs="Arial"/>
                <w:color w:val="000000"/>
                <w:lang w:eastAsia="en-PH"/>
              </w:rPr>
            </w:pPr>
            <w:r w:rsidRPr="00C04FC1">
              <w:rPr>
                <w:rFonts w:ascii="Arial" w:hAnsi="Arial" w:cs="Arial"/>
                <w:color w:val="000000"/>
                <w:sz w:val="16"/>
                <w:szCs w:val="16"/>
                <w:lang w:eastAsia="en-PH"/>
              </w:rPr>
              <w:t>Challenge</w:t>
            </w:r>
          </w:p>
        </w:tc>
        <w:tc>
          <w:tcPr>
            <w:tcW w:w="992" w:type="dxa"/>
            <w:tcBorders>
              <w:top w:val="single" w:sz="4" w:space="0" w:color="auto"/>
              <w:left w:val="single" w:sz="4" w:space="0" w:color="auto"/>
              <w:bottom w:val="single" w:sz="4" w:space="0" w:color="auto"/>
              <w:right w:val="single" w:sz="4" w:space="0" w:color="auto"/>
            </w:tcBorders>
            <w:vAlign w:val="center"/>
          </w:tcPr>
          <w:p w14:paraId="2C2811E0" w14:textId="77777777" w:rsidR="00C04FC1" w:rsidRPr="00C04FC1" w:rsidRDefault="00C04FC1" w:rsidP="001D3E52">
            <w:pPr>
              <w:jc w:val="center"/>
              <w:rPr>
                <w:rFonts w:ascii="Arial" w:hAnsi="Arial" w:cs="Arial"/>
                <w:color w:val="000000"/>
                <w:lang w:eastAsia="en-PH"/>
              </w:rPr>
            </w:pPr>
            <w:r w:rsidRPr="00C04FC1">
              <w:rPr>
                <w:rFonts w:ascii="Arial" w:hAnsi="Arial" w:cs="Arial"/>
                <w:color w:val="000000"/>
                <w:lang w:eastAsia="en-PH"/>
              </w:rPr>
              <w:t>Novelty</w:t>
            </w:r>
          </w:p>
        </w:tc>
        <w:tc>
          <w:tcPr>
            <w:tcW w:w="884" w:type="dxa"/>
            <w:tcBorders>
              <w:top w:val="single" w:sz="4" w:space="0" w:color="auto"/>
              <w:left w:val="single" w:sz="4" w:space="0" w:color="auto"/>
              <w:bottom w:val="single" w:sz="4" w:space="0" w:color="auto"/>
              <w:right w:val="single" w:sz="4" w:space="0" w:color="auto"/>
            </w:tcBorders>
            <w:vAlign w:val="center"/>
          </w:tcPr>
          <w:p w14:paraId="18427680" w14:textId="77777777" w:rsidR="00C04FC1" w:rsidRPr="00F6055C" w:rsidRDefault="00C04FC1" w:rsidP="001D3E52">
            <w:pPr>
              <w:jc w:val="center"/>
              <w:rPr>
                <w:rFonts w:ascii="Arial" w:hAnsi="Arial" w:cs="Arial"/>
                <w:b/>
                <w:bCs/>
                <w:color w:val="000000"/>
                <w:lang w:eastAsia="en-PH"/>
              </w:rPr>
            </w:pPr>
            <w:r w:rsidRPr="00F6055C">
              <w:rPr>
                <w:rFonts w:ascii="Arial" w:hAnsi="Arial" w:cs="Arial"/>
                <w:b/>
                <w:bCs/>
                <w:color w:val="000000"/>
                <w:sz w:val="18"/>
                <w:szCs w:val="18"/>
                <w:lang w:eastAsia="en-PH"/>
              </w:rPr>
              <w:t>Overall</w:t>
            </w:r>
          </w:p>
        </w:tc>
      </w:tr>
      <w:tr w:rsidR="00C04FC1" w:rsidRPr="00F6055C" w14:paraId="0E94D97F" w14:textId="77777777" w:rsidTr="001D3E52">
        <w:trPr>
          <w:cantSplit/>
          <w:trHeight w:val="394"/>
        </w:trPr>
        <w:tc>
          <w:tcPr>
            <w:tcW w:w="1668" w:type="dxa"/>
            <w:tcBorders>
              <w:top w:val="single" w:sz="4" w:space="0" w:color="auto"/>
              <w:left w:val="single" w:sz="4" w:space="0" w:color="auto"/>
              <w:bottom w:val="single" w:sz="4" w:space="0" w:color="auto"/>
              <w:right w:val="single" w:sz="4" w:space="0" w:color="auto"/>
            </w:tcBorders>
            <w:vAlign w:val="center"/>
            <w:hideMark/>
          </w:tcPr>
          <w:p w14:paraId="58C18842" w14:textId="77777777" w:rsidR="00C04FC1" w:rsidRPr="00F9794D" w:rsidRDefault="00C04FC1" w:rsidP="001D3E52">
            <w:pPr>
              <w:rPr>
                <w:rFonts w:ascii="Arial" w:hAnsi="Arial" w:cs="Arial"/>
                <w:color w:val="000000"/>
                <w:sz w:val="14"/>
                <w:szCs w:val="14"/>
                <w:lang w:eastAsia="en-PH"/>
              </w:rPr>
            </w:pPr>
            <w:r w:rsidRPr="00F9794D">
              <w:rPr>
                <w:rFonts w:ascii="Arial" w:hAnsi="Arial" w:cs="Arial"/>
                <w:sz w:val="14"/>
                <w:szCs w:val="14"/>
              </w:rPr>
              <w:t>Autonomy-Supportive Behaviors</w:t>
            </w:r>
          </w:p>
        </w:tc>
        <w:tc>
          <w:tcPr>
            <w:tcW w:w="992" w:type="dxa"/>
            <w:tcBorders>
              <w:top w:val="single" w:sz="4" w:space="0" w:color="auto"/>
              <w:left w:val="single" w:sz="4" w:space="0" w:color="auto"/>
              <w:bottom w:val="single" w:sz="4" w:space="0" w:color="auto"/>
              <w:right w:val="single" w:sz="4" w:space="0" w:color="auto"/>
            </w:tcBorders>
          </w:tcPr>
          <w:p w14:paraId="1395316F" w14:textId="77777777" w:rsidR="00C04FC1" w:rsidRPr="00F6055C" w:rsidRDefault="00C04FC1" w:rsidP="001D3E52">
            <w:pPr>
              <w:jc w:val="center"/>
              <w:rPr>
                <w:rFonts w:ascii="Arial" w:hAnsi="Arial" w:cs="Arial"/>
              </w:rPr>
            </w:pPr>
            <w:r w:rsidRPr="00F6055C">
              <w:rPr>
                <w:rFonts w:ascii="Arial" w:hAnsi="Arial" w:cs="Arial"/>
              </w:rPr>
              <w:t>.441**</w:t>
            </w:r>
          </w:p>
          <w:p w14:paraId="5D96208D" w14:textId="0B0D1A1A" w:rsidR="00C04FC1" w:rsidRPr="00F6055C" w:rsidRDefault="00C04FC1" w:rsidP="001D3E52">
            <w:pPr>
              <w:jc w:val="center"/>
              <w:rPr>
                <w:rFonts w:ascii="Arial" w:hAnsi="Arial" w:cs="Arial"/>
                <w:color w:val="000000"/>
                <w:lang w:eastAsia="en-PH"/>
              </w:rPr>
            </w:pPr>
            <w:r w:rsidRPr="00F6055C">
              <w:rPr>
                <w:rFonts w:ascii="Arial" w:hAnsi="Arial" w:cs="Arial"/>
              </w:rPr>
              <w:t>(0.00</w:t>
            </w:r>
            <w:r w:rsidR="002B1CA7">
              <w:rPr>
                <w:rFonts w:ascii="Arial" w:hAnsi="Arial" w:cs="Arial"/>
              </w:rPr>
              <w:t>1</w:t>
            </w:r>
            <w:r w:rsidRPr="00F6055C">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tcPr>
          <w:p w14:paraId="636BA806" w14:textId="77777777" w:rsidR="00C04FC1" w:rsidRPr="00F6055C" w:rsidRDefault="00C04FC1" w:rsidP="001D3E52">
            <w:pPr>
              <w:jc w:val="center"/>
              <w:rPr>
                <w:rFonts w:ascii="Arial" w:hAnsi="Arial" w:cs="Arial"/>
              </w:rPr>
            </w:pPr>
            <w:r w:rsidRPr="00F6055C">
              <w:rPr>
                <w:rFonts w:ascii="Arial" w:hAnsi="Arial" w:cs="Arial"/>
              </w:rPr>
              <w:t>.383**</w:t>
            </w:r>
          </w:p>
          <w:p w14:paraId="3419D01D" w14:textId="27202773" w:rsidR="00C04FC1" w:rsidRPr="00F6055C" w:rsidRDefault="00C04FC1" w:rsidP="001D3E52">
            <w:pPr>
              <w:jc w:val="center"/>
              <w:rPr>
                <w:rFonts w:ascii="Arial" w:hAnsi="Arial" w:cs="Arial"/>
                <w:color w:val="000000"/>
                <w:lang w:eastAsia="en-PH"/>
              </w:rPr>
            </w:pPr>
            <w:r w:rsidRPr="00F6055C">
              <w:rPr>
                <w:rFonts w:ascii="Arial" w:hAnsi="Arial" w:cs="Arial"/>
              </w:rPr>
              <w:t>(0.00</w:t>
            </w:r>
            <w:r w:rsidR="002B1CA7">
              <w:rPr>
                <w:rFonts w:ascii="Arial" w:hAnsi="Arial" w:cs="Arial"/>
              </w:rPr>
              <w:t>1</w:t>
            </w:r>
            <w:r w:rsidRPr="00F6055C">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tcPr>
          <w:p w14:paraId="5D51AB85" w14:textId="77777777" w:rsidR="00C04FC1" w:rsidRPr="00F6055C" w:rsidRDefault="00C04FC1" w:rsidP="001D3E52">
            <w:pPr>
              <w:jc w:val="center"/>
              <w:rPr>
                <w:rFonts w:ascii="Arial" w:hAnsi="Arial" w:cs="Arial"/>
              </w:rPr>
            </w:pPr>
            <w:r w:rsidRPr="00F6055C">
              <w:rPr>
                <w:rFonts w:ascii="Arial" w:hAnsi="Arial" w:cs="Arial"/>
              </w:rPr>
              <w:t>.399**</w:t>
            </w:r>
          </w:p>
          <w:p w14:paraId="212DF5FE" w14:textId="7898F1D2" w:rsidR="00C04FC1" w:rsidRPr="00F6055C" w:rsidRDefault="00C04FC1" w:rsidP="001D3E52">
            <w:pPr>
              <w:jc w:val="center"/>
              <w:rPr>
                <w:rFonts w:ascii="Arial" w:hAnsi="Arial" w:cs="Arial"/>
                <w:color w:val="000000"/>
                <w:lang w:eastAsia="en-PH"/>
              </w:rPr>
            </w:pPr>
            <w:r w:rsidRPr="00F6055C">
              <w:rPr>
                <w:rFonts w:ascii="Arial" w:hAnsi="Arial" w:cs="Arial"/>
              </w:rPr>
              <w:t>(0.00</w:t>
            </w:r>
            <w:r w:rsidR="002B1CA7">
              <w:rPr>
                <w:rFonts w:ascii="Arial" w:hAnsi="Arial" w:cs="Arial"/>
              </w:rPr>
              <w:t>1</w:t>
            </w:r>
            <w:r w:rsidRPr="00F6055C">
              <w:rPr>
                <w:rFonts w:ascii="Arial" w:hAnsi="Arial" w:cs="Arial"/>
              </w:rPr>
              <w:t>)</w:t>
            </w:r>
          </w:p>
        </w:tc>
        <w:tc>
          <w:tcPr>
            <w:tcW w:w="1134" w:type="dxa"/>
            <w:tcBorders>
              <w:top w:val="single" w:sz="4" w:space="0" w:color="auto"/>
              <w:left w:val="single" w:sz="4" w:space="0" w:color="auto"/>
              <w:bottom w:val="single" w:sz="4" w:space="0" w:color="auto"/>
              <w:right w:val="single" w:sz="4" w:space="0" w:color="auto"/>
            </w:tcBorders>
            <w:hideMark/>
          </w:tcPr>
          <w:p w14:paraId="7B42E198" w14:textId="77777777" w:rsidR="00C04FC1" w:rsidRPr="00F6055C" w:rsidRDefault="00C04FC1" w:rsidP="001D3E52">
            <w:pPr>
              <w:jc w:val="center"/>
              <w:rPr>
                <w:rFonts w:ascii="Arial" w:hAnsi="Arial" w:cs="Arial"/>
              </w:rPr>
            </w:pPr>
            <w:r w:rsidRPr="00F6055C">
              <w:rPr>
                <w:rFonts w:ascii="Arial" w:hAnsi="Arial" w:cs="Arial"/>
              </w:rPr>
              <w:t>.282**</w:t>
            </w:r>
          </w:p>
          <w:p w14:paraId="4FD579A1" w14:textId="7A988148" w:rsidR="00C04FC1" w:rsidRPr="00F6055C" w:rsidRDefault="00C04FC1" w:rsidP="001D3E52">
            <w:pPr>
              <w:jc w:val="center"/>
              <w:rPr>
                <w:rFonts w:ascii="Arial" w:hAnsi="Arial" w:cs="Arial"/>
                <w:color w:val="000000"/>
                <w:lang w:eastAsia="en-PH"/>
              </w:rPr>
            </w:pPr>
            <w:r w:rsidRPr="00F6055C">
              <w:rPr>
                <w:rFonts w:ascii="Arial" w:hAnsi="Arial" w:cs="Arial"/>
              </w:rPr>
              <w:t>(0.00</w:t>
            </w:r>
            <w:r w:rsidR="002B1CA7">
              <w:rPr>
                <w:rFonts w:ascii="Arial" w:hAnsi="Arial" w:cs="Arial"/>
              </w:rPr>
              <w:t>1</w:t>
            </w:r>
            <w:r w:rsidRPr="00F6055C">
              <w:rPr>
                <w:rFonts w:ascii="Arial" w:hAnsi="Arial" w:cs="Arial"/>
              </w:rPr>
              <w:t>)</w:t>
            </w:r>
          </w:p>
        </w:tc>
        <w:tc>
          <w:tcPr>
            <w:tcW w:w="993" w:type="dxa"/>
            <w:tcBorders>
              <w:top w:val="single" w:sz="4" w:space="0" w:color="auto"/>
              <w:left w:val="single" w:sz="4" w:space="0" w:color="auto"/>
              <w:bottom w:val="single" w:sz="4" w:space="0" w:color="auto"/>
              <w:right w:val="single" w:sz="4" w:space="0" w:color="auto"/>
            </w:tcBorders>
          </w:tcPr>
          <w:p w14:paraId="4BA8079B" w14:textId="77777777" w:rsidR="00C04FC1" w:rsidRPr="00F6055C" w:rsidRDefault="00C04FC1" w:rsidP="001D3E52">
            <w:pPr>
              <w:jc w:val="center"/>
              <w:rPr>
                <w:rFonts w:ascii="Arial" w:hAnsi="Arial" w:cs="Arial"/>
              </w:rPr>
            </w:pPr>
            <w:r w:rsidRPr="00F6055C">
              <w:rPr>
                <w:rFonts w:ascii="Arial" w:hAnsi="Arial" w:cs="Arial"/>
              </w:rPr>
              <w:t>-.041</w:t>
            </w:r>
          </w:p>
          <w:p w14:paraId="0838914A" w14:textId="77777777" w:rsidR="00C04FC1" w:rsidRPr="00F6055C" w:rsidRDefault="00C04FC1" w:rsidP="001D3E52">
            <w:pPr>
              <w:jc w:val="center"/>
              <w:rPr>
                <w:rFonts w:ascii="Arial" w:hAnsi="Arial" w:cs="Arial"/>
              </w:rPr>
            </w:pPr>
            <w:r w:rsidRPr="00F6055C">
              <w:rPr>
                <w:rFonts w:ascii="Arial" w:hAnsi="Arial" w:cs="Arial"/>
              </w:rPr>
              <w:t>(0.437)</w:t>
            </w:r>
          </w:p>
        </w:tc>
        <w:tc>
          <w:tcPr>
            <w:tcW w:w="992" w:type="dxa"/>
            <w:tcBorders>
              <w:top w:val="single" w:sz="4" w:space="0" w:color="auto"/>
              <w:left w:val="single" w:sz="4" w:space="0" w:color="auto"/>
              <w:bottom w:val="single" w:sz="4" w:space="0" w:color="auto"/>
              <w:right w:val="single" w:sz="4" w:space="0" w:color="auto"/>
            </w:tcBorders>
            <w:hideMark/>
          </w:tcPr>
          <w:p w14:paraId="7D2A7E66" w14:textId="77777777" w:rsidR="00C04FC1" w:rsidRPr="00F6055C" w:rsidRDefault="00C04FC1" w:rsidP="001D3E52">
            <w:pPr>
              <w:jc w:val="center"/>
              <w:rPr>
                <w:rFonts w:ascii="Arial" w:hAnsi="Arial" w:cs="Arial"/>
              </w:rPr>
            </w:pPr>
            <w:r w:rsidRPr="00F6055C">
              <w:rPr>
                <w:rFonts w:ascii="Arial" w:hAnsi="Arial" w:cs="Arial"/>
              </w:rPr>
              <w:t>.156**</w:t>
            </w:r>
          </w:p>
          <w:p w14:paraId="624009EF" w14:textId="77777777" w:rsidR="00C04FC1" w:rsidRPr="00F6055C" w:rsidRDefault="00C04FC1" w:rsidP="001D3E52">
            <w:pPr>
              <w:jc w:val="center"/>
              <w:rPr>
                <w:rFonts w:ascii="Arial" w:hAnsi="Arial" w:cs="Arial"/>
                <w:color w:val="000000"/>
                <w:lang w:eastAsia="en-PH"/>
              </w:rPr>
            </w:pPr>
            <w:r w:rsidRPr="00F6055C">
              <w:rPr>
                <w:rFonts w:ascii="Arial" w:hAnsi="Arial" w:cs="Arial"/>
              </w:rPr>
              <w:t>(0.003)</w:t>
            </w:r>
          </w:p>
        </w:tc>
        <w:tc>
          <w:tcPr>
            <w:tcW w:w="884" w:type="dxa"/>
            <w:tcBorders>
              <w:top w:val="single" w:sz="4" w:space="0" w:color="auto"/>
              <w:left w:val="single" w:sz="4" w:space="0" w:color="auto"/>
              <w:bottom w:val="single" w:sz="4" w:space="0" w:color="auto"/>
              <w:right w:val="single" w:sz="4" w:space="0" w:color="auto"/>
            </w:tcBorders>
            <w:hideMark/>
          </w:tcPr>
          <w:p w14:paraId="4DCA11D4" w14:textId="77777777" w:rsidR="00C04FC1" w:rsidRPr="00F6055C" w:rsidRDefault="00C04FC1" w:rsidP="001D3E52">
            <w:pPr>
              <w:jc w:val="center"/>
              <w:rPr>
                <w:rFonts w:ascii="Arial" w:hAnsi="Arial" w:cs="Arial"/>
              </w:rPr>
            </w:pPr>
            <w:r w:rsidRPr="00F6055C">
              <w:rPr>
                <w:rFonts w:ascii="Arial" w:hAnsi="Arial" w:cs="Arial"/>
              </w:rPr>
              <w:t>.406**</w:t>
            </w:r>
          </w:p>
          <w:p w14:paraId="5C1AE375" w14:textId="1261E9FF" w:rsidR="00C04FC1" w:rsidRPr="00F6055C" w:rsidRDefault="00C04FC1" w:rsidP="001D3E52">
            <w:pPr>
              <w:jc w:val="center"/>
              <w:rPr>
                <w:rFonts w:ascii="Arial" w:hAnsi="Arial" w:cs="Arial"/>
                <w:color w:val="000000"/>
                <w:lang w:eastAsia="en-PH"/>
              </w:rPr>
            </w:pPr>
            <w:r w:rsidRPr="00F6055C">
              <w:rPr>
                <w:rFonts w:ascii="Arial" w:hAnsi="Arial" w:cs="Arial"/>
              </w:rPr>
              <w:t>(0.00</w:t>
            </w:r>
            <w:r w:rsidR="002B1CA7">
              <w:rPr>
                <w:rFonts w:ascii="Arial" w:hAnsi="Arial" w:cs="Arial"/>
              </w:rPr>
              <w:t>1</w:t>
            </w:r>
            <w:r w:rsidRPr="00F6055C">
              <w:rPr>
                <w:rFonts w:ascii="Arial" w:hAnsi="Arial" w:cs="Arial"/>
              </w:rPr>
              <w:t>)</w:t>
            </w:r>
          </w:p>
        </w:tc>
      </w:tr>
      <w:tr w:rsidR="00C04FC1" w:rsidRPr="00F6055C" w14:paraId="78191B83" w14:textId="77777777" w:rsidTr="001D3E52">
        <w:trPr>
          <w:cantSplit/>
          <w:trHeight w:val="474"/>
        </w:trPr>
        <w:tc>
          <w:tcPr>
            <w:tcW w:w="1668" w:type="dxa"/>
            <w:tcBorders>
              <w:top w:val="single" w:sz="4" w:space="0" w:color="auto"/>
              <w:left w:val="single" w:sz="4" w:space="0" w:color="auto"/>
              <w:bottom w:val="single" w:sz="4" w:space="0" w:color="auto"/>
              <w:right w:val="single" w:sz="4" w:space="0" w:color="auto"/>
            </w:tcBorders>
            <w:vAlign w:val="center"/>
          </w:tcPr>
          <w:p w14:paraId="7F689661" w14:textId="77777777" w:rsidR="00C04FC1" w:rsidRPr="00F9794D" w:rsidRDefault="00C04FC1" w:rsidP="001D3E52">
            <w:pPr>
              <w:rPr>
                <w:rFonts w:ascii="Arial" w:hAnsi="Arial" w:cs="Arial"/>
                <w:color w:val="000000"/>
                <w:sz w:val="14"/>
                <w:szCs w:val="14"/>
                <w:lang w:eastAsia="en-PH"/>
              </w:rPr>
            </w:pPr>
            <w:r w:rsidRPr="00F9794D">
              <w:rPr>
                <w:rFonts w:ascii="Arial" w:hAnsi="Arial" w:cs="Arial"/>
                <w:sz w:val="14"/>
                <w:szCs w:val="14"/>
              </w:rPr>
              <w:t>Competence-Supportive Behaviors</w:t>
            </w:r>
          </w:p>
        </w:tc>
        <w:tc>
          <w:tcPr>
            <w:tcW w:w="992" w:type="dxa"/>
            <w:tcBorders>
              <w:top w:val="single" w:sz="4" w:space="0" w:color="auto"/>
              <w:left w:val="single" w:sz="4" w:space="0" w:color="auto"/>
              <w:bottom w:val="single" w:sz="4" w:space="0" w:color="auto"/>
              <w:right w:val="single" w:sz="4" w:space="0" w:color="auto"/>
            </w:tcBorders>
          </w:tcPr>
          <w:p w14:paraId="6A5DFEBF" w14:textId="77777777" w:rsidR="00C04FC1" w:rsidRPr="00F6055C" w:rsidRDefault="00C04FC1" w:rsidP="001D3E52">
            <w:pPr>
              <w:jc w:val="center"/>
              <w:rPr>
                <w:rFonts w:ascii="Arial" w:hAnsi="Arial" w:cs="Arial"/>
              </w:rPr>
            </w:pPr>
            <w:r w:rsidRPr="00F6055C">
              <w:rPr>
                <w:rFonts w:ascii="Arial" w:hAnsi="Arial" w:cs="Arial"/>
              </w:rPr>
              <w:t>.502**</w:t>
            </w:r>
          </w:p>
          <w:p w14:paraId="3302DACD" w14:textId="1CE01E4D" w:rsidR="00C04FC1" w:rsidRPr="00F6055C" w:rsidRDefault="00C04FC1" w:rsidP="001D3E52">
            <w:pPr>
              <w:jc w:val="center"/>
              <w:rPr>
                <w:rFonts w:ascii="Arial" w:hAnsi="Arial" w:cs="Arial"/>
                <w:color w:val="000000"/>
                <w:lang w:eastAsia="en-PH"/>
              </w:rPr>
            </w:pPr>
            <w:r w:rsidRPr="00F6055C">
              <w:rPr>
                <w:rFonts w:ascii="Arial" w:hAnsi="Arial" w:cs="Arial"/>
              </w:rPr>
              <w:t>(0.00</w:t>
            </w:r>
            <w:r w:rsidR="002B1CA7">
              <w:rPr>
                <w:rFonts w:ascii="Arial" w:hAnsi="Arial" w:cs="Arial"/>
              </w:rPr>
              <w:t>1</w:t>
            </w:r>
            <w:r w:rsidRPr="00F6055C">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tcPr>
          <w:p w14:paraId="0F90B627" w14:textId="77777777" w:rsidR="00C04FC1" w:rsidRPr="00F6055C" w:rsidRDefault="00C04FC1" w:rsidP="001D3E52">
            <w:pPr>
              <w:jc w:val="center"/>
              <w:rPr>
                <w:rFonts w:ascii="Arial" w:hAnsi="Arial" w:cs="Arial"/>
              </w:rPr>
            </w:pPr>
            <w:r w:rsidRPr="00F6055C">
              <w:rPr>
                <w:rFonts w:ascii="Arial" w:hAnsi="Arial" w:cs="Arial"/>
              </w:rPr>
              <w:t>.476**</w:t>
            </w:r>
          </w:p>
          <w:p w14:paraId="3DA8BB2D" w14:textId="11E68FA1" w:rsidR="00C04FC1" w:rsidRPr="00F6055C" w:rsidRDefault="00C04FC1" w:rsidP="001D3E52">
            <w:pPr>
              <w:jc w:val="center"/>
              <w:rPr>
                <w:rFonts w:ascii="Arial" w:hAnsi="Arial" w:cs="Arial"/>
                <w:color w:val="000000"/>
                <w:lang w:eastAsia="en-PH"/>
              </w:rPr>
            </w:pPr>
            <w:r w:rsidRPr="00F6055C">
              <w:rPr>
                <w:rFonts w:ascii="Arial" w:hAnsi="Arial" w:cs="Arial"/>
              </w:rPr>
              <w:t>(0.00</w:t>
            </w:r>
            <w:r w:rsidR="002B1CA7">
              <w:rPr>
                <w:rFonts w:ascii="Arial" w:hAnsi="Arial" w:cs="Arial"/>
              </w:rPr>
              <w:t>1</w:t>
            </w:r>
            <w:r w:rsidRPr="00F6055C">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tcPr>
          <w:p w14:paraId="0D21925B" w14:textId="77777777" w:rsidR="00C04FC1" w:rsidRPr="00F6055C" w:rsidRDefault="00C04FC1" w:rsidP="001D3E52">
            <w:pPr>
              <w:jc w:val="center"/>
              <w:rPr>
                <w:rFonts w:ascii="Arial" w:hAnsi="Arial" w:cs="Arial"/>
              </w:rPr>
            </w:pPr>
            <w:r w:rsidRPr="00F6055C">
              <w:rPr>
                <w:rFonts w:ascii="Arial" w:hAnsi="Arial" w:cs="Arial"/>
              </w:rPr>
              <w:t>.491**</w:t>
            </w:r>
          </w:p>
          <w:p w14:paraId="5BF85AD7" w14:textId="697A357D" w:rsidR="00C04FC1" w:rsidRPr="00F6055C" w:rsidRDefault="00C04FC1" w:rsidP="001D3E52">
            <w:pPr>
              <w:jc w:val="center"/>
              <w:rPr>
                <w:rFonts w:ascii="Arial" w:hAnsi="Arial" w:cs="Arial"/>
                <w:color w:val="000000"/>
                <w:lang w:eastAsia="en-PH"/>
              </w:rPr>
            </w:pPr>
            <w:r w:rsidRPr="00F6055C">
              <w:rPr>
                <w:rFonts w:ascii="Arial" w:hAnsi="Arial" w:cs="Arial"/>
              </w:rPr>
              <w:t>(0.00</w:t>
            </w:r>
            <w:r w:rsidR="002B1CA7">
              <w:rPr>
                <w:rFonts w:ascii="Arial" w:hAnsi="Arial" w:cs="Arial"/>
              </w:rPr>
              <w:t>1</w:t>
            </w:r>
            <w:r w:rsidRPr="00F6055C">
              <w:rPr>
                <w:rFonts w:ascii="Arial" w:hAnsi="Arial" w:cs="Arial"/>
              </w:rPr>
              <w:t>)</w:t>
            </w:r>
          </w:p>
        </w:tc>
        <w:tc>
          <w:tcPr>
            <w:tcW w:w="1134" w:type="dxa"/>
            <w:tcBorders>
              <w:top w:val="single" w:sz="4" w:space="0" w:color="auto"/>
              <w:left w:val="single" w:sz="4" w:space="0" w:color="auto"/>
              <w:bottom w:val="single" w:sz="4" w:space="0" w:color="auto"/>
              <w:right w:val="single" w:sz="4" w:space="0" w:color="auto"/>
            </w:tcBorders>
            <w:hideMark/>
          </w:tcPr>
          <w:p w14:paraId="61C1C345" w14:textId="77777777" w:rsidR="00C04FC1" w:rsidRPr="00F6055C" w:rsidRDefault="00C04FC1" w:rsidP="001D3E52">
            <w:pPr>
              <w:jc w:val="center"/>
              <w:rPr>
                <w:rFonts w:ascii="Arial" w:hAnsi="Arial" w:cs="Arial"/>
              </w:rPr>
            </w:pPr>
            <w:r w:rsidRPr="00F6055C">
              <w:rPr>
                <w:rFonts w:ascii="Arial" w:hAnsi="Arial" w:cs="Arial"/>
              </w:rPr>
              <w:t>.323**</w:t>
            </w:r>
          </w:p>
          <w:p w14:paraId="616D0DC0" w14:textId="3FAA4E68" w:rsidR="00C04FC1" w:rsidRPr="00F6055C" w:rsidRDefault="00C04FC1" w:rsidP="001D3E52">
            <w:pPr>
              <w:jc w:val="center"/>
              <w:rPr>
                <w:rFonts w:ascii="Arial" w:hAnsi="Arial" w:cs="Arial"/>
                <w:color w:val="000000"/>
                <w:lang w:eastAsia="en-PH"/>
              </w:rPr>
            </w:pPr>
            <w:r w:rsidRPr="00F6055C">
              <w:rPr>
                <w:rFonts w:ascii="Arial" w:hAnsi="Arial" w:cs="Arial"/>
              </w:rPr>
              <w:t>(0.00</w:t>
            </w:r>
            <w:r w:rsidR="002B1CA7">
              <w:rPr>
                <w:rFonts w:ascii="Arial" w:hAnsi="Arial" w:cs="Arial"/>
              </w:rPr>
              <w:t>1</w:t>
            </w:r>
            <w:r w:rsidRPr="00F6055C">
              <w:rPr>
                <w:rFonts w:ascii="Arial" w:hAnsi="Arial" w:cs="Arial"/>
              </w:rPr>
              <w:t>)</w:t>
            </w:r>
          </w:p>
        </w:tc>
        <w:tc>
          <w:tcPr>
            <w:tcW w:w="993" w:type="dxa"/>
            <w:tcBorders>
              <w:top w:val="single" w:sz="4" w:space="0" w:color="auto"/>
              <w:left w:val="single" w:sz="4" w:space="0" w:color="auto"/>
              <w:bottom w:val="single" w:sz="4" w:space="0" w:color="auto"/>
              <w:right w:val="single" w:sz="4" w:space="0" w:color="auto"/>
            </w:tcBorders>
          </w:tcPr>
          <w:p w14:paraId="2FB556DE" w14:textId="77777777" w:rsidR="00C04FC1" w:rsidRPr="00F6055C" w:rsidRDefault="00C04FC1" w:rsidP="001D3E52">
            <w:pPr>
              <w:jc w:val="center"/>
              <w:rPr>
                <w:rFonts w:ascii="Arial" w:hAnsi="Arial" w:cs="Arial"/>
              </w:rPr>
            </w:pPr>
            <w:r w:rsidRPr="00F6055C">
              <w:rPr>
                <w:rFonts w:ascii="Arial" w:hAnsi="Arial" w:cs="Arial"/>
              </w:rPr>
              <w:t>.025</w:t>
            </w:r>
          </w:p>
          <w:p w14:paraId="5AD24D80" w14:textId="77777777" w:rsidR="00C04FC1" w:rsidRPr="00F6055C" w:rsidRDefault="00C04FC1" w:rsidP="001D3E52">
            <w:pPr>
              <w:jc w:val="center"/>
              <w:rPr>
                <w:rFonts w:ascii="Arial" w:hAnsi="Arial" w:cs="Arial"/>
              </w:rPr>
            </w:pPr>
            <w:r w:rsidRPr="00F6055C">
              <w:rPr>
                <w:rFonts w:ascii="Arial" w:hAnsi="Arial" w:cs="Arial"/>
              </w:rPr>
              <w:t>(0.629)</w:t>
            </w:r>
          </w:p>
        </w:tc>
        <w:tc>
          <w:tcPr>
            <w:tcW w:w="992" w:type="dxa"/>
            <w:tcBorders>
              <w:top w:val="single" w:sz="4" w:space="0" w:color="auto"/>
              <w:left w:val="single" w:sz="4" w:space="0" w:color="auto"/>
              <w:bottom w:val="single" w:sz="4" w:space="0" w:color="auto"/>
              <w:right w:val="single" w:sz="4" w:space="0" w:color="auto"/>
            </w:tcBorders>
            <w:hideMark/>
          </w:tcPr>
          <w:p w14:paraId="50F412F2" w14:textId="77777777" w:rsidR="00C04FC1" w:rsidRPr="00F6055C" w:rsidRDefault="00C04FC1" w:rsidP="001D3E52">
            <w:pPr>
              <w:jc w:val="center"/>
              <w:rPr>
                <w:rFonts w:ascii="Arial" w:hAnsi="Arial" w:cs="Arial"/>
              </w:rPr>
            </w:pPr>
            <w:r w:rsidRPr="00F6055C">
              <w:rPr>
                <w:rFonts w:ascii="Arial" w:hAnsi="Arial" w:cs="Arial"/>
              </w:rPr>
              <w:t>.201**</w:t>
            </w:r>
          </w:p>
          <w:p w14:paraId="3E87B9E3" w14:textId="17825376" w:rsidR="00C04FC1" w:rsidRPr="00F6055C" w:rsidRDefault="00C04FC1" w:rsidP="001D3E52">
            <w:pPr>
              <w:jc w:val="center"/>
              <w:rPr>
                <w:rFonts w:ascii="Arial" w:hAnsi="Arial" w:cs="Arial"/>
                <w:color w:val="000000"/>
                <w:lang w:eastAsia="en-PH"/>
              </w:rPr>
            </w:pPr>
            <w:r w:rsidRPr="00F6055C">
              <w:rPr>
                <w:rFonts w:ascii="Arial" w:hAnsi="Arial" w:cs="Arial"/>
              </w:rPr>
              <w:t>(0.00</w:t>
            </w:r>
            <w:r w:rsidR="002B1CA7">
              <w:rPr>
                <w:rFonts w:ascii="Arial" w:hAnsi="Arial" w:cs="Arial"/>
              </w:rPr>
              <w:t>1</w:t>
            </w:r>
            <w:r w:rsidRPr="00F6055C">
              <w:rPr>
                <w:rFonts w:ascii="Arial" w:hAnsi="Arial" w:cs="Arial"/>
              </w:rPr>
              <w:t>)</w:t>
            </w:r>
          </w:p>
        </w:tc>
        <w:tc>
          <w:tcPr>
            <w:tcW w:w="884" w:type="dxa"/>
            <w:tcBorders>
              <w:top w:val="single" w:sz="4" w:space="0" w:color="auto"/>
              <w:left w:val="single" w:sz="4" w:space="0" w:color="auto"/>
              <w:bottom w:val="single" w:sz="4" w:space="0" w:color="auto"/>
              <w:right w:val="single" w:sz="4" w:space="0" w:color="auto"/>
            </w:tcBorders>
            <w:hideMark/>
          </w:tcPr>
          <w:p w14:paraId="77F3097C" w14:textId="77777777" w:rsidR="00C04FC1" w:rsidRPr="00F6055C" w:rsidRDefault="00C04FC1" w:rsidP="001D3E52">
            <w:pPr>
              <w:jc w:val="center"/>
              <w:rPr>
                <w:rFonts w:ascii="Arial" w:hAnsi="Arial" w:cs="Arial"/>
              </w:rPr>
            </w:pPr>
            <w:r w:rsidRPr="00F6055C">
              <w:rPr>
                <w:rFonts w:ascii="Arial" w:hAnsi="Arial" w:cs="Arial"/>
              </w:rPr>
              <w:t>.419**</w:t>
            </w:r>
          </w:p>
          <w:p w14:paraId="41BFD9F3" w14:textId="1443845F" w:rsidR="00C04FC1" w:rsidRPr="00F6055C" w:rsidRDefault="00C04FC1" w:rsidP="001D3E52">
            <w:pPr>
              <w:jc w:val="center"/>
              <w:rPr>
                <w:rFonts w:ascii="Arial" w:hAnsi="Arial" w:cs="Arial"/>
                <w:color w:val="000000"/>
                <w:lang w:eastAsia="en-PH"/>
              </w:rPr>
            </w:pPr>
            <w:r w:rsidRPr="00F6055C">
              <w:rPr>
                <w:rFonts w:ascii="Arial" w:hAnsi="Arial" w:cs="Arial"/>
              </w:rPr>
              <w:t>(0.00</w:t>
            </w:r>
            <w:r w:rsidR="002B1CA7">
              <w:rPr>
                <w:rFonts w:ascii="Arial" w:hAnsi="Arial" w:cs="Arial"/>
              </w:rPr>
              <w:t>1</w:t>
            </w:r>
            <w:r w:rsidRPr="00F6055C">
              <w:rPr>
                <w:rFonts w:ascii="Arial" w:hAnsi="Arial" w:cs="Arial"/>
              </w:rPr>
              <w:t>)</w:t>
            </w:r>
          </w:p>
        </w:tc>
      </w:tr>
      <w:tr w:rsidR="00C04FC1" w:rsidRPr="00F6055C" w14:paraId="3A4808B8" w14:textId="77777777" w:rsidTr="001D3E52">
        <w:trPr>
          <w:cantSplit/>
          <w:trHeight w:val="359"/>
        </w:trPr>
        <w:tc>
          <w:tcPr>
            <w:tcW w:w="1668" w:type="dxa"/>
            <w:tcBorders>
              <w:top w:val="single" w:sz="4" w:space="0" w:color="auto"/>
              <w:left w:val="single" w:sz="4" w:space="0" w:color="auto"/>
              <w:bottom w:val="single" w:sz="4" w:space="0" w:color="auto"/>
              <w:right w:val="single" w:sz="4" w:space="0" w:color="auto"/>
            </w:tcBorders>
            <w:vAlign w:val="center"/>
          </w:tcPr>
          <w:p w14:paraId="7641616E" w14:textId="77777777" w:rsidR="00C04FC1" w:rsidRPr="00F9794D" w:rsidRDefault="00C04FC1" w:rsidP="001D3E52">
            <w:pPr>
              <w:rPr>
                <w:rFonts w:ascii="Arial" w:hAnsi="Arial" w:cs="Arial"/>
                <w:color w:val="000000"/>
                <w:sz w:val="14"/>
                <w:szCs w:val="14"/>
                <w:lang w:eastAsia="en-PH"/>
              </w:rPr>
            </w:pPr>
            <w:r w:rsidRPr="00F9794D">
              <w:rPr>
                <w:rFonts w:ascii="Arial" w:hAnsi="Arial" w:cs="Arial"/>
                <w:sz w:val="14"/>
                <w:szCs w:val="14"/>
              </w:rPr>
              <w:t>Relatedness-Supportive Behaviors</w:t>
            </w:r>
          </w:p>
        </w:tc>
        <w:tc>
          <w:tcPr>
            <w:tcW w:w="992" w:type="dxa"/>
            <w:tcBorders>
              <w:top w:val="single" w:sz="4" w:space="0" w:color="auto"/>
              <w:left w:val="single" w:sz="4" w:space="0" w:color="auto"/>
              <w:bottom w:val="single" w:sz="4" w:space="0" w:color="auto"/>
              <w:right w:val="single" w:sz="4" w:space="0" w:color="auto"/>
            </w:tcBorders>
          </w:tcPr>
          <w:p w14:paraId="4543A814" w14:textId="77777777" w:rsidR="00C04FC1" w:rsidRPr="00F6055C" w:rsidRDefault="00C04FC1" w:rsidP="001D3E52">
            <w:pPr>
              <w:jc w:val="center"/>
              <w:rPr>
                <w:rFonts w:ascii="Arial" w:hAnsi="Arial" w:cs="Arial"/>
              </w:rPr>
            </w:pPr>
            <w:r w:rsidRPr="00F6055C">
              <w:rPr>
                <w:rFonts w:ascii="Arial" w:hAnsi="Arial" w:cs="Arial"/>
              </w:rPr>
              <w:t>.460**</w:t>
            </w:r>
          </w:p>
          <w:p w14:paraId="4F93EF7E" w14:textId="33EE8FEC" w:rsidR="00C04FC1" w:rsidRPr="00F6055C" w:rsidRDefault="00C04FC1" w:rsidP="001D3E52">
            <w:pPr>
              <w:jc w:val="center"/>
              <w:rPr>
                <w:rFonts w:ascii="Arial" w:hAnsi="Arial" w:cs="Arial"/>
                <w:color w:val="000000"/>
                <w:lang w:eastAsia="en-PH"/>
              </w:rPr>
            </w:pPr>
            <w:r w:rsidRPr="00F6055C">
              <w:rPr>
                <w:rFonts w:ascii="Arial" w:hAnsi="Arial" w:cs="Arial"/>
              </w:rPr>
              <w:t>(0.00</w:t>
            </w:r>
            <w:r w:rsidR="002B1CA7">
              <w:rPr>
                <w:rFonts w:ascii="Arial" w:hAnsi="Arial" w:cs="Arial"/>
              </w:rPr>
              <w:t>1</w:t>
            </w:r>
            <w:r w:rsidRPr="00F6055C">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tcPr>
          <w:p w14:paraId="795781A6" w14:textId="77777777" w:rsidR="00C04FC1" w:rsidRPr="00F6055C" w:rsidRDefault="00C04FC1" w:rsidP="001D3E52">
            <w:pPr>
              <w:jc w:val="center"/>
              <w:rPr>
                <w:rFonts w:ascii="Arial" w:hAnsi="Arial" w:cs="Arial"/>
              </w:rPr>
            </w:pPr>
            <w:r w:rsidRPr="00F6055C">
              <w:rPr>
                <w:rFonts w:ascii="Arial" w:hAnsi="Arial" w:cs="Arial"/>
              </w:rPr>
              <w:t>.446**</w:t>
            </w:r>
          </w:p>
          <w:p w14:paraId="2D15A515" w14:textId="3BDD0DA0" w:rsidR="00C04FC1" w:rsidRPr="00F6055C" w:rsidRDefault="00C04FC1" w:rsidP="001D3E52">
            <w:pPr>
              <w:jc w:val="center"/>
              <w:rPr>
                <w:rFonts w:ascii="Arial" w:hAnsi="Arial" w:cs="Arial"/>
                <w:color w:val="000000"/>
                <w:lang w:eastAsia="en-PH"/>
              </w:rPr>
            </w:pPr>
            <w:r w:rsidRPr="00F6055C">
              <w:rPr>
                <w:rFonts w:ascii="Arial" w:hAnsi="Arial" w:cs="Arial"/>
              </w:rPr>
              <w:t>(0.00</w:t>
            </w:r>
            <w:r w:rsidR="002B1CA7">
              <w:rPr>
                <w:rFonts w:ascii="Arial" w:hAnsi="Arial" w:cs="Arial"/>
              </w:rPr>
              <w:t>1</w:t>
            </w:r>
            <w:r w:rsidRPr="00F6055C">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tcPr>
          <w:p w14:paraId="326AE022" w14:textId="77777777" w:rsidR="00C04FC1" w:rsidRPr="00F6055C" w:rsidRDefault="00C04FC1" w:rsidP="001D3E52">
            <w:pPr>
              <w:jc w:val="center"/>
              <w:rPr>
                <w:rFonts w:ascii="Arial" w:hAnsi="Arial" w:cs="Arial"/>
              </w:rPr>
            </w:pPr>
            <w:r w:rsidRPr="00F6055C">
              <w:rPr>
                <w:rFonts w:ascii="Arial" w:hAnsi="Arial" w:cs="Arial"/>
              </w:rPr>
              <w:t>.432**</w:t>
            </w:r>
          </w:p>
          <w:p w14:paraId="49255975" w14:textId="53FE7D8F" w:rsidR="00C04FC1" w:rsidRPr="00F6055C" w:rsidRDefault="00C04FC1" w:rsidP="001D3E52">
            <w:pPr>
              <w:jc w:val="center"/>
              <w:rPr>
                <w:rFonts w:ascii="Arial" w:hAnsi="Arial" w:cs="Arial"/>
                <w:color w:val="000000"/>
                <w:lang w:eastAsia="en-PH"/>
              </w:rPr>
            </w:pPr>
            <w:r w:rsidRPr="00F6055C">
              <w:rPr>
                <w:rFonts w:ascii="Arial" w:hAnsi="Arial" w:cs="Arial"/>
              </w:rPr>
              <w:t>(0.00</w:t>
            </w:r>
            <w:r w:rsidR="002B1CA7">
              <w:rPr>
                <w:rFonts w:ascii="Arial" w:hAnsi="Arial" w:cs="Arial"/>
              </w:rPr>
              <w:t>1</w:t>
            </w:r>
            <w:r w:rsidRPr="00F6055C">
              <w:rPr>
                <w:rFonts w:ascii="Arial" w:hAnsi="Arial" w:cs="Arial"/>
              </w:rPr>
              <w:t>)</w:t>
            </w:r>
          </w:p>
        </w:tc>
        <w:tc>
          <w:tcPr>
            <w:tcW w:w="1134" w:type="dxa"/>
            <w:tcBorders>
              <w:top w:val="single" w:sz="4" w:space="0" w:color="auto"/>
              <w:left w:val="single" w:sz="4" w:space="0" w:color="auto"/>
              <w:bottom w:val="single" w:sz="4" w:space="0" w:color="auto"/>
              <w:right w:val="single" w:sz="4" w:space="0" w:color="auto"/>
            </w:tcBorders>
            <w:hideMark/>
          </w:tcPr>
          <w:p w14:paraId="38E5C6EE" w14:textId="77777777" w:rsidR="00C04FC1" w:rsidRPr="00F6055C" w:rsidRDefault="00C04FC1" w:rsidP="001D3E52">
            <w:pPr>
              <w:jc w:val="center"/>
              <w:rPr>
                <w:rFonts w:ascii="Arial" w:hAnsi="Arial" w:cs="Arial"/>
              </w:rPr>
            </w:pPr>
            <w:r w:rsidRPr="00F6055C">
              <w:rPr>
                <w:rFonts w:ascii="Arial" w:hAnsi="Arial" w:cs="Arial"/>
              </w:rPr>
              <w:t>.363**</w:t>
            </w:r>
          </w:p>
          <w:p w14:paraId="620D61BD" w14:textId="25C0815E" w:rsidR="00C04FC1" w:rsidRPr="00F6055C" w:rsidRDefault="00C04FC1" w:rsidP="001D3E52">
            <w:pPr>
              <w:jc w:val="center"/>
              <w:rPr>
                <w:rFonts w:ascii="Arial" w:hAnsi="Arial" w:cs="Arial"/>
                <w:color w:val="000000"/>
                <w:lang w:eastAsia="en-PH"/>
              </w:rPr>
            </w:pPr>
            <w:r w:rsidRPr="00F6055C">
              <w:rPr>
                <w:rFonts w:ascii="Arial" w:hAnsi="Arial" w:cs="Arial"/>
              </w:rPr>
              <w:t>(0.00</w:t>
            </w:r>
            <w:r w:rsidR="002B1CA7">
              <w:rPr>
                <w:rFonts w:ascii="Arial" w:hAnsi="Arial" w:cs="Arial"/>
              </w:rPr>
              <w:t>1</w:t>
            </w:r>
            <w:r w:rsidRPr="00F6055C">
              <w:rPr>
                <w:rFonts w:ascii="Arial" w:hAnsi="Arial" w:cs="Arial"/>
              </w:rPr>
              <w:t>)</w:t>
            </w:r>
          </w:p>
        </w:tc>
        <w:tc>
          <w:tcPr>
            <w:tcW w:w="993" w:type="dxa"/>
            <w:tcBorders>
              <w:top w:val="single" w:sz="4" w:space="0" w:color="auto"/>
              <w:left w:val="single" w:sz="4" w:space="0" w:color="auto"/>
              <w:bottom w:val="single" w:sz="4" w:space="0" w:color="auto"/>
              <w:right w:val="single" w:sz="4" w:space="0" w:color="auto"/>
            </w:tcBorders>
          </w:tcPr>
          <w:p w14:paraId="366B823A" w14:textId="77777777" w:rsidR="00C04FC1" w:rsidRPr="00F6055C" w:rsidRDefault="00C04FC1" w:rsidP="001D3E52">
            <w:pPr>
              <w:jc w:val="center"/>
              <w:rPr>
                <w:rFonts w:ascii="Arial" w:hAnsi="Arial" w:cs="Arial"/>
              </w:rPr>
            </w:pPr>
            <w:r w:rsidRPr="00F6055C">
              <w:rPr>
                <w:rFonts w:ascii="Arial" w:hAnsi="Arial" w:cs="Arial"/>
              </w:rPr>
              <w:t>-.401**</w:t>
            </w:r>
          </w:p>
          <w:p w14:paraId="556FBA7E" w14:textId="1A1A77F9" w:rsidR="00C04FC1" w:rsidRPr="00F6055C" w:rsidRDefault="00C04FC1" w:rsidP="001D3E52">
            <w:pPr>
              <w:jc w:val="center"/>
              <w:rPr>
                <w:rFonts w:ascii="Arial" w:hAnsi="Arial" w:cs="Arial"/>
              </w:rPr>
            </w:pPr>
            <w:r w:rsidRPr="00F6055C">
              <w:rPr>
                <w:rFonts w:ascii="Arial" w:hAnsi="Arial" w:cs="Arial"/>
              </w:rPr>
              <w:t>(0.00</w:t>
            </w:r>
            <w:r w:rsidR="002B1CA7">
              <w:rPr>
                <w:rFonts w:ascii="Arial" w:hAnsi="Arial" w:cs="Arial"/>
              </w:rPr>
              <w:t>1</w:t>
            </w:r>
            <w:r w:rsidRPr="00F6055C">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hideMark/>
          </w:tcPr>
          <w:p w14:paraId="3A52624B" w14:textId="77777777" w:rsidR="00C04FC1" w:rsidRPr="00F6055C" w:rsidRDefault="00C04FC1" w:rsidP="001D3E52">
            <w:pPr>
              <w:jc w:val="center"/>
              <w:rPr>
                <w:rFonts w:ascii="Arial" w:hAnsi="Arial" w:cs="Arial"/>
              </w:rPr>
            </w:pPr>
            <w:r w:rsidRPr="00F6055C">
              <w:rPr>
                <w:rFonts w:ascii="Arial" w:hAnsi="Arial" w:cs="Arial"/>
              </w:rPr>
              <w:t>-.038</w:t>
            </w:r>
          </w:p>
          <w:p w14:paraId="0591AE04" w14:textId="77777777" w:rsidR="00C04FC1" w:rsidRPr="00F6055C" w:rsidRDefault="00C04FC1" w:rsidP="001D3E52">
            <w:pPr>
              <w:jc w:val="center"/>
              <w:rPr>
                <w:rFonts w:ascii="Arial" w:hAnsi="Arial" w:cs="Arial"/>
                <w:color w:val="000000"/>
                <w:lang w:eastAsia="en-PH"/>
              </w:rPr>
            </w:pPr>
            <w:r w:rsidRPr="00F6055C">
              <w:rPr>
                <w:rFonts w:ascii="Arial" w:hAnsi="Arial" w:cs="Arial"/>
              </w:rPr>
              <w:t>(0.468)</w:t>
            </w:r>
          </w:p>
        </w:tc>
        <w:tc>
          <w:tcPr>
            <w:tcW w:w="884" w:type="dxa"/>
            <w:tcBorders>
              <w:top w:val="single" w:sz="4" w:space="0" w:color="auto"/>
              <w:left w:val="single" w:sz="4" w:space="0" w:color="auto"/>
              <w:bottom w:val="single" w:sz="4" w:space="0" w:color="auto"/>
              <w:right w:val="single" w:sz="4" w:space="0" w:color="auto"/>
            </w:tcBorders>
            <w:hideMark/>
          </w:tcPr>
          <w:p w14:paraId="40CD8FF7" w14:textId="77777777" w:rsidR="00C04FC1" w:rsidRPr="00F6055C" w:rsidRDefault="00C04FC1" w:rsidP="001D3E52">
            <w:pPr>
              <w:jc w:val="center"/>
              <w:rPr>
                <w:rFonts w:ascii="Arial" w:hAnsi="Arial" w:cs="Arial"/>
              </w:rPr>
            </w:pPr>
            <w:r w:rsidRPr="00F6055C">
              <w:rPr>
                <w:rFonts w:ascii="Arial" w:hAnsi="Arial" w:cs="Arial"/>
              </w:rPr>
              <w:t>-.026</w:t>
            </w:r>
          </w:p>
          <w:p w14:paraId="2918DFA2" w14:textId="77777777" w:rsidR="00C04FC1" w:rsidRPr="00F6055C" w:rsidRDefault="00C04FC1" w:rsidP="001D3E52">
            <w:pPr>
              <w:jc w:val="center"/>
              <w:rPr>
                <w:rFonts w:ascii="Arial" w:hAnsi="Arial" w:cs="Arial"/>
                <w:color w:val="000000"/>
                <w:lang w:eastAsia="en-PH"/>
              </w:rPr>
            </w:pPr>
            <w:r w:rsidRPr="00F6055C">
              <w:rPr>
                <w:rFonts w:ascii="Arial" w:hAnsi="Arial" w:cs="Arial"/>
              </w:rPr>
              <w:t>(0.622)</w:t>
            </w:r>
          </w:p>
        </w:tc>
      </w:tr>
      <w:tr w:rsidR="00C04FC1" w:rsidRPr="00F6055C" w14:paraId="1F81EF18" w14:textId="77777777" w:rsidTr="001D3E52">
        <w:trPr>
          <w:cantSplit/>
          <w:trHeight w:val="485"/>
        </w:trPr>
        <w:tc>
          <w:tcPr>
            <w:tcW w:w="1668" w:type="dxa"/>
            <w:tcBorders>
              <w:top w:val="single" w:sz="4" w:space="0" w:color="auto"/>
              <w:left w:val="single" w:sz="4" w:space="0" w:color="auto"/>
              <w:bottom w:val="single" w:sz="4" w:space="0" w:color="auto"/>
              <w:right w:val="single" w:sz="4" w:space="0" w:color="auto"/>
            </w:tcBorders>
            <w:vAlign w:val="center"/>
          </w:tcPr>
          <w:p w14:paraId="78833D87" w14:textId="77777777" w:rsidR="00C04FC1" w:rsidRPr="00F9794D" w:rsidRDefault="00C04FC1" w:rsidP="001D3E52">
            <w:pPr>
              <w:rPr>
                <w:rFonts w:ascii="Arial" w:hAnsi="Arial" w:cs="Arial"/>
                <w:color w:val="000000"/>
                <w:sz w:val="14"/>
                <w:szCs w:val="14"/>
                <w:lang w:eastAsia="en-PH"/>
              </w:rPr>
            </w:pPr>
            <w:r w:rsidRPr="00F9794D">
              <w:rPr>
                <w:rFonts w:ascii="Arial" w:hAnsi="Arial" w:cs="Arial"/>
                <w:sz w:val="14"/>
                <w:szCs w:val="14"/>
              </w:rPr>
              <w:t>Autonomy-Thwarting Behaviors</w:t>
            </w:r>
          </w:p>
        </w:tc>
        <w:tc>
          <w:tcPr>
            <w:tcW w:w="992" w:type="dxa"/>
            <w:tcBorders>
              <w:top w:val="single" w:sz="4" w:space="0" w:color="auto"/>
              <w:left w:val="single" w:sz="4" w:space="0" w:color="auto"/>
              <w:bottom w:val="single" w:sz="4" w:space="0" w:color="auto"/>
              <w:right w:val="single" w:sz="4" w:space="0" w:color="auto"/>
            </w:tcBorders>
          </w:tcPr>
          <w:p w14:paraId="5DDC5735" w14:textId="77777777" w:rsidR="00C04FC1" w:rsidRPr="00F6055C" w:rsidRDefault="00C04FC1" w:rsidP="001D3E52">
            <w:pPr>
              <w:jc w:val="center"/>
              <w:rPr>
                <w:rFonts w:ascii="Arial" w:hAnsi="Arial" w:cs="Arial"/>
              </w:rPr>
            </w:pPr>
            <w:r w:rsidRPr="00F6055C">
              <w:rPr>
                <w:rFonts w:ascii="Arial" w:hAnsi="Arial" w:cs="Arial"/>
              </w:rPr>
              <w:t>.210**</w:t>
            </w:r>
          </w:p>
          <w:p w14:paraId="690A6D22" w14:textId="3D64267C" w:rsidR="00C04FC1" w:rsidRPr="00F6055C" w:rsidRDefault="00C04FC1" w:rsidP="001D3E52">
            <w:pPr>
              <w:jc w:val="center"/>
              <w:rPr>
                <w:rFonts w:ascii="Arial" w:hAnsi="Arial" w:cs="Arial"/>
                <w:color w:val="000000"/>
                <w:lang w:eastAsia="en-PH"/>
              </w:rPr>
            </w:pPr>
            <w:r w:rsidRPr="00F6055C">
              <w:rPr>
                <w:rFonts w:ascii="Arial" w:hAnsi="Arial" w:cs="Arial"/>
              </w:rPr>
              <w:t>(0.00</w:t>
            </w:r>
            <w:r w:rsidR="002B1CA7">
              <w:rPr>
                <w:rFonts w:ascii="Arial" w:hAnsi="Arial" w:cs="Arial"/>
              </w:rPr>
              <w:t>1</w:t>
            </w:r>
            <w:r w:rsidRPr="00F6055C">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tcPr>
          <w:p w14:paraId="5009AC3C" w14:textId="77777777" w:rsidR="00C04FC1" w:rsidRPr="00F6055C" w:rsidRDefault="00C04FC1" w:rsidP="001D3E52">
            <w:pPr>
              <w:jc w:val="center"/>
              <w:rPr>
                <w:rFonts w:ascii="Arial" w:hAnsi="Arial" w:cs="Arial"/>
              </w:rPr>
            </w:pPr>
            <w:r w:rsidRPr="00F6055C">
              <w:rPr>
                <w:rFonts w:ascii="Arial" w:hAnsi="Arial" w:cs="Arial"/>
              </w:rPr>
              <w:t>.133*</w:t>
            </w:r>
          </w:p>
          <w:p w14:paraId="1E214F71" w14:textId="77777777" w:rsidR="00C04FC1" w:rsidRPr="00F6055C" w:rsidRDefault="00C04FC1" w:rsidP="001D3E52">
            <w:pPr>
              <w:jc w:val="center"/>
              <w:rPr>
                <w:rFonts w:ascii="Arial" w:hAnsi="Arial" w:cs="Arial"/>
                <w:color w:val="000000"/>
                <w:lang w:eastAsia="en-PH"/>
              </w:rPr>
            </w:pPr>
            <w:r w:rsidRPr="00F6055C">
              <w:rPr>
                <w:rFonts w:ascii="Arial" w:hAnsi="Arial" w:cs="Arial"/>
              </w:rPr>
              <w:t>(0.010)</w:t>
            </w:r>
          </w:p>
        </w:tc>
        <w:tc>
          <w:tcPr>
            <w:tcW w:w="1275" w:type="dxa"/>
            <w:tcBorders>
              <w:top w:val="single" w:sz="4" w:space="0" w:color="auto"/>
              <w:left w:val="single" w:sz="4" w:space="0" w:color="auto"/>
              <w:bottom w:val="single" w:sz="4" w:space="0" w:color="auto"/>
              <w:right w:val="single" w:sz="4" w:space="0" w:color="auto"/>
            </w:tcBorders>
          </w:tcPr>
          <w:p w14:paraId="7EF16D20" w14:textId="77777777" w:rsidR="00C04FC1" w:rsidRPr="00F6055C" w:rsidRDefault="00C04FC1" w:rsidP="001D3E52">
            <w:pPr>
              <w:jc w:val="center"/>
              <w:rPr>
                <w:rFonts w:ascii="Arial" w:hAnsi="Arial" w:cs="Arial"/>
              </w:rPr>
            </w:pPr>
            <w:r w:rsidRPr="00F6055C">
              <w:rPr>
                <w:rFonts w:ascii="Arial" w:hAnsi="Arial" w:cs="Arial"/>
              </w:rPr>
              <w:t>.126*</w:t>
            </w:r>
          </w:p>
          <w:p w14:paraId="0EF464FB" w14:textId="77777777" w:rsidR="00C04FC1" w:rsidRPr="00F6055C" w:rsidRDefault="00C04FC1" w:rsidP="001D3E52">
            <w:pPr>
              <w:jc w:val="center"/>
              <w:rPr>
                <w:rFonts w:ascii="Arial" w:hAnsi="Arial" w:cs="Arial"/>
                <w:color w:val="000000"/>
                <w:lang w:eastAsia="en-PH"/>
              </w:rPr>
            </w:pPr>
            <w:r w:rsidRPr="00F6055C">
              <w:rPr>
                <w:rFonts w:ascii="Arial" w:hAnsi="Arial" w:cs="Arial"/>
              </w:rPr>
              <w:t>(0.016)</w:t>
            </w:r>
          </w:p>
        </w:tc>
        <w:tc>
          <w:tcPr>
            <w:tcW w:w="1134" w:type="dxa"/>
            <w:tcBorders>
              <w:top w:val="single" w:sz="4" w:space="0" w:color="auto"/>
              <w:left w:val="single" w:sz="4" w:space="0" w:color="auto"/>
              <w:bottom w:val="single" w:sz="4" w:space="0" w:color="auto"/>
              <w:right w:val="single" w:sz="4" w:space="0" w:color="auto"/>
            </w:tcBorders>
          </w:tcPr>
          <w:p w14:paraId="50D2AA81" w14:textId="77777777" w:rsidR="00C04FC1" w:rsidRPr="00F6055C" w:rsidRDefault="00C04FC1" w:rsidP="001D3E52">
            <w:pPr>
              <w:jc w:val="center"/>
              <w:rPr>
                <w:rFonts w:ascii="Arial" w:hAnsi="Arial" w:cs="Arial"/>
              </w:rPr>
            </w:pPr>
            <w:r w:rsidRPr="00F6055C">
              <w:rPr>
                <w:rFonts w:ascii="Arial" w:hAnsi="Arial" w:cs="Arial"/>
              </w:rPr>
              <w:t>.006</w:t>
            </w:r>
          </w:p>
          <w:p w14:paraId="3CE3EEFB" w14:textId="77777777" w:rsidR="00C04FC1" w:rsidRPr="00F6055C" w:rsidRDefault="00C04FC1" w:rsidP="001D3E52">
            <w:pPr>
              <w:jc w:val="center"/>
              <w:rPr>
                <w:rFonts w:ascii="Arial" w:hAnsi="Arial" w:cs="Arial"/>
                <w:color w:val="000000"/>
                <w:lang w:eastAsia="en-PH"/>
              </w:rPr>
            </w:pPr>
            <w:r w:rsidRPr="00F6055C">
              <w:rPr>
                <w:rFonts w:ascii="Arial" w:hAnsi="Arial" w:cs="Arial"/>
              </w:rPr>
              <w:t>(0.906)</w:t>
            </w:r>
          </w:p>
        </w:tc>
        <w:tc>
          <w:tcPr>
            <w:tcW w:w="993" w:type="dxa"/>
            <w:tcBorders>
              <w:top w:val="single" w:sz="4" w:space="0" w:color="auto"/>
              <w:left w:val="single" w:sz="4" w:space="0" w:color="auto"/>
              <w:bottom w:val="single" w:sz="4" w:space="0" w:color="auto"/>
              <w:right w:val="single" w:sz="4" w:space="0" w:color="auto"/>
            </w:tcBorders>
          </w:tcPr>
          <w:p w14:paraId="0F53DE0A" w14:textId="77777777" w:rsidR="00C04FC1" w:rsidRPr="00F6055C" w:rsidRDefault="00C04FC1" w:rsidP="001D3E52">
            <w:pPr>
              <w:jc w:val="center"/>
              <w:rPr>
                <w:rFonts w:ascii="Arial" w:hAnsi="Arial" w:cs="Arial"/>
              </w:rPr>
            </w:pPr>
            <w:r w:rsidRPr="00F6055C">
              <w:rPr>
                <w:rFonts w:ascii="Arial" w:hAnsi="Arial" w:cs="Arial"/>
              </w:rPr>
              <w:t>-.486**</w:t>
            </w:r>
          </w:p>
          <w:p w14:paraId="1F79EAB8" w14:textId="1C199399" w:rsidR="00C04FC1" w:rsidRPr="00F6055C" w:rsidRDefault="00C04FC1" w:rsidP="001D3E52">
            <w:pPr>
              <w:jc w:val="center"/>
              <w:rPr>
                <w:rFonts w:ascii="Arial" w:hAnsi="Arial" w:cs="Arial"/>
              </w:rPr>
            </w:pPr>
            <w:r w:rsidRPr="00F6055C">
              <w:rPr>
                <w:rFonts w:ascii="Arial" w:hAnsi="Arial" w:cs="Arial"/>
              </w:rPr>
              <w:t>(0.00</w:t>
            </w:r>
            <w:r w:rsidR="002B1CA7">
              <w:rPr>
                <w:rFonts w:ascii="Arial" w:hAnsi="Arial" w:cs="Arial"/>
              </w:rPr>
              <w:t>1</w:t>
            </w:r>
            <w:r w:rsidRPr="00F6055C">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tcPr>
          <w:p w14:paraId="232E5A74" w14:textId="77777777" w:rsidR="00C04FC1" w:rsidRPr="00F6055C" w:rsidRDefault="00C04FC1" w:rsidP="001D3E52">
            <w:pPr>
              <w:jc w:val="center"/>
              <w:rPr>
                <w:rFonts w:ascii="Arial" w:hAnsi="Arial" w:cs="Arial"/>
              </w:rPr>
            </w:pPr>
            <w:r w:rsidRPr="00F6055C">
              <w:rPr>
                <w:rFonts w:ascii="Arial" w:hAnsi="Arial" w:cs="Arial"/>
              </w:rPr>
              <w:t>-.167**</w:t>
            </w:r>
          </w:p>
          <w:p w14:paraId="4450E42A" w14:textId="77777777" w:rsidR="00C04FC1" w:rsidRPr="00F6055C" w:rsidRDefault="00C04FC1" w:rsidP="001D3E52">
            <w:pPr>
              <w:jc w:val="center"/>
              <w:rPr>
                <w:rFonts w:ascii="Arial" w:hAnsi="Arial" w:cs="Arial"/>
                <w:color w:val="000000"/>
                <w:lang w:eastAsia="en-PH"/>
              </w:rPr>
            </w:pPr>
            <w:r w:rsidRPr="00F6055C">
              <w:rPr>
                <w:rFonts w:ascii="Arial" w:hAnsi="Arial" w:cs="Arial"/>
              </w:rPr>
              <w:t>(0.001)</w:t>
            </w:r>
          </w:p>
        </w:tc>
        <w:tc>
          <w:tcPr>
            <w:tcW w:w="884" w:type="dxa"/>
            <w:tcBorders>
              <w:top w:val="single" w:sz="4" w:space="0" w:color="auto"/>
              <w:left w:val="single" w:sz="4" w:space="0" w:color="auto"/>
              <w:bottom w:val="single" w:sz="4" w:space="0" w:color="auto"/>
              <w:right w:val="single" w:sz="4" w:space="0" w:color="auto"/>
            </w:tcBorders>
          </w:tcPr>
          <w:p w14:paraId="6E4DF8CB" w14:textId="77777777" w:rsidR="00C04FC1" w:rsidRPr="00F6055C" w:rsidRDefault="00C04FC1" w:rsidP="001D3E52">
            <w:pPr>
              <w:jc w:val="center"/>
              <w:rPr>
                <w:rFonts w:ascii="Arial" w:hAnsi="Arial" w:cs="Arial"/>
              </w:rPr>
            </w:pPr>
            <w:r w:rsidRPr="00F6055C">
              <w:rPr>
                <w:rFonts w:ascii="Arial" w:hAnsi="Arial" w:cs="Arial"/>
              </w:rPr>
              <w:t>-.115*</w:t>
            </w:r>
          </w:p>
          <w:p w14:paraId="404E8646" w14:textId="77777777" w:rsidR="00C04FC1" w:rsidRPr="00F6055C" w:rsidRDefault="00C04FC1" w:rsidP="001D3E52">
            <w:pPr>
              <w:jc w:val="center"/>
              <w:rPr>
                <w:rFonts w:ascii="Arial" w:hAnsi="Arial" w:cs="Arial"/>
                <w:color w:val="000000"/>
                <w:lang w:eastAsia="en-PH"/>
              </w:rPr>
            </w:pPr>
            <w:r w:rsidRPr="00F6055C">
              <w:rPr>
                <w:rFonts w:ascii="Arial" w:hAnsi="Arial" w:cs="Arial"/>
              </w:rPr>
              <w:t>(0.028)</w:t>
            </w:r>
          </w:p>
        </w:tc>
      </w:tr>
      <w:tr w:rsidR="00C04FC1" w:rsidRPr="00F6055C" w14:paraId="45B655A4" w14:textId="77777777" w:rsidTr="001D3E52">
        <w:trPr>
          <w:cantSplit/>
          <w:trHeight w:val="359"/>
        </w:trPr>
        <w:tc>
          <w:tcPr>
            <w:tcW w:w="1668" w:type="dxa"/>
            <w:tcBorders>
              <w:top w:val="single" w:sz="4" w:space="0" w:color="auto"/>
              <w:left w:val="single" w:sz="4" w:space="0" w:color="auto"/>
              <w:bottom w:val="single" w:sz="4" w:space="0" w:color="auto"/>
              <w:right w:val="single" w:sz="4" w:space="0" w:color="auto"/>
            </w:tcBorders>
            <w:vAlign w:val="center"/>
          </w:tcPr>
          <w:p w14:paraId="56BE2005" w14:textId="77777777" w:rsidR="00C04FC1" w:rsidRPr="00F9794D" w:rsidRDefault="00C04FC1" w:rsidP="001D3E52">
            <w:pPr>
              <w:rPr>
                <w:rFonts w:ascii="Arial" w:hAnsi="Arial" w:cs="Arial"/>
                <w:color w:val="000000"/>
                <w:sz w:val="14"/>
                <w:szCs w:val="14"/>
                <w:lang w:eastAsia="en-PH"/>
              </w:rPr>
            </w:pPr>
            <w:r w:rsidRPr="00F9794D">
              <w:rPr>
                <w:rFonts w:ascii="Arial" w:hAnsi="Arial" w:cs="Arial"/>
                <w:sz w:val="14"/>
                <w:szCs w:val="14"/>
              </w:rPr>
              <w:t>Competence-Thwarting Behaviors</w:t>
            </w:r>
          </w:p>
        </w:tc>
        <w:tc>
          <w:tcPr>
            <w:tcW w:w="992" w:type="dxa"/>
            <w:tcBorders>
              <w:top w:val="single" w:sz="4" w:space="0" w:color="auto"/>
              <w:left w:val="single" w:sz="4" w:space="0" w:color="auto"/>
              <w:bottom w:val="single" w:sz="4" w:space="0" w:color="auto"/>
              <w:right w:val="single" w:sz="4" w:space="0" w:color="auto"/>
            </w:tcBorders>
          </w:tcPr>
          <w:p w14:paraId="56DF316A" w14:textId="77777777" w:rsidR="00C04FC1" w:rsidRPr="00F6055C" w:rsidRDefault="00C04FC1" w:rsidP="001D3E52">
            <w:pPr>
              <w:jc w:val="center"/>
              <w:rPr>
                <w:rFonts w:ascii="Arial" w:hAnsi="Arial" w:cs="Arial"/>
              </w:rPr>
            </w:pPr>
            <w:r w:rsidRPr="00F6055C">
              <w:rPr>
                <w:rFonts w:ascii="Arial" w:hAnsi="Arial" w:cs="Arial"/>
              </w:rPr>
              <w:t>.172**</w:t>
            </w:r>
          </w:p>
          <w:p w14:paraId="4B7781EE" w14:textId="625378A9" w:rsidR="00C04FC1" w:rsidRPr="00F6055C" w:rsidRDefault="00C04FC1" w:rsidP="001D3E52">
            <w:pPr>
              <w:jc w:val="center"/>
              <w:rPr>
                <w:rFonts w:ascii="Arial" w:hAnsi="Arial" w:cs="Arial"/>
              </w:rPr>
            </w:pPr>
            <w:r w:rsidRPr="00F6055C">
              <w:rPr>
                <w:rFonts w:ascii="Arial" w:hAnsi="Arial" w:cs="Arial"/>
              </w:rPr>
              <w:t>(0.00</w:t>
            </w:r>
            <w:r w:rsidR="002B1CA7">
              <w:rPr>
                <w:rFonts w:ascii="Arial" w:hAnsi="Arial" w:cs="Arial"/>
              </w:rPr>
              <w:t>1</w:t>
            </w:r>
            <w:r w:rsidRPr="00F6055C">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tcPr>
          <w:p w14:paraId="42C059CF" w14:textId="77777777" w:rsidR="00C04FC1" w:rsidRPr="00F6055C" w:rsidRDefault="00C04FC1" w:rsidP="001D3E52">
            <w:pPr>
              <w:jc w:val="center"/>
              <w:rPr>
                <w:rFonts w:ascii="Arial" w:hAnsi="Arial" w:cs="Arial"/>
              </w:rPr>
            </w:pPr>
            <w:r w:rsidRPr="00F6055C">
              <w:rPr>
                <w:rFonts w:ascii="Arial" w:hAnsi="Arial" w:cs="Arial"/>
              </w:rPr>
              <w:t>0.084</w:t>
            </w:r>
          </w:p>
          <w:p w14:paraId="68422593" w14:textId="77777777" w:rsidR="00C04FC1" w:rsidRPr="00F6055C" w:rsidRDefault="00C04FC1" w:rsidP="001D3E52">
            <w:pPr>
              <w:jc w:val="center"/>
              <w:rPr>
                <w:rFonts w:ascii="Arial" w:hAnsi="Arial" w:cs="Arial"/>
              </w:rPr>
            </w:pPr>
            <w:r w:rsidRPr="00F6055C">
              <w:rPr>
                <w:rFonts w:ascii="Arial" w:hAnsi="Arial" w:cs="Arial"/>
              </w:rPr>
              <w:t>(0.107)</w:t>
            </w:r>
          </w:p>
        </w:tc>
        <w:tc>
          <w:tcPr>
            <w:tcW w:w="1275" w:type="dxa"/>
            <w:tcBorders>
              <w:top w:val="single" w:sz="4" w:space="0" w:color="auto"/>
              <w:left w:val="single" w:sz="4" w:space="0" w:color="auto"/>
              <w:bottom w:val="single" w:sz="4" w:space="0" w:color="auto"/>
              <w:right w:val="single" w:sz="4" w:space="0" w:color="auto"/>
            </w:tcBorders>
          </w:tcPr>
          <w:p w14:paraId="4CA86E44" w14:textId="77777777" w:rsidR="00C04FC1" w:rsidRPr="00F6055C" w:rsidRDefault="00C04FC1" w:rsidP="001D3E52">
            <w:pPr>
              <w:jc w:val="center"/>
              <w:rPr>
                <w:rFonts w:ascii="Arial" w:hAnsi="Arial" w:cs="Arial"/>
              </w:rPr>
            </w:pPr>
            <w:r w:rsidRPr="00F6055C">
              <w:rPr>
                <w:rFonts w:ascii="Arial" w:hAnsi="Arial" w:cs="Arial"/>
              </w:rPr>
              <w:t>.126*</w:t>
            </w:r>
          </w:p>
          <w:p w14:paraId="749AF5D3" w14:textId="77777777" w:rsidR="00C04FC1" w:rsidRPr="00F6055C" w:rsidRDefault="00C04FC1" w:rsidP="001D3E52">
            <w:pPr>
              <w:jc w:val="center"/>
              <w:rPr>
                <w:rFonts w:ascii="Arial" w:hAnsi="Arial" w:cs="Arial"/>
              </w:rPr>
            </w:pPr>
            <w:r w:rsidRPr="00F6055C">
              <w:rPr>
                <w:rFonts w:ascii="Arial" w:hAnsi="Arial" w:cs="Arial"/>
              </w:rPr>
              <w:t>(0.016)</w:t>
            </w:r>
          </w:p>
        </w:tc>
        <w:tc>
          <w:tcPr>
            <w:tcW w:w="1134" w:type="dxa"/>
            <w:tcBorders>
              <w:top w:val="single" w:sz="4" w:space="0" w:color="auto"/>
              <w:left w:val="single" w:sz="4" w:space="0" w:color="auto"/>
              <w:bottom w:val="single" w:sz="4" w:space="0" w:color="auto"/>
              <w:right w:val="single" w:sz="4" w:space="0" w:color="auto"/>
            </w:tcBorders>
          </w:tcPr>
          <w:p w14:paraId="77D598A9" w14:textId="77777777" w:rsidR="00C04FC1" w:rsidRPr="00F6055C" w:rsidRDefault="00C04FC1" w:rsidP="001D3E52">
            <w:pPr>
              <w:jc w:val="center"/>
              <w:rPr>
                <w:rFonts w:ascii="Arial" w:hAnsi="Arial" w:cs="Arial"/>
              </w:rPr>
            </w:pPr>
            <w:r w:rsidRPr="00F6055C">
              <w:rPr>
                <w:rFonts w:ascii="Arial" w:hAnsi="Arial" w:cs="Arial"/>
              </w:rPr>
              <w:t>-.046</w:t>
            </w:r>
          </w:p>
          <w:p w14:paraId="584E72B8" w14:textId="77777777" w:rsidR="00C04FC1" w:rsidRPr="00F6055C" w:rsidRDefault="00C04FC1" w:rsidP="001D3E52">
            <w:pPr>
              <w:jc w:val="center"/>
              <w:rPr>
                <w:rFonts w:ascii="Arial" w:hAnsi="Arial" w:cs="Arial"/>
              </w:rPr>
            </w:pPr>
            <w:r w:rsidRPr="00F6055C">
              <w:rPr>
                <w:rFonts w:ascii="Arial" w:hAnsi="Arial" w:cs="Arial"/>
              </w:rPr>
              <w:t>(0.373)</w:t>
            </w:r>
          </w:p>
        </w:tc>
        <w:tc>
          <w:tcPr>
            <w:tcW w:w="993" w:type="dxa"/>
            <w:tcBorders>
              <w:top w:val="single" w:sz="4" w:space="0" w:color="auto"/>
              <w:left w:val="single" w:sz="4" w:space="0" w:color="auto"/>
              <w:bottom w:val="single" w:sz="4" w:space="0" w:color="auto"/>
              <w:right w:val="single" w:sz="4" w:space="0" w:color="auto"/>
            </w:tcBorders>
          </w:tcPr>
          <w:p w14:paraId="5493E944" w14:textId="77777777" w:rsidR="00C04FC1" w:rsidRPr="00F6055C" w:rsidRDefault="00C04FC1" w:rsidP="001D3E52">
            <w:pPr>
              <w:jc w:val="center"/>
              <w:rPr>
                <w:rFonts w:ascii="Arial" w:hAnsi="Arial" w:cs="Arial"/>
              </w:rPr>
            </w:pPr>
            <w:r w:rsidRPr="00F6055C">
              <w:rPr>
                <w:rFonts w:ascii="Arial" w:hAnsi="Arial" w:cs="Arial"/>
              </w:rPr>
              <w:t>-.448**</w:t>
            </w:r>
          </w:p>
          <w:p w14:paraId="4968A92C" w14:textId="7DE8BEC9" w:rsidR="00C04FC1" w:rsidRPr="00F6055C" w:rsidRDefault="00C04FC1" w:rsidP="001D3E52">
            <w:pPr>
              <w:jc w:val="center"/>
              <w:rPr>
                <w:rFonts w:ascii="Arial" w:hAnsi="Arial" w:cs="Arial"/>
              </w:rPr>
            </w:pPr>
            <w:r w:rsidRPr="00F6055C">
              <w:rPr>
                <w:rFonts w:ascii="Arial" w:hAnsi="Arial" w:cs="Arial"/>
              </w:rPr>
              <w:t>(0.00</w:t>
            </w:r>
            <w:r w:rsidR="002B1CA7">
              <w:rPr>
                <w:rFonts w:ascii="Arial" w:hAnsi="Arial" w:cs="Arial"/>
              </w:rPr>
              <w:t>1</w:t>
            </w:r>
            <w:r w:rsidRPr="00F6055C">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tcPr>
          <w:p w14:paraId="4F2EE429" w14:textId="77777777" w:rsidR="00C04FC1" w:rsidRPr="00F6055C" w:rsidRDefault="00C04FC1" w:rsidP="001D3E52">
            <w:pPr>
              <w:jc w:val="center"/>
              <w:rPr>
                <w:rFonts w:ascii="Arial" w:hAnsi="Arial" w:cs="Arial"/>
              </w:rPr>
            </w:pPr>
            <w:r w:rsidRPr="00F6055C">
              <w:rPr>
                <w:rFonts w:ascii="Arial" w:hAnsi="Arial" w:cs="Arial"/>
              </w:rPr>
              <w:t>-.138**</w:t>
            </w:r>
          </w:p>
          <w:p w14:paraId="54F3D74E" w14:textId="77777777" w:rsidR="00C04FC1" w:rsidRPr="00F6055C" w:rsidRDefault="00C04FC1" w:rsidP="001D3E52">
            <w:pPr>
              <w:jc w:val="center"/>
              <w:rPr>
                <w:rFonts w:ascii="Arial" w:hAnsi="Arial" w:cs="Arial"/>
              </w:rPr>
            </w:pPr>
            <w:r w:rsidRPr="00F6055C">
              <w:rPr>
                <w:rFonts w:ascii="Arial" w:hAnsi="Arial" w:cs="Arial"/>
              </w:rPr>
              <w:t>(0.008)</w:t>
            </w:r>
          </w:p>
        </w:tc>
        <w:tc>
          <w:tcPr>
            <w:tcW w:w="884" w:type="dxa"/>
            <w:tcBorders>
              <w:top w:val="single" w:sz="4" w:space="0" w:color="auto"/>
              <w:left w:val="single" w:sz="4" w:space="0" w:color="auto"/>
              <w:bottom w:val="single" w:sz="4" w:space="0" w:color="auto"/>
              <w:right w:val="single" w:sz="4" w:space="0" w:color="auto"/>
            </w:tcBorders>
          </w:tcPr>
          <w:p w14:paraId="2997A015" w14:textId="77777777" w:rsidR="00C04FC1" w:rsidRPr="00F6055C" w:rsidRDefault="00C04FC1" w:rsidP="001D3E52">
            <w:pPr>
              <w:jc w:val="center"/>
              <w:rPr>
                <w:rFonts w:ascii="Arial" w:hAnsi="Arial" w:cs="Arial"/>
              </w:rPr>
            </w:pPr>
            <w:r w:rsidRPr="00F6055C">
              <w:rPr>
                <w:rFonts w:ascii="Arial" w:hAnsi="Arial" w:cs="Arial"/>
              </w:rPr>
              <w:t>-.010</w:t>
            </w:r>
          </w:p>
          <w:p w14:paraId="38E509D0" w14:textId="77777777" w:rsidR="00C04FC1" w:rsidRPr="00F6055C" w:rsidRDefault="00C04FC1" w:rsidP="001D3E52">
            <w:pPr>
              <w:jc w:val="center"/>
              <w:rPr>
                <w:rFonts w:ascii="Arial" w:hAnsi="Arial" w:cs="Arial"/>
              </w:rPr>
            </w:pPr>
            <w:r w:rsidRPr="00F6055C">
              <w:rPr>
                <w:rFonts w:ascii="Arial" w:hAnsi="Arial" w:cs="Arial"/>
              </w:rPr>
              <w:t>(0.842)</w:t>
            </w:r>
          </w:p>
        </w:tc>
      </w:tr>
      <w:tr w:rsidR="00C04FC1" w:rsidRPr="00F6055C" w14:paraId="69CA599A" w14:textId="77777777" w:rsidTr="001D3E52">
        <w:trPr>
          <w:cantSplit/>
          <w:trHeight w:val="359"/>
        </w:trPr>
        <w:tc>
          <w:tcPr>
            <w:tcW w:w="1668" w:type="dxa"/>
            <w:tcBorders>
              <w:top w:val="single" w:sz="4" w:space="0" w:color="auto"/>
              <w:left w:val="single" w:sz="4" w:space="0" w:color="auto"/>
              <w:bottom w:val="single" w:sz="4" w:space="0" w:color="auto"/>
              <w:right w:val="single" w:sz="4" w:space="0" w:color="auto"/>
            </w:tcBorders>
            <w:vAlign w:val="center"/>
          </w:tcPr>
          <w:p w14:paraId="7F004FB0" w14:textId="77777777" w:rsidR="00C04FC1" w:rsidRPr="00F9794D" w:rsidRDefault="00C04FC1" w:rsidP="001D3E52">
            <w:pPr>
              <w:rPr>
                <w:rFonts w:ascii="Arial" w:hAnsi="Arial" w:cs="Arial"/>
                <w:color w:val="000000"/>
                <w:sz w:val="14"/>
                <w:szCs w:val="14"/>
                <w:lang w:eastAsia="en-PH"/>
              </w:rPr>
            </w:pPr>
            <w:r w:rsidRPr="00F9794D">
              <w:rPr>
                <w:rFonts w:ascii="Arial" w:hAnsi="Arial" w:cs="Arial"/>
                <w:sz w:val="14"/>
                <w:szCs w:val="14"/>
              </w:rPr>
              <w:t>Relatedness-Thwarting Behaviors</w:t>
            </w:r>
          </w:p>
        </w:tc>
        <w:tc>
          <w:tcPr>
            <w:tcW w:w="992" w:type="dxa"/>
            <w:tcBorders>
              <w:top w:val="single" w:sz="4" w:space="0" w:color="auto"/>
              <w:left w:val="single" w:sz="4" w:space="0" w:color="auto"/>
              <w:bottom w:val="single" w:sz="4" w:space="0" w:color="auto"/>
              <w:right w:val="single" w:sz="4" w:space="0" w:color="auto"/>
            </w:tcBorders>
          </w:tcPr>
          <w:p w14:paraId="49FE0E58" w14:textId="77777777" w:rsidR="00C04FC1" w:rsidRPr="00F6055C" w:rsidRDefault="00C04FC1" w:rsidP="001D3E52">
            <w:pPr>
              <w:jc w:val="center"/>
              <w:rPr>
                <w:rFonts w:ascii="Arial" w:hAnsi="Arial" w:cs="Arial"/>
              </w:rPr>
            </w:pPr>
            <w:r w:rsidRPr="00F6055C">
              <w:rPr>
                <w:rFonts w:ascii="Arial" w:hAnsi="Arial" w:cs="Arial"/>
              </w:rPr>
              <w:t>.275**</w:t>
            </w:r>
          </w:p>
          <w:p w14:paraId="3279261A" w14:textId="29BA45FA" w:rsidR="00C04FC1" w:rsidRPr="00F6055C" w:rsidRDefault="00C04FC1" w:rsidP="001D3E52">
            <w:pPr>
              <w:jc w:val="center"/>
              <w:rPr>
                <w:rFonts w:ascii="Arial" w:hAnsi="Arial" w:cs="Arial"/>
              </w:rPr>
            </w:pPr>
            <w:r w:rsidRPr="00F6055C">
              <w:rPr>
                <w:rFonts w:ascii="Arial" w:hAnsi="Arial" w:cs="Arial"/>
              </w:rPr>
              <w:t>(0.00</w:t>
            </w:r>
            <w:r w:rsidR="002B1CA7">
              <w:rPr>
                <w:rFonts w:ascii="Arial" w:hAnsi="Arial" w:cs="Arial"/>
              </w:rPr>
              <w:t>1</w:t>
            </w:r>
            <w:r w:rsidRPr="00F6055C">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tcPr>
          <w:p w14:paraId="6CB78F01" w14:textId="77777777" w:rsidR="00C04FC1" w:rsidRPr="00F6055C" w:rsidRDefault="00C04FC1" w:rsidP="001D3E52">
            <w:pPr>
              <w:jc w:val="center"/>
              <w:rPr>
                <w:rFonts w:ascii="Arial" w:hAnsi="Arial" w:cs="Arial"/>
              </w:rPr>
            </w:pPr>
            <w:r w:rsidRPr="00F6055C">
              <w:rPr>
                <w:rFonts w:ascii="Arial" w:hAnsi="Arial" w:cs="Arial"/>
              </w:rPr>
              <w:t>.230**</w:t>
            </w:r>
          </w:p>
          <w:p w14:paraId="58F61837" w14:textId="32991A74" w:rsidR="00C04FC1" w:rsidRPr="00F6055C" w:rsidRDefault="00C04FC1" w:rsidP="001D3E52">
            <w:pPr>
              <w:jc w:val="center"/>
              <w:rPr>
                <w:rFonts w:ascii="Arial" w:hAnsi="Arial" w:cs="Arial"/>
              </w:rPr>
            </w:pPr>
            <w:r w:rsidRPr="00F6055C">
              <w:rPr>
                <w:rFonts w:ascii="Arial" w:hAnsi="Arial" w:cs="Arial"/>
              </w:rPr>
              <w:t>(0.00</w:t>
            </w:r>
            <w:r w:rsidR="002B1CA7">
              <w:rPr>
                <w:rFonts w:ascii="Arial" w:hAnsi="Arial" w:cs="Arial"/>
              </w:rPr>
              <w:t>1</w:t>
            </w:r>
            <w:r w:rsidRPr="00F6055C">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tcPr>
          <w:p w14:paraId="740BE3BF" w14:textId="77777777" w:rsidR="00C04FC1" w:rsidRPr="00F6055C" w:rsidRDefault="00C04FC1" w:rsidP="001D3E52">
            <w:pPr>
              <w:jc w:val="center"/>
              <w:rPr>
                <w:rFonts w:ascii="Arial" w:hAnsi="Arial" w:cs="Arial"/>
              </w:rPr>
            </w:pPr>
            <w:r w:rsidRPr="00F6055C">
              <w:rPr>
                <w:rFonts w:ascii="Arial" w:hAnsi="Arial" w:cs="Arial"/>
              </w:rPr>
              <w:t>.191**</w:t>
            </w:r>
          </w:p>
          <w:p w14:paraId="072D1A90" w14:textId="1954937F" w:rsidR="00C04FC1" w:rsidRPr="00F6055C" w:rsidRDefault="00C04FC1" w:rsidP="001D3E52">
            <w:pPr>
              <w:jc w:val="center"/>
              <w:rPr>
                <w:rFonts w:ascii="Arial" w:hAnsi="Arial" w:cs="Arial"/>
              </w:rPr>
            </w:pPr>
            <w:r w:rsidRPr="00F6055C">
              <w:rPr>
                <w:rFonts w:ascii="Arial" w:hAnsi="Arial" w:cs="Arial"/>
              </w:rPr>
              <w:t>(0.00</w:t>
            </w:r>
            <w:r w:rsidR="002B1CA7">
              <w:rPr>
                <w:rFonts w:ascii="Arial" w:hAnsi="Arial" w:cs="Arial"/>
              </w:rPr>
              <w:t>1</w:t>
            </w:r>
            <w:r w:rsidRPr="00F6055C">
              <w:rPr>
                <w:rFonts w:ascii="Arial" w:hAnsi="Arial" w:cs="Arial"/>
              </w:rPr>
              <w:t>)</w:t>
            </w:r>
          </w:p>
        </w:tc>
        <w:tc>
          <w:tcPr>
            <w:tcW w:w="1134" w:type="dxa"/>
            <w:tcBorders>
              <w:top w:val="single" w:sz="4" w:space="0" w:color="auto"/>
              <w:left w:val="single" w:sz="4" w:space="0" w:color="auto"/>
              <w:bottom w:val="single" w:sz="4" w:space="0" w:color="auto"/>
              <w:right w:val="single" w:sz="4" w:space="0" w:color="auto"/>
            </w:tcBorders>
          </w:tcPr>
          <w:p w14:paraId="6860C9AC" w14:textId="77777777" w:rsidR="00C04FC1" w:rsidRPr="00F6055C" w:rsidRDefault="00C04FC1" w:rsidP="001D3E52">
            <w:pPr>
              <w:jc w:val="center"/>
              <w:rPr>
                <w:rFonts w:ascii="Arial" w:hAnsi="Arial" w:cs="Arial"/>
              </w:rPr>
            </w:pPr>
            <w:r w:rsidRPr="00F6055C">
              <w:rPr>
                <w:rFonts w:ascii="Arial" w:hAnsi="Arial" w:cs="Arial"/>
              </w:rPr>
              <w:t>.049</w:t>
            </w:r>
          </w:p>
          <w:p w14:paraId="6425B0A3" w14:textId="77777777" w:rsidR="00C04FC1" w:rsidRPr="00F6055C" w:rsidRDefault="00C04FC1" w:rsidP="001D3E52">
            <w:pPr>
              <w:jc w:val="center"/>
              <w:rPr>
                <w:rFonts w:ascii="Arial" w:hAnsi="Arial" w:cs="Arial"/>
              </w:rPr>
            </w:pPr>
            <w:r w:rsidRPr="00F6055C">
              <w:rPr>
                <w:rFonts w:ascii="Arial" w:hAnsi="Arial" w:cs="Arial"/>
              </w:rPr>
              <w:t>(0.350)</w:t>
            </w:r>
          </w:p>
        </w:tc>
        <w:tc>
          <w:tcPr>
            <w:tcW w:w="993" w:type="dxa"/>
            <w:tcBorders>
              <w:top w:val="single" w:sz="4" w:space="0" w:color="auto"/>
              <w:left w:val="single" w:sz="4" w:space="0" w:color="auto"/>
              <w:bottom w:val="single" w:sz="4" w:space="0" w:color="auto"/>
              <w:right w:val="single" w:sz="4" w:space="0" w:color="auto"/>
            </w:tcBorders>
          </w:tcPr>
          <w:p w14:paraId="14F63F4D" w14:textId="77777777" w:rsidR="00C04FC1" w:rsidRPr="00F6055C" w:rsidRDefault="00C04FC1" w:rsidP="001D3E52">
            <w:pPr>
              <w:jc w:val="center"/>
              <w:rPr>
                <w:rFonts w:ascii="Arial" w:hAnsi="Arial" w:cs="Arial"/>
              </w:rPr>
            </w:pPr>
            <w:r w:rsidRPr="00F6055C">
              <w:rPr>
                <w:rFonts w:ascii="Arial" w:hAnsi="Arial" w:cs="Arial"/>
              </w:rPr>
              <w:t>-.396**</w:t>
            </w:r>
          </w:p>
          <w:p w14:paraId="45E71788" w14:textId="30218741" w:rsidR="00C04FC1" w:rsidRPr="00F6055C" w:rsidRDefault="00C04FC1" w:rsidP="001D3E52">
            <w:pPr>
              <w:jc w:val="center"/>
              <w:rPr>
                <w:rFonts w:ascii="Arial" w:hAnsi="Arial" w:cs="Arial"/>
              </w:rPr>
            </w:pPr>
            <w:r w:rsidRPr="00F6055C">
              <w:rPr>
                <w:rFonts w:ascii="Arial" w:hAnsi="Arial" w:cs="Arial"/>
              </w:rPr>
              <w:t>(0.00</w:t>
            </w:r>
            <w:r w:rsidR="002B1CA7">
              <w:rPr>
                <w:rFonts w:ascii="Arial" w:hAnsi="Arial" w:cs="Arial"/>
              </w:rPr>
              <w:t>1</w:t>
            </w:r>
            <w:r w:rsidRPr="00F6055C">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tcPr>
          <w:p w14:paraId="4D7E9CD7" w14:textId="77777777" w:rsidR="00C04FC1" w:rsidRPr="00F6055C" w:rsidRDefault="00C04FC1" w:rsidP="001D3E52">
            <w:pPr>
              <w:jc w:val="center"/>
              <w:rPr>
                <w:rFonts w:ascii="Arial" w:hAnsi="Arial" w:cs="Arial"/>
              </w:rPr>
            </w:pPr>
            <w:r w:rsidRPr="00F6055C">
              <w:rPr>
                <w:rFonts w:ascii="Arial" w:hAnsi="Arial" w:cs="Arial"/>
              </w:rPr>
              <w:t>-.015</w:t>
            </w:r>
          </w:p>
          <w:p w14:paraId="0D53B52E" w14:textId="77777777" w:rsidR="00C04FC1" w:rsidRPr="00F6055C" w:rsidRDefault="00C04FC1" w:rsidP="001D3E52">
            <w:pPr>
              <w:jc w:val="center"/>
              <w:rPr>
                <w:rFonts w:ascii="Arial" w:hAnsi="Arial" w:cs="Arial"/>
              </w:rPr>
            </w:pPr>
            <w:r w:rsidRPr="00F6055C">
              <w:rPr>
                <w:rFonts w:ascii="Arial" w:hAnsi="Arial" w:cs="Arial"/>
              </w:rPr>
              <w:t>(0.781)</w:t>
            </w:r>
          </w:p>
        </w:tc>
        <w:tc>
          <w:tcPr>
            <w:tcW w:w="884" w:type="dxa"/>
            <w:tcBorders>
              <w:top w:val="single" w:sz="4" w:space="0" w:color="auto"/>
              <w:left w:val="single" w:sz="4" w:space="0" w:color="auto"/>
              <w:bottom w:val="single" w:sz="4" w:space="0" w:color="auto"/>
              <w:right w:val="single" w:sz="4" w:space="0" w:color="auto"/>
            </w:tcBorders>
          </w:tcPr>
          <w:p w14:paraId="5F5A6DB7" w14:textId="77777777" w:rsidR="00C04FC1" w:rsidRPr="00F6055C" w:rsidRDefault="00C04FC1" w:rsidP="001D3E52">
            <w:pPr>
              <w:jc w:val="center"/>
              <w:rPr>
                <w:rFonts w:ascii="Arial" w:hAnsi="Arial" w:cs="Arial"/>
              </w:rPr>
            </w:pPr>
            <w:r w:rsidRPr="00F6055C">
              <w:rPr>
                <w:rFonts w:ascii="Arial" w:hAnsi="Arial" w:cs="Arial"/>
              </w:rPr>
              <w:t>.172**</w:t>
            </w:r>
          </w:p>
          <w:p w14:paraId="2B2FF4AD" w14:textId="101FD4CD" w:rsidR="00C04FC1" w:rsidRPr="00F6055C" w:rsidRDefault="00C04FC1" w:rsidP="001D3E52">
            <w:pPr>
              <w:jc w:val="center"/>
              <w:rPr>
                <w:rFonts w:ascii="Arial" w:hAnsi="Arial" w:cs="Arial"/>
              </w:rPr>
            </w:pPr>
            <w:r w:rsidRPr="00F6055C">
              <w:rPr>
                <w:rFonts w:ascii="Arial" w:hAnsi="Arial" w:cs="Arial"/>
              </w:rPr>
              <w:t>(0.00</w:t>
            </w:r>
            <w:r w:rsidR="002B1CA7">
              <w:rPr>
                <w:rFonts w:ascii="Arial" w:hAnsi="Arial" w:cs="Arial"/>
              </w:rPr>
              <w:t>1</w:t>
            </w:r>
            <w:r w:rsidRPr="00F6055C">
              <w:rPr>
                <w:rFonts w:ascii="Arial" w:hAnsi="Arial" w:cs="Arial"/>
              </w:rPr>
              <w:t>)</w:t>
            </w:r>
          </w:p>
        </w:tc>
      </w:tr>
      <w:tr w:rsidR="00C04FC1" w:rsidRPr="00F6055C" w14:paraId="5F1AD038" w14:textId="77777777" w:rsidTr="00C04FC1">
        <w:trPr>
          <w:cantSplit/>
          <w:trHeight w:val="277"/>
        </w:trPr>
        <w:tc>
          <w:tcPr>
            <w:tcW w:w="1668" w:type="dxa"/>
            <w:tcBorders>
              <w:top w:val="single" w:sz="4" w:space="0" w:color="auto"/>
              <w:left w:val="single" w:sz="4" w:space="0" w:color="auto"/>
              <w:bottom w:val="single" w:sz="4" w:space="0" w:color="auto"/>
              <w:right w:val="single" w:sz="4" w:space="0" w:color="auto"/>
            </w:tcBorders>
            <w:vAlign w:val="center"/>
            <w:hideMark/>
          </w:tcPr>
          <w:p w14:paraId="12DC5119" w14:textId="77777777" w:rsidR="00C04FC1" w:rsidRPr="00F6055C" w:rsidRDefault="00C04FC1" w:rsidP="00C04FC1">
            <w:pPr>
              <w:jc w:val="center"/>
              <w:rPr>
                <w:rFonts w:ascii="Arial" w:hAnsi="Arial" w:cs="Arial"/>
                <w:b/>
                <w:bCs/>
                <w:color w:val="000000"/>
                <w:lang w:eastAsia="en-PH"/>
              </w:rPr>
            </w:pPr>
            <w:r w:rsidRPr="00F6055C">
              <w:rPr>
                <w:rFonts w:ascii="Arial" w:hAnsi="Arial" w:cs="Arial"/>
                <w:b/>
                <w:bCs/>
                <w:color w:val="000000"/>
                <w:lang w:eastAsia="en-PH"/>
              </w:rPr>
              <w:t>Overall</w:t>
            </w:r>
          </w:p>
        </w:tc>
        <w:tc>
          <w:tcPr>
            <w:tcW w:w="992" w:type="dxa"/>
            <w:tcBorders>
              <w:top w:val="single" w:sz="4" w:space="0" w:color="auto"/>
              <w:left w:val="single" w:sz="4" w:space="0" w:color="auto"/>
              <w:bottom w:val="single" w:sz="4" w:space="0" w:color="auto"/>
              <w:right w:val="single" w:sz="4" w:space="0" w:color="auto"/>
            </w:tcBorders>
          </w:tcPr>
          <w:p w14:paraId="799EF572" w14:textId="77777777" w:rsidR="00C04FC1" w:rsidRDefault="00C04FC1" w:rsidP="001D3E52">
            <w:pPr>
              <w:jc w:val="center"/>
              <w:rPr>
                <w:rFonts w:ascii="Arial" w:hAnsi="Arial" w:cs="Arial"/>
              </w:rPr>
            </w:pPr>
            <w:r w:rsidRPr="00F6055C">
              <w:rPr>
                <w:rFonts w:ascii="Arial" w:hAnsi="Arial" w:cs="Arial"/>
              </w:rPr>
              <w:t>.450**</w:t>
            </w:r>
          </w:p>
          <w:p w14:paraId="291FF1FE" w14:textId="3F241CEB" w:rsidR="00C04FC1" w:rsidRPr="00F6055C" w:rsidRDefault="00C04FC1" w:rsidP="001D3E52">
            <w:pPr>
              <w:jc w:val="center"/>
              <w:rPr>
                <w:rFonts w:ascii="Arial" w:hAnsi="Arial" w:cs="Arial"/>
                <w:color w:val="000000"/>
                <w:lang w:eastAsia="en-PH"/>
              </w:rPr>
            </w:pPr>
            <w:r w:rsidRPr="00F6055C">
              <w:rPr>
                <w:rFonts w:ascii="Arial" w:hAnsi="Arial" w:cs="Arial"/>
              </w:rPr>
              <w:t>(0.00</w:t>
            </w:r>
            <w:r w:rsidR="002B1CA7">
              <w:rPr>
                <w:rFonts w:ascii="Arial" w:hAnsi="Arial" w:cs="Arial"/>
              </w:rPr>
              <w:t>1</w:t>
            </w:r>
            <w:r w:rsidRPr="00F6055C">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tcPr>
          <w:p w14:paraId="2E52285A" w14:textId="77777777" w:rsidR="00C04FC1" w:rsidRDefault="00C04FC1" w:rsidP="001D3E52">
            <w:pPr>
              <w:jc w:val="center"/>
              <w:rPr>
                <w:rFonts w:ascii="Arial" w:hAnsi="Arial" w:cs="Arial"/>
              </w:rPr>
            </w:pPr>
            <w:r w:rsidRPr="00F6055C">
              <w:rPr>
                <w:rFonts w:ascii="Arial" w:hAnsi="Arial" w:cs="Arial"/>
              </w:rPr>
              <w:t>.372**</w:t>
            </w:r>
          </w:p>
          <w:p w14:paraId="499362CE" w14:textId="3BBB6D73" w:rsidR="00C04FC1" w:rsidRPr="00F6055C" w:rsidRDefault="00C04FC1" w:rsidP="001D3E52">
            <w:pPr>
              <w:jc w:val="center"/>
              <w:rPr>
                <w:rFonts w:ascii="Arial" w:hAnsi="Arial" w:cs="Arial"/>
                <w:color w:val="000000"/>
                <w:lang w:eastAsia="en-PH"/>
              </w:rPr>
            </w:pPr>
            <w:r w:rsidRPr="00F6055C">
              <w:rPr>
                <w:rFonts w:ascii="Arial" w:hAnsi="Arial" w:cs="Arial"/>
              </w:rPr>
              <w:t>(0.00</w:t>
            </w:r>
            <w:r w:rsidR="002B1CA7">
              <w:rPr>
                <w:rFonts w:ascii="Arial" w:hAnsi="Arial" w:cs="Arial"/>
              </w:rPr>
              <w:t>1</w:t>
            </w:r>
            <w:r w:rsidRPr="00F6055C">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tcPr>
          <w:p w14:paraId="1D898653" w14:textId="77777777" w:rsidR="00C04FC1" w:rsidRDefault="00C04FC1" w:rsidP="001D3E52">
            <w:pPr>
              <w:jc w:val="center"/>
              <w:rPr>
                <w:rFonts w:ascii="Arial" w:hAnsi="Arial" w:cs="Arial"/>
              </w:rPr>
            </w:pPr>
            <w:r w:rsidRPr="00F6055C">
              <w:rPr>
                <w:rFonts w:ascii="Arial" w:hAnsi="Arial" w:cs="Arial"/>
              </w:rPr>
              <w:t>.374**</w:t>
            </w:r>
          </w:p>
          <w:p w14:paraId="36426841" w14:textId="0236D314" w:rsidR="00C04FC1" w:rsidRPr="00F6055C" w:rsidRDefault="00C04FC1" w:rsidP="001D3E52">
            <w:pPr>
              <w:jc w:val="center"/>
              <w:rPr>
                <w:rFonts w:ascii="Arial" w:hAnsi="Arial" w:cs="Arial"/>
                <w:color w:val="000000"/>
                <w:lang w:eastAsia="en-PH"/>
              </w:rPr>
            </w:pPr>
            <w:r w:rsidRPr="00F6055C">
              <w:rPr>
                <w:rFonts w:ascii="Arial" w:hAnsi="Arial" w:cs="Arial"/>
              </w:rPr>
              <w:t>(0.00</w:t>
            </w:r>
            <w:r w:rsidR="002B1CA7">
              <w:rPr>
                <w:rFonts w:ascii="Arial" w:hAnsi="Arial" w:cs="Arial"/>
              </w:rPr>
              <w:t>1</w:t>
            </w:r>
            <w:r w:rsidRPr="00F6055C">
              <w:rPr>
                <w:rFonts w:ascii="Arial" w:hAnsi="Arial" w:cs="Arial"/>
              </w:rPr>
              <w:t>)</w:t>
            </w:r>
          </w:p>
        </w:tc>
        <w:tc>
          <w:tcPr>
            <w:tcW w:w="1134" w:type="dxa"/>
            <w:tcBorders>
              <w:top w:val="single" w:sz="4" w:space="0" w:color="auto"/>
              <w:left w:val="single" w:sz="4" w:space="0" w:color="auto"/>
              <w:bottom w:val="single" w:sz="4" w:space="0" w:color="auto"/>
              <w:right w:val="single" w:sz="4" w:space="0" w:color="auto"/>
            </w:tcBorders>
            <w:hideMark/>
          </w:tcPr>
          <w:p w14:paraId="1C98AB2D" w14:textId="77777777" w:rsidR="00C04FC1" w:rsidRDefault="00C04FC1" w:rsidP="001D3E52">
            <w:pPr>
              <w:jc w:val="center"/>
              <w:rPr>
                <w:rFonts w:ascii="Arial" w:hAnsi="Arial" w:cs="Arial"/>
              </w:rPr>
            </w:pPr>
            <w:r w:rsidRPr="00F6055C">
              <w:rPr>
                <w:rFonts w:ascii="Arial" w:hAnsi="Arial" w:cs="Arial"/>
              </w:rPr>
              <w:t>.186**</w:t>
            </w:r>
          </w:p>
          <w:p w14:paraId="2CA66346" w14:textId="679765A5" w:rsidR="00C04FC1" w:rsidRPr="00F6055C" w:rsidRDefault="00C04FC1" w:rsidP="001D3E52">
            <w:pPr>
              <w:jc w:val="center"/>
              <w:rPr>
                <w:rFonts w:ascii="Arial" w:hAnsi="Arial" w:cs="Arial"/>
                <w:color w:val="000000"/>
                <w:lang w:eastAsia="en-PH"/>
              </w:rPr>
            </w:pPr>
            <w:r w:rsidRPr="00F6055C">
              <w:rPr>
                <w:rFonts w:ascii="Arial" w:hAnsi="Arial" w:cs="Arial"/>
              </w:rPr>
              <w:t>(0.00</w:t>
            </w:r>
            <w:r w:rsidR="002B1CA7">
              <w:rPr>
                <w:rFonts w:ascii="Arial" w:hAnsi="Arial" w:cs="Arial"/>
              </w:rPr>
              <w:t>1</w:t>
            </w:r>
            <w:r w:rsidRPr="00F6055C">
              <w:rPr>
                <w:rFonts w:ascii="Arial" w:hAnsi="Arial" w:cs="Arial"/>
              </w:rPr>
              <w:t>)</w:t>
            </w:r>
          </w:p>
        </w:tc>
        <w:tc>
          <w:tcPr>
            <w:tcW w:w="993" w:type="dxa"/>
            <w:tcBorders>
              <w:top w:val="single" w:sz="4" w:space="0" w:color="auto"/>
              <w:left w:val="single" w:sz="4" w:space="0" w:color="auto"/>
              <w:bottom w:val="single" w:sz="4" w:space="0" w:color="auto"/>
              <w:right w:val="single" w:sz="4" w:space="0" w:color="auto"/>
            </w:tcBorders>
          </w:tcPr>
          <w:p w14:paraId="1389C1B2" w14:textId="77777777" w:rsidR="00C04FC1" w:rsidRDefault="00C04FC1" w:rsidP="001D3E52">
            <w:pPr>
              <w:jc w:val="center"/>
              <w:rPr>
                <w:rFonts w:ascii="Arial" w:hAnsi="Arial" w:cs="Arial"/>
              </w:rPr>
            </w:pPr>
            <w:r w:rsidRPr="00F6055C">
              <w:rPr>
                <w:rFonts w:ascii="Arial" w:hAnsi="Arial" w:cs="Arial"/>
              </w:rPr>
              <w:t>-.041</w:t>
            </w:r>
          </w:p>
          <w:p w14:paraId="063B5038" w14:textId="2E2D2830" w:rsidR="00C04FC1" w:rsidRPr="00F6055C" w:rsidRDefault="00C04FC1" w:rsidP="001D3E52">
            <w:pPr>
              <w:jc w:val="center"/>
              <w:rPr>
                <w:rFonts w:ascii="Arial" w:hAnsi="Arial" w:cs="Arial"/>
              </w:rPr>
            </w:pPr>
            <w:r>
              <w:rPr>
                <w:rFonts w:ascii="Arial" w:hAnsi="Arial" w:cs="Arial"/>
              </w:rPr>
              <w:t>(0.437)</w:t>
            </w:r>
          </w:p>
        </w:tc>
        <w:tc>
          <w:tcPr>
            <w:tcW w:w="992" w:type="dxa"/>
            <w:tcBorders>
              <w:top w:val="single" w:sz="4" w:space="0" w:color="auto"/>
              <w:left w:val="single" w:sz="4" w:space="0" w:color="auto"/>
              <w:bottom w:val="single" w:sz="4" w:space="0" w:color="auto"/>
              <w:right w:val="single" w:sz="4" w:space="0" w:color="auto"/>
            </w:tcBorders>
            <w:hideMark/>
          </w:tcPr>
          <w:p w14:paraId="587439B1" w14:textId="77777777" w:rsidR="00C04FC1" w:rsidRDefault="00C04FC1" w:rsidP="001D3E52">
            <w:pPr>
              <w:jc w:val="center"/>
              <w:rPr>
                <w:rFonts w:ascii="Arial" w:hAnsi="Arial" w:cs="Arial"/>
              </w:rPr>
            </w:pPr>
            <w:r w:rsidRPr="00F6055C">
              <w:rPr>
                <w:rFonts w:ascii="Arial" w:hAnsi="Arial" w:cs="Arial"/>
              </w:rPr>
              <w:t>.156**</w:t>
            </w:r>
          </w:p>
          <w:p w14:paraId="2C813B61" w14:textId="042668B8" w:rsidR="00C04FC1" w:rsidRPr="00F6055C" w:rsidRDefault="00C04FC1" w:rsidP="001D3E52">
            <w:pPr>
              <w:jc w:val="center"/>
              <w:rPr>
                <w:rFonts w:ascii="Arial" w:hAnsi="Arial" w:cs="Arial"/>
                <w:color w:val="000000"/>
                <w:lang w:eastAsia="en-PH"/>
              </w:rPr>
            </w:pPr>
            <w:r>
              <w:rPr>
                <w:rFonts w:ascii="Arial" w:hAnsi="Arial" w:cs="Arial"/>
              </w:rPr>
              <w:t>(0.003)</w:t>
            </w:r>
          </w:p>
        </w:tc>
        <w:tc>
          <w:tcPr>
            <w:tcW w:w="884" w:type="dxa"/>
            <w:tcBorders>
              <w:top w:val="single" w:sz="4" w:space="0" w:color="auto"/>
              <w:left w:val="single" w:sz="4" w:space="0" w:color="auto"/>
              <w:bottom w:val="single" w:sz="4" w:space="0" w:color="auto"/>
              <w:right w:val="single" w:sz="4" w:space="0" w:color="auto"/>
            </w:tcBorders>
            <w:hideMark/>
          </w:tcPr>
          <w:p w14:paraId="26A418C0" w14:textId="77777777" w:rsidR="00C04FC1" w:rsidRDefault="00C04FC1" w:rsidP="001D3E52">
            <w:pPr>
              <w:jc w:val="center"/>
              <w:rPr>
                <w:rFonts w:ascii="Arial" w:hAnsi="Arial" w:cs="Arial"/>
                <w:b/>
                <w:bCs/>
              </w:rPr>
            </w:pPr>
            <w:r w:rsidRPr="00F6055C">
              <w:rPr>
                <w:rFonts w:ascii="Arial" w:hAnsi="Arial" w:cs="Arial"/>
                <w:b/>
                <w:bCs/>
              </w:rPr>
              <w:t>.406**</w:t>
            </w:r>
          </w:p>
          <w:p w14:paraId="74CFB334" w14:textId="051D1F46" w:rsidR="00C04FC1" w:rsidRPr="00F6055C" w:rsidRDefault="00C04FC1" w:rsidP="001D3E52">
            <w:pPr>
              <w:jc w:val="center"/>
              <w:rPr>
                <w:rFonts w:ascii="Arial" w:hAnsi="Arial" w:cs="Arial"/>
                <w:b/>
                <w:bCs/>
                <w:color w:val="000000"/>
                <w:lang w:eastAsia="en-PH"/>
              </w:rPr>
            </w:pPr>
            <w:r>
              <w:rPr>
                <w:rFonts w:ascii="Arial" w:hAnsi="Arial" w:cs="Arial"/>
                <w:b/>
                <w:bCs/>
              </w:rPr>
              <w:t>(0.00</w:t>
            </w:r>
            <w:r w:rsidR="002B1CA7">
              <w:rPr>
                <w:rFonts w:ascii="Arial" w:hAnsi="Arial" w:cs="Arial"/>
                <w:b/>
                <w:bCs/>
              </w:rPr>
              <w:t>1</w:t>
            </w:r>
            <w:r>
              <w:rPr>
                <w:rFonts w:ascii="Arial" w:hAnsi="Arial" w:cs="Arial"/>
                <w:b/>
                <w:bCs/>
              </w:rPr>
              <w:t>)</w:t>
            </w:r>
          </w:p>
        </w:tc>
      </w:tr>
    </w:tbl>
    <w:p w14:paraId="37F70DDE" w14:textId="77777777" w:rsidR="00C04FC1" w:rsidRPr="000248C7" w:rsidRDefault="00C04FC1" w:rsidP="00C04FC1">
      <w:pPr>
        <w:pStyle w:val="Default"/>
        <w:jc w:val="both"/>
        <w:rPr>
          <w:rFonts w:ascii="Arial" w:eastAsia="TimesNewRomanPSMT" w:hAnsi="Arial" w:cs="Arial"/>
          <w:color w:val="auto"/>
          <w:sz w:val="14"/>
          <w:szCs w:val="14"/>
          <w:lang w:eastAsia="zh-CN" w:bidi="ar"/>
        </w:rPr>
      </w:pPr>
      <w:r w:rsidRPr="000248C7">
        <w:rPr>
          <w:rFonts w:ascii="Arial" w:eastAsia="TimesNewRomanPSMT" w:hAnsi="Arial" w:cs="Arial"/>
          <w:color w:val="auto"/>
          <w:sz w:val="14"/>
          <w:szCs w:val="14"/>
          <w:lang w:eastAsia="zh-CN" w:bidi="ar"/>
        </w:rPr>
        <w:t>*Significant at 0.05 significance level</w:t>
      </w:r>
    </w:p>
    <w:p w14:paraId="1BDBC7D4" w14:textId="77777777" w:rsidR="00C04FC1" w:rsidRPr="000233EC" w:rsidRDefault="00C04FC1" w:rsidP="00C04FC1">
      <w:pPr>
        <w:pStyle w:val="Default"/>
        <w:jc w:val="both"/>
        <w:rPr>
          <w:rFonts w:ascii="Arial" w:eastAsia="TimesNewRomanPSMT" w:hAnsi="Arial" w:cs="Arial"/>
          <w:color w:val="auto"/>
          <w:sz w:val="16"/>
          <w:szCs w:val="16"/>
          <w:lang w:eastAsia="zh-CN" w:bidi="ar"/>
        </w:rPr>
      </w:pPr>
      <w:r w:rsidRPr="000248C7">
        <w:rPr>
          <w:rFonts w:ascii="Arial" w:eastAsia="TimesNewRomanPSMT" w:hAnsi="Arial" w:cs="Arial"/>
          <w:color w:val="auto"/>
          <w:sz w:val="14"/>
          <w:szCs w:val="14"/>
          <w:lang w:eastAsia="zh-CN" w:bidi="ar"/>
        </w:rPr>
        <w:t>**Significant at 0.01 significance level</w:t>
      </w:r>
    </w:p>
    <w:bookmarkEnd w:id="3"/>
    <w:p w14:paraId="1BFF1380" w14:textId="5F9D1968" w:rsidR="007A5143" w:rsidRPr="007A5143" w:rsidRDefault="007A5143" w:rsidP="00C04FC1">
      <w:pPr>
        <w:pStyle w:val="Body"/>
        <w:spacing w:after="0"/>
        <w:rPr>
          <w:rFonts w:ascii="Arial" w:hAnsi="Arial" w:cs="Arial"/>
        </w:rPr>
      </w:pPr>
      <w:r w:rsidRPr="007A5143">
        <w:rPr>
          <w:rFonts w:ascii="Arial" w:hAnsi="Arial" w:cs="Arial"/>
        </w:rPr>
        <w:tab/>
      </w:r>
    </w:p>
    <w:p w14:paraId="239BDCAF" w14:textId="77777777" w:rsidR="007A5143" w:rsidRPr="007A5143" w:rsidRDefault="007A5143" w:rsidP="007A5143">
      <w:pPr>
        <w:pStyle w:val="Body"/>
        <w:spacing w:after="0"/>
        <w:ind w:firstLine="720"/>
        <w:rPr>
          <w:rFonts w:ascii="Arial" w:hAnsi="Arial" w:cs="Arial"/>
        </w:rPr>
      </w:pPr>
      <w:r w:rsidRPr="007A5143">
        <w:rPr>
          <w:rFonts w:ascii="Arial" w:hAnsi="Arial" w:cs="Arial"/>
        </w:rPr>
        <w:t>The findings imply that supportive teacher interpersonal behaviors are positively linked to students’ situational interest in PE, particularly in areas such as total interest, enjoyment, and exploration, while thwarting behaviors are generally associated with reduced levels of perceived challenge and novelty. This outcome aligned with the findings of Tian and Shen (2023), which posits that teachers’ interpersonal behavior significantly influences students’ situational interest in PE. When teachers support autonomy, competence, and relatedness, they create an environment where students are more likely to find lessons interesting and engaging. Conversely, controlling or neglectful behaviors undermine situational interest by thwarting these needs.</w:t>
      </w:r>
    </w:p>
    <w:p w14:paraId="2D6DEE7B" w14:textId="77777777" w:rsidR="007A5143" w:rsidRPr="007A5143" w:rsidRDefault="007A5143" w:rsidP="007A5143">
      <w:pPr>
        <w:pStyle w:val="Body"/>
        <w:spacing w:after="0"/>
        <w:ind w:firstLine="720"/>
        <w:rPr>
          <w:rFonts w:ascii="Arial" w:hAnsi="Arial" w:cs="Arial"/>
        </w:rPr>
      </w:pPr>
      <w:r w:rsidRPr="007A5143">
        <w:rPr>
          <w:rFonts w:ascii="Arial" w:hAnsi="Arial" w:cs="Arial"/>
        </w:rPr>
        <w:t xml:space="preserve">Moreover, </w:t>
      </w:r>
      <w:proofErr w:type="spellStart"/>
      <w:r w:rsidRPr="007A5143">
        <w:rPr>
          <w:rFonts w:ascii="Arial" w:hAnsi="Arial" w:cs="Arial"/>
        </w:rPr>
        <w:t>Lentillon-Kaestner</w:t>
      </w:r>
      <w:proofErr w:type="spellEnd"/>
      <w:r w:rsidRPr="007A5143">
        <w:rPr>
          <w:rFonts w:ascii="Arial" w:hAnsi="Arial" w:cs="Arial"/>
        </w:rPr>
        <w:t xml:space="preserve"> and </w:t>
      </w:r>
      <w:proofErr w:type="spellStart"/>
      <w:r w:rsidRPr="007A5143">
        <w:rPr>
          <w:rFonts w:ascii="Arial" w:hAnsi="Arial" w:cs="Arial"/>
        </w:rPr>
        <w:t>Roure</w:t>
      </w:r>
      <w:proofErr w:type="spellEnd"/>
      <w:r w:rsidRPr="007A5143">
        <w:rPr>
          <w:rFonts w:ascii="Arial" w:hAnsi="Arial" w:cs="Arial"/>
        </w:rPr>
        <w:t xml:space="preserve"> (2024) mentioned that by allowing self-selected dyads and promoting autonomy-supportive strategies, teachers created an environment that enhanced students’ perceived relatedness and competence, both of which were positively associated with higher situational interest. This suggests that when teachers adopt interpersonal behaviors that support autonomy and encourage meaningful peer interaction, they indirectly foster situational interest by satisfying students’ basic psychological needs, reinforcing the importance of teacher interpersonal style in engaging students during PE.</w:t>
      </w:r>
    </w:p>
    <w:p w14:paraId="6D62B468" w14:textId="77777777" w:rsidR="007A5143" w:rsidRPr="007A5143" w:rsidRDefault="007A5143" w:rsidP="007A5143">
      <w:pPr>
        <w:pStyle w:val="Body"/>
        <w:spacing w:after="0"/>
        <w:rPr>
          <w:rFonts w:ascii="Arial" w:hAnsi="Arial" w:cs="Arial"/>
        </w:rPr>
      </w:pPr>
    </w:p>
    <w:p w14:paraId="7EAFDDCF" w14:textId="44E98A07" w:rsidR="007A5143" w:rsidRPr="007A5143" w:rsidRDefault="007A5143" w:rsidP="007A5143">
      <w:pPr>
        <w:pStyle w:val="Body"/>
        <w:spacing w:after="0"/>
        <w:rPr>
          <w:rFonts w:ascii="Arial" w:hAnsi="Arial" w:cs="Arial"/>
          <w:b/>
          <w:bCs/>
        </w:rPr>
      </w:pPr>
      <w:r>
        <w:rPr>
          <w:rFonts w:ascii="Arial" w:hAnsi="Arial" w:cs="Arial"/>
          <w:b/>
          <w:bCs/>
        </w:rPr>
        <w:t xml:space="preserve">3.5 </w:t>
      </w:r>
      <w:r w:rsidRPr="007A5143">
        <w:rPr>
          <w:rFonts w:ascii="Arial" w:hAnsi="Arial" w:cs="Arial"/>
          <w:b/>
          <w:bCs/>
        </w:rPr>
        <w:t>Relationship between Physical Self-Perception and Student Situational Interest in PE</w:t>
      </w:r>
    </w:p>
    <w:p w14:paraId="3BDD3AEC" w14:textId="440E08CC" w:rsidR="007A5143" w:rsidRDefault="007A5143" w:rsidP="005C01D5">
      <w:pPr>
        <w:pStyle w:val="Body"/>
        <w:spacing w:after="0"/>
        <w:ind w:firstLine="720"/>
        <w:rPr>
          <w:rFonts w:ascii="Arial" w:hAnsi="Arial" w:cs="Arial"/>
        </w:rPr>
      </w:pPr>
      <w:r w:rsidRPr="007A5143">
        <w:rPr>
          <w:rFonts w:ascii="Arial" w:hAnsi="Arial" w:cs="Arial"/>
        </w:rPr>
        <w:t xml:space="preserve">Table 5 illustrates the significance of the correlation between physical self-perception and students’ situational interest in PE. The results revealed an overall computed </w:t>
      </w:r>
      <w:proofErr w:type="spellStart"/>
      <w:r w:rsidRPr="007A5143">
        <w:rPr>
          <w:rFonts w:ascii="Arial" w:hAnsi="Arial" w:cs="Arial"/>
        </w:rPr>
        <w:t>r-value</w:t>
      </w:r>
      <w:proofErr w:type="spellEnd"/>
      <w:r w:rsidRPr="007A5143">
        <w:rPr>
          <w:rFonts w:ascii="Arial" w:hAnsi="Arial" w:cs="Arial"/>
        </w:rPr>
        <w:t xml:space="preserve"> of .397, indicating a moderate positive relationship, with a </w:t>
      </w:r>
      <w:r w:rsidRPr="005C01D5">
        <w:rPr>
          <w:rFonts w:ascii="Arial" w:hAnsi="Arial" w:cs="Arial"/>
          <w:i/>
          <w:iCs/>
        </w:rPr>
        <w:t>P =</w:t>
      </w:r>
      <w:r w:rsidRPr="007A5143">
        <w:rPr>
          <w:rFonts w:ascii="Arial" w:hAnsi="Arial" w:cs="Arial"/>
        </w:rPr>
        <w:t xml:space="preserve"> 0.00</w:t>
      </w:r>
      <w:r w:rsidR="002B1CA7">
        <w:rPr>
          <w:rFonts w:ascii="Arial" w:hAnsi="Arial" w:cs="Arial"/>
        </w:rPr>
        <w:t>1</w:t>
      </w:r>
      <w:r w:rsidRPr="007A5143">
        <w:rPr>
          <w:rFonts w:ascii="Arial" w:hAnsi="Arial" w:cs="Arial"/>
        </w:rPr>
        <w:t xml:space="preserve">, which is less than the alpha value of 0.05. This leads to the rejection of the corresponding null hypothesis, confirming that there is a statistically significant relationship between students’ physical self-perception and their situational interest in PE. This supports the application of Interest </w:t>
      </w:r>
      <w:r w:rsidRPr="007A5143">
        <w:rPr>
          <w:rFonts w:ascii="Arial" w:hAnsi="Arial" w:cs="Arial"/>
        </w:rPr>
        <w:lastRenderedPageBreak/>
        <w:t>theory, which emphasizes that individuals’ self-related perceptions and personal relevance of a task play a crucial role in triggering and sustaining situational interest in learning contexts.</w:t>
      </w:r>
    </w:p>
    <w:p w14:paraId="0D51DAF6" w14:textId="77777777" w:rsidR="005C01D5" w:rsidRDefault="005C01D5" w:rsidP="00F9794D">
      <w:pPr>
        <w:pStyle w:val="Body"/>
        <w:spacing w:after="0"/>
        <w:rPr>
          <w:rFonts w:ascii="Arial" w:hAnsi="Arial" w:cs="Arial"/>
        </w:rPr>
      </w:pPr>
    </w:p>
    <w:p w14:paraId="6F3D9781" w14:textId="3A4222BF" w:rsidR="00F9794D" w:rsidRPr="00F9794D" w:rsidRDefault="00F9794D" w:rsidP="00F9794D">
      <w:pPr>
        <w:pStyle w:val="NoSpacing"/>
        <w:jc w:val="both"/>
        <w:rPr>
          <w:rFonts w:ascii="Arial" w:hAnsi="Arial" w:cs="Arial"/>
          <w:b/>
          <w:bCs/>
          <w:sz w:val="20"/>
          <w:szCs w:val="20"/>
          <w:lang w:eastAsia="ar-SA"/>
        </w:rPr>
      </w:pPr>
      <w:r w:rsidRPr="00F9794D">
        <w:rPr>
          <w:rFonts w:ascii="Arial" w:hAnsi="Arial" w:cs="Arial"/>
          <w:b/>
          <w:bCs/>
          <w:sz w:val="20"/>
          <w:szCs w:val="20"/>
          <w:lang w:eastAsia="ar-SA"/>
        </w:rPr>
        <w:t>Table 5. Significance of the Relationship between Physical Self-Perception and Student Situational Interest in PE</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3"/>
        <w:gridCol w:w="1275"/>
        <w:gridCol w:w="1276"/>
        <w:gridCol w:w="1134"/>
        <w:gridCol w:w="992"/>
        <w:gridCol w:w="851"/>
        <w:gridCol w:w="884"/>
      </w:tblGrid>
      <w:tr w:rsidR="00F9794D" w:rsidRPr="001C3683" w14:paraId="5FD0D951" w14:textId="77777777" w:rsidTr="001D3E52">
        <w:trPr>
          <w:trHeight w:val="437"/>
        </w:trPr>
        <w:tc>
          <w:tcPr>
            <w:tcW w:w="1809" w:type="dxa"/>
            <w:vMerge w:val="restart"/>
            <w:vAlign w:val="center"/>
          </w:tcPr>
          <w:p w14:paraId="28EA279A" w14:textId="77777777" w:rsidR="00F9794D" w:rsidRPr="00B02400" w:rsidRDefault="00F9794D" w:rsidP="001D3E52">
            <w:pPr>
              <w:jc w:val="center"/>
              <w:rPr>
                <w:rFonts w:ascii="Arial" w:hAnsi="Arial" w:cs="Arial"/>
                <w:b/>
                <w:bCs/>
                <w:iCs/>
              </w:rPr>
            </w:pPr>
            <w:r w:rsidRPr="00B02400">
              <w:rPr>
                <w:rFonts w:ascii="Arial" w:hAnsi="Arial" w:cs="Arial"/>
                <w:b/>
                <w:bCs/>
                <w:iCs/>
              </w:rPr>
              <w:t>Physical Self-Perception</w:t>
            </w:r>
          </w:p>
        </w:tc>
        <w:tc>
          <w:tcPr>
            <w:tcW w:w="7405" w:type="dxa"/>
            <w:gridSpan w:val="7"/>
            <w:vAlign w:val="center"/>
          </w:tcPr>
          <w:p w14:paraId="39FDFC9D" w14:textId="77777777" w:rsidR="00F9794D" w:rsidRPr="00B02400" w:rsidRDefault="00F9794D" w:rsidP="001D3E52">
            <w:pPr>
              <w:jc w:val="center"/>
              <w:rPr>
                <w:rFonts w:ascii="Arial" w:hAnsi="Arial" w:cs="Arial"/>
                <w:b/>
                <w:bCs/>
                <w:iCs/>
                <w:color w:val="000000"/>
                <w:lang w:eastAsia="en-PH"/>
              </w:rPr>
            </w:pPr>
            <w:r w:rsidRPr="00B02400">
              <w:rPr>
                <w:rFonts w:ascii="Arial" w:hAnsi="Arial" w:cs="Arial"/>
                <w:b/>
                <w:bCs/>
                <w:iCs/>
              </w:rPr>
              <w:t>Student Situational Interest in PE</w:t>
            </w:r>
          </w:p>
        </w:tc>
      </w:tr>
      <w:tr w:rsidR="00F9794D" w:rsidRPr="001C3683" w14:paraId="72B5C8F3" w14:textId="77777777" w:rsidTr="001D3E52">
        <w:trPr>
          <w:trHeight w:val="437"/>
        </w:trPr>
        <w:tc>
          <w:tcPr>
            <w:tcW w:w="1809" w:type="dxa"/>
            <w:vMerge/>
            <w:vAlign w:val="center"/>
          </w:tcPr>
          <w:p w14:paraId="6A2DE0CC" w14:textId="77777777" w:rsidR="00F9794D" w:rsidRPr="001C3683" w:rsidRDefault="00F9794D" w:rsidP="001D3E52">
            <w:pPr>
              <w:rPr>
                <w:rFonts w:ascii="Arial" w:hAnsi="Arial" w:cs="Arial"/>
                <w:color w:val="000000"/>
                <w:lang w:eastAsia="en-PH"/>
              </w:rPr>
            </w:pPr>
          </w:p>
        </w:tc>
        <w:tc>
          <w:tcPr>
            <w:tcW w:w="993" w:type="dxa"/>
            <w:vAlign w:val="center"/>
          </w:tcPr>
          <w:p w14:paraId="7D15F348" w14:textId="77777777" w:rsidR="00F9794D" w:rsidRPr="00FD5B86" w:rsidRDefault="00F9794D" w:rsidP="001D3E52">
            <w:pPr>
              <w:jc w:val="center"/>
              <w:rPr>
                <w:rFonts w:ascii="Arial" w:hAnsi="Arial" w:cs="Arial"/>
                <w:color w:val="000000"/>
                <w:sz w:val="19"/>
                <w:szCs w:val="19"/>
                <w:lang w:eastAsia="en-PH"/>
              </w:rPr>
            </w:pPr>
            <w:r w:rsidRPr="00FD5B86">
              <w:rPr>
                <w:rFonts w:ascii="Arial" w:hAnsi="Arial" w:cs="Arial"/>
                <w:color w:val="000000"/>
                <w:sz w:val="18"/>
                <w:szCs w:val="18"/>
                <w:lang w:eastAsia="en-PH"/>
              </w:rPr>
              <w:t>Total Interest</w:t>
            </w:r>
          </w:p>
        </w:tc>
        <w:tc>
          <w:tcPr>
            <w:tcW w:w="1275" w:type="dxa"/>
            <w:vAlign w:val="center"/>
          </w:tcPr>
          <w:p w14:paraId="4E23170D" w14:textId="77777777" w:rsidR="00F9794D" w:rsidRPr="00FD5B86" w:rsidRDefault="00F9794D" w:rsidP="001D3E52">
            <w:pPr>
              <w:jc w:val="center"/>
              <w:rPr>
                <w:rFonts w:ascii="Arial" w:hAnsi="Arial" w:cs="Arial"/>
                <w:color w:val="000000"/>
                <w:sz w:val="19"/>
                <w:szCs w:val="19"/>
                <w:lang w:eastAsia="en-PH"/>
              </w:rPr>
            </w:pPr>
            <w:r w:rsidRPr="00FD5B86">
              <w:rPr>
                <w:rFonts w:ascii="Arial" w:hAnsi="Arial" w:cs="Arial"/>
                <w:color w:val="000000"/>
                <w:sz w:val="18"/>
                <w:szCs w:val="18"/>
                <w:lang w:eastAsia="en-PH"/>
              </w:rPr>
              <w:t>Instant Enjoyment</w:t>
            </w:r>
          </w:p>
        </w:tc>
        <w:tc>
          <w:tcPr>
            <w:tcW w:w="1276" w:type="dxa"/>
            <w:vAlign w:val="center"/>
          </w:tcPr>
          <w:p w14:paraId="33383E57" w14:textId="77777777" w:rsidR="00F9794D" w:rsidRPr="00FD5B86" w:rsidRDefault="00F9794D" w:rsidP="001D3E52">
            <w:pPr>
              <w:jc w:val="center"/>
              <w:rPr>
                <w:rFonts w:ascii="Arial" w:hAnsi="Arial" w:cs="Arial"/>
                <w:color w:val="000000"/>
                <w:sz w:val="17"/>
                <w:szCs w:val="17"/>
                <w:lang w:eastAsia="en-PH"/>
              </w:rPr>
            </w:pPr>
            <w:r w:rsidRPr="00FD5B86">
              <w:rPr>
                <w:rFonts w:ascii="Arial" w:hAnsi="Arial" w:cs="Arial"/>
                <w:color w:val="000000"/>
                <w:sz w:val="18"/>
                <w:szCs w:val="18"/>
                <w:lang w:eastAsia="en-PH"/>
              </w:rPr>
              <w:t>Exploration Intention</w:t>
            </w:r>
          </w:p>
        </w:tc>
        <w:tc>
          <w:tcPr>
            <w:tcW w:w="1134" w:type="dxa"/>
            <w:vAlign w:val="center"/>
          </w:tcPr>
          <w:p w14:paraId="0FBC69AC" w14:textId="77777777" w:rsidR="00F9794D" w:rsidRPr="00FD5B86" w:rsidRDefault="00F9794D" w:rsidP="001D3E52">
            <w:pPr>
              <w:jc w:val="center"/>
              <w:rPr>
                <w:rFonts w:ascii="Arial" w:hAnsi="Arial" w:cs="Arial"/>
                <w:color w:val="000000"/>
                <w:sz w:val="19"/>
                <w:szCs w:val="19"/>
                <w:lang w:eastAsia="en-PH"/>
              </w:rPr>
            </w:pPr>
            <w:r w:rsidRPr="00FD5B86">
              <w:rPr>
                <w:rFonts w:ascii="Arial" w:hAnsi="Arial" w:cs="Arial"/>
                <w:color w:val="000000"/>
                <w:sz w:val="18"/>
                <w:szCs w:val="18"/>
                <w:lang w:eastAsia="en-PH"/>
              </w:rPr>
              <w:t>Attention Demand</w:t>
            </w:r>
          </w:p>
        </w:tc>
        <w:tc>
          <w:tcPr>
            <w:tcW w:w="992" w:type="dxa"/>
            <w:vAlign w:val="center"/>
          </w:tcPr>
          <w:p w14:paraId="4A2EABB3" w14:textId="77777777" w:rsidR="00F9794D" w:rsidRPr="00FD5B86" w:rsidRDefault="00F9794D" w:rsidP="001D3E52">
            <w:pPr>
              <w:jc w:val="center"/>
              <w:rPr>
                <w:rFonts w:ascii="Arial" w:hAnsi="Arial" w:cs="Arial"/>
                <w:color w:val="000000"/>
                <w:sz w:val="19"/>
                <w:szCs w:val="19"/>
                <w:lang w:eastAsia="en-PH"/>
              </w:rPr>
            </w:pPr>
            <w:r w:rsidRPr="00FD5B86">
              <w:rPr>
                <w:rFonts w:ascii="Arial" w:hAnsi="Arial" w:cs="Arial"/>
                <w:color w:val="000000"/>
                <w:sz w:val="16"/>
                <w:szCs w:val="16"/>
                <w:lang w:eastAsia="en-PH"/>
              </w:rPr>
              <w:t>Challenge</w:t>
            </w:r>
          </w:p>
        </w:tc>
        <w:tc>
          <w:tcPr>
            <w:tcW w:w="851" w:type="dxa"/>
            <w:vAlign w:val="center"/>
          </w:tcPr>
          <w:p w14:paraId="7B7DBF0D" w14:textId="77777777" w:rsidR="00F9794D" w:rsidRPr="00FD5B86" w:rsidRDefault="00F9794D" w:rsidP="001D3E52">
            <w:pPr>
              <w:jc w:val="center"/>
              <w:rPr>
                <w:rFonts w:ascii="Arial" w:hAnsi="Arial" w:cs="Arial"/>
                <w:color w:val="000000"/>
                <w:sz w:val="16"/>
                <w:szCs w:val="16"/>
                <w:lang w:eastAsia="en-PH"/>
              </w:rPr>
            </w:pPr>
            <w:r w:rsidRPr="00FD5B86">
              <w:rPr>
                <w:rFonts w:ascii="Arial" w:hAnsi="Arial" w:cs="Arial"/>
                <w:color w:val="000000"/>
                <w:sz w:val="16"/>
                <w:szCs w:val="16"/>
                <w:lang w:eastAsia="en-PH"/>
              </w:rPr>
              <w:t>Novelty</w:t>
            </w:r>
          </w:p>
        </w:tc>
        <w:tc>
          <w:tcPr>
            <w:tcW w:w="884" w:type="dxa"/>
            <w:vAlign w:val="center"/>
          </w:tcPr>
          <w:p w14:paraId="22174B70" w14:textId="77777777" w:rsidR="00F9794D" w:rsidRPr="001C3683" w:rsidRDefault="00F9794D" w:rsidP="001D3E52">
            <w:pPr>
              <w:jc w:val="center"/>
              <w:rPr>
                <w:rFonts w:ascii="Arial" w:hAnsi="Arial" w:cs="Arial"/>
                <w:color w:val="000000"/>
                <w:lang w:eastAsia="en-PH"/>
              </w:rPr>
            </w:pPr>
            <w:r w:rsidRPr="00AD0249">
              <w:rPr>
                <w:rFonts w:ascii="Arial" w:hAnsi="Arial" w:cs="Arial"/>
                <w:b/>
                <w:bCs/>
                <w:color w:val="000000"/>
                <w:sz w:val="18"/>
                <w:szCs w:val="18"/>
                <w:lang w:eastAsia="en-PH"/>
              </w:rPr>
              <w:t>Overall</w:t>
            </w:r>
          </w:p>
        </w:tc>
      </w:tr>
      <w:tr w:rsidR="00F9794D" w:rsidRPr="001C3683" w14:paraId="0FBED97E" w14:textId="77777777" w:rsidTr="001D3E52">
        <w:trPr>
          <w:cantSplit/>
          <w:trHeight w:val="394"/>
        </w:trPr>
        <w:tc>
          <w:tcPr>
            <w:tcW w:w="1809" w:type="dxa"/>
            <w:vAlign w:val="center"/>
          </w:tcPr>
          <w:p w14:paraId="42EAF422" w14:textId="77777777" w:rsidR="00F9794D" w:rsidRPr="00F9794D" w:rsidRDefault="00F9794D" w:rsidP="001D3E52">
            <w:pPr>
              <w:rPr>
                <w:rFonts w:ascii="Arial" w:hAnsi="Arial" w:cs="Arial"/>
                <w:color w:val="000000"/>
                <w:sz w:val="18"/>
                <w:szCs w:val="18"/>
                <w:lang w:eastAsia="en-PH"/>
              </w:rPr>
            </w:pPr>
            <w:r w:rsidRPr="00F9794D">
              <w:rPr>
                <w:rFonts w:ascii="Arial" w:hAnsi="Arial" w:cs="Arial"/>
                <w:sz w:val="18"/>
                <w:szCs w:val="18"/>
              </w:rPr>
              <w:t>Sports Competence</w:t>
            </w:r>
          </w:p>
        </w:tc>
        <w:tc>
          <w:tcPr>
            <w:tcW w:w="993" w:type="dxa"/>
          </w:tcPr>
          <w:p w14:paraId="4AA49EE2" w14:textId="77777777" w:rsidR="00F9794D" w:rsidRPr="00B02400" w:rsidRDefault="00F9794D" w:rsidP="001D3E52">
            <w:pPr>
              <w:jc w:val="center"/>
              <w:rPr>
                <w:rFonts w:ascii="Arial" w:hAnsi="Arial" w:cs="Arial"/>
              </w:rPr>
            </w:pPr>
            <w:r w:rsidRPr="00B02400">
              <w:rPr>
                <w:rFonts w:ascii="Arial" w:hAnsi="Arial" w:cs="Arial"/>
              </w:rPr>
              <w:t>.336**</w:t>
            </w:r>
          </w:p>
          <w:p w14:paraId="28701879" w14:textId="30B3CCB5" w:rsidR="00F9794D" w:rsidRPr="00B02400" w:rsidRDefault="00F9794D" w:rsidP="001D3E5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w:t>
            </w:r>
            <w:r w:rsidR="002B1CA7">
              <w:rPr>
                <w:rFonts w:ascii="Arial" w:hAnsi="Arial" w:cs="Arial"/>
                <w:color w:val="000000"/>
                <w:lang w:eastAsia="en-PH"/>
              </w:rPr>
              <w:t>1</w:t>
            </w:r>
            <w:r w:rsidRPr="00B02400">
              <w:rPr>
                <w:rFonts w:ascii="Arial" w:hAnsi="Arial" w:cs="Arial"/>
                <w:color w:val="000000"/>
                <w:lang w:eastAsia="en-PH"/>
              </w:rPr>
              <w:t>)</w:t>
            </w:r>
          </w:p>
        </w:tc>
        <w:tc>
          <w:tcPr>
            <w:tcW w:w="1275" w:type="dxa"/>
          </w:tcPr>
          <w:p w14:paraId="6F67A1A9" w14:textId="77777777" w:rsidR="00F9794D" w:rsidRPr="00B02400" w:rsidRDefault="00F9794D" w:rsidP="001D3E52">
            <w:pPr>
              <w:jc w:val="center"/>
              <w:rPr>
                <w:rFonts w:ascii="Arial" w:hAnsi="Arial" w:cs="Arial"/>
              </w:rPr>
            </w:pPr>
            <w:r w:rsidRPr="00B02400">
              <w:rPr>
                <w:rFonts w:ascii="Arial" w:hAnsi="Arial" w:cs="Arial"/>
              </w:rPr>
              <w:t>.402**</w:t>
            </w:r>
          </w:p>
          <w:p w14:paraId="75B1CA13" w14:textId="13979A3A" w:rsidR="00F9794D" w:rsidRPr="00B02400" w:rsidRDefault="00F9794D" w:rsidP="001D3E5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w:t>
            </w:r>
            <w:r w:rsidR="002B1CA7">
              <w:rPr>
                <w:rFonts w:ascii="Arial" w:hAnsi="Arial" w:cs="Arial"/>
                <w:color w:val="000000"/>
                <w:lang w:eastAsia="en-PH"/>
              </w:rPr>
              <w:t>1</w:t>
            </w:r>
            <w:r w:rsidRPr="00B02400">
              <w:rPr>
                <w:rFonts w:ascii="Arial" w:hAnsi="Arial" w:cs="Arial"/>
                <w:color w:val="000000"/>
                <w:lang w:eastAsia="en-PH"/>
              </w:rPr>
              <w:t>)</w:t>
            </w:r>
          </w:p>
        </w:tc>
        <w:tc>
          <w:tcPr>
            <w:tcW w:w="1276" w:type="dxa"/>
          </w:tcPr>
          <w:p w14:paraId="40A23A81" w14:textId="77777777" w:rsidR="00F9794D" w:rsidRPr="00B02400" w:rsidRDefault="00F9794D" w:rsidP="001D3E52">
            <w:pPr>
              <w:jc w:val="center"/>
              <w:rPr>
                <w:rFonts w:ascii="Arial" w:hAnsi="Arial" w:cs="Arial"/>
              </w:rPr>
            </w:pPr>
            <w:r w:rsidRPr="00B02400">
              <w:rPr>
                <w:rFonts w:ascii="Arial" w:hAnsi="Arial" w:cs="Arial"/>
              </w:rPr>
              <w:t>.273**</w:t>
            </w:r>
          </w:p>
          <w:p w14:paraId="2AAB4D97" w14:textId="529314E0" w:rsidR="00F9794D" w:rsidRPr="00B02400" w:rsidRDefault="00F9794D" w:rsidP="001D3E5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w:t>
            </w:r>
            <w:r w:rsidR="002B1CA7">
              <w:rPr>
                <w:rFonts w:ascii="Arial" w:hAnsi="Arial" w:cs="Arial"/>
                <w:color w:val="000000"/>
                <w:lang w:eastAsia="en-PH"/>
              </w:rPr>
              <w:t>1</w:t>
            </w:r>
            <w:r w:rsidRPr="00B02400">
              <w:rPr>
                <w:rFonts w:ascii="Arial" w:hAnsi="Arial" w:cs="Arial"/>
                <w:color w:val="000000"/>
                <w:lang w:eastAsia="en-PH"/>
              </w:rPr>
              <w:t>)</w:t>
            </w:r>
          </w:p>
        </w:tc>
        <w:tc>
          <w:tcPr>
            <w:tcW w:w="1134" w:type="dxa"/>
            <w:hideMark/>
          </w:tcPr>
          <w:p w14:paraId="08CC74D2" w14:textId="77777777" w:rsidR="00F9794D" w:rsidRPr="00B02400" w:rsidRDefault="00F9794D" w:rsidP="001D3E52">
            <w:pPr>
              <w:jc w:val="center"/>
              <w:rPr>
                <w:rFonts w:ascii="Arial" w:hAnsi="Arial" w:cs="Arial"/>
              </w:rPr>
            </w:pPr>
            <w:r w:rsidRPr="00B02400">
              <w:rPr>
                <w:rFonts w:ascii="Arial" w:hAnsi="Arial" w:cs="Arial"/>
              </w:rPr>
              <w:t>.383**</w:t>
            </w:r>
          </w:p>
          <w:p w14:paraId="26AA6366" w14:textId="396B3C1D" w:rsidR="00F9794D" w:rsidRPr="00B02400" w:rsidRDefault="00F9794D" w:rsidP="001D3E5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w:t>
            </w:r>
            <w:r w:rsidR="002B1CA7">
              <w:rPr>
                <w:rFonts w:ascii="Arial" w:hAnsi="Arial" w:cs="Arial"/>
                <w:color w:val="000000"/>
                <w:lang w:eastAsia="en-PH"/>
              </w:rPr>
              <w:t>1</w:t>
            </w:r>
            <w:r w:rsidRPr="00B02400">
              <w:rPr>
                <w:rFonts w:ascii="Arial" w:hAnsi="Arial" w:cs="Arial"/>
                <w:color w:val="000000"/>
                <w:lang w:eastAsia="en-PH"/>
              </w:rPr>
              <w:t>)</w:t>
            </w:r>
          </w:p>
        </w:tc>
        <w:tc>
          <w:tcPr>
            <w:tcW w:w="992" w:type="dxa"/>
          </w:tcPr>
          <w:p w14:paraId="71B401FD" w14:textId="77777777" w:rsidR="00F9794D" w:rsidRPr="00B02400" w:rsidRDefault="00F9794D" w:rsidP="001D3E52">
            <w:pPr>
              <w:jc w:val="center"/>
              <w:rPr>
                <w:rFonts w:ascii="Arial" w:hAnsi="Arial" w:cs="Arial"/>
              </w:rPr>
            </w:pPr>
            <w:r w:rsidRPr="00B02400">
              <w:rPr>
                <w:rFonts w:ascii="Arial" w:hAnsi="Arial" w:cs="Arial"/>
              </w:rPr>
              <w:t>.089</w:t>
            </w:r>
          </w:p>
          <w:p w14:paraId="21BD411F" w14:textId="77777777" w:rsidR="00F9794D" w:rsidRPr="00B02400" w:rsidRDefault="00F9794D" w:rsidP="001D3E52">
            <w:pPr>
              <w:jc w:val="center"/>
              <w:rPr>
                <w:rFonts w:ascii="Arial" w:hAnsi="Arial" w:cs="Arial"/>
              </w:rPr>
            </w:pPr>
            <w:r w:rsidRPr="00B02400">
              <w:rPr>
                <w:rFonts w:ascii="Arial" w:hAnsi="Arial" w:cs="Arial"/>
              </w:rPr>
              <w:t>(0.089)</w:t>
            </w:r>
          </w:p>
        </w:tc>
        <w:tc>
          <w:tcPr>
            <w:tcW w:w="851" w:type="dxa"/>
            <w:hideMark/>
          </w:tcPr>
          <w:p w14:paraId="7477FFA0" w14:textId="77777777" w:rsidR="00F9794D" w:rsidRPr="00B02400" w:rsidRDefault="00F9794D" w:rsidP="001D3E52">
            <w:pPr>
              <w:jc w:val="center"/>
              <w:rPr>
                <w:rFonts w:ascii="Arial" w:hAnsi="Arial" w:cs="Arial"/>
              </w:rPr>
            </w:pPr>
            <w:r w:rsidRPr="00B02400">
              <w:rPr>
                <w:rFonts w:ascii="Arial" w:hAnsi="Arial" w:cs="Arial"/>
              </w:rPr>
              <w:t>.175**</w:t>
            </w:r>
          </w:p>
          <w:p w14:paraId="3A969443" w14:textId="0221FC1A" w:rsidR="00F9794D" w:rsidRPr="00B02400" w:rsidRDefault="00F9794D" w:rsidP="001D3E5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w:t>
            </w:r>
            <w:r w:rsidR="002B1CA7">
              <w:rPr>
                <w:rFonts w:ascii="Arial" w:hAnsi="Arial" w:cs="Arial"/>
                <w:color w:val="000000"/>
                <w:lang w:eastAsia="en-PH"/>
              </w:rPr>
              <w:t>1</w:t>
            </w:r>
            <w:r w:rsidRPr="00B02400">
              <w:rPr>
                <w:rFonts w:ascii="Arial" w:hAnsi="Arial" w:cs="Arial"/>
                <w:color w:val="000000"/>
                <w:lang w:eastAsia="en-PH"/>
              </w:rPr>
              <w:t>)</w:t>
            </w:r>
          </w:p>
        </w:tc>
        <w:tc>
          <w:tcPr>
            <w:tcW w:w="884" w:type="dxa"/>
            <w:hideMark/>
          </w:tcPr>
          <w:p w14:paraId="3DC2A0FC" w14:textId="77777777" w:rsidR="00F9794D" w:rsidRPr="00B02400" w:rsidRDefault="00F9794D" w:rsidP="001D3E52">
            <w:pPr>
              <w:jc w:val="center"/>
              <w:rPr>
                <w:rFonts w:ascii="Arial" w:hAnsi="Arial" w:cs="Arial"/>
              </w:rPr>
            </w:pPr>
            <w:r w:rsidRPr="00B02400">
              <w:rPr>
                <w:rFonts w:ascii="Arial" w:hAnsi="Arial" w:cs="Arial"/>
              </w:rPr>
              <w:t>.365**</w:t>
            </w:r>
          </w:p>
          <w:p w14:paraId="6EA6CACC" w14:textId="301A710C" w:rsidR="00F9794D" w:rsidRPr="00B02400" w:rsidRDefault="00F9794D" w:rsidP="001D3E5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w:t>
            </w:r>
            <w:r w:rsidR="002B1CA7">
              <w:rPr>
                <w:rFonts w:ascii="Arial" w:hAnsi="Arial" w:cs="Arial"/>
                <w:color w:val="000000"/>
                <w:lang w:eastAsia="en-PH"/>
              </w:rPr>
              <w:t>1</w:t>
            </w:r>
            <w:r w:rsidRPr="00B02400">
              <w:rPr>
                <w:rFonts w:ascii="Arial" w:hAnsi="Arial" w:cs="Arial"/>
                <w:color w:val="000000"/>
                <w:lang w:eastAsia="en-PH"/>
              </w:rPr>
              <w:t>)</w:t>
            </w:r>
          </w:p>
        </w:tc>
      </w:tr>
      <w:tr w:rsidR="00F9794D" w:rsidRPr="001C3683" w14:paraId="48EA1FF1" w14:textId="77777777" w:rsidTr="001D3E52">
        <w:trPr>
          <w:cantSplit/>
          <w:trHeight w:val="474"/>
        </w:trPr>
        <w:tc>
          <w:tcPr>
            <w:tcW w:w="1809" w:type="dxa"/>
            <w:vAlign w:val="center"/>
          </w:tcPr>
          <w:p w14:paraId="27AA611C" w14:textId="77777777" w:rsidR="00F9794D" w:rsidRPr="00F9794D" w:rsidRDefault="00F9794D" w:rsidP="001D3E52">
            <w:pPr>
              <w:rPr>
                <w:rFonts w:ascii="Arial" w:hAnsi="Arial" w:cs="Arial"/>
                <w:color w:val="000000"/>
                <w:sz w:val="16"/>
                <w:szCs w:val="16"/>
                <w:lang w:eastAsia="en-PH"/>
              </w:rPr>
            </w:pPr>
            <w:r w:rsidRPr="00F9794D">
              <w:rPr>
                <w:rFonts w:ascii="Arial" w:hAnsi="Arial" w:cs="Arial"/>
                <w:sz w:val="16"/>
                <w:szCs w:val="16"/>
              </w:rPr>
              <w:t>Physical Conditioning</w:t>
            </w:r>
          </w:p>
        </w:tc>
        <w:tc>
          <w:tcPr>
            <w:tcW w:w="993" w:type="dxa"/>
          </w:tcPr>
          <w:p w14:paraId="4E5C3AB3" w14:textId="77777777" w:rsidR="00F9794D" w:rsidRPr="00B02400" w:rsidRDefault="00F9794D" w:rsidP="001D3E52">
            <w:pPr>
              <w:jc w:val="center"/>
              <w:rPr>
                <w:rFonts w:ascii="Arial" w:hAnsi="Arial" w:cs="Arial"/>
              </w:rPr>
            </w:pPr>
            <w:r w:rsidRPr="00B02400">
              <w:rPr>
                <w:rFonts w:ascii="Arial" w:hAnsi="Arial" w:cs="Arial"/>
              </w:rPr>
              <w:t>.344**</w:t>
            </w:r>
          </w:p>
          <w:p w14:paraId="4344C277" w14:textId="3169292C" w:rsidR="00F9794D" w:rsidRPr="00B02400" w:rsidRDefault="00F9794D" w:rsidP="001D3E5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w:t>
            </w:r>
            <w:r w:rsidR="002B1CA7">
              <w:rPr>
                <w:rFonts w:ascii="Arial" w:hAnsi="Arial" w:cs="Arial"/>
                <w:color w:val="000000"/>
                <w:lang w:eastAsia="en-PH"/>
              </w:rPr>
              <w:t>1</w:t>
            </w:r>
            <w:r w:rsidRPr="00B02400">
              <w:rPr>
                <w:rFonts w:ascii="Arial" w:hAnsi="Arial" w:cs="Arial"/>
                <w:color w:val="000000"/>
                <w:lang w:eastAsia="en-PH"/>
              </w:rPr>
              <w:t>)</w:t>
            </w:r>
          </w:p>
        </w:tc>
        <w:tc>
          <w:tcPr>
            <w:tcW w:w="1275" w:type="dxa"/>
          </w:tcPr>
          <w:p w14:paraId="3FE5161D" w14:textId="77777777" w:rsidR="00F9794D" w:rsidRPr="00B02400" w:rsidRDefault="00F9794D" w:rsidP="001D3E52">
            <w:pPr>
              <w:jc w:val="center"/>
              <w:rPr>
                <w:rFonts w:ascii="Arial" w:hAnsi="Arial" w:cs="Arial"/>
              </w:rPr>
            </w:pPr>
            <w:r w:rsidRPr="00B02400">
              <w:rPr>
                <w:rFonts w:ascii="Arial" w:hAnsi="Arial" w:cs="Arial"/>
              </w:rPr>
              <w:t>.409**</w:t>
            </w:r>
          </w:p>
          <w:p w14:paraId="528E29EE" w14:textId="570A1A28" w:rsidR="00F9794D" w:rsidRPr="00B02400" w:rsidRDefault="00F9794D" w:rsidP="001D3E5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w:t>
            </w:r>
            <w:r w:rsidR="002B1CA7">
              <w:rPr>
                <w:rFonts w:ascii="Arial" w:hAnsi="Arial" w:cs="Arial"/>
                <w:color w:val="000000"/>
                <w:lang w:eastAsia="en-PH"/>
              </w:rPr>
              <w:t>1</w:t>
            </w:r>
            <w:r w:rsidRPr="00B02400">
              <w:rPr>
                <w:rFonts w:ascii="Arial" w:hAnsi="Arial" w:cs="Arial"/>
                <w:color w:val="000000"/>
                <w:lang w:eastAsia="en-PH"/>
              </w:rPr>
              <w:t>)</w:t>
            </w:r>
          </w:p>
        </w:tc>
        <w:tc>
          <w:tcPr>
            <w:tcW w:w="1276" w:type="dxa"/>
          </w:tcPr>
          <w:p w14:paraId="32EB6FAC" w14:textId="77777777" w:rsidR="00F9794D" w:rsidRPr="00B02400" w:rsidRDefault="00F9794D" w:rsidP="001D3E52">
            <w:pPr>
              <w:jc w:val="center"/>
              <w:rPr>
                <w:rFonts w:ascii="Arial" w:hAnsi="Arial" w:cs="Arial"/>
              </w:rPr>
            </w:pPr>
            <w:r w:rsidRPr="00B02400">
              <w:rPr>
                <w:rFonts w:ascii="Arial" w:hAnsi="Arial" w:cs="Arial"/>
              </w:rPr>
              <w:t>.254**</w:t>
            </w:r>
          </w:p>
          <w:p w14:paraId="0D27D5A8" w14:textId="706FF148" w:rsidR="00F9794D" w:rsidRPr="00B02400" w:rsidRDefault="00F9794D" w:rsidP="001D3E5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w:t>
            </w:r>
            <w:r w:rsidR="002B1CA7">
              <w:rPr>
                <w:rFonts w:ascii="Arial" w:hAnsi="Arial" w:cs="Arial"/>
                <w:color w:val="000000"/>
                <w:lang w:eastAsia="en-PH"/>
              </w:rPr>
              <w:t>1</w:t>
            </w:r>
            <w:r w:rsidRPr="00B02400">
              <w:rPr>
                <w:rFonts w:ascii="Arial" w:hAnsi="Arial" w:cs="Arial"/>
                <w:color w:val="000000"/>
                <w:lang w:eastAsia="en-PH"/>
              </w:rPr>
              <w:t>)</w:t>
            </w:r>
          </w:p>
        </w:tc>
        <w:tc>
          <w:tcPr>
            <w:tcW w:w="1134" w:type="dxa"/>
            <w:hideMark/>
          </w:tcPr>
          <w:p w14:paraId="4C3C3C09" w14:textId="77777777" w:rsidR="00F9794D" w:rsidRPr="00B02400" w:rsidRDefault="00F9794D" w:rsidP="001D3E52">
            <w:pPr>
              <w:jc w:val="center"/>
              <w:rPr>
                <w:rFonts w:ascii="Arial" w:hAnsi="Arial" w:cs="Arial"/>
              </w:rPr>
            </w:pPr>
            <w:r w:rsidRPr="00B02400">
              <w:rPr>
                <w:rFonts w:ascii="Arial" w:hAnsi="Arial" w:cs="Arial"/>
              </w:rPr>
              <w:t>.381**</w:t>
            </w:r>
          </w:p>
          <w:p w14:paraId="3DD81357" w14:textId="34A94BE5" w:rsidR="00F9794D" w:rsidRPr="00B02400" w:rsidRDefault="00F9794D" w:rsidP="001D3E5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w:t>
            </w:r>
            <w:r w:rsidR="002B1CA7">
              <w:rPr>
                <w:rFonts w:ascii="Arial" w:hAnsi="Arial" w:cs="Arial"/>
                <w:color w:val="000000"/>
                <w:lang w:eastAsia="en-PH"/>
              </w:rPr>
              <w:t>1</w:t>
            </w:r>
            <w:r w:rsidRPr="00B02400">
              <w:rPr>
                <w:rFonts w:ascii="Arial" w:hAnsi="Arial" w:cs="Arial"/>
                <w:color w:val="000000"/>
                <w:lang w:eastAsia="en-PH"/>
              </w:rPr>
              <w:t>)</w:t>
            </w:r>
          </w:p>
        </w:tc>
        <w:tc>
          <w:tcPr>
            <w:tcW w:w="992" w:type="dxa"/>
          </w:tcPr>
          <w:p w14:paraId="256AC3ED" w14:textId="77777777" w:rsidR="00F9794D" w:rsidRPr="00B02400" w:rsidRDefault="00F9794D" w:rsidP="001D3E52">
            <w:pPr>
              <w:jc w:val="center"/>
              <w:rPr>
                <w:rFonts w:ascii="Arial" w:hAnsi="Arial" w:cs="Arial"/>
              </w:rPr>
            </w:pPr>
            <w:r w:rsidRPr="00B02400">
              <w:rPr>
                <w:rFonts w:ascii="Arial" w:hAnsi="Arial" w:cs="Arial"/>
              </w:rPr>
              <w:t>.082</w:t>
            </w:r>
          </w:p>
          <w:p w14:paraId="0BEB3457" w14:textId="77777777" w:rsidR="00F9794D" w:rsidRPr="00B02400" w:rsidRDefault="00F9794D" w:rsidP="001D3E52">
            <w:pPr>
              <w:jc w:val="center"/>
              <w:rPr>
                <w:rFonts w:ascii="Arial" w:hAnsi="Arial" w:cs="Arial"/>
              </w:rPr>
            </w:pPr>
            <w:r w:rsidRPr="00B02400">
              <w:rPr>
                <w:rFonts w:ascii="Arial" w:hAnsi="Arial" w:cs="Arial"/>
              </w:rPr>
              <w:t>(0.114)</w:t>
            </w:r>
          </w:p>
        </w:tc>
        <w:tc>
          <w:tcPr>
            <w:tcW w:w="851" w:type="dxa"/>
            <w:hideMark/>
          </w:tcPr>
          <w:p w14:paraId="5943ADE5" w14:textId="77777777" w:rsidR="00F9794D" w:rsidRPr="00B02400" w:rsidRDefault="00F9794D" w:rsidP="001D3E52">
            <w:pPr>
              <w:jc w:val="center"/>
              <w:rPr>
                <w:rFonts w:ascii="Arial" w:hAnsi="Arial" w:cs="Arial"/>
              </w:rPr>
            </w:pPr>
            <w:r w:rsidRPr="00B02400">
              <w:rPr>
                <w:rFonts w:ascii="Arial" w:hAnsi="Arial" w:cs="Arial"/>
              </w:rPr>
              <w:t>.158**</w:t>
            </w:r>
          </w:p>
          <w:p w14:paraId="1472FE30" w14:textId="77777777" w:rsidR="00F9794D" w:rsidRPr="00B02400" w:rsidRDefault="00F9794D" w:rsidP="001D3E5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0.002)</w:t>
            </w:r>
          </w:p>
        </w:tc>
        <w:tc>
          <w:tcPr>
            <w:tcW w:w="884" w:type="dxa"/>
            <w:hideMark/>
          </w:tcPr>
          <w:p w14:paraId="1A8E42AB" w14:textId="77777777" w:rsidR="00F9794D" w:rsidRPr="00B02400" w:rsidRDefault="00F9794D" w:rsidP="001D3E52">
            <w:pPr>
              <w:jc w:val="center"/>
              <w:rPr>
                <w:rFonts w:ascii="Arial" w:hAnsi="Arial" w:cs="Arial"/>
              </w:rPr>
            </w:pPr>
            <w:r w:rsidRPr="00B02400">
              <w:rPr>
                <w:rFonts w:ascii="Arial" w:hAnsi="Arial" w:cs="Arial"/>
              </w:rPr>
              <w:t>.357**</w:t>
            </w:r>
          </w:p>
          <w:p w14:paraId="5EA05BAF" w14:textId="471C9839" w:rsidR="00F9794D" w:rsidRPr="00B02400" w:rsidRDefault="00F9794D" w:rsidP="001D3E5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w:t>
            </w:r>
            <w:r w:rsidR="002B1CA7">
              <w:rPr>
                <w:rFonts w:ascii="Arial" w:hAnsi="Arial" w:cs="Arial"/>
                <w:color w:val="000000"/>
                <w:lang w:eastAsia="en-PH"/>
              </w:rPr>
              <w:t>1</w:t>
            </w:r>
            <w:r w:rsidRPr="00B02400">
              <w:rPr>
                <w:rFonts w:ascii="Arial" w:hAnsi="Arial" w:cs="Arial"/>
                <w:color w:val="000000"/>
                <w:lang w:eastAsia="en-PH"/>
              </w:rPr>
              <w:t>)</w:t>
            </w:r>
          </w:p>
        </w:tc>
      </w:tr>
      <w:tr w:rsidR="00F9794D" w:rsidRPr="001C3683" w14:paraId="5DFDC257" w14:textId="77777777" w:rsidTr="001D3E52">
        <w:trPr>
          <w:cantSplit/>
          <w:trHeight w:val="359"/>
        </w:trPr>
        <w:tc>
          <w:tcPr>
            <w:tcW w:w="1809" w:type="dxa"/>
            <w:vAlign w:val="center"/>
          </w:tcPr>
          <w:p w14:paraId="58D83272" w14:textId="77777777" w:rsidR="00F9794D" w:rsidRPr="00F9794D" w:rsidRDefault="00F9794D" w:rsidP="001D3E52">
            <w:pPr>
              <w:rPr>
                <w:rFonts w:ascii="Arial" w:hAnsi="Arial" w:cs="Arial"/>
                <w:color w:val="000000"/>
                <w:sz w:val="18"/>
                <w:szCs w:val="18"/>
                <w:lang w:eastAsia="en-PH"/>
              </w:rPr>
            </w:pPr>
            <w:r w:rsidRPr="00F9794D">
              <w:rPr>
                <w:rFonts w:ascii="Arial" w:hAnsi="Arial" w:cs="Arial"/>
                <w:sz w:val="18"/>
                <w:szCs w:val="18"/>
              </w:rPr>
              <w:t>Body Attractiveness</w:t>
            </w:r>
          </w:p>
        </w:tc>
        <w:tc>
          <w:tcPr>
            <w:tcW w:w="993" w:type="dxa"/>
          </w:tcPr>
          <w:p w14:paraId="79142DB5" w14:textId="77777777" w:rsidR="00F9794D" w:rsidRPr="00B02400" w:rsidRDefault="00F9794D" w:rsidP="001D3E52">
            <w:pPr>
              <w:jc w:val="center"/>
              <w:rPr>
                <w:rFonts w:ascii="Arial" w:hAnsi="Arial" w:cs="Arial"/>
              </w:rPr>
            </w:pPr>
            <w:r w:rsidRPr="00B02400">
              <w:rPr>
                <w:rFonts w:ascii="Arial" w:hAnsi="Arial" w:cs="Arial"/>
              </w:rPr>
              <w:t>.218**</w:t>
            </w:r>
          </w:p>
          <w:p w14:paraId="162A60FB" w14:textId="78C95443" w:rsidR="00F9794D" w:rsidRPr="00B02400" w:rsidRDefault="00F9794D" w:rsidP="001D3E5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w:t>
            </w:r>
            <w:r w:rsidR="002B1CA7">
              <w:rPr>
                <w:rFonts w:ascii="Arial" w:hAnsi="Arial" w:cs="Arial"/>
                <w:color w:val="000000"/>
                <w:lang w:eastAsia="en-PH"/>
              </w:rPr>
              <w:t>1</w:t>
            </w:r>
            <w:r w:rsidRPr="00B02400">
              <w:rPr>
                <w:rFonts w:ascii="Arial" w:hAnsi="Arial" w:cs="Arial"/>
                <w:color w:val="000000"/>
                <w:lang w:eastAsia="en-PH"/>
              </w:rPr>
              <w:t>)</w:t>
            </w:r>
          </w:p>
        </w:tc>
        <w:tc>
          <w:tcPr>
            <w:tcW w:w="1275" w:type="dxa"/>
          </w:tcPr>
          <w:p w14:paraId="72D74A22" w14:textId="77777777" w:rsidR="00F9794D" w:rsidRPr="00B02400" w:rsidRDefault="00F9794D" w:rsidP="001D3E52">
            <w:pPr>
              <w:jc w:val="center"/>
              <w:rPr>
                <w:rFonts w:ascii="Arial" w:hAnsi="Arial" w:cs="Arial"/>
              </w:rPr>
            </w:pPr>
            <w:r w:rsidRPr="00B02400">
              <w:rPr>
                <w:rFonts w:ascii="Arial" w:hAnsi="Arial" w:cs="Arial"/>
              </w:rPr>
              <w:t>.280**</w:t>
            </w:r>
          </w:p>
          <w:p w14:paraId="4843E918" w14:textId="7FE0012C" w:rsidR="00F9794D" w:rsidRPr="00B02400" w:rsidRDefault="00F9794D" w:rsidP="001D3E5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w:t>
            </w:r>
            <w:r w:rsidR="002B1CA7">
              <w:rPr>
                <w:rFonts w:ascii="Arial" w:hAnsi="Arial" w:cs="Arial"/>
                <w:color w:val="000000"/>
                <w:lang w:eastAsia="en-PH"/>
              </w:rPr>
              <w:t>1</w:t>
            </w:r>
            <w:r w:rsidRPr="00B02400">
              <w:rPr>
                <w:rFonts w:ascii="Arial" w:hAnsi="Arial" w:cs="Arial"/>
                <w:color w:val="000000"/>
                <w:lang w:eastAsia="en-PH"/>
              </w:rPr>
              <w:t>)</w:t>
            </w:r>
          </w:p>
        </w:tc>
        <w:tc>
          <w:tcPr>
            <w:tcW w:w="1276" w:type="dxa"/>
          </w:tcPr>
          <w:p w14:paraId="7052298A" w14:textId="77777777" w:rsidR="00F9794D" w:rsidRPr="00B02400" w:rsidRDefault="00F9794D" w:rsidP="001D3E52">
            <w:pPr>
              <w:jc w:val="center"/>
              <w:rPr>
                <w:rFonts w:ascii="Arial" w:hAnsi="Arial" w:cs="Arial"/>
              </w:rPr>
            </w:pPr>
            <w:r w:rsidRPr="00B02400">
              <w:rPr>
                <w:rFonts w:ascii="Arial" w:hAnsi="Arial" w:cs="Arial"/>
              </w:rPr>
              <w:t>.202**</w:t>
            </w:r>
          </w:p>
          <w:p w14:paraId="1B107B96" w14:textId="602F2675" w:rsidR="00F9794D" w:rsidRPr="00B02400" w:rsidRDefault="00F9794D" w:rsidP="001D3E5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w:t>
            </w:r>
            <w:r w:rsidR="002B1CA7">
              <w:rPr>
                <w:rFonts w:ascii="Arial" w:hAnsi="Arial" w:cs="Arial"/>
                <w:color w:val="000000"/>
                <w:lang w:eastAsia="en-PH"/>
              </w:rPr>
              <w:t>1</w:t>
            </w:r>
            <w:r w:rsidRPr="00B02400">
              <w:rPr>
                <w:rFonts w:ascii="Arial" w:hAnsi="Arial" w:cs="Arial"/>
                <w:color w:val="000000"/>
                <w:lang w:eastAsia="en-PH"/>
              </w:rPr>
              <w:t>)</w:t>
            </w:r>
          </w:p>
        </w:tc>
        <w:tc>
          <w:tcPr>
            <w:tcW w:w="1134" w:type="dxa"/>
            <w:hideMark/>
          </w:tcPr>
          <w:p w14:paraId="6261E50F" w14:textId="77777777" w:rsidR="00F9794D" w:rsidRPr="00B02400" w:rsidRDefault="00F9794D" w:rsidP="001D3E52">
            <w:pPr>
              <w:jc w:val="center"/>
              <w:rPr>
                <w:rFonts w:ascii="Arial" w:hAnsi="Arial" w:cs="Arial"/>
              </w:rPr>
            </w:pPr>
            <w:r w:rsidRPr="00B02400">
              <w:rPr>
                <w:rFonts w:ascii="Arial" w:hAnsi="Arial" w:cs="Arial"/>
              </w:rPr>
              <w:t>.310**</w:t>
            </w:r>
          </w:p>
          <w:p w14:paraId="609D59CC" w14:textId="26C805E0" w:rsidR="00F9794D" w:rsidRPr="00B02400" w:rsidRDefault="00F9794D" w:rsidP="001D3E5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w:t>
            </w:r>
            <w:r w:rsidR="002B1CA7">
              <w:rPr>
                <w:rFonts w:ascii="Arial" w:hAnsi="Arial" w:cs="Arial"/>
                <w:color w:val="000000"/>
                <w:lang w:eastAsia="en-PH"/>
              </w:rPr>
              <w:t>1</w:t>
            </w:r>
            <w:r w:rsidRPr="00B02400">
              <w:rPr>
                <w:rFonts w:ascii="Arial" w:hAnsi="Arial" w:cs="Arial"/>
                <w:color w:val="000000"/>
                <w:lang w:eastAsia="en-PH"/>
              </w:rPr>
              <w:t>)</w:t>
            </w:r>
          </w:p>
        </w:tc>
        <w:tc>
          <w:tcPr>
            <w:tcW w:w="992" w:type="dxa"/>
          </w:tcPr>
          <w:p w14:paraId="0F8ACFCA" w14:textId="77777777" w:rsidR="00F9794D" w:rsidRPr="00B02400" w:rsidRDefault="00F9794D" w:rsidP="001D3E52">
            <w:pPr>
              <w:jc w:val="center"/>
              <w:rPr>
                <w:rFonts w:ascii="Arial" w:hAnsi="Arial" w:cs="Arial"/>
              </w:rPr>
            </w:pPr>
            <w:r w:rsidRPr="00B02400">
              <w:rPr>
                <w:rFonts w:ascii="Arial" w:hAnsi="Arial" w:cs="Arial"/>
              </w:rPr>
              <w:t>.258**</w:t>
            </w:r>
          </w:p>
          <w:p w14:paraId="5B522257" w14:textId="340A6FC6" w:rsidR="00F9794D" w:rsidRPr="00B02400" w:rsidRDefault="00F9794D" w:rsidP="001D3E52">
            <w:pPr>
              <w:jc w:val="center"/>
              <w:rPr>
                <w:rFonts w:ascii="Arial" w:hAnsi="Arial" w:cs="Arial"/>
              </w:rPr>
            </w:pPr>
            <w:r w:rsidRPr="00B02400">
              <w:rPr>
                <w:rFonts w:ascii="Arial" w:hAnsi="Arial" w:cs="Arial"/>
              </w:rPr>
              <w:t>(</w:t>
            </w:r>
            <w:r w:rsidRPr="00B02400">
              <w:rPr>
                <w:rFonts w:ascii="Arial" w:hAnsi="Arial" w:cs="Arial"/>
                <w:color w:val="000000"/>
                <w:lang w:eastAsia="en-PH"/>
              </w:rPr>
              <w:t>0.00</w:t>
            </w:r>
            <w:r w:rsidR="002B1CA7">
              <w:rPr>
                <w:rFonts w:ascii="Arial" w:hAnsi="Arial" w:cs="Arial"/>
                <w:color w:val="000000"/>
                <w:lang w:eastAsia="en-PH"/>
              </w:rPr>
              <w:t>1</w:t>
            </w:r>
            <w:r w:rsidRPr="00B02400">
              <w:rPr>
                <w:rFonts w:ascii="Arial" w:hAnsi="Arial" w:cs="Arial"/>
                <w:color w:val="000000"/>
                <w:lang w:eastAsia="en-PH"/>
              </w:rPr>
              <w:t>)</w:t>
            </w:r>
          </w:p>
        </w:tc>
        <w:tc>
          <w:tcPr>
            <w:tcW w:w="851" w:type="dxa"/>
            <w:hideMark/>
          </w:tcPr>
          <w:p w14:paraId="78FC5904" w14:textId="77777777" w:rsidR="00F9794D" w:rsidRPr="00B02400" w:rsidRDefault="00F9794D" w:rsidP="001D3E52">
            <w:pPr>
              <w:jc w:val="center"/>
              <w:rPr>
                <w:rFonts w:ascii="Arial" w:hAnsi="Arial" w:cs="Arial"/>
              </w:rPr>
            </w:pPr>
            <w:r w:rsidRPr="00B02400">
              <w:rPr>
                <w:rFonts w:ascii="Arial" w:hAnsi="Arial" w:cs="Arial"/>
              </w:rPr>
              <w:t>.198**</w:t>
            </w:r>
          </w:p>
          <w:p w14:paraId="03EFE07F" w14:textId="265A1EF6" w:rsidR="00F9794D" w:rsidRPr="00B02400" w:rsidRDefault="00F9794D" w:rsidP="001D3E5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w:t>
            </w:r>
            <w:r w:rsidR="002B1CA7">
              <w:rPr>
                <w:rFonts w:ascii="Arial" w:hAnsi="Arial" w:cs="Arial"/>
                <w:color w:val="000000"/>
                <w:lang w:eastAsia="en-PH"/>
              </w:rPr>
              <w:t>1</w:t>
            </w:r>
            <w:r w:rsidRPr="00B02400">
              <w:rPr>
                <w:rFonts w:ascii="Arial" w:hAnsi="Arial" w:cs="Arial"/>
                <w:color w:val="000000"/>
                <w:lang w:eastAsia="en-PH"/>
              </w:rPr>
              <w:t>)</w:t>
            </w:r>
          </w:p>
        </w:tc>
        <w:tc>
          <w:tcPr>
            <w:tcW w:w="884" w:type="dxa"/>
            <w:hideMark/>
          </w:tcPr>
          <w:p w14:paraId="24842D4C" w14:textId="77777777" w:rsidR="00F9794D" w:rsidRPr="00B02400" w:rsidRDefault="00F9794D" w:rsidP="001D3E52">
            <w:pPr>
              <w:jc w:val="center"/>
              <w:rPr>
                <w:rFonts w:ascii="Arial" w:hAnsi="Arial" w:cs="Arial"/>
              </w:rPr>
            </w:pPr>
            <w:r w:rsidRPr="00B02400">
              <w:rPr>
                <w:rFonts w:ascii="Arial" w:hAnsi="Arial" w:cs="Arial"/>
              </w:rPr>
              <w:t>.340**</w:t>
            </w:r>
          </w:p>
          <w:p w14:paraId="7DCA892F" w14:textId="6210C4A0" w:rsidR="00F9794D" w:rsidRPr="00B02400" w:rsidRDefault="00F9794D" w:rsidP="001D3E5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w:t>
            </w:r>
            <w:r w:rsidR="002B1CA7">
              <w:rPr>
                <w:rFonts w:ascii="Arial" w:hAnsi="Arial" w:cs="Arial"/>
                <w:color w:val="000000"/>
                <w:lang w:eastAsia="en-PH"/>
              </w:rPr>
              <w:t>1</w:t>
            </w:r>
            <w:r w:rsidRPr="00B02400">
              <w:rPr>
                <w:rFonts w:ascii="Arial" w:hAnsi="Arial" w:cs="Arial"/>
                <w:color w:val="000000"/>
                <w:lang w:eastAsia="en-PH"/>
              </w:rPr>
              <w:t>)</w:t>
            </w:r>
          </w:p>
        </w:tc>
      </w:tr>
      <w:tr w:rsidR="00F9794D" w:rsidRPr="001C3683" w14:paraId="73287B06" w14:textId="77777777" w:rsidTr="001D3E52">
        <w:trPr>
          <w:cantSplit/>
          <w:trHeight w:val="485"/>
        </w:trPr>
        <w:tc>
          <w:tcPr>
            <w:tcW w:w="1809" w:type="dxa"/>
            <w:vAlign w:val="center"/>
          </w:tcPr>
          <w:p w14:paraId="6B155D98" w14:textId="77777777" w:rsidR="00F9794D" w:rsidRPr="00F9794D" w:rsidRDefault="00F9794D" w:rsidP="001D3E52">
            <w:pPr>
              <w:rPr>
                <w:rFonts w:ascii="Arial" w:hAnsi="Arial" w:cs="Arial"/>
                <w:color w:val="000000"/>
                <w:sz w:val="18"/>
                <w:szCs w:val="18"/>
                <w:lang w:eastAsia="en-PH"/>
              </w:rPr>
            </w:pPr>
            <w:r w:rsidRPr="00F9794D">
              <w:rPr>
                <w:rFonts w:ascii="Arial" w:hAnsi="Arial" w:cs="Arial"/>
                <w:sz w:val="18"/>
                <w:szCs w:val="18"/>
              </w:rPr>
              <w:t>Physical Strength</w:t>
            </w:r>
          </w:p>
        </w:tc>
        <w:tc>
          <w:tcPr>
            <w:tcW w:w="993" w:type="dxa"/>
          </w:tcPr>
          <w:p w14:paraId="2DB46FD4" w14:textId="77777777" w:rsidR="00F9794D" w:rsidRPr="00B02400" w:rsidRDefault="00F9794D" w:rsidP="001D3E52">
            <w:pPr>
              <w:jc w:val="center"/>
              <w:rPr>
                <w:rFonts w:ascii="Arial" w:hAnsi="Arial" w:cs="Arial"/>
              </w:rPr>
            </w:pPr>
            <w:r w:rsidRPr="00B02400">
              <w:rPr>
                <w:rFonts w:ascii="Arial" w:hAnsi="Arial" w:cs="Arial"/>
              </w:rPr>
              <w:t>.194**</w:t>
            </w:r>
          </w:p>
          <w:p w14:paraId="7E32E929" w14:textId="0DAADEE9" w:rsidR="00F9794D" w:rsidRPr="00B02400" w:rsidRDefault="00F9794D" w:rsidP="001D3E5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w:t>
            </w:r>
            <w:r w:rsidR="002B1CA7">
              <w:rPr>
                <w:rFonts w:ascii="Arial" w:hAnsi="Arial" w:cs="Arial"/>
                <w:color w:val="000000"/>
                <w:lang w:eastAsia="en-PH"/>
              </w:rPr>
              <w:t>1</w:t>
            </w:r>
            <w:r w:rsidRPr="00B02400">
              <w:rPr>
                <w:rFonts w:ascii="Arial" w:hAnsi="Arial" w:cs="Arial"/>
                <w:color w:val="000000"/>
                <w:lang w:eastAsia="en-PH"/>
              </w:rPr>
              <w:t>)</w:t>
            </w:r>
          </w:p>
        </w:tc>
        <w:tc>
          <w:tcPr>
            <w:tcW w:w="1275" w:type="dxa"/>
          </w:tcPr>
          <w:p w14:paraId="0227BF3D" w14:textId="77777777" w:rsidR="00F9794D" w:rsidRPr="00B02400" w:rsidRDefault="00F9794D" w:rsidP="001D3E52">
            <w:pPr>
              <w:jc w:val="center"/>
              <w:rPr>
                <w:rFonts w:ascii="Arial" w:hAnsi="Arial" w:cs="Arial"/>
              </w:rPr>
            </w:pPr>
            <w:r w:rsidRPr="00B02400">
              <w:rPr>
                <w:rFonts w:ascii="Arial" w:hAnsi="Arial" w:cs="Arial"/>
              </w:rPr>
              <w:t>.228**</w:t>
            </w:r>
          </w:p>
          <w:p w14:paraId="49E025A8" w14:textId="10D47FF2" w:rsidR="00F9794D" w:rsidRPr="00B02400" w:rsidRDefault="00F9794D" w:rsidP="001D3E5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w:t>
            </w:r>
            <w:r w:rsidR="002B1CA7">
              <w:rPr>
                <w:rFonts w:ascii="Arial" w:hAnsi="Arial" w:cs="Arial"/>
                <w:color w:val="000000"/>
                <w:lang w:eastAsia="en-PH"/>
              </w:rPr>
              <w:t>1</w:t>
            </w:r>
            <w:r w:rsidRPr="00B02400">
              <w:rPr>
                <w:rFonts w:ascii="Arial" w:hAnsi="Arial" w:cs="Arial"/>
                <w:color w:val="000000"/>
                <w:lang w:eastAsia="en-PH"/>
              </w:rPr>
              <w:t>)</w:t>
            </w:r>
          </w:p>
        </w:tc>
        <w:tc>
          <w:tcPr>
            <w:tcW w:w="1276" w:type="dxa"/>
          </w:tcPr>
          <w:p w14:paraId="3711751A" w14:textId="77777777" w:rsidR="00F9794D" w:rsidRPr="00B02400" w:rsidRDefault="00F9794D" w:rsidP="001D3E52">
            <w:pPr>
              <w:jc w:val="center"/>
              <w:rPr>
                <w:rFonts w:ascii="Arial" w:hAnsi="Arial" w:cs="Arial"/>
              </w:rPr>
            </w:pPr>
            <w:r w:rsidRPr="00B02400">
              <w:rPr>
                <w:rFonts w:ascii="Arial" w:hAnsi="Arial" w:cs="Arial"/>
              </w:rPr>
              <w:t>.177**</w:t>
            </w:r>
          </w:p>
          <w:p w14:paraId="33C63379" w14:textId="65F250F4" w:rsidR="00F9794D" w:rsidRPr="00B02400" w:rsidRDefault="00F9794D" w:rsidP="001D3E5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w:t>
            </w:r>
            <w:r w:rsidR="002B1CA7">
              <w:rPr>
                <w:rFonts w:ascii="Arial" w:hAnsi="Arial" w:cs="Arial"/>
                <w:color w:val="000000"/>
                <w:lang w:eastAsia="en-PH"/>
              </w:rPr>
              <w:t>1</w:t>
            </w:r>
            <w:r w:rsidRPr="00B02400">
              <w:rPr>
                <w:rFonts w:ascii="Arial" w:hAnsi="Arial" w:cs="Arial"/>
                <w:color w:val="000000"/>
                <w:lang w:eastAsia="en-PH"/>
              </w:rPr>
              <w:t>)</w:t>
            </w:r>
          </w:p>
        </w:tc>
        <w:tc>
          <w:tcPr>
            <w:tcW w:w="1134" w:type="dxa"/>
          </w:tcPr>
          <w:p w14:paraId="55B1784E" w14:textId="77777777" w:rsidR="00F9794D" w:rsidRPr="00B02400" w:rsidRDefault="00F9794D" w:rsidP="001D3E52">
            <w:pPr>
              <w:jc w:val="center"/>
              <w:rPr>
                <w:rFonts w:ascii="Arial" w:hAnsi="Arial" w:cs="Arial"/>
              </w:rPr>
            </w:pPr>
            <w:r w:rsidRPr="00B02400">
              <w:rPr>
                <w:rFonts w:ascii="Arial" w:hAnsi="Arial" w:cs="Arial"/>
              </w:rPr>
              <w:t>.336**</w:t>
            </w:r>
          </w:p>
          <w:p w14:paraId="14612FE4" w14:textId="73840251" w:rsidR="00F9794D" w:rsidRPr="00B02400" w:rsidRDefault="00F9794D" w:rsidP="001D3E5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w:t>
            </w:r>
            <w:r w:rsidR="002B1CA7">
              <w:rPr>
                <w:rFonts w:ascii="Arial" w:hAnsi="Arial" w:cs="Arial"/>
                <w:color w:val="000000"/>
                <w:lang w:eastAsia="en-PH"/>
              </w:rPr>
              <w:t>1</w:t>
            </w:r>
            <w:r w:rsidRPr="00B02400">
              <w:rPr>
                <w:rFonts w:ascii="Arial" w:hAnsi="Arial" w:cs="Arial"/>
                <w:color w:val="000000"/>
                <w:lang w:eastAsia="en-PH"/>
              </w:rPr>
              <w:t>)</w:t>
            </w:r>
          </w:p>
        </w:tc>
        <w:tc>
          <w:tcPr>
            <w:tcW w:w="992" w:type="dxa"/>
          </w:tcPr>
          <w:p w14:paraId="6F76F25A" w14:textId="77777777" w:rsidR="00F9794D" w:rsidRPr="00B02400" w:rsidRDefault="00F9794D" w:rsidP="001D3E52">
            <w:pPr>
              <w:jc w:val="center"/>
              <w:rPr>
                <w:rFonts w:ascii="Arial" w:hAnsi="Arial" w:cs="Arial"/>
              </w:rPr>
            </w:pPr>
            <w:r w:rsidRPr="00B02400">
              <w:rPr>
                <w:rFonts w:ascii="Arial" w:hAnsi="Arial" w:cs="Arial"/>
              </w:rPr>
              <w:t>.200**</w:t>
            </w:r>
          </w:p>
          <w:p w14:paraId="413C4D33" w14:textId="52AF9138" w:rsidR="00F9794D" w:rsidRPr="00B02400" w:rsidRDefault="00F9794D" w:rsidP="001D3E52">
            <w:pPr>
              <w:jc w:val="center"/>
              <w:rPr>
                <w:rFonts w:ascii="Arial" w:hAnsi="Arial" w:cs="Arial"/>
              </w:rPr>
            </w:pPr>
            <w:r w:rsidRPr="00B02400">
              <w:rPr>
                <w:rFonts w:ascii="Arial" w:hAnsi="Arial" w:cs="Arial"/>
              </w:rPr>
              <w:t>(</w:t>
            </w:r>
            <w:r w:rsidRPr="00B02400">
              <w:rPr>
                <w:rFonts w:ascii="Arial" w:hAnsi="Arial" w:cs="Arial"/>
                <w:color w:val="000000"/>
                <w:lang w:eastAsia="en-PH"/>
              </w:rPr>
              <w:t>0.00</w:t>
            </w:r>
            <w:r w:rsidR="002B1CA7">
              <w:rPr>
                <w:rFonts w:ascii="Arial" w:hAnsi="Arial" w:cs="Arial"/>
                <w:color w:val="000000"/>
                <w:lang w:eastAsia="en-PH"/>
              </w:rPr>
              <w:t>1</w:t>
            </w:r>
            <w:r w:rsidRPr="00B02400">
              <w:rPr>
                <w:rFonts w:ascii="Arial" w:hAnsi="Arial" w:cs="Arial"/>
                <w:color w:val="000000"/>
                <w:lang w:eastAsia="en-PH"/>
              </w:rPr>
              <w:t>)</w:t>
            </w:r>
          </w:p>
        </w:tc>
        <w:tc>
          <w:tcPr>
            <w:tcW w:w="851" w:type="dxa"/>
          </w:tcPr>
          <w:p w14:paraId="416A6396" w14:textId="77777777" w:rsidR="00F9794D" w:rsidRPr="00B02400" w:rsidRDefault="00F9794D" w:rsidP="001D3E52">
            <w:pPr>
              <w:jc w:val="center"/>
              <w:rPr>
                <w:rFonts w:ascii="Arial" w:hAnsi="Arial" w:cs="Arial"/>
              </w:rPr>
            </w:pPr>
            <w:r w:rsidRPr="00B02400">
              <w:rPr>
                <w:rFonts w:ascii="Arial" w:hAnsi="Arial" w:cs="Arial"/>
              </w:rPr>
              <w:t>.182**</w:t>
            </w:r>
          </w:p>
          <w:p w14:paraId="297B44F7" w14:textId="0876C855" w:rsidR="00F9794D" w:rsidRPr="00B02400" w:rsidRDefault="00F9794D" w:rsidP="001D3E5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w:t>
            </w:r>
            <w:r w:rsidR="002B1CA7">
              <w:rPr>
                <w:rFonts w:ascii="Arial" w:hAnsi="Arial" w:cs="Arial"/>
                <w:color w:val="000000"/>
                <w:lang w:eastAsia="en-PH"/>
              </w:rPr>
              <w:t>1</w:t>
            </w:r>
            <w:r w:rsidRPr="00B02400">
              <w:rPr>
                <w:rFonts w:ascii="Arial" w:hAnsi="Arial" w:cs="Arial"/>
                <w:color w:val="000000"/>
                <w:lang w:eastAsia="en-PH"/>
              </w:rPr>
              <w:t>)</w:t>
            </w:r>
          </w:p>
        </w:tc>
        <w:tc>
          <w:tcPr>
            <w:tcW w:w="884" w:type="dxa"/>
          </w:tcPr>
          <w:p w14:paraId="7911788A" w14:textId="77777777" w:rsidR="00F9794D" w:rsidRPr="00B02400" w:rsidRDefault="00F9794D" w:rsidP="001D3E52">
            <w:pPr>
              <w:jc w:val="center"/>
              <w:rPr>
                <w:rFonts w:ascii="Arial" w:hAnsi="Arial" w:cs="Arial"/>
              </w:rPr>
            </w:pPr>
            <w:r w:rsidRPr="00B02400">
              <w:rPr>
                <w:rFonts w:ascii="Arial" w:hAnsi="Arial" w:cs="Arial"/>
              </w:rPr>
              <w:t>.303**</w:t>
            </w:r>
          </w:p>
          <w:p w14:paraId="2E4A4AE8" w14:textId="4ADFF5D7" w:rsidR="00F9794D" w:rsidRPr="00B02400" w:rsidRDefault="00F9794D" w:rsidP="001D3E5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w:t>
            </w:r>
            <w:r w:rsidR="002B1CA7">
              <w:rPr>
                <w:rFonts w:ascii="Arial" w:hAnsi="Arial" w:cs="Arial"/>
                <w:color w:val="000000"/>
                <w:lang w:eastAsia="en-PH"/>
              </w:rPr>
              <w:t>1</w:t>
            </w:r>
            <w:r w:rsidRPr="00B02400">
              <w:rPr>
                <w:rFonts w:ascii="Arial" w:hAnsi="Arial" w:cs="Arial"/>
                <w:color w:val="000000"/>
                <w:lang w:eastAsia="en-PH"/>
              </w:rPr>
              <w:t>)</w:t>
            </w:r>
          </w:p>
        </w:tc>
      </w:tr>
      <w:tr w:rsidR="00F9794D" w:rsidRPr="001C3683" w14:paraId="0BD3F006" w14:textId="77777777" w:rsidTr="001D3E52">
        <w:trPr>
          <w:cantSplit/>
          <w:trHeight w:val="437"/>
        </w:trPr>
        <w:tc>
          <w:tcPr>
            <w:tcW w:w="1809" w:type="dxa"/>
            <w:vAlign w:val="center"/>
            <w:hideMark/>
          </w:tcPr>
          <w:p w14:paraId="73047FBA" w14:textId="77777777" w:rsidR="00F9794D" w:rsidRPr="00B02400" w:rsidRDefault="00F9794D" w:rsidP="001D3E52">
            <w:pPr>
              <w:jc w:val="center"/>
              <w:rPr>
                <w:rFonts w:ascii="Arial" w:hAnsi="Arial" w:cs="Arial"/>
                <w:b/>
                <w:bCs/>
                <w:color w:val="000000"/>
                <w:lang w:eastAsia="en-PH"/>
              </w:rPr>
            </w:pPr>
            <w:r w:rsidRPr="00B02400">
              <w:rPr>
                <w:rFonts w:ascii="Arial" w:hAnsi="Arial" w:cs="Arial"/>
                <w:b/>
                <w:bCs/>
                <w:color w:val="000000"/>
                <w:lang w:eastAsia="en-PH"/>
              </w:rPr>
              <w:t>Overall</w:t>
            </w:r>
          </w:p>
        </w:tc>
        <w:tc>
          <w:tcPr>
            <w:tcW w:w="993" w:type="dxa"/>
          </w:tcPr>
          <w:p w14:paraId="0EA4E7CD" w14:textId="77777777" w:rsidR="00F9794D" w:rsidRPr="00B02400" w:rsidRDefault="00F9794D" w:rsidP="001D3E52">
            <w:pPr>
              <w:jc w:val="center"/>
              <w:rPr>
                <w:rFonts w:ascii="Arial" w:hAnsi="Arial" w:cs="Arial"/>
              </w:rPr>
            </w:pPr>
            <w:r w:rsidRPr="00B02400">
              <w:rPr>
                <w:rFonts w:ascii="Arial" w:hAnsi="Arial" w:cs="Arial"/>
              </w:rPr>
              <w:t>.317**</w:t>
            </w:r>
          </w:p>
          <w:p w14:paraId="675D663B" w14:textId="17A94145" w:rsidR="00F9794D" w:rsidRPr="00B02400" w:rsidRDefault="00F9794D" w:rsidP="001D3E5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w:t>
            </w:r>
            <w:r w:rsidR="002B1CA7">
              <w:rPr>
                <w:rFonts w:ascii="Arial" w:hAnsi="Arial" w:cs="Arial"/>
                <w:color w:val="000000"/>
                <w:lang w:eastAsia="en-PH"/>
              </w:rPr>
              <w:t>1</w:t>
            </w:r>
            <w:r w:rsidRPr="00B02400">
              <w:rPr>
                <w:rFonts w:ascii="Arial" w:hAnsi="Arial" w:cs="Arial"/>
                <w:color w:val="000000"/>
                <w:lang w:eastAsia="en-PH"/>
              </w:rPr>
              <w:t>)</w:t>
            </w:r>
          </w:p>
        </w:tc>
        <w:tc>
          <w:tcPr>
            <w:tcW w:w="1275" w:type="dxa"/>
          </w:tcPr>
          <w:p w14:paraId="0527DF92" w14:textId="77777777" w:rsidR="00F9794D" w:rsidRPr="00B02400" w:rsidRDefault="00F9794D" w:rsidP="001D3E52">
            <w:pPr>
              <w:jc w:val="center"/>
              <w:rPr>
                <w:rFonts w:ascii="Arial" w:hAnsi="Arial" w:cs="Arial"/>
              </w:rPr>
            </w:pPr>
            <w:r w:rsidRPr="00B02400">
              <w:rPr>
                <w:rFonts w:ascii="Arial" w:hAnsi="Arial" w:cs="Arial"/>
              </w:rPr>
              <w:t>.383**</w:t>
            </w:r>
          </w:p>
          <w:p w14:paraId="65B89A5C" w14:textId="681397B0" w:rsidR="00F9794D" w:rsidRPr="00B02400" w:rsidRDefault="00F9794D" w:rsidP="001D3E5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w:t>
            </w:r>
            <w:r w:rsidR="002B1CA7">
              <w:rPr>
                <w:rFonts w:ascii="Arial" w:hAnsi="Arial" w:cs="Arial"/>
                <w:color w:val="000000"/>
                <w:lang w:eastAsia="en-PH"/>
              </w:rPr>
              <w:t>1</w:t>
            </w:r>
            <w:r w:rsidRPr="00B02400">
              <w:rPr>
                <w:rFonts w:ascii="Arial" w:hAnsi="Arial" w:cs="Arial"/>
                <w:color w:val="000000"/>
                <w:lang w:eastAsia="en-PH"/>
              </w:rPr>
              <w:t>)</w:t>
            </w:r>
          </w:p>
        </w:tc>
        <w:tc>
          <w:tcPr>
            <w:tcW w:w="1276" w:type="dxa"/>
          </w:tcPr>
          <w:p w14:paraId="7606AFB5" w14:textId="77777777" w:rsidR="00F9794D" w:rsidRPr="00B02400" w:rsidRDefault="00F9794D" w:rsidP="001D3E52">
            <w:pPr>
              <w:jc w:val="center"/>
              <w:rPr>
                <w:rFonts w:ascii="Arial" w:hAnsi="Arial" w:cs="Arial"/>
              </w:rPr>
            </w:pPr>
            <w:r w:rsidRPr="00B02400">
              <w:rPr>
                <w:rFonts w:ascii="Arial" w:hAnsi="Arial" w:cs="Arial"/>
              </w:rPr>
              <w:t>.263**</w:t>
            </w:r>
          </w:p>
          <w:p w14:paraId="798FAF5B" w14:textId="267CD143" w:rsidR="00F9794D" w:rsidRPr="00B02400" w:rsidRDefault="00F9794D" w:rsidP="001D3E5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w:t>
            </w:r>
            <w:r w:rsidR="002B1CA7">
              <w:rPr>
                <w:rFonts w:ascii="Arial" w:hAnsi="Arial" w:cs="Arial"/>
                <w:color w:val="000000"/>
                <w:lang w:eastAsia="en-PH"/>
              </w:rPr>
              <w:t>1</w:t>
            </w:r>
            <w:r w:rsidRPr="00B02400">
              <w:rPr>
                <w:rFonts w:ascii="Arial" w:hAnsi="Arial" w:cs="Arial"/>
                <w:color w:val="000000"/>
                <w:lang w:eastAsia="en-PH"/>
              </w:rPr>
              <w:t>)</w:t>
            </w:r>
          </w:p>
        </w:tc>
        <w:tc>
          <w:tcPr>
            <w:tcW w:w="1134" w:type="dxa"/>
            <w:hideMark/>
          </w:tcPr>
          <w:p w14:paraId="184738F6" w14:textId="77777777" w:rsidR="00F9794D" w:rsidRPr="00B02400" w:rsidRDefault="00F9794D" w:rsidP="001D3E52">
            <w:pPr>
              <w:jc w:val="center"/>
              <w:rPr>
                <w:rFonts w:ascii="Arial" w:hAnsi="Arial" w:cs="Arial"/>
              </w:rPr>
            </w:pPr>
            <w:r w:rsidRPr="00B02400">
              <w:rPr>
                <w:rFonts w:ascii="Arial" w:hAnsi="Arial" w:cs="Arial"/>
              </w:rPr>
              <w:t>.410**</w:t>
            </w:r>
          </w:p>
          <w:p w14:paraId="7F60F56D" w14:textId="22F1A142" w:rsidR="00F9794D" w:rsidRPr="00B02400" w:rsidRDefault="00F9794D" w:rsidP="001D3E5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w:t>
            </w:r>
            <w:r w:rsidR="002B1CA7">
              <w:rPr>
                <w:rFonts w:ascii="Arial" w:hAnsi="Arial" w:cs="Arial"/>
                <w:color w:val="000000"/>
                <w:lang w:eastAsia="en-PH"/>
              </w:rPr>
              <w:t>1</w:t>
            </w:r>
            <w:r w:rsidRPr="00B02400">
              <w:rPr>
                <w:rFonts w:ascii="Arial" w:hAnsi="Arial" w:cs="Arial"/>
                <w:color w:val="000000"/>
                <w:lang w:eastAsia="en-PH"/>
              </w:rPr>
              <w:t>)</w:t>
            </w:r>
          </w:p>
        </w:tc>
        <w:tc>
          <w:tcPr>
            <w:tcW w:w="992" w:type="dxa"/>
          </w:tcPr>
          <w:p w14:paraId="45B4626A" w14:textId="77777777" w:rsidR="00F9794D" w:rsidRPr="00B02400" w:rsidRDefault="00F9794D" w:rsidP="001D3E52">
            <w:pPr>
              <w:jc w:val="center"/>
              <w:rPr>
                <w:rFonts w:ascii="Arial" w:hAnsi="Arial" w:cs="Arial"/>
              </w:rPr>
            </w:pPr>
            <w:r w:rsidRPr="00B02400">
              <w:rPr>
                <w:rFonts w:ascii="Arial" w:hAnsi="Arial" w:cs="Arial"/>
              </w:rPr>
              <w:t>.183**</w:t>
            </w:r>
          </w:p>
          <w:p w14:paraId="34305440" w14:textId="43EEE2A9" w:rsidR="00F9794D" w:rsidRPr="00B02400" w:rsidRDefault="00F9794D" w:rsidP="001D3E52">
            <w:pPr>
              <w:jc w:val="center"/>
              <w:rPr>
                <w:rFonts w:ascii="Arial" w:hAnsi="Arial" w:cs="Arial"/>
              </w:rPr>
            </w:pPr>
            <w:r w:rsidRPr="00B02400">
              <w:rPr>
                <w:rFonts w:ascii="Arial" w:hAnsi="Arial" w:cs="Arial"/>
              </w:rPr>
              <w:t>(</w:t>
            </w:r>
            <w:r w:rsidRPr="00B02400">
              <w:rPr>
                <w:rFonts w:ascii="Arial" w:hAnsi="Arial" w:cs="Arial"/>
                <w:color w:val="000000"/>
                <w:lang w:eastAsia="en-PH"/>
              </w:rPr>
              <w:t>0.00</w:t>
            </w:r>
            <w:r w:rsidR="002B1CA7">
              <w:rPr>
                <w:rFonts w:ascii="Arial" w:hAnsi="Arial" w:cs="Arial"/>
                <w:color w:val="000000"/>
                <w:lang w:eastAsia="en-PH"/>
              </w:rPr>
              <w:t>1</w:t>
            </w:r>
            <w:r w:rsidRPr="00B02400">
              <w:rPr>
                <w:rFonts w:ascii="Arial" w:hAnsi="Arial" w:cs="Arial"/>
                <w:color w:val="000000"/>
                <w:lang w:eastAsia="en-PH"/>
              </w:rPr>
              <w:t>)</w:t>
            </w:r>
          </w:p>
        </w:tc>
        <w:tc>
          <w:tcPr>
            <w:tcW w:w="851" w:type="dxa"/>
            <w:hideMark/>
          </w:tcPr>
          <w:p w14:paraId="3D1CE9A0" w14:textId="77777777" w:rsidR="00F9794D" w:rsidRPr="00B02400" w:rsidRDefault="00F9794D" w:rsidP="001D3E52">
            <w:pPr>
              <w:jc w:val="center"/>
              <w:rPr>
                <w:rFonts w:ascii="Arial" w:hAnsi="Arial" w:cs="Arial"/>
              </w:rPr>
            </w:pPr>
            <w:r w:rsidRPr="00B02400">
              <w:rPr>
                <w:rFonts w:ascii="Arial" w:hAnsi="Arial" w:cs="Arial"/>
              </w:rPr>
              <w:t>.208**</w:t>
            </w:r>
          </w:p>
          <w:p w14:paraId="193B78D1" w14:textId="731D0533" w:rsidR="00F9794D" w:rsidRPr="00B02400" w:rsidRDefault="00F9794D" w:rsidP="001D3E52">
            <w:pPr>
              <w:jc w:val="center"/>
              <w:rPr>
                <w:rFonts w:ascii="Arial" w:hAnsi="Arial" w:cs="Arial"/>
                <w:color w:val="000000"/>
                <w:lang w:eastAsia="en-PH"/>
              </w:rPr>
            </w:pPr>
            <w:r w:rsidRPr="00B02400">
              <w:rPr>
                <w:rFonts w:ascii="Arial" w:hAnsi="Arial" w:cs="Arial"/>
              </w:rPr>
              <w:t>(</w:t>
            </w:r>
            <w:r w:rsidRPr="00B02400">
              <w:rPr>
                <w:rFonts w:ascii="Arial" w:hAnsi="Arial" w:cs="Arial"/>
                <w:color w:val="000000"/>
                <w:lang w:eastAsia="en-PH"/>
              </w:rPr>
              <w:t>0.00</w:t>
            </w:r>
            <w:r w:rsidR="002B1CA7">
              <w:rPr>
                <w:rFonts w:ascii="Arial" w:hAnsi="Arial" w:cs="Arial"/>
                <w:color w:val="000000"/>
                <w:lang w:eastAsia="en-PH"/>
              </w:rPr>
              <w:t>1</w:t>
            </w:r>
            <w:r w:rsidRPr="00B02400">
              <w:rPr>
                <w:rFonts w:ascii="Arial" w:hAnsi="Arial" w:cs="Arial"/>
                <w:color w:val="000000"/>
                <w:lang w:eastAsia="en-PH"/>
              </w:rPr>
              <w:t>)</w:t>
            </w:r>
          </w:p>
        </w:tc>
        <w:tc>
          <w:tcPr>
            <w:tcW w:w="884" w:type="dxa"/>
            <w:hideMark/>
          </w:tcPr>
          <w:p w14:paraId="1996ADAA" w14:textId="77777777" w:rsidR="00F9794D" w:rsidRPr="00B02400" w:rsidRDefault="00F9794D" w:rsidP="001D3E52">
            <w:pPr>
              <w:jc w:val="center"/>
              <w:rPr>
                <w:rFonts w:ascii="Arial" w:hAnsi="Arial" w:cs="Arial"/>
                <w:b/>
                <w:bCs/>
              </w:rPr>
            </w:pPr>
            <w:r w:rsidRPr="00B02400">
              <w:rPr>
                <w:rFonts w:ascii="Arial" w:hAnsi="Arial" w:cs="Arial"/>
                <w:b/>
                <w:bCs/>
              </w:rPr>
              <w:t>.397**</w:t>
            </w:r>
          </w:p>
          <w:p w14:paraId="44910E07" w14:textId="3027471D" w:rsidR="00F9794D" w:rsidRPr="00B02400" w:rsidRDefault="00F9794D" w:rsidP="001D3E52">
            <w:pPr>
              <w:jc w:val="center"/>
              <w:rPr>
                <w:rFonts w:ascii="Arial" w:hAnsi="Arial" w:cs="Arial"/>
                <w:color w:val="000000"/>
                <w:lang w:eastAsia="en-PH"/>
              </w:rPr>
            </w:pPr>
            <w:r w:rsidRPr="00B02400">
              <w:rPr>
                <w:rFonts w:ascii="Arial" w:hAnsi="Arial" w:cs="Arial"/>
                <w:b/>
                <w:bCs/>
              </w:rPr>
              <w:t>(</w:t>
            </w:r>
            <w:r w:rsidRPr="00B02400">
              <w:rPr>
                <w:rFonts w:ascii="Arial" w:hAnsi="Arial" w:cs="Arial"/>
                <w:b/>
                <w:bCs/>
                <w:color w:val="000000"/>
                <w:lang w:eastAsia="en-PH"/>
              </w:rPr>
              <w:t>0.00</w:t>
            </w:r>
            <w:r w:rsidR="002B1CA7">
              <w:rPr>
                <w:rFonts w:ascii="Arial" w:hAnsi="Arial" w:cs="Arial"/>
                <w:b/>
                <w:bCs/>
                <w:color w:val="000000"/>
                <w:lang w:eastAsia="en-PH"/>
              </w:rPr>
              <w:t>1</w:t>
            </w:r>
            <w:r w:rsidRPr="00B02400">
              <w:rPr>
                <w:rFonts w:ascii="Arial" w:hAnsi="Arial" w:cs="Arial"/>
                <w:b/>
                <w:bCs/>
                <w:color w:val="000000"/>
                <w:lang w:eastAsia="en-PH"/>
              </w:rPr>
              <w:t>)</w:t>
            </w:r>
          </w:p>
        </w:tc>
      </w:tr>
    </w:tbl>
    <w:p w14:paraId="5CABC29C" w14:textId="77777777" w:rsidR="00F9794D" w:rsidRPr="000248C7" w:rsidRDefault="00F9794D" w:rsidP="00F9794D">
      <w:pPr>
        <w:pStyle w:val="Default"/>
        <w:jc w:val="both"/>
        <w:rPr>
          <w:rFonts w:ascii="Arial" w:eastAsia="TimesNewRomanPSMT" w:hAnsi="Arial" w:cs="Arial"/>
          <w:color w:val="auto"/>
          <w:sz w:val="14"/>
          <w:szCs w:val="14"/>
          <w:lang w:eastAsia="zh-CN" w:bidi="ar"/>
        </w:rPr>
      </w:pPr>
      <w:r w:rsidRPr="000248C7">
        <w:rPr>
          <w:rFonts w:ascii="Arial" w:eastAsia="TimesNewRomanPSMT" w:hAnsi="Arial" w:cs="Arial"/>
          <w:color w:val="auto"/>
          <w:sz w:val="14"/>
          <w:szCs w:val="14"/>
          <w:lang w:eastAsia="zh-CN" w:bidi="ar"/>
        </w:rPr>
        <w:t>*Significant at 0.05 significance level</w:t>
      </w:r>
    </w:p>
    <w:p w14:paraId="16643223" w14:textId="4455CFDC" w:rsidR="00F9794D" w:rsidRDefault="00F9794D" w:rsidP="00F9794D">
      <w:pPr>
        <w:pStyle w:val="Body"/>
        <w:spacing w:after="0"/>
        <w:rPr>
          <w:rFonts w:ascii="Arial" w:hAnsi="Arial" w:cs="Arial"/>
        </w:rPr>
      </w:pPr>
      <w:r w:rsidRPr="000248C7">
        <w:rPr>
          <w:rFonts w:ascii="Arial" w:eastAsia="TimesNewRomanPSMT" w:hAnsi="Arial" w:cs="Arial"/>
          <w:sz w:val="14"/>
          <w:szCs w:val="14"/>
          <w:lang w:eastAsia="zh-CN" w:bidi="ar"/>
        </w:rPr>
        <w:t>**Significant at 0.01 significance level</w:t>
      </w:r>
    </w:p>
    <w:p w14:paraId="34777FDF" w14:textId="77777777" w:rsidR="00F9794D" w:rsidRPr="007A5143" w:rsidRDefault="00F9794D" w:rsidP="00F9794D">
      <w:pPr>
        <w:pStyle w:val="Body"/>
        <w:spacing w:after="0"/>
        <w:rPr>
          <w:rFonts w:ascii="Arial" w:hAnsi="Arial" w:cs="Arial"/>
        </w:rPr>
      </w:pPr>
    </w:p>
    <w:p w14:paraId="3111019C" w14:textId="312A38CA" w:rsidR="00C30A0F" w:rsidRDefault="007A5143" w:rsidP="005C01D5">
      <w:pPr>
        <w:pStyle w:val="Body"/>
        <w:spacing w:after="0"/>
        <w:ind w:firstLine="720"/>
        <w:rPr>
          <w:rFonts w:ascii="Arial" w:hAnsi="Arial" w:cs="Arial"/>
        </w:rPr>
      </w:pPr>
      <w:r w:rsidRPr="007A5143">
        <w:rPr>
          <w:rFonts w:ascii="Arial" w:hAnsi="Arial" w:cs="Arial"/>
        </w:rPr>
        <w:t xml:space="preserve">The findings imply that students with higher physical self-perception, particularly in terms of sports competence and physical conditioning, tend to report greater situational interest in PE. The significant positive relationships imply that when students feel confident in their physical abilities and body image, they are more likely to engage with and enjoy PE activities. This is in line with the findings reported by </w:t>
      </w:r>
      <w:proofErr w:type="spellStart"/>
      <w:r w:rsidRPr="007A5143">
        <w:rPr>
          <w:rFonts w:ascii="Arial" w:hAnsi="Arial" w:cs="Arial"/>
        </w:rPr>
        <w:t>Monacis</w:t>
      </w:r>
      <w:proofErr w:type="spellEnd"/>
      <w:r w:rsidRPr="007A5143">
        <w:rPr>
          <w:rFonts w:ascii="Arial" w:hAnsi="Arial" w:cs="Arial"/>
        </w:rPr>
        <w:t xml:space="preserve"> et al. (2022), which states that physical self-perception plays a vital role in promoting enjoyment and physical activity, which are recognized as key precursors to situational interest in PE. Although their study focused on general physical activity, self-perception influenced activity through enjoyment, strongly supports the idea that enhancing physical self-perception can effectively increase students’ in-the-moment interest and engagement in PE settings. Similarly, while González</w:t>
      </w:r>
      <w:r w:rsidRPr="007A5143">
        <w:rPr>
          <w:rFonts w:ascii="Cambria Math" w:hAnsi="Cambria Math" w:cs="Cambria Math"/>
        </w:rPr>
        <w:t>‑</w:t>
      </w:r>
      <w:r w:rsidRPr="007A5143">
        <w:rPr>
          <w:rFonts w:ascii="Arial" w:hAnsi="Arial" w:cs="Arial"/>
        </w:rPr>
        <w:t>Gutiérrez et al. (2025) did not explicitly measure situational interest, their findings revealed that students with higher physical self-perception demonstrated greater enjoyment, willingness to participate, and attentiveness, closely aligning with core dimensions of situational interest such as instant enjoyment, exploration intention, and focused attention. These findings are consistent with Bandura’s Social Cognitive Theory, which asserts that self-efficacy influences individuals’ motivation and engagement in challenging tasks (Bandura, 1986). Together, both studies underscore the importance of fostering physical self-perception as a strategic means to enhance situational interest and active participation in physical education.</w:t>
      </w:r>
      <w:r w:rsidR="00C30A0F" w:rsidRPr="00FB3A86">
        <w:rPr>
          <w:rFonts w:ascii="Arial" w:hAnsi="Arial" w:cs="Arial"/>
        </w:rPr>
        <w:t xml:space="preserve"> </w:t>
      </w:r>
    </w:p>
    <w:p w14:paraId="74779350" w14:textId="77777777" w:rsidR="00E053D0" w:rsidRDefault="00E053D0" w:rsidP="00441B6F">
      <w:pPr>
        <w:pStyle w:val="Body"/>
        <w:spacing w:after="0"/>
        <w:rPr>
          <w:rFonts w:ascii="Arial" w:hAnsi="Arial" w:cs="Arial"/>
        </w:rPr>
      </w:pPr>
    </w:p>
    <w:p w14:paraId="003A8FE9" w14:textId="08802673" w:rsidR="005C01D5" w:rsidRPr="005C01D5" w:rsidRDefault="005C01D5" w:rsidP="005C01D5">
      <w:pPr>
        <w:pStyle w:val="Body"/>
        <w:spacing w:after="0"/>
        <w:rPr>
          <w:rFonts w:ascii="Arial" w:hAnsi="Arial" w:cs="Arial"/>
          <w:b/>
          <w:bCs/>
        </w:rPr>
      </w:pPr>
      <w:r w:rsidRPr="005C01D5">
        <w:rPr>
          <w:rFonts w:ascii="Arial" w:hAnsi="Arial" w:cs="Arial"/>
          <w:b/>
          <w:bCs/>
        </w:rPr>
        <w:t>3.6 Influence of Predictor Variables on Student Situational Interest in PE</w:t>
      </w:r>
    </w:p>
    <w:p w14:paraId="61AF95EA" w14:textId="246AB8D5" w:rsidR="005C01D5" w:rsidRDefault="005C01D5" w:rsidP="005C01D5">
      <w:pPr>
        <w:pStyle w:val="Body"/>
        <w:spacing w:after="0"/>
        <w:rPr>
          <w:rFonts w:ascii="Arial" w:hAnsi="Arial" w:cs="Arial"/>
        </w:rPr>
      </w:pPr>
      <w:r w:rsidRPr="005C01D5">
        <w:rPr>
          <w:rFonts w:ascii="Arial" w:hAnsi="Arial" w:cs="Arial"/>
        </w:rPr>
        <w:tab/>
        <w:t xml:space="preserve">Illustrated in Table 6 is the data that determined whether teacher interpersonal behavior and physical self-perception significantly influence situational interest in PE among university students. As presented, both independent variables showed significant contributions to the dependent variable. Specifically, teacher interpersonal behavior has a computed t-value of 4.50 </w:t>
      </w:r>
      <w:r w:rsidRPr="005C01D5">
        <w:rPr>
          <w:rFonts w:ascii="Arial" w:hAnsi="Arial" w:cs="Arial"/>
          <w:i/>
          <w:iCs/>
        </w:rPr>
        <w:t>(P =</w:t>
      </w:r>
      <w:r w:rsidRPr="005C01D5">
        <w:rPr>
          <w:rFonts w:ascii="Arial" w:hAnsi="Arial" w:cs="Arial"/>
        </w:rPr>
        <w:t xml:space="preserve"> .00</w:t>
      </w:r>
      <w:r w:rsidR="002B1CA7">
        <w:rPr>
          <w:rFonts w:ascii="Arial" w:hAnsi="Arial" w:cs="Arial"/>
        </w:rPr>
        <w:t>1</w:t>
      </w:r>
      <w:r w:rsidRPr="005C01D5">
        <w:rPr>
          <w:rFonts w:ascii="Arial" w:hAnsi="Arial" w:cs="Arial"/>
        </w:rPr>
        <w:t xml:space="preserve">), indicating a statistically significant influence on situational interest in PE. This means that students who perceive their PE teachers to be more supportive, engaging, or positively interactive are more likely to show increased interest in the subject. Likewise, physical self-perception recorded a higher t-value of 8.88 </w:t>
      </w:r>
      <w:r w:rsidRPr="005C01D5">
        <w:rPr>
          <w:rFonts w:ascii="Arial" w:hAnsi="Arial" w:cs="Arial"/>
          <w:i/>
          <w:iCs/>
        </w:rPr>
        <w:t>(P =</w:t>
      </w:r>
      <w:r w:rsidRPr="005C01D5">
        <w:rPr>
          <w:rFonts w:ascii="Arial" w:hAnsi="Arial" w:cs="Arial"/>
        </w:rPr>
        <w:t xml:space="preserve"> .00</w:t>
      </w:r>
      <w:r w:rsidR="002B1CA7">
        <w:rPr>
          <w:rFonts w:ascii="Arial" w:hAnsi="Arial" w:cs="Arial"/>
        </w:rPr>
        <w:t>1</w:t>
      </w:r>
      <w:r w:rsidRPr="005C01D5">
        <w:rPr>
          <w:rFonts w:ascii="Arial" w:hAnsi="Arial" w:cs="Arial"/>
        </w:rPr>
        <w:t xml:space="preserve">), further affirming its significant impact on situational interest. </w:t>
      </w:r>
    </w:p>
    <w:p w14:paraId="0DBA4A13" w14:textId="77777777" w:rsidR="005C01D5" w:rsidRDefault="005C01D5" w:rsidP="005C01D5">
      <w:pPr>
        <w:pStyle w:val="Body"/>
        <w:spacing w:after="0"/>
        <w:rPr>
          <w:rFonts w:ascii="Arial" w:hAnsi="Arial" w:cs="Arial"/>
        </w:rPr>
      </w:pPr>
    </w:p>
    <w:p w14:paraId="5FF44F1D" w14:textId="77777777" w:rsidR="009F6FBF" w:rsidRDefault="009F6FBF" w:rsidP="005C01D5">
      <w:pPr>
        <w:pStyle w:val="Body"/>
        <w:spacing w:after="0"/>
        <w:rPr>
          <w:rFonts w:ascii="Arial" w:hAnsi="Arial" w:cs="Arial"/>
        </w:rPr>
      </w:pPr>
    </w:p>
    <w:p w14:paraId="257533D5" w14:textId="77777777" w:rsidR="009F6FBF" w:rsidRDefault="009F6FBF" w:rsidP="005C01D5">
      <w:pPr>
        <w:pStyle w:val="Body"/>
        <w:spacing w:after="0"/>
        <w:rPr>
          <w:rFonts w:ascii="Arial" w:hAnsi="Arial" w:cs="Arial"/>
        </w:rPr>
      </w:pPr>
    </w:p>
    <w:p w14:paraId="3C7A31E5" w14:textId="77777777" w:rsidR="00F9794D" w:rsidRPr="00B02400" w:rsidRDefault="00F9794D" w:rsidP="00F9794D">
      <w:pPr>
        <w:tabs>
          <w:tab w:val="left" w:pos="1650"/>
        </w:tabs>
        <w:suppressAutoHyphens/>
        <w:rPr>
          <w:rFonts w:ascii="Arial" w:hAnsi="Arial" w:cs="Arial"/>
          <w:b/>
          <w:bCs/>
          <w:lang w:eastAsia="ar-SA"/>
        </w:rPr>
      </w:pPr>
      <w:r w:rsidRPr="00B02400">
        <w:rPr>
          <w:rFonts w:ascii="Arial" w:hAnsi="Arial" w:cs="Arial"/>
          <w:b/>
          <w:bCs/>
          <w:lang w:eastAsia="ar-SA"/>
        </w:rPr>
        <w:t>Table 6</w:t>
      </w:r>
    </w:p>
    <w:p w14:paraId="36D9012C" w14:textId="77777777" w:rsidR="00F9794D" w:rsidRPr="00B02400" w:rsidRDefault="00F9794D" w:rsidP="00F9794D">
      <w:pPr>
        <w:pStyle w:val="NoSpacing"/>
        <w:spacing w:line="480" w:lineRule="auto"/>
        <w:ind w:left="720" w:hanging="720"/>
        <w:jc w:val="both"/>
        <w:rPr>
          <w:rFonts w:ascii="Arial" w:hAnsi="Arial" w:cs="Arial"/>
          <w:b/>
          <w:bCs/>
          <w:i/>
          <w:iCs/>
          <w:sz w:val="20"/>
          <w:szCs w:val="20"/>
        </w:rPr>
      </w:pPr>
      <w:r w:rsidRPr="00B02400">
        <w:rPr>
          <w:rFonts w:ascii="Arial" w:hAnsi="Arial" w:cs="Arial"/>
          <w:b/>
          <w:bCs/>
          <w:i/>
          <w:iCs/>
          <w:sz w:val="20"/>
          <w:szCs w:val="20"/>
        </w:rPr>
        <w:t>Extent of Influence of Predictor Variables on Student Situational Interest in PE</w:t>
      </w: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425"/>
        <w:gridCol w:w="1776"/>
        <w:gridCol w:w="1717"/>
        <w:gridCol w:w="1160"/>
        <w:gridCol w:w="971"/>
        <w:gridCol w:w="951"/>
        <w:gridCol w:w="917"/>
      </w:tblGrid>
      <w:tr w:rsidR="00F9794D" w:rsidRPr="00B02400" w14:paraId="58D3A9D1" w14:textId="77777777" w:rsidTr="00F9794D">
        <w:trPr>
          <w:trHeight w:val="445"/>
        </w:trPr>
        <w:tc>
          <w:tcPr>
            <w:tcW w:w="8364" w:type="dxa"/>
            <w:gridSpan w:val="8"/>
            <w:tcBorders>
              <w:top w:val="single" w:sz="4" w:space="0" w:color="auto"/>
              <w:bottom w:val="single" w:sz="4" w:space="0" w:color="auto"/>
            </w:tcBorders>
            <w:vAlign w:val="center"/>
          </w:tcPr>
          <w:p w14:paraId="3E0ECCCD" w14:textId="77777777" w:rsidR="00F9794D" w:rsidRPr="00B02400" w:rsidRDefault="00F9794D" w:rsidP="001D3E52">
            <w:pPr>
              <w:pStyle w:val="NoSpacing"/>
              <w:jc w:val="center"/>
              <w:rPr>
                <w:rFonts w:ascii="Arial" w:eastAsia="Times New Roman" w:hAnsi="Arial" w:cs="Arial"/>
                <w:b/>
                <w:bCs/>
                <w:kern w:val="0"/>
                <w:sz w:val="20"/>
                <w:szCs w:val="20"/>
                <w:lang w:eastAsia="en-PH"/>
              </w:rPr>
            </w:pPr>
            <w:r w:rsidRPr="00B02400">
              <w:rPr>
                <w:rFonts w:ascii="Arial" w:eastAsia="Times New Roman" w:hAnsi="Arial" w:cs="Arial"/>
                <w:b/>
                <w:bCs/>
                <w:kern w:val="0"/>
                <w:sz w:val="20"/>
                <w:szCs w:val="20"/>
                <w:lang w:eastAsia="en-PH"/>
              </w:rPr>
              <w:t>Student Situational Interest in PE (Dependent Variable)</w:t>
            </w:r>
          </w:p>
        </w:tc>
      </w:tr>
      <w:tr w:rsidR="00F9794D" w:rsidRPr="00B02400" w14:paraId="566BA295" w14:textId="77777777" w:rsidTr="00F9794D">
        <w:trPr>
          <w:trHeight w:val="728"/>
        </w:trPr>
        <w:tc>
          <w:tcPr>
            <w:tcW w:w="2694" w:type="dxa"/>
            <w:gridSpan w:val="3"/>
            <w:tcBorders>
              <w:top w:val="single" w:sz="4" w:space="0" w:color="auto"/>
              <w:bottom w:val="single" w:sz="4" w:space="0" w:color="auto"/>
            </w:tcBorders>
            <w:vAlign w:val="center"/>
          </w:tcPr>
          <w:p w14:paraId="4B268C7E" w14:textId="77777777" w:rsidR="00F9794D" w:rsidRPr="00B02400" w:rsidRDefault="00F9794D" w:rsidP="001D3E52">
            <w:pPr>
              <w:pStyle w:val="NoSpacing"/>
              <w:jc w:val="center"/>
              <w:rPr>
                <w:rFonts w:ascii="Arial" w:hAnsi="Arial" w:cs="Arial"/>
                <w:sz w:val="20"/>
                <w:szCs w:val="20"/>
              </w:rPr>
            </w:pPr>
            <w:r w:rsidRPr="00B02400">
              <w:rPr>
                <w:rFonts w:ascii="Arial" w:eastAsia="Times New Roman" w:hAnsi="Arial" w:cs="Arial"/>
                <w:b/>
                <w:bCs/>
                <w:kern w:val="0"/>
                <w:sz w:val="20"/>
                <w:szCs w:val="20"/>
                <w:lang w:eastAsia="en-PH"/>
              </w:rPr>
              <w:t>Independent Variables</w:t>
            </w:r>
          </w:p>
        </w:tc>
        <w:tc>
          <w:tcPr>
            <w:tcW w:w="1631" w:type="dxa"/>
            <w:tcBorders>
              <w:top w:val="single" w:sz="4" w:space="0" w:color="auto"/>
              <w:bottom w:val="single" w:sz="4" w:space="0" w:color="auto"/>
            </w:tcBorders>
            <w:vAlign w:val="center"/>
          </w:tcPr>
          <w:p w14:paraId="20E8A840" w14:textId="77777777" w:rsidR="00F9794D" w:rsidRPr="00B02400" w:rsidRDefault="00F9794D" w:rsidP="001D3E52">
            <w:pPr>
              <w:pStyle w:val="NoSpacing"/>
              <w:jc w:val="center"/>
              <w:rPr>
                <w:rFonts w:ascii="Arial" w:hAnsi="Arial" w:cs="Arial"/>
                <w:sz w:val="20"/>
                <w:szCs w:val="20"/>
              </w:rPr>
            </w:pPr>
            <w:r w:rsidRPr="00B02400">
              <w:rPr>
                <w:rFonts w:ascii="Arial" w:eastAsia="Times New Roman" w:hAnsi="Arial" w:cs="Arial"/>
                <w:b/>
                <w:bCs/>
                <w:kern w:val="0"/>
                <w:sz w:val="20"/>
                <w:szCs w:val="20"/>
                <w:lang w:eastAsia="en-PH"/>
              </w:rPr>
              <w:t>Unstandardized Beta</w:t>
            </w:r>
          </w:p>
        </w:tc>
        <w:tc>
          <w:tcPr>
            <w:tcW w:w="1173" w:type="dxa"/>
            <w:tcBorders>
              <w:top w:val="single" w:sz="4" w:space="0" w:color="auto"/>
              <w:bottom w:val="single" w:sz="4" w:space="0" w:color="auto"/>
            </w:tcBorders>
            <w:vAlign w:val="center"/>
          </w:tcPr>
          <w:p w14:paraId="188B5700" w14:textId="77777777" w:rsidR="00F9794D" w:rsidRPr="00B02400" w:rsidRDefault="00F9794D" w:rsidP="001D3E52">
            <w:pPr>
              <w:pStyle w:val="NoSpacing"/>
              <w:jc w:val="center"/>
              <w:rPr>
                <w:rFonts w:ascii="Arial" w:hAnsi="Arial" w:cs="Arial"/>
                <w:sz w:val="20"/>
                <w:szCs w:val="20"/>
              </w:rPr>
            </w:pPr>
            <w:r w:rsidRPr="00B02400">
              <w:rPr>
                <w:rFonts w:ascii="Arial" w:eastAsia="Times New Roman" w:hAnsi="Arial" w:cs="Arial"/>
                <w:b/>
                <w:bCs/>
                <w:kern w:val="0"/>
                <w:sz w:val="20"/>
                <w:szCs w:val="20"/>
                <w:lang w:eastAsia="en-PH"/>
              </w:rPr>
              <w:t>SE</w:t>
            </w:r>
          </w:p>
        </w:tc>
        <w:tc>
          <w:tcPr>
            <w:tcW w:w="977" w:type="dxa"/>
            <w:tcBorders>
              <w:top w:val="single" w:sz="4" w:space="0" w:color="auto"/>
              <w:bottom w:val="single" w:sz="4" w:space="0" w:color="auto"/>
            </w:tcBorders>
            <w:vAlign w:val="center"/>
          </w:tcPr>
          <w:p w14:paraId="349553DF" w14:textId="77777777" w:rsidR="00F9794D" w:rsidRPr="00B02400" w:rsidRDefault="00F9794D" w:rsidP="001D3E52">
            <w:pPr>
              <w:pStyle w:val="NoSpacing"/>
              <w:jc w:val="center"/>
              <w:rPr>
                <w:rFonts w:ascii="Arial" w:hAnsi="Arial" w:cs="Arial"/>
                <w:sz w:val="20"/>
                <w:szCs w:val="20"/>
              </w:rPr>
            </w:pPr>
            <w:r w:rsidRPr="00B02400">
              <w:rPr>
                <w:rFonts w:ascii="Arial" w:eastAsia="Times New Roman" w:hAnsi="Arial" w:cs="Arial"/>
                <w:b/>
                <w:bCs/>
                <w:kern w:val="0"/>
                <w:sz w:val="20"/>
                <w:szCs w:val="20"/>
                <w:lang w:eastAsia="en-PH"/>
              </w:rPr>
              <w:t>Stand. Beta</w:t>
            </w:r>
          </w:p>
        </w:tc>
        <w:tc>
          <w:tcPr>
            <w:tcW w:w="960" w:type="dxa"/>
            <w:tcBorders>
              <w:top w:val="single" w:sz="4" w:space="0" w:color="auto"/>
              <w:bottom w:val="single" w:sz="4" w:space="0" w:color="auto"/>
            </w:tcBorders>
            <w:vAlign w:val="center"/>
          </w:tcPr>
          <w:p w14:paraId="5FBF66AE" w14:textId="77777777" w:rsidR="00F9794D" w:rsidRPr="00B02400" w:rsidRDefault="00F9794D" w:rsidP="001D3E52">
            <w:pPr>
              <w:pStyle w:val="NoSpacing"/>
              <w:jc w:val="center"/>
              <w:rPr>
                <w:rFonts w:ascii="Arial" w:hAnsi="Arial" w:cs="Arial"/>
                <w:sz w:val="20"/>
                <w:szCs w:val="20"/>
              </w:rPr>
            </w:pPr>
            <w:r w:rsidRPr="00B02400">
              <w:rPr>
                <w:rFonts w:ascii="Arial" w:eastAsia="Times New Roman" w:hAnsi="Arial" w:cs="Arial"/>
                <w:b/>
                <w:bCs/>
                <w:kern w:val="0"/>
                <w:sz w:val="20"/>
                <w:szCs w:val="20"/>
                <w:lang w:eastAsia="en-PH"/>
              </w:rPr>
              <w:t>t</w:t>
            </w:r>
          </w:p>
        </w:tc>
        <w:tc>
          <w:tcPr>
            <w:tcW w:w="929" w:type="dxa"/>
            <w:tcBorders>
              <w:top w:val="single" w:sz="4" w:space="0" w:color="auto"/>
              <w:bottom w:val="single" w:sz="4" w:space="0" w:color="auto"/>
            </w:tcBorders>
            <w:vAlign w:val="center"/>
          </w:tcPr>
          <w:p w14:paraId="4CD304CA" w14:textId="77777777" w:rsidR="00F9794D" w:rsidRPr="00B02400" w:rsidRDefault="00F9794D" w:rsidP="001D3E52">
            <w:pPr>
              <w:pStyle w:val="NoSpacing"/>
              <w:jc w:val="center"/>
              <w:rPr>
                <w:rFonts w:ascii="Arial" w:hAnsi="Arial" w:cs="Arial"/>
                <w:b/>
                <w:bCs/>
                <w:i/>
                <w:iCs/>
                <w:sz w:val="20"/>
                <w:szCs w:val="20"/>
              </w:rPr>
            </w:pPr>
            <w:r w:rsidRPr="00B02400">
              <w:rPr>
                <w:rFonts w:ascii="Arial" w:hAnsi="Arial" w:cs="Arial"/>
                <w:b/>
                <w:bCs/>
                <w:i/>
                <w:iCs/>
                <w:sz w:val="20"/>
                <w:szCs w:val="20"/>
              </w:rPr>
              <w:t>P</w:t>
            </w:r>
          </w:p>
        </w:tc>
      </w:tr>
      <w:tr w:rsidR="00F9794D" w:rsidRPr="00B02400" w14:paraId="0981000F" w14:textId="77777777" w:rsidTr="00F9794D">
        <w:trPr>
          <w:trHeight w:val="412"/>
        </w:trPr>
        <w:tc>
          <w:tcPr>
            <w:tcW w:w="2694" w:type="dxa"/>
            <w:gridSpan w:val="3"/>
            <w:tcBorders>
              <w:top w:val="single" w:sz="4" w:space="0" w:color="auto"/>
            </w:tcBorders>
          </w:tcPr>
          <w:p w14:paraId="7A4908DD" w14:textId="77777777" w:rsidR="00F9794D" w:rsidRPr="00B02400" w:rsidRDefault="00F9794D" w:rsidP="001D3E52">
            <w:pPr>
              <w:pStyle w:val="NoSpacing"/>
              <w:rPr>
                <w:rFonts w:ascii="Arial" w:hAnsi="Arial" w:cs="Arial"/>
                <w:sz w:val="20"/>
                <w:szCs w:val="20"/>
              </w:rPr>
            </w:pPr>
            <w:r w:rsidRPr="00B02400">
              <w:rPr>
                <w:rFonts w:ascii="Arial" w:eastAsia="Times New Roman" w:hAnsi="Arial" w:cs="Arial"/>
                <w:b/>
                <w:bCs/>
                <w:kern w:val="0"/>
                <w:sz w:val="20"/>
                <w:szCs w:val="20"/>
                <w:lang w:eastAsia="en-PH"/>
              </w:rPr>
              <w:t>Constant</w:t>
            </w:r>
          </w:p>
        </w:tc>
        <w:tc>
          <w:tcPr>
            <w:tcW w:w="1631" w:type="dxa"/>
            <w:tcBorders>
              <w:top w:val="single" w:sz="4" w:space="0" w:color="auto"/>
            </w:tcBorders>
          </w:tcPr>
          <w:p w14:paraId="5EE60536" w14:textId="77777777" w:rsidR="00F9794D" w:rsidRPr="00B02400" w:rsidRDefault="00F9794D" w:rsidP="001D3E52">
            <w:pPr>
              <w:pStyle w:val="NoSpacing"/>
              <w:jc w:val="center"/>
              <w:rPr>
                <w:rFonts w:ascii="Arial" w:hAnsi="Arial" w:cs="Arial"/>
                <w:sz w:val="20"/>
                <w:szCs w:val="20"/>
              </w:rPr>
            </w:pPr>
            <w:r w:rsidRPr="00B02400">
              <w:rPr>
                <w:rFonts w:ascii="Arial" w:hAnsi="Arial" w:cs="Arial"/>
                <w:sz w:val="20"/>
                <w:szCs w:val="20"/>
              </w:rPr>
              <w:t>2.236</w:t>
            </w:r>
          </w:p>
        </w:tc>
        <w:tc>
          <w:tcPr>
            <w:tcW w:w="1173" w:type="dxa"/>
            <w:tcBorders>
              <w:top w:val="single" w:sz="4" w:space="0" w:color="auto"/>
            </w:tcBorders>
          </w:tcPr>
          <w:p w14:paraId="3962DD6E" w14:textId="77777777" w:rsidR="00F9794D" w:rsidRPr="00B02400" w:rsidRDefault="00F9794D" w:rsidP="001D3E52">
            <w:pPr>
              <w:pStyle w:val="NoSpacing"/>
              <w:jc w:val="center"/>
              <w:rPr>
                <w:rFonts w:ascii="Arial" w:hAnsi="Arial" w:cs="Arial"/>
                <w:sz w:val="20"/>
                <w:szCs w:val="20"/>
              </w:rPr>
            </w:pPr>
            <w:r w:rsidRPr="00B02400">
              <w:rPr>
                <w:rFonts w:ascii="Arial" w:hAnsi="Arial" w:cs="Arial"/>
                <w:sz w:val="20"/>
                <w:szCs w:val="20"/>
              </w:rPr>
              <w:t>0.2094</w:t>
            </w:r>
          </w:p>
        </w:tc>
        <w:tc>
          <w:tcPr>
            <w:tcW w:w="977" w:type="dxa"/>
            <w:tcBorders>
              <w:top w:val="single" w:sz="4" w:space="0" w:color="auto"/>
            </w:tcBorders>
          </w:tcPr>
          <w:p w14:paraId="20D5A59F" w14:textId="77777777" w:rsidR="00F9794D" w:rsidRPr="00B02400" w:rsidRDefault="00F9794D" w:rsidP="001D3E52">
            <w:pPr>
              <w:pStyle w:val="NoSpacing"/>
              <w:jc w:val="center"/>
              <w:rPr>
                <w:rFonts w:ascii="Arial" w:hAnsi="Arial" w:cs="Arial"/>
                <w:sz w:val="20"/>
                <w:szCs w:val="20"/>
              </w:rPr>
            </w:pPr>
          </w:p>
        </w:tc>
        <w:tc>
          <w:tcPr>
            <w:tcW w:w="960" w:type="dxa"/>
            <w:tcBorders>
              <w:top w:val="single" w:sz="4" w:space="0" w:color="auto"/>
            </w:tcBorders>
          </w:tcPr>
          <w:p w14:paraId="3F3F8460" w14:textId="77777777" w:rsidR="00F9794D" w:rsidRPr="00B02400" w:rsidRDefault="00F9794D" w:rsidP="001D3E52">
            <w:pPr>
              <w:pStyle w:val="NoSpacing"/>
              <w:jc w:val="center"/>
              <w:rPr>
                <w:rFonts w:ascii="Arial" w:hAnsi="Arial" w:cs="Arial"/>
                <w:sz w:val="20"/>
                <w:szCs w:val="20"/>
              </w:rPr>
            </w:pPr>
            <w:r w:rsidRPr="00B02400">
              <w:rPr>
                <w:rFonts w:ascii="Arial" w:hAnsi="Arial" w:cs="Arial"/>
                <w:sz w:val="20"/>
                <w:szCs w:val="20"/>
              </w:rPr>
              <w:t>10.68</w:t>
            </w:r>
          </w:p>
        </w:tc>
        <w:tc>
          <w:tcPr>
            <w:tcW w:w="929" w:type="dxa"/>
            <w:tcBorders>
              <w:top w:val="single" w:sz="4" w:space="0" w:color="auto"/>
            </w:tcBorders>
          </w:tcPr>
          <w:p w14:paraId="02C638E3" w14:textId="64B65130" w:rsidR="00F9794D" w:rsidRPr="00B02400" w:rsidRDefault="00F9794D" w:rsidP="001D3E52">
            <w:pPr>
              <w:pStyle w:val="NoSpacing"/>
              <w:jc w:val="center"/>
              <w:rPr>
                <w:rFonts w:ascii="Arial" w:hAnsi="Arial" w:cs="Arial"/>
                <w:sz w:val="20"/>
                <w:szCs w:val="20"/>
              </w:rPr>
            </w:pPr>
            <w:r w:rsidRPr="00B02400">
              <w:rPr>
                <w:rFonts w:ascii="Arial" w:eastAsia="Times New Roman" w:hAnsi="Arial" w:cs="Arial"/>
                <w:kern w:val="36"/>
                <w:sz w:val="20"/>
                <w:szCs w:val="20"/>
                <w:lang w:eastAsia="en-PH"/>
              </w:rPr>
              <w:t>.00</w:t>
            </w:r>
            <w:r w:rsidR="002B1CA7">
              <w:rPr>
                <w:rFonts w:ascii="Arial" w:eastAsia="Times New Roman" w:hAnsi="Arial" w:cs="Arial"/>
                <w:kern w:val="36"/>
                <w:sz w:val="20"/>
                <w:szCs w:val="20"/>
                <w:lang w:eastAsia="en-PH"/>
              </w:rPr>
              <w:t>1</w:t>
            </w:r>
          </w:p>
        </w:tc>
      </w:tr>
      <w:tr w:rsidR="00F9794D" w:rsidRPr="00B02400" w14:paraId="26BA0E37" w14:textId="77777777" w:rsidTr="00F9794D">
        <w:trPr>
          <w:trHeight w:val="677"/>
        </w:trPr>
        <w:tc>
          <w:tcPr>
            <w:tcW w:w="2694" w:type="dxa"/>
            <w:gridSpan w:val="3"/>
          </w:tcPr>
          <w:p w14:paraId="34EBFDA5" w14:textId="77777777" w:rsidR="00F9794D" w:rsidRPr="00B02400" w:rsidRDefault="00F9794D" w:rsidP="001D3E52">
            <w:pPr>
              <w:pStyle w:val="NoSpacing"/>
              <w:rPr>
                <w:rFonts w:ascii="Arial" w:hAnsi="Arial" w:cs="Arial"/>
                <w:sz w:val="20"/>
                <w:szCs w:val="20"/>
              </w:rPr>
            </w:pPr>
            <w:r w:rsidRPr="00B02400">
              <w:rPr>
                <w:rFonts w:ascii="Arial" w:hAnsi="Arial" w:cs="Arial"/>
                <w:b/>
                <w:bCs/>
                <w:sz w:val="20"/>
                <w:szCs w:val="20"/>
              </w:rPr>
              <w:t>Teacher Interpersonal Behavior</w:t>
            </w:r>
          </w:p>
        </w:tc>
        <w:tc>
          <w:tcPr>
            <w:tcW w:w="1631" w:type="dxa"/>
          </w:tcPr>
          <w:p w14:paraId="5C6E6445" w14:textId="77777777" w:rsidR="00F9794D" w:rsidRPr="00B02400" w:rsidRDefault="00F9794D" w:rsidP="001D3E52">
            <w:pPr>
              <w:pStyle w:val="NoSpacing"/>
              <w:jc w:val="center"/>
              <w:rPr>
                <w:rFonts w:ascii="Arial" w:hAnsi="Arial" w:cs="Arial"/>
                <w:sz w:val="20"/>
                <w:szCs w:val="20"/>
              </w:rPr>
            </w:pPr>
            <w:r w:rsidRPr="00B02400">
              <w:rPr>
                <w:rFonts w:ascii="Arial" w:hAnsi="Arial" w:cs="Arial"/>
                <w:sz w:val="20"/>
                <w:szCs w:val="20"/>
              </w:rPr>
              <w:t>0.192</w:t>
            </w:r>
          </w:p>
        </w:tc>
        <w:tc>
          <w:tcPr>
            <w:tcW w:w="1173" w:type="dxa"/>
          </w:tcPr>
          <w:p w14:paraId="120984A5" w14:textId="77777777" w:rsidR="00F9794D" w:rsidRPr="00B02400" w:rsidRDefault="00F9794D" w:rsidP="001D3E52">
            <w:pPr>
              <w:pStyle w:val="NoSpacing"/>
              <w:jc w:val="center"/>
              <w:rPr>
                <w:rFonts w:ascii="Arial" w:hAnsi="Arial" w:cs="Arial"/>
                <w:sz w:val="20"/>
                <w:szCs w:val="20"/>
              </w:rPr>
            </w:pPr>
            <w:r w:rsidRPr="00B02400">
              <w:rPr>
                <w:rFonts w:ascii="Arial" w:hAnsi="Arial" w:cs="Arial"/>
                <w:sz w:val="20"/>
                <w:szCs w:val="20"/>
              </w:rPr>
              <w:t>0.0426</w:t>
            </w:r>
          </w:p>
        </w:tc>
        <w:tc>
          <w:tcPr>
            <w:tcW w:w="977" w:type="dxa"/>
          </w:tcPr>
          <w:p w14:paraId="12327A5F" w14:textId="77777777" w:rsidR="00F9794D" w:rsidRPr="00B02400" w:rsidRDefault="00F9794D" w:rsidP="001D3E52">
            <w:pPr>
              <w:pStyle w:val="NoSpacing"/>
              <w:jc w:val="center"/>
              <w:rPr>
                <w:rFonts w:ascii="Arial" w:hAnsi="Arial" w:cs="Arial"/>
                <w:sz w:val="20"/>
                <w:szCs w:val="20"/>
              </w:rPr>
            </w:pPr>
            <w:r w:rsidRPr="00B02400">
              <w:rPr>
                <w:rFonts w:ascii="Arial" w:hAnsi="Arial" w:cs="Arial"/>
                <w:sz w:val="20"/>
                <w:szCs w:val="20"/>
              </w:rPr>
              <w:t>0.211</w:t>
            </w:r>
          </w:p>
        </w:tc>
        <w:tc>
          <w:tcPr>
            <w:tcW w:w="960" w:type="dxa"/>
          </w:tcPr>
          <w:p w14:paraId="358D4C7A" w14:textId="77777777" w:rsidR="00F9794D" w:rsidRPr="00B02400" w:rsidRDefault="00F9794D" w:rsidP="001D3E52">
            <w:pPr>
              <w:pStyle w:val="NoSpacing"/>
              <w:jc w:val="center"/>
              <w:rPr>
                <w:rFonts w:ascii="Arial" w:hAnsi="Arial" w:cs="Arial"/>
                <w:sz w:val="20"/>
                <w:szCs w:val="20"/>
              </w:rPr>
            </w:pPr>
            <w:r w:rsidRPr="00B02400">
              <w:rPr>
                <w:rFonts w:ascii="Arial" w:hAnsi="Arial" w:cs="Arial"/>
                <w:sz w:val="20"/>
                <w:szCs w:val="20"/>
              </w:rPr>
              <w:t>4.50</w:t>
            </w:r>
          </w:p>
        </w:tc>
        <w:tc>
          <w:tcPr>
            <w:tcW w:w="929" w:type="dxa"/>
          </w:tcPr>
          <w:p w14:paraId="08BBC67B" w14:textId="0B551B08" w:rsidR="00F9794D" w:rsidRPr="00B02400" w:rsidRDefault="00F9794D" w:rsidP="001D3E52">
            <w:pPr>
              <w:pStyle w:val="NoSpacing"/>
              <w:jc w:val="center"/>
              <w:rPr>
                <w:rFonts w:ascii="Arial" w:hAnsi="Arial" w:cs="Arial"/>
                <w:sz w:val="20"/>
                <w:szCs w:val="20"/>
              </w:rPr>
            </w:pPr>
            <w:r w:rsidRPr="00B02400">
              <w:rPr>
                <w:rFonts w:ascii="Arial" w:eastAsia="Times New Roman" w:hAnsi="Arial" w:cs="Arial"/>
                <w:kern w:val="36"/>
                <w:sz w:val="20"/>
                <w:szCs w:val="20"/>
                <w:lang w:eastAsia="en-PH"/>
              </w:rPr>
              <w:t>.00</w:t>
            </w:r>
            <w:r w:rsidR="002B1CA7">
              <w:rPr>
                <w:rFonts w:ascii="Arial" w:eastAsia="Times New Roman" w:hAnsi="Arial" w:cs="Arial"/>
                <w:kern w:val="36"/>
                <w:sz w:val="20"/>
                <w:szCs w:val="20"/>
                <w:lang w:eastAsia="en-PH"/>
              </w:rPr>
              <w:t>1</w:t>
            </w:r>
          </w:p>
        </w:tc>
      </w:tr>
      <w:tr w:rsidR="00F9794D" w:rsidRPr="00B02400" w14:paraId="781897C4" w14:textId="77777777" w:rsidTr="00F9794D">
        <w:trPr>
          <w:trHeight w:val="634"/>
        </w:trPr>
        <w:tc>
          <w:tcPr>
            <w:tcW w:w="2694" w:type="dxa"/>
            <w:gridSpan w:val="3"/>
          </w:tcPr>
          <w:p w14:paraId="4AC009EE" w14:textId="77777777" w:rsidR="00F9794D" w:rsidRPr="00B02400" w:rsidRDefault="00F9794D" w:rsidP="001D3E52">
            <w:pPr>
              <w:pStyle w:val="NoSpacing"/>
              <w:rPr>
                <w:rFonts w:ascii="Arial" w:hAnsi="Arial" w:cs="Arial"/>
                <w:sz w:val="20"/>
                <w:szCs w:val="20"/>
              </w:rPr>
            </w:pPr>
            <w:r w:rsidRPr="00B02400">
              <w:rPr>
                <w:rFonts w:ascii="Arial" w:hAnsi="Arial" w:cs="Arial"/>
                <w:b/>
                <w:bCs/>
                <w:sz w:val="20"/>
                <w:szCs w:val="20"/>
              </w:rPr>
              <w:t>Physical Self-Perception</w:t>
            </w:r>
          </w:p>
        </w:tc>
        <w:tc>
          <w:tcPr>
            <w:tcW w:w="1631" w:type="dxa"/>
          </w:tcPr>
          <w:p w14:paraId="4449C0E8" w14:textId="77777777" w:rsidR="00F9794D" w:rsidRPr="00B02400" w:rsidRDefault="00F9794D" w:rsidP="001D3E52">
            <w:pPr>
              <w:pStyle w:val="NoSpacing"/>
              <w:spacing w:line="360" w:lineRule="auto"/>
              <w:jc w:val="center"/>
              <w:rPr>
                <w:rFonts w:ascii="Arial" w:hAnsi="Arial" w:cs="Arial"/>
                <w:sz w:val="20"/>
                <w:szCs w:val="20"/>
              </w:rPr>
            </w:pPr>
            <w:r w:rsidRPr="00B02400">
              <w:rPr>
                <w:rFonts w:ascii="Arial" w:hAnsi="Arial" w:cs="Arial"/>
                <w:sz w:val="20"/>
                <w:szCs w:val="20"/>
              </w:rPr>
              <w:t>0.301</w:t>
            </w:r>
          </w:p>
        </w:tc>
        <w:tc>
          <w:tcPr>
            <w:tcW w:w="1173" w:type="dxa"/>
          </w:tcPr>
          <w:p w14:paraId="5C7A6F21" w14:textId="77777777" w:rsidR="00F9794D" w:rsidRPr="00B02400" w:rsidRDefault="00F9794D" w:rsidP="001D3E52">
            <w:pPr>
              <w:pStyle w:val="NoSpacing"/>
              <w:spacing w:line="360" w:lineRule="auto"/>
              <w:jc w:val="center"/>
              <w:rPr>
                <w:rFonts w:ascii="Arial" w:hAnsi="Arial" w:cs="Arial"/>
                <w:sz w:val="20"/>
                <w:szCs w:val="20"/>
              </w:rPr>
            </w:pPr>
            <w:r w:rsidRPr="00B02400">
              <w:rPr>
                <w:rFonts w:ascii="Arial" w:hAnsi="Arial" w:cs="Arial"/>
                <w:sz w:val="20"/>
                <w:szCs w:val="20"/>
              </w:rPr>
              <w:t>0.0338</w:t>
            </w:r>
          </w:p>
        </w:tc>
        <w:tc>
          <w:tcPr>
            <w:tcW w:w="977" w:type="dxa"/>
          </w:tcPr>
          <w:p w14:paraId="60061F93" w14:textId="77777777" w:rsidR="00F9794D" w:rsidRPr="00B02400" w:rsidRDefault="00F9794D" w:rsidP="001D3E52">
            <w:pPr>
              <w:pStyle w:val="NoSpacing"/>
              <w:spacing w:line="360" w:lineRule="auto"/>
              <w:jc w:val="center"/>
              <w:rPr>
                <w:rFonts w:ascii="Arial" w:hAnsi="Arial" w:cs="Arial"/>
                <w:sz w:val="20"/>
                <w:szCs w:val="20"/>
              </w:rPr>
            </w:pPr>
            <w:r w:rsidRPr="00B02400">
              <w:rPr>
                <w:rFonts w:ascii="Arial" w:hAnsi="Arial" w:cs="Arial"/>
                <w:sz w:val="20"/>
                <w:szCs w:val="20"/>
              </w:rPr>
              <w:t>0.417</w:t>
            </w:r>
          </w:p>
        </w:tc>
        <w:tc>
          <w:tcPr>
            <w:tcW w:w="960" w:type="dxa"/>
          </w:tcPr>
          <w:p w14:paraId="65F63B64" w14:textId="77777777" w:rsidR="00F9794D" w:rsidRPr="00B02400" w:rsidRDefault="00F9794D" w:rsidP="001D3E52">
            <w:pPr>
              <w:pStyle w:val="NoSpacing"/>
              <w:spacing w:line="360" w:lineRule="auto"/>
              <w:jc w:val="center"/>
              <w:rPr>
                <w:rFonts w:ascii="Arial" w:hAnsi="Arial" w:cs="Arial"/>
                <w:sz w:val="20"/>
                <w:szCs w:val="20"/>
              </w:rPr>
            </w:pPr>
            <w:r w:rsidRPr="00B02400">
              <w:rPr>
                <w:rFonts w:ascii="Arial" w:hAnsi="Arial" w:cs="Arial"/>
                <w:sz w:val="20"/>
                <w:szCs w:val="20"/>
              </w:rPr>
              <w:t>8.88</w:t>
            </w:r>
          </w:p>
        </w:tc>
        <w:tc>
          <w:tcPr>
            <w:tcW w:w="929" w:type="dxa"/>
          </w:tcPr>
          <w:p w14:paraId="3251683C" w14:textId="5F973C10" w:rsidR="00F9794D" w:rsidRPr="00B02400" w:rsidRDefault="00F9794D" w:rsidP="001D3E52">
            <w:pPr>
              <w:pStyle w:val="NoSpacing"/>
              <w:spacing w:line="360" w:lineRule="auto"/>
              <w:jc w:val="center"/>
              <w:rPr>
                <w:rFonts w:ascii="Arial" w:hAnsi="Arial" w:cs="Arial"/>
                <w:sz w:val="20"/>
                <w:szCs w:val="20"/>
              </w:rPr>
            </w:pPr>
            <w:r w:rsidRPr="00B02400">
              <w:rPr>
                <w:rFonts w:ascii="Arial" w:eastAsia="Times New Roman" w:hAnsi="Arial" w:cs="Arial"/>
                <w:kern w:val="36"/>
                <w:sz w:val="20"/>
                <w:szCs w:val="20"/>
                <w:lang w:eastAsia="en-PH"/>
              </w:rPr>
              <w:t>.00</w:t>
            </w:r>
            <w:r w:rsidR="002B1CA7">
              <w:rPr>
                <w:rFonts w:ascii="Arial" w:eastAsia="Times New Roman" w:hAnsi="Arial" w:cs="Arial"/>
                <w:kern w:val="36"/>
                <w:sz w:val="20"/>
                <w:szCs w:val="20"/>
                <w:lang w:eastAsia="en-PH"/>
              </w:rPr>
              <w:t>1</w:t>
            </w:r>
          </w:p>
        </w:tc>
      </w:tr>
      <w:tr w:rsidR="00F9794D" w:rsidRPr="00B02400" w14:paraId="38B0E8C2" w14:textId="77777777" w:rsidTr="001D3E52">
        <w:tc>
          <w:tcPr>
            <w:tcW w:w="447" w:type="dxa"/>
            <w:vAlign w:val="center"/>
          </w:tcPr>
          <w:p w14:paraId="62832F77" w14:textId="77777777" w:rsidR="00F9794D" w:rsidRPr="00B02400" w:rsidRDefault="00F9794D" w:rsidP="001D3E52">
            <w:pPr>
              <w:pStyle w:val="NoSpacing"/>
              <w:spacing w:line="360" w:lineRule="auto"/>
              <w:rPr>
                <w:rFonts w:ascii="Arial" w:hAnsi="Arial" w:cs="Arial"/>
                <w:b/>
                <w:bCs/>
                <w:sz w:val="20"/>
                <w:szCs w:val="20"/>
              </w:rPr>
            </w:pPr>
            <w:r w:rsidRPr="00B02400">
              <w:rPr>
                <w:rFonts w:ascii="Arial" w:hAnsi="Arial" w:cs="Arial"/>
                <w:b/>
                <w:bCs/>
                <w:sz w:val="20"/>
                <w:szCs w:val="20"/>
              </w:rPr>
              <w:t>R</w:t>
            </w:r>
          </w:p>
        </w:tc>
        <w:tc>
          <w:tcPr>
            <w:tcW w:w="425" w:type="dxa"/>
          </w:tcPr>
          <w:p w14:paraId="5DC0CC68" w14:textId="77777777" w:rsidR="00F9794D" w:rsidRPr="00B02400" w:rsidRDefault="00F9794D" w:rsidP="001D3E52">
            <w:pPr>
              <w:pStyle w:val="NoSpacing"/>
              <w:spacing w:line="360" w:lineRule="auto"/>
              <w:jc w:val="center"/>
              <w:rPr>
                <w:rFonts w:ascii="Arial" w:hAnsi="Arial" w:cs="Arial"/>
                <w:b/>
                <w:bCs/>
                <w:sz w:val="20"/>
                <w:szCs w:val="20"/>
              </w:rPr>
            </w:pPr>
            <w:r w:rsidRPr="00B02400">
              <w:rPr>
                <w:rFonts w:ascii="Arial" w:hAnsi="Arial" w:cs="Arial"/>
                <w:b/>
                <w:bCs/>
                <w:sz w:val="20"/>
                <w:szCs w:val="20"/>
              </w:rPr>
              <w:t>=</w:t>
            </w:r>
          </w:p>
        </w:tc>
        <w:tc>
          <w:tcPr>
            <w:tcW w:w="4626" w:type="dxa"/>
            <w:gridSpan w:val="3"/>
          </w:tcPr>
          <w:p w14:paraId="486EAC5D" w14:textId="77777777" w:rsidR="00F9794D" w:rsidRPr="00B02400" w:rsidRDefault="00F9794D" w:rsidP="001D3E52">
            <w:pPr>
              <w:pStyle w:val="NoSpacing"/>
              <w:spacing w:line="360" w:lineRule="auto"/>
              <w:rPr>
                <w:rFonts w:ascii="Arial" w:hAnsi="Arial" w:cs="Arial"/>
                <w:sz w:val="20"/>
                <w:szCs w:val="20"/>
              </w:rPr>
            </w:pPr>
            <w:r w:rsidRPr="00B02400">
              <w:rPr>
                <w:rFonts w:ascii="Arial" w:hAnsi="Arial" w:cs="Arial"/>
                <w:sz w:val="20"/>
                <w:szCs w:val="20"/>
              </w:rPr>
              <w:t>0.449</w:t>
            </w:r>
          </w:p>
        </w:tc>
        <w:tc>
          <w:tcPr>
            <w:tcW w:w="977" w:type="dxa"/>
          </w:tcPr>
          <w:p w14:paraId="58D74BEB" w14:textId="77777777" w:rsidR="00F9794D" w:rsidRPr="00B02400" w:rsidRDefault="00F9794D" w:rsidP="001D3E52">
            <w:pPr>
              <w:pStyle w:val="NoSpacing"/>
              <w:spacing w:line="360" w:lineRule="auto"/>
              <w:jc w:val="center"/>
              <w:rPr>
                <w:rFonts w:ascii="Arial" w:hAnsi="Arial" w:cs="Arial"/>
                <w:sz w:val="20"/>
                <w:szCs w:val="20"/>
              </w:rPr>
            </w:pPr>
          </w:p>
        </w:tc>
        <w:tc>
          <w:tcPr>
            <w:tcW w:w="960" w:type="dxa"/>
          </w:tcPr>
          <w:p w14:paraId="568851EF" w14:textId="77777777" w:rsidR="00F9794D" w:rsidRPr="00B02400" w:rsidRDefault="00F9794D" w:rsidP="001D3E52">
            <w:pPr>
              <w:pStyle w:val="NoSpacing"/>
              <w:spacing w:line="360" w:lineRule="auto"/>
              <w:jc w:val="center"/>
              <w:rPr>
                <w:rFonts w:ascii="Arial" w:hAnsi="Arial" w:cs="Arial"/>
                <w:sz w:val="20"/>
                <w:szCs w:val="20"/>
              </w:rPr>
            </w:pPr>
          </w:p>
        </w:tc>
        <w:tc>
          <w:tcPr>
            <w:tcW w:w="929" w:type="dxa"/>
          </w:tcPr>
          <w:p w14:paraId="46BC1650" w14:textId="77777777" w:rsidR="00F9794D" w:rsidRPr="00B02400" w:rsidRDefault="00F9794D" w:rsidP="001D3E52">
            <w:pPr>
              <w:pStyle w:val="NoSpacing"/>
              <w:spacing w:line="360" w:lineRule="auto"/>
              <w:jc w:val="center"/>
              <w:rPr>
                <w:rFonts w:ascii="Arial" w:eastAsia="Times New Roman" w:hAnsi="Arial" w:cs="Arial"/>
                <w:kern w:val="36"/>
                <w:sz w:val="20"/>
                <w:szCs w:val="20"/>
                <w:lang w:eastAsia="en-PH"/>
              </w:rPr>
            </w:pPr>
          </w:p>
        </w:tc>
      </w:tr>
      <w:tr w:rsidR="00F9794D" w:rsidRPr="00B02400" w14:paraId="45209CB7" w14:textId="77777777" w:rsidTr="001D3E52">
        <w:tc>
          <w:tcPr>
            <w:tcW w:w="447" w:type="dxa"/>
            <w:vAlign w:val="center"/>
          </w:tcPr>
          <w:p w14:paraId="75DE3151" w14:textId="77777777" w:rsidR="00F9794D" w:rsidRPr="00B02400" w:rsidRDefault="00F9794D" w:rsidP="001D3E52">
            <w:pPr>
              <w:pStyle w:val="NoSpacing"/>
              <w:spacing w:line="360" w:lineRule="auto"/>
              <w:rPr>
                <w:rFonts w:ascii="Arial" w:hAnsi="Arial" w:cs="Arial"/>
                <w:b/>
                <w:bCs/>
                <w:sz w:val="20"/>
                <w:szCs w:val="20"/>
              </w:rPr>
            </w:pPr>
            <w:r w:rsidRPr="00B02400">
              <w:rPr>
                <w:rFonts w:ascii="Arial" w:hAnsi="Arial" w:cs="Arial"/>
                <w:b/>
                <w:bCs/>
                <w:sz w:val="20"/>
                <w:szCs w:val="20"/>
              </w:rPr>
              <w:t>R</w:t>
            </w:r>
            <w:r w:rsidRPr="00B02400">
              <w:rPr>
                <w:rFonts w:ascii="Arial" w:hAnsi="Arial" w:cs="Arial"/>
                <w:b/>
                <w:bCs/>
                <w:sz w:val="20"/>
                <w:szCs w:val="20"/>
                <w:vertAlign w:val="superscript"/>
              </w:rPr>
              <w:t>2</w:t>
            </w:r>
          </w:p>
        </w:tc>
        <w:tc>
          <w:tcPr>
            <w:tcW w:w="425" w:type="dxa"/>
          </w:tcPr>
          <w:p w14:paraId="6816DE45" w14:textId="77777777" w:rsidR="00F9794D" w:rsidRPr="00B02400" w:rsidRDefault="00F9794D" w:rsidP="001D3E52">
            <w:pPr>
              <w:pStyle w:val="NoSpacing"/>
              <w:spacing w:line="360" w:lineRule="auto"/>
              <w:jc w:val="center"/>
              <w:rPr>
                <w:rFonts w:ascii="Arial" w:hAnsi="Arial" w:cs="Arial"/>
                <w:b/>
                <w:bCs/>
                <w:sz w:val="20"/>
                <w:szCs w:val="20"/>
              </w:rPr>
            </w:pPr>
            <w:r w:rsidRPr="00B02400">
              <w:rPr>
                <w:rFonts w:ascii="Arial" w:hAnsi="Arial" w:cs="Arial"/>
                <w:b/>
                <w:bCs/>
                <w:sz w:val="20"/>
                <w:szCs w:val="20"/>
              </w:rPr>
              <w:t>=</w:t>
            </w:r>
          </w:p>
        </w:tc>
        <w:tc>
          <w:tcPr>
            <w:tcW w:w="4626" w:type="dxa"/>
            <w:gridSpan w:val="3"/>
          </w:tcPr>
          <w:p w14:paraId="5059E1FF" w14:textId="77777777" w:rsidR="00F9794D" w:rsidRPr="00B02400" w:rsidRDefault="00F9794D" w:rsidP="001D3E52">
            <w:pPr>
              <w:pStyle w:val="NoSpacing"/>
              <w:spacing w:line="360" w:lineRule="auto"/>
              <w:rPr>
                <w:rFonts w:ascii="Arial" w:hAnsi="Arial" w:cs="Arial"/>
                <w:sz w:val="20"/>
                <w:szCs w:val="20"/>
              </w:rPr>
            </w:pPr>
            <w:r w:rsidRPr="00B02400">
              <w:rPr>
                <w:rFonts w:ascii="Arial" w:hAnsi="Arial" w:cs="Arial"/>
                <w:sz w:val="20"/>
                <w:szCs w:val="20"/>
              </w:rPr>
              <w:t>0.202</w:t>
            </w:r>
          </w:p>
        </w:tc>
        <w:tc>
          <w:tcPr>
            <w:tcW w:w="977" w:type="dxa"/>
          </w:tcPr>
          <w:p w14:paraId="233FC0D1" w14:textId="77777777" w:rsidR="00F9794D" w:rsidRPr="00B02400" w:rsidRDefault="00F9794D" w:rsidP="001D3E52">
            <w:pPr>
              <w:pStyle w:val="NoSpacing"/>
              <w:spacing w:line="360" w:lineRule="auto"/>
              <w:jc w:val="center"/>
              <w:rPr>
                <w:rFonts w:ascii="Arial" w:hAnsi="Arial" w:cs="Arial"/>
                <w:sz w:val="20"/>
                <w:szCs w:val="20"/>
              </w:rPr>
            </w:pPr>
          </w:p>
        </w:tc>
        <w:tc>
          <w:tcPr>
            <w:tcW w:w="960" w:type="dxa"/>
          </w:tcPr>
          <w:p w14:paraId="5FD4C8D9" w14:textId="77777777" w:rsidR="00F9794D" w:rsidRPr="00B02400" w:rsidRDefault="00F9794D" w:rsidP="001D3E52">
            <w:pPr>
              <w:pStyle w:val="NoSpacing"/>
              <w:spacing w:line="360" w:lineRule="auto"/>
              <w:jc w:val="center"/>
              <w:rPr>
                <w:rFonts w:ascii="Arial" w:hAnsi="Arial" w:cs="Arial"/>
                <w:sz w:val="20"/>
                <w:szCs w:val="20"/>
              </w:rPr>
            </w:pPr>
          </w:p>
        </w:tc>
        <w:tc>
          <w:tcPr>
            <w:tcW w:w="929" w:type="dxa"/>
          </w:tcPr>
          <w:p w14:paraId="012A0C25" w14:textId="77777777" w:rsidR="00F9794D" w:rsidRPr="00B02400" w:rsidRDefault="00F9794D" w:rsidP="001D3E52">
            <w:pPr>
              <w:pStyle w:val="NoSpacing"/>
              <w:spacing w:line="360" w:lineRule="auto"/>
              <w:jc w:val="center"/>
              <w:rPr>
                <w:rFonts w:ascii="Arial" w:eastAsia="Times New Roman" w:hAnsi="Arial" w:cs="Arial"/>
                <w:kern w:val="36"/>
                <w:sz w:val="20"/>
                <w:szCs w:val="20"/>
                <w:lang w:eastAsia="en-PH"/>
              </w:rPr>
            </w:pPr>
          </w:p>
        </w:tc>
      </w:tr>
      <w:tr w:rsidR="00F9794D" w:rsidRPr="00B02400" w14:paraId="7C819A85" w14:textId="77777777" w:rsidTr="00F9794D">
        <w:tc>
          <w:tcPr>
            <w:tcW w:w="447" w:type="dxa"/>
            <w:vAlign w:val="center"/>
          </w:tcPr>
          <w:p w14:paraId="0F28F7F2" w14:textId="77777777" w:rsidR="00F9794D" w:rsidRPr="00B02400" w:rsidRDefault="00F9794D" w:rsidP="001D3E52">
            <w:pPr>
              <w:pStyle w:val="NoSpacing"/>
              <w:spacing w:line="360" w:lineRule="auto"/>
              <w:rPr>
                <w:rFonts w:ascii="Arial" w:hAnsi="Arial" w:cs="Arial"/>
                <w:b/>
                <w:bCs/>
                <w:sz w:val="20"/>
                <w:szCs w:val="20"/>
              </w:rPr>
            </w:pPr>
            <w:r w:rsidRPr="00B02400">
              <w:rPr>
                <w:rFonts w:ascii="Arial" w:hAnsi="Arial" w:cs="Arial"/>
                <w:b/>
                <w:bCs/>
                <w:sz w:val="20"/>
                <w:szCs w:val="20"/>
              </w:rPr>
              <w:t>F</w:t>
            </w:r>
          </w:p>
        </w:tc>
        <w:tc>
          <w:tcPr>
            <w:tcW w:w="425" w:type="dxa"/>
          </w:tcPr>
          <w:p w14:paraId="31BCA73A" w14:textId="77777777" w:rsidR="00F9794D" w:rsidRPr="00B02400" w:rsidRDefault="00F9794D" w:rsidP="001D3E52">
            <w:pPr>
              <w:pStyle w:val="NoSpacing"/>
              <w:spacing w:line="360" w:lineRule="auto"/>
              <w:jc w:val="center"/>
              <w:rPr>
                <w:rFonts w:ascii="Arial" w:hAnsi="Arial" w:cs="Arial"/>
                <w:b/>
                <w:bCs/>
                <w:sz w:val="20"/>
                <w:szCs w:val="20"/>
              </w:rPr>
            </w:pPr>
            <w:r w:rsidRPr="00B02400">
              <w:rPr>
                <w:rFonts w:ascii="Arial" w:hAnsi="Arial" w:cs="Arial"/>
                <w:b/>
                <w:bCs/>
                <w:sz w:val="20"/>
                <w:szCs w:val="20"/>
              </w:rPr>
              <w:t>=</w:t>
            </w:r>
          </w:p>
        </w:tc>
        <w:tc>
          <w:tcPr>
            <w:tcW w:w="4626" w:type="dxa"/>
            <w:gridSpan w:val="3"/>
          </w:tcPr>
          <w:p w14:paraId="2D682B45" w14:textId="77777777" w:rsidR="00F9794D" w:rsidRPr="00B02400" w:rsidRDefault="00F9794D" w:rsidP="001D3E52">
            <w:pPr>
              <w:pStyle w:val="NoSpacing"/>
              <w:spacing w:line="360" w:lineRule="auto"/>
              <w:rPr>
                <w:rFonts w:ascii="Arial" w:hAnsi="Arial" w:cs="Arial"/>
                <w:sz w:val="20"/>
                <w:szCs w:val="20"/>
              </w:rPr>
            </w:pPr>
            <w:r w:rsidRPr="00B02400">
              <w:rPr>
                <w:rFonts w:ascii="Arial" w:hAnsi="Arial" w:cs="Arial"/>
                <w:sz w:val="20"/>
                <w:szCs w:val="20"/>
              </w:rPr>
              <w:t>46.2</w:t>
            </w:r>
          </w:p>
        </w:tc>
        <w:tc>
          <w:tcPr>
            <w:tcW w:w="977" w:type="dxa"/>
          </w:tcPr>
          <w:p w14:paraId="1050CFAF" w14:textId="77777777" w:rsidR="00F9794D" w:rsidRPr="00B02400" w:rsidRDefault="00F9794D" w:rsidP="001D3E52">
            <w:pPr>
              <w:pStyle w:val="NoSpacing"/>
              <w:spacing w:line="360" w:lineRule="auto"/>
              <w:jc w:val="center"/>
              <w:rPr>
                <w:rFonts w:ascii="Arial" w:hAnsi="Arial" w:cs="Arial"/>
                <w:sz w:val="20"/>
                <w:szCs w:val="20"/>
              </w:rPr>
            </w:pPr>
          </w:p>
        </w:tc>
        <w:tc>
          <w:tcPr>
            <w:tcW w:w="960" w:type="dxa"/>
          </w:tcPr>
          <w:p w14:paraId="073C2958" w14:textId="77777777" w:rsidR="00F9794D" w:rsidRPr="00B02400" w:rsidRDefault="00F9794D" w:rsidP="001D3E52">
            <w:pPr>
              <w:pStyle w:val="NoSpacing"/>
              <w:spacing w:line="360" w:lineRule="auto"/>
              <w:jc w:val="center"/>
              <w:rPr>
                <w:rFonts w:ascii="Arial" w:hAnsi="Arial" w:cs="Arial"/>
                <w:sz w:val="20"/>
                <w:szCs w:val="20"/>
              </w:rPr>
            </w:pPr>
          </w:p>
        </w:tc>
        <w:tc>
          <w:tcPr>
            <w:tcW w:w="929" w:type="dxa"/>
          </w:tcPr>
          <w:p w14:paraId="2A0AD45C" w14:textId="77777777" w:rsidR="00F9794D" w:rsidRPr="00B02400" w:rsidRDefault="00F9794D" w:rsidP="001D3E52">
            <w:pPr>
              <w:pStyle w:val="NoSpacing"/>
              <w:spacing w:line="360" w:lineRule="auto"/>
              <w:jc w:val="center"/>
              <w:rPr>
                <w:rFonts w:ascii="Arial" w:eastAsia="Times New Roman" w:hAnsi="Arial" w:cs="Arial"/>
                <w:kern w:val="36"/>
                <w:sz w:val="20"/>
                <w:szCs w:val="20"/>
                <w:lang w:eastAsia="en-PH"/>
              </w:rPr>
            </w:pPr>
          </w:p>
        </w:tc>
      </w:tr>
      <w:tr w:rsidR="00F9794D" w:rsidRPr="00B02400" w14:paraId="1747BE0D" w14:textId="77777777" w:rsidTr="00F9794D">
        <w:tc>
          <w:tcPr>
            <w:tcW w:w="447" w:type="dxa"/>
            <w:tcBorders>
              <w:bottom w:val="single" w:sz="4" w:space="0" w:color="auto"/>
            </w:tcBorders>
            <w:vAlign w:val="center"/>
          </w:tcPr>
          <w:p w14:paraId="1311DD00" w14:textId="77777777" w:rsidR="00F9794D" w:rsidRPr="00B02400" w:rsidRDefault="00F9794D" w:rsidP="001D3E52">
            <w:pPr>
              <w:pStyle w:val="NoSpacing"/>
              <w:spacing w:line="360" w:lineRule="auto"/>
              <w:rPr>
                <w:rFonts w:ascii="Arial" w:hAnsi="Arial" w:cs="Arial"/>
                <w:b/>
                <w:bCs/>
                <w:i/>
                <w:iCs/>
                <w:sz w:val="20"/>
                <w:szCs w:val="20"/>
              </w:rPr>
            </w:pPr>
            <w:r>
              <w:rPr>
                <w:rFonts w:ascii="Arial" w:hAnsi="Arial" w:cs="Arial"/>
                <w:b/>
                <w:bCs/>
                <w:i/>
                <w:iCs/>
                <w:sz w:val="20"/>
                <w:szCs w:val="20"/>
              </w:rPr>
              <w:t>P</w:t>
            </w:r>
          </w:p>
        </w:tc>
        <w:tc>
          <w:tcPr>
            <w:tcW w:w="425" w:type="dxa"/>
            <w:tcBorders>
              <w:bottom w:val="single" w:sz="4" w:space="0" w:color="auto"/>
            </w:tcBorders>
          </w:tcPr>
          <w:p w14:paraId="2F580611" w14:textId="77777777" w:rsidR="00F9794D" w:rsidRPr="00B02400" w:rsidRDefault="00F9794D" w:rsidP="001D3E52">
            <w:pPr>
              <w:pStyle w:val="NoSpacing"/>
              <w:spacing w:line="360" w:lineRule="auto"/>
              <w:jc w:val="center"/>
              <w:rPr>
                <w:rFonts w:ascii="Arial" w:hAnsi="Arial" w:cs="Arial"/>
                <w:b/>
                <w:bCs/>
                <w:sz w:val="20"/>
                <w:szCs w:val="20"/>
              </w:rPr>
            </w:pPr>
            <w:r w:rsidRPr="00B02400">
              <w:rPr>
                <w:rFonts w:ascii="Arial" w:hAnsi="Arial" w:cs="Arial"/>
                <w:b/>
                <w:bCs/>
                <w:sz w:val="20"/>
                <w:szCs w:val="20"/>
              </w:rPr>
              <w:t>=</w:t>
            </w:r>
          </w:p>
        </w:tc>
        <w:tc>
          <w:tcPr>
            <w:tcW w:w="4626" w:type="dxa"/>
            <w:gridSpan w:val="3"/>
            <w:tcBorders>
              <w:bottom w:val="single" w:sz="4" w:space="0" w:color="auto"/>
            </w:tcBorders>
          </w:tcPr>
          <w:p w14:paraId="5EED9570" w14:textId="30DC6040" w:rsidR="00F9794D" w:rsidRPr="00B02400" w:rsidRDefault="00F9794D" w:rsidP="001D3E52">
            <w:pPr>
              <w:pStyle w:val="NoSpacing"/>
              <w:spacing w:line="360" w:lineRule="auto"/>
              <w:rPr>
                <w:rFonts w:ascii="Arial" w:hAnsi="Arial" w:cs="Arial"/>
                <w:sz w:val="20"/>
                <w:szCs w:val="20"/>
              </w:rPr>
            </w:pPr>
            <w:r w:rsidRPr="00B02400">
              <w:rPr>
                <w:rFonts w:ascii="Arial" w:hAnsi="Arial" w:cs="Arial"/>
                <w:sz w:val="20"/>
                <w:szCs w:val="20"/>
              </w:rPr>
              <w:t>0.00</w:t>
            </w:r>
            <w:r w:rsidR="002B1CA7">
              <w:rPr>
                <w:rFonts w:ascii="Arial" w:hAnsi="Arial" w:cs="Arial"/>
                <w:sz w:val="20"/>
                <w:szCs w:val="20"/>
              </w:rPr>
              <w:t>1</w:t>
            </w:r>
          </w:p>
        </w:tc>
        <w:tc>
          <w:tcPr>
            <w:tcW w:w="977" w:type="dxa"/>
            <w:tcBorders>
              <w:bottom w:val="single" w:sz="4" w:space="0" w:color="auto"/>
            </w:tcBorders>
          </w:tcPr>
          <w:p w14:paraId="5B8ACCAB" w14:textId="77777777" w:rsidR="00F9794D" w:rsidRPr="00B02400" w:rsidRDefault="00F9794D" w:rsidP="001D3E52">
            <w:pPr>
              <w:pStyle w:val="NoSpacing"/>
              <w:spacing w:line="360" w:lineRule="auto"/>
              <w:jc w:val="center"/>
              <w:rPr>
                <w:rFonts w:ascii="Arial" w:hAnsi="Arial" w:cs="Arial"/>
                <w:sz w:val="20"/>
                <w:szCs w:val="20"/>
              </w:rPr>
            </w:pPr>
          </w:p>
        </w:tc>
        <w:tc>
          <w:tcPr>
            <w:tcW w:w="960" w:type="dxa"/>
            <w:tcBorders>
              <w:bottom w:val="single" w:sz="4" w:space="0" w:color="auto"/>
            </w:tcBorders>
          </w:tcPr>
          <w:p w14:paraId="76DA93EF" w14:textId="77777777" w:rsidR="00F9794D" w:rsidRPr="00B02400" w:rsidRDefault="00F9794D" w:rsidP="001D3E52">
            <w:pPr>
              <w:pStyle w:val="NoSpacing"/>
              <w:spacing w:line="360" w:lineRule="auto"/>
              <w:jc w:val="center"/>
              <w:rPr>
                <w:rFonts w:ascii="Arial" w:hAnsi="Arial" w:cs="Arial"/>
                <w:sz w:val="20"/>
                <w:szCs w:val="20"/>
              </w:rPr>
            </w:pPr>
          </w:p>
        </w:tc>
        <w:tc>
          <w:tcPr>
            <w:tcW w:w="929" w:type="dxa"/>
            <w:tcBorders>
              <w:bottom w:val="single" w:sz="4" w:space="0" w:color="auto"/>
            </w:tcBorders>
          </w:tcPr>
          <w:p w14:paraId="3A6A3388" w14:textId="77777777" w:rsidR="00F9794D" w:rsidRPr="00B02400" w:rsidRDefault="00F9794D" w:rsidP="001D3E52">
            <w:pPr>
              <w:pStyle w:val="NoSpacing"/>
              <w:spacing w:line="360" w:lineRule="auto"/>
              <w:jc w:val="center"/>
              <w:rPr>
                <w:rFonts w:ascii="Arial" w:eastAsia="Times New Roman" w:hAnsi="Arial" w:cs="Arial"/>
                <w:kern w:val="36"/>
                <w:sz w:val="20"/>
                <w:szCs w:val="20"/>
                <w:lang w:eastAsia="en-PH"/>
              </w:rPr>
            </w:pPr>
          </w:p>
        </w:tc>
      </w:tr>
    </w:tbl>
    <w:p w14:paraId="28DD69DA" w14:textId="77777777" w:rsidR="00F9794D" w:rsidRPr="005C01D5" w:rsidRDefault="00F9794D" w:rsidP="005C01D5">
      <w:pPr>
        <w:pStyle w:val="Body"/>
        <w:spacing w:after="0"/>
        <w:rPr>
          <w:rFonts w:ascii="Arial" w:hAnsi="Arial" w:cs="Arial"/>
        </w:rPr>
      </w:pPr>
    </w:p>
    <w:p w14:paraId="28171BA9" w14:textId="446DD63D" w:rsidR="005C01D5" w:rsidRPr="005C01D5" w:rsidRDefault="005C01D5" w:rsidP="005C01D5">
      <w:pPr>
        <w:pStyle w:val="Body"/>
        <w:spacing w:after="0"/>
        <w:ind w:firstLine="720"/>
        <w:rPr>
          <w:rFonts w:ascii="Arial" w:hAnsi="Arial" w:cs="Arial"/>
        </w:rPr>
      </w:pPr>
      <w:r w:rsidRPr="005C01D5">
        <w:rPr>
          <w:rFonts w:ascii="Arial" w:hAnsi="Arial" w:cs="Arial"/>
        </w:rPr>
        <w:t xml:space="preserve">This suggests that students who have a higher perception of their physical abilities and body image are more likely to find PE activities engaging and worth participating in. Moreover, the computed R² of 0.202 reveals that 20.2 percent of the variance in students’ situational interest in PE can be explained by the combination of teacher interpersonal behavior and physical self-perception. In contrast, the remaining 79.8 percent of the variance is attributed to other factors not covered in this study. The overall regression model is statistically significant, as indicated by the F-value of 46.2 </w:t>
      </w:r>
      <w:r w:rsidRPr="005C01D5">
        <w:rPr>
          <w:rFonts w:ascii="Arial" w:hAnsi="Arial" w:cs="Arial"/>
          <w:i/>
          <w:iCs/>
        </w:rPr>
        <w:t>(P =</w:t>
      </w:r>
      <w:r w:rsidRPr="005C01D5">
        <w:rPr>
          <w:rFonts w:ascii="Arial" w:hAnsi="Arial" w:cs="Arial"/>
        </w:rPr>
        <w:t xml:space="preserve"> .00</w:t>
      </w:r>
      <w:r w:rsidR="002B1CA7">
        <w:rPr>
          <w:rFonts w:ascii="Arial" w:hAnsi="Arial" w:cs="Arial"/>
        </w:rPr>
        <w:t>1</w:t>
      </w:r>
      <w:r w:rsidRPr="005C01D5">
        <w:rPr>
          <w:rFonts w:ascii="Arial" w:hAnsi="Arial" w:cs="Arial"/>
        </w:rPr>
        <w:t>).</w:t>
      </w:r>
    </w:p>
    <w:p w14:paraId="198CE89B" w14:textId="77777777" w:rsidR="005C01D5" w:rsidRPr="005C01D5" w:rsidRDefault="005C01D5" w:rsidP="005C01D5">
      <w:pPr>
        <w:pStyle w:val="Body"/>
        <w:spacing w:after="0"/>
        <w:ind w:firstLine="720"/>
        <w:rPr>
          <w:rFonts w:ascii="Arial" w:hAnsi="Arial" w:cs="Arial"/>
        </w:rPr>
      </w:pPr>
      <w:r w:rsidRPr="005C01D5">
        <w:rPr>
          <w:rFonts w:ascii="Arial" w:hAnsi="Arial" w:cs="Arial"/>
        </w:rPr>
        <w:t>Consequently, the results lead to the rejection of the null hypothesis that neither teacher interpersonal behavior nor physical self-perception significantly predicts situational interest in PE. It is evident that both variables, particularly physical self-perception, with the higher standardized beta of 0.417, play vital roles in fostering students' interest in Physical Education. The result is supported by Zhu et al. (2025), who found that physical self-esteem significantly mediates the relationship between motivational factors and engagement in physical activity among college students, reinforcing the idea that students who feel confident in their physical abilities are more likely to develop situational interest in PE activities, which in turn increases their likelihood of engagement and enjoyment.</w:t>
      </w:r>
    </w:p>
    <w:p w14:paraId="2A382CF4" w14:textId="4DC43D5A" w:rsidR="005C01D5" w:rsidRDefault="005C01D5" w:rsidP="005C01D5">
      <w:pPr>
        <w:pStyle w:val="Body"/>
        <w:spacing w:after="0"/>
        <w:ind w:firstLine="720"/>
        <w:rPr>
          <w:rFonts w:ascii="Arial" w:hAnsi="Arial" w:cs="Arial"/>
        </w:rPr>
      </w:pPr>
      <w:r w:rsidRPr="005C01D5">
        <w:rPr>
          <w:rFonts w:ascii="Arial" w:hAnsi="Arial" w:cs="Arial"/>
        </w:rPr>
        <w:t xml:space="preserve">Additionally, Fierro-Suero et al. (2024) mentioned that students who perceived their teacher as highly autonomy-supportive, structured, and low in controlling behavior reported the optimal outcomes in motivational engagement, including behavioral and emotional engagement, which are core components of situational interest. However, the results contradict the findings with Arik and </w:t>
      </w:r>
      <w:proofErr w:type="spellStart"/>
      <w:r w:rsidRPr="005C01D5">
        <w:rPr>
          <w:rFonts w:ascii="Arial" w:hAnsi="Arial" w:cs="Arial"/>
        </w:rPr>
        <w:t>Erturan</w:t>
      </w:r>
      <w:proofErr w:type="spellEnd"/>
      <w:r w:rsidRPr="005C01D5">
        <w:rPr>
          <w:rFonts w:ascii="Arial" w:hAnsi="Arial" w:cs="Arial"/>
        </w:rPr>
        <w:t xml:space="preserve"> (2023) which revealed that there is no correlation between teachers' self-reported autonomy support and students' perceptions of that support, which implies that to foster situational interest, it’s not enough for teachers to believe they’re supportive, students must perceive that support.</w:t>
      </w:r>
    </w:p>
    <w:p w14:paraId="2A5B5581" w14:textId="77777777" w:rsidR="00790ADA" w:rsidRPr="00FB3A86" w:rsidRDefault="00790ADA" w:rsidP="00441B6F">
      <w:pPr>
        <w:pStyle w:val="Body"/>
        <w:spacing w:after="0"/>
        <w:rPr>
          <w:rFonts w:ascii="Arial" w:hAnsi="Arial" w:cs="Arial"/>
        </w:rPr>
      </w:pPr>
    </w:p>
    <w:p w14:paraId="572EBD8B" w14:textId="2B831D66"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BA7697E" w14:textId="620DFB74" w:rsidR="007F616C" w:rsidRPr="007F616C" w:rsidRDefault="007F616C" w:rsidP="007F616C">
      <w:pPr>
        <w:pStyle w:val="Body"/>
        <w:spacing w:after="0"/>
        <w:ind w:firstLine="720"/>
        <w:rPr>
          <w:rFonts w:ascii="Arial" w:hAnsi="Arial" w:cs="Arial"/>
          <w:lang w:val="en-PH"/>
        </w:rPr>
      </w:pPr>
      <w:r w:rsidRPr="007F616C">
        <w:rPr>
          <w:rFonts w:ascii="Arial" w:hAnsi="Arial" w:cs="Arial"/>
          <w:lang w:val="en-PH"/>
        </w:rPr>
        <w:t xml:space="preserve">The findings of this study indicate that the levels of teacher interpersonal behavior and student situational interest in PE are both high, while the level of physical self-perception is moderate. Moreover, it reveals a significant relationship between teacher interpersonal </w:t>
      </w:r>
      <w:r w:rsidRPr="007F616C">
        <w:rPr>
          <w:rFonts w:ascii="Arial" w:hAnsi="Arial" w:cs="Arial"/>
          <w:lang w:val="en-PH"/>
        </w:rPr>
        <w:lastRenderedPageBreak/>
        <w:t>behavior and student situational interest in PE, and a significant relationship between physical self-perception and student situational interest in PE. Finally, both independent variables, teacher interpersonal behavior and physical self-perception,</w:t>
      </w:r>
      <w:r w:rsidR="00762177">
        <w:rPr>
          <w:rFonts w:ascii="Arial" w:hAnsi="Arial" w:cs="Arial"/>
          <w:lang w:val="en-PH"/>
        </w:rPr>
        <w:t xml:space="preserve"> are</w:t>
      </w:r>
      <w:r w:rsidRPr="007F616C">
        <w:rPr>
          <w:rFonts w:ascii="Arial" w:hAnsi="Arial" w:cs="Arial"/>
          <w:lang w:val="en-PH"/>
        </w:rPr>
        <w:t xml:space="preserve"> significantly </w:t>
      </w:r>
      <w:r w:rsidR="00762177">
        <w:rPr>
          <w:rFonts w:ascii="Arial" w:hAnsi="Arial" w:cs="Arial"/>
          <w:lang w:val="en-PH"/>
        </w:rPr>
        <w:t>associated with</w:t>
      </w:r>
      <w:r w:rsidRPr="007F616C">
        <w:rPr>
          <w:rFonts w:ascii="Arial" w:hAnsi="Arial" w:cs="Arial"/>
          <w:lang w:val="en-PH"/>
        </w:rPr>
        <w:t xml:space="preserve"> student situational interest in PE.</w:t>
      </w:r>
    </w:p>
    <w:p w14:paraId="1E68DAE8" w14:textId="77777777" w:rsidR="007F616C" w:rsidRDefault="007F616C" w:rsidP="007F616C">
      <w:pPr>
        <w:pStyle w:val="Body"/>
        <w:spacing w:after="0"/>
        <w:rPr>
          <w:rFonts w:ascii="Arial" w:hAnsi="Arial" w:cs="Arial"/>
          <w:lang w:val="en-PH"/>
        </w:rPr>
      </w:pPr>
    </w:p>
    <w:p w14:paraId="1086F49F" w14:textId="551B967B" w:rsidR="007F616C" w:rsidRPr="007F616C" w:rsidRDefault="007F616C" w:rsidP="007F616C">
      <w:pPr>
        <w:pStyle w:val="Body"/>
        <w:spacing w:after="0"/>
        <w:ind w:firstLine="720"/>
        <w:rPr>
          <w:rFonts w:ascii="Arial" w:hAnsi="Arial" w:cs="Arial"/>
          <w:lang w:val="en-PH"/>
        </w:rPr>
      </w:pPr>
      <w:r w:rsidRPr="007F616C">
        <w:rPr>
          <w:rFonts w:ascii="Arial" w:hAnsi="Arial" w:cs="Arial"/>
          <w:lang w:val="en-PH"/>
        </w:rPr>
        <w:t>The results of this study support the theoretical framework grounded in Self-Determination theory and Interest theory. Specifically, the positive correlation between teacher interpersonal behavior and student situational interest demonstrates that supportive teacher behaviors, such as fostering autonomy, providing constructive feedback, and creating an inclusive environment, enhance students’ engagement and motivation, consistent with SDT (Ryan &amp; Deci, 2017) and the findings of Yu et al. (2020) on the impact of positive social interactions. At the same time, students who reported higher physical self-perception showed greater situational interest, indicating that confidence in one’s physical abilities and body image promotes active engagement in PE, in line with Interest theory (Renninger &amp; Su, 2012) and supported by Nicolosi et al. (2021), who highlight the role of personal experiences in shaping interest.</w:t>
      </w:r>
    </w:p>
    <w:p w14:paraId="4BDA20EF" w14:textId="77777777" w:rsidR="007F616C" w:rsidRDefault="007F616C" w:rsidP="007F616C">
      <w:pPr>
        <w:pStyle w:val="Body"/>
        <w:spacing w:after="0"/>
        <w:rPr>
          <w:rFonts w:ascii="Arial" w:hAnsi="Arial" w:cs="Arial"/>
          <w:lang w:val="en-PH"/>
        </w:rPr>
      </w:pPr>
    </w:p>
    <w:p w14:paraId="372A6CC4" w14:textId="55B9F9CC" w:rsidR="00B01FCD" w:rsidRDefault="007F616C" w:rsidP="007F616C">
      <w:pPr>
        <w:pStyle w:val="Body"/>
        <w:spacing w:after="0"/>
        <w:ind w:firstLine="720"/>
        <w:rPr>
          <w:rFonts w:ascii="Arial" w:hAnsi="Arial" w:cs="Arial"/>
          <w:lang w:val="en-PH"/>
        </w:rPr>
      </w:pPr>
      <w:r w:rsidRPr="007F616C">
        <w:rPr>
          <w:rFonts w:ascii="Arial" w:hAnsi="Arial" w:cs="Arial"/>
          <w:lang w:val="en-PH"/>
        </w:rPr>
        <w:t>The high level of teacher interpersonal behavior and student situational interest, alongside the moderate level of physical self-perception, reinforce the assertion that teachers who nurture autonomy, competence, and relatedness are instrumental in promoting situational interest. Similarly, the influence of physical self-perception on student situational interest in PE aligns with Interest theory’s emphasis on personal experiences and self-concept, validating the theoretical framework that underpins this study.</w:t>
      </w:r>
    </w:p>
    <w:p w14:paraId="5AB0E90A" w14:textId="0985D306" w:rsidR="008417FE" w:rsidRDefault="008417FE" w:rsidP="007F616C">
      <w:pPr>
        <w:pStyle w:val="Body"/>
        <w:spacing w:after="0"/>
        <w:ind w:firstLine="720"/>
        <w:rPr>
          <w:rFonts w:ascii="Arial" w:hAnsi="Arial" w:cs="Arial"/>
        </w:rPr>
      </w:pPr>
    </w:p>
    <w:p w14:paraId="6DFD3257" w14:textId="25813768" w:rsidR="008417FE" w:rsidRDefault="008417FE" w:rsidP="007F616C">
      <w:pPr>
        <w:pStyle w:val="Body"/>
        <w:spacing w:after="0"/>
        <w:ind w:firstLine="720"/>
        <w:rPr>
          <w:rFonts w:ascii="Arial" w:hAnsi="Arial" w:cs="Arial"/>
        </w:rPr>
      </w:pPr>
    </w:p>
    <w:p w14:paraId="1F561797" w14:textId="77777777" w:rsidR="008417FE" w:rsidRPr="008417FE" w:rsidRDefault="008417FE" w:rsidP="008417FE">
      <w:pPr>
        <w:spacing w:after="200" w:line="276" w:lineRule="auto"/>
        <w:rPr>
          <w:rFonts w:asciiTheme="minorHAnsi" w:eastAsiaTheme="minorHAnsi" w:hAnsiTheme="minorHAnsi" w:cstheme="minorBidi"/>
          <w:b/>
          <w:sz w:val="22"/>
          <w:szCs w:val="22"/>
        </w:rPr>
      </w:pPr>
      <w:r w:rsidRPr="008417FE">
        <w:rPr>
          <w:rFonts w:asciiTheme="minorHAnsi" w:eastAsiaTheme="minorHAnsi" w:hAnsiTheme="minorHAnsi" w:cstheme="minorBidi"/>
          <w:b/>
          <w:sz w:val="22"/>
          <w:szCs w:val="22"/>
        </w:rPr>
        <w:t xml:space="preserve">Consent </w:t>
      </w:r>
    </w:p>
    <w:p w14:paraId="693757BC" w14:textId="44D3CFDA" w:rsidR="008417FE" w:rsidRDefault="008417FE" w:rsidP="008417FE">
      <w:pPr>
        <w:pStyle w:val="Body"/>
        <w:spacing w:after="0"/>
        <w:ind w:firstLine="720"/>
        <w:rPr>
          <w:rFonts w:ascii="Arial" w:hAnsi="Arial" w:cs="Arial"/>
        </w:rPr>
      </w:pPr>
      <w:r w:rsidRPr="008417FE">
        <w:rPr>
          <w:rFonts w:asciiTheme="minorHAnsi" w:eastAsiaTheme="minorHAnsi" w:hAnsiTheme="minorHAnsi" w:cstheme="minorBidi"/>
          <w:sz w:val="22"/>
          <w:szCs w:val="22"/>
        </w:rPr>
        <w:t>As per international standards or university standards</w:t>
      </w:r>
      <w:r w:rsidRPr="008417FE">
        <w:rPr>
          <w:rFonts w:asciiTheme="minorHAnsi" w:eastAsiaTheme="minorHAnsi" w:hAnsiTheme="minorHAnsi" w:cstheme="minorBidi"/>
          <w:sz w:val="22"/>
          <w:szCs w:val="22"/>
          <w:highlight w:val="yellow"/>
        </w:rPr>
        <w:t>, respondents’ written</w:t>
      </w:r>
      <w:r w:rsidRPr="008417FE">
        <w:rPr>
          <w:rFonts w:asciiTheme="minorHAnsi" w:eastAsiaTheme="minorHAnsi" w:hAnsiTheme="minorHAnsi" w:cstheme="minorBidi"/>
          <w:sz w:val="22"/>
          <w:szCs w:val="22"/>
        </w:rPr>
        <w:t xml:space="preserve"> consent has been collected and preserved by the </w:t>
      </w:r>
      <w:proofErr w:type="gramStart"/>
      <w:r w:rsidRPr="008417FE">
        <w:rPr>
          <w:rFonts w:asciiTheme="minorHAnsi" w:eastAsiaTheme="minorHAnsi" w:hAnsiTheme="minorHAnsi" w:cstheme="minorBidi"/>
          <w:sz w:val="22"/>
          <w:szCs w:val="22"/>
        </w:rPr>
        <w:t>author(</w:t>
      </w:r>
      <w:proofErr w:type="gramEnd"/>
      <w:r w:rsidRPr="008417FE">
        <w:rPr>
          <w:rFonts w:asciiTheme="minorHAnsi" w:eastAsiaTheme="minorHAnsi" w:hAnsiTheme="minorHAnsi" w:cstheme="minorBidi"/>
          <w:sz w:val="22"/>
          <w:szCs w:val="22"/>
        </w:rPr>
        <w:t>s</w:t>
      </w:r>
    </w:p>
    <w:p w14:paraId="478E39C4" w14:textId="77777777" w:rsidR="00756C73" w:rsidRDefault="00756C73" w:rsidP="00E515EC">
      <w:pPr>
        <w:spacing w:after="200" w:line="276" w:lineRule="auto"/>
        <w:rPr>
          <w:rFonts w:ascii="Arial" w:eastAsiaTheme="minorEastAsia" w:hAnsi="Arial" w:cs="Arial"/>
          <w:b/>
          <w:bCs/>
          <w:sz w:val="22"/>
          <w:szCs w:val="22"/>
          <w:lang w:val="en-GB" w:eastAsia="en-GB"/>
        </w:rPr>
      </w:pPr>
    </w:p>
    <w:p w14:paraId="773C5D30" w14:textId="578294AB" w:rsidR="00756C73" w:rsidRDefault="00E515EC" w:rsidP="00756C73">
      <w:pPr>
        <w:spacing w:line="276" w:lineRule="auto"/>
        <w:rPr>
          <w:rFonts w:ascii="Arial" w:eastAsiaTheme="minorEastAsia" w:hAnsi="Arial" w:cs="Arial"/>
          <w:b/>
          <w:bCs/>
          <w:sz w:val="22"/>
          <w:szCs w:val="22"/>
          <w:lang w:val="en-GB" w:eastAsia="en-GB"/>
        </w:rPr>
      </w:pPr>
      <w:r w:rsidRPr="00E515EC">
        <w:rPr>
          <w:rFonts w:ascii="Arial" w:eastAsiaTheme="minorEastAsia" w:hAnsi="Arial" w:cs="Arial"/>
          <w:b/>
          <w:bCs/>
          <w:sz w:val="22"/>
          <w:szCs w:val="22"/>
          <w:lang w:val="en-GB" w:eastAsia="en-GB"/>
        </w:rPr>
        <w:t>COMPETING INTERESTS DISCLAIMER:</w:t>
      </w:r>
    </w:p>
    <w:p w14:paraId="4C55C715" w14:textId="20ED20F1" w:rsidR="00756C73" w:rsidRDefault="00E515EC" w:rsidP="00756C73">
      <w:pPr>
        <w:spacing w:line="276" w:lineRule="auto"/>
        <w:rPr>
          <w:rFonts w:ascii="Arial" w:eastAsiaTheme="minorEastAsia" w:hAnsi="Arial" w:cs="Arial"/>
          <w:sz w:val="22"/>
          <w:szCs w:val="22"/>
          <w:lang w:val="en-GB" w:eastAsia="en-GB"/>
        </w:rPr>
      </w:pPr>
      <w:r w:rsidRPr="00E515EC">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2EBF7DF" w14:textId="77777777" w:rsidR="00756C73" w:rsidRDefault="00756C73" w:rsidP="00756C73">
      <w:pPr>
        <w:spacing w:line="276" w:lineRule="auto"/>
        <w:rPr>
          <w:rFonts w:ascii="Arial" w:eastAsiaTheme="minorEastAsia" w:hAnsi="Arial" w:cs="Arial"/>
          <w:lang w:eastAsia="en-GB"/>
        </w:rPr>
      </w:pPr>
    </w:p>
    <w:p w14:paraId="54DF64A2" w14:textId="08182FBC" w:rsidR="00756C73" w:rsidRPr="00756C73" w:rsidRDefault="00756C73" w:rsidP="00756C73">
      <w:pPr>
        <w:spacing w:line="276" w:lineRule="auto"/>
        <w:rPr>
          <w:rFonts w:ascii="Arial" w:eastAsiaTheme="minorEastAsia" w:hAnsi="Arial" w:cs="Arial"/>
          <w:b/>
          <w:bCs/>
          <w:sz w:val="22"/>
          <w:szCs w:val="22"/>
          <w:lang w:val="en-GB" w:eastAsia="en-GB"/>
        </w:rPr>
      </w:pPr>
      <w:r w:rsidRPr="00756C73">
        <w:rPr>
          <w:rFonts w:ascii="Arial" w:eastAsiaTheme="minorEastAsia" w:hAnsi="Arial" w:cs="Arial"/>
          <w:b/>
          <w:bCs/>
          <w:sz w:val="22"/>
          <w:szCs w:val="22"/>
          <w:lang w:eastAsia="en-GB"/>
        </w:rPr>
        <w:t>Disclaimer (Artificial intelligence)</w:t>
      </w:r>
    </w:p>
    <w:p w14:paraId="4F19E6E3" w14:textId="40C14982" w:rsidR="00756C73" w:rsidRPr="00756C73" w:rsidRDefault="00756C73" w:rsidP="00756C73">
      <w:pPr>
        <w:pStyle w:val="NoSpacing"/>
        <w:jc w:val="both"/>
        <w:rPr>
          <w:rFonts w:ascii="Arial" w:hAnsi="Arial" w:cs="Arial"/>
          <w:lang w:eastAsia="en-GB"/>
        </w:rPr>
      </w:pPr>
      <w:r w:rsidRPr="00756C73">
        <w:rPr>
          <w:rFonts w:ascii="Arial" w:hAnsi="Arial" w:cs="Arial"/>
          <w:lang w:eastAsia="en-GB"/>
        </w:rPr>
        <w:t>Author</w:t>
      </w:r>
      <w:r>
        <w:rPr>
          <w:rFonts w:ascii="Arial" w:hAnsi="Arial" w:cs="Arial"/>
          <w:lang w:eastAsia="en-GB"/>
        </w:rPr>
        <w:t>s</w:t>
      </w:r>
      <w:r w:rsidRPr="00756C73">
        <w:rPr>
          <w:rFonts w:ascii="Arial" w:hAnsi="Arial" w:cs="Arial"/>
          <w:lang w:eastAsia="en-GB"/>
        </w:rPr>
        <w:t xml:space="preserve"> hereby declare that NO generative AI technologies such as Large Language Models (ChatGPT, COPILOT, etc.) and text-to-image generators have been used during the writing or editing of this manuscript.</w:t>
      </w:r>
    </w:p>
    <w:p w14:paraId="271215F7" w14:textId="77777777" w:rsidR="00315186" w:rsidRPr="00315186" w:rsidRDefault="00315186" w:rsidP="00441B6F"/>
    <w:p w14:paraId="564ED249" w14:textId="77777777" w:rsidR="00860000" w:rsidRDefault="00860000" w:rsidP="00441B6F">
      <w:pPr>
        <w:pStyle w:val="ReferHead"/>
        <w:spacing w:after="0"/>
        <w:jc w:val="both"/>
        <w:rPr>
          <w:rFonts w:ascii="Arial" w:hAnsi="Arial" w:cs="Arial"/>
        </w:rPr>
      </w:pPr>
    </w:p>
    <w:p w14:paraId="28E60D9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CA52ABC" w14:textId="77777777" w:rsidR="00790ADA" w:rsidRPr="00FB3A86" w:rsidRDefault="00790ADA" w:rsidP="00441B6F">
      <w:pPr>
        <w:pStyle w:val="ReferHead"/>
        <w:spacing w:after="0"/>
        <w:jc w:val="both"/>
        <w:rPr>
          <w:rFonts w:ascii="Arial" w:hAnsi="Arial" w:cs="Arial"/>
        </w:rPr>
      </w:pPr>
    </w:p>
    <w:p w14:paraId="523B8358" w14:textId="77777777" w:rsidR="00052F07" w:rsidRDefault="00052F07" w:rsidP="00052F07">
      <w:pPr>
        <w:pStyle w:val="Body"/>
        <w:spacing w:after="0"/>
      </w:pPr>
      <w:r>
        <w:t xml:space="preserve">Allard-Latour, E., </w:t>
      </w:r>
      <w:proofErr w:type="spellStart"/>
      <w:r>
        <w:t>Rannou</w:t>
      </w:r>
      <w:proofErr w:type="spellEnd"/>
      <w:r>
        <w:t xml:space="preserve">, J., &amp; </w:t>
      </w:r>
      <w:proofErr w:type="spellStart"/>
      <w:r>
        <w:t>Kermarrec</w:t>
      </w:r>
      <w:proofErr w:type="spellEnd"/>
      <w:r>
        <w:t>, G. (2022). Original Article Adolescent girls’ and boys’ situational interest for a learning task in physical education. Journal of Physical Education and Sport ® (JPES), 22(6), 1356–1362. https://doi.org/10.7752/jpes.2022.06170</w:t>
      </w:r>
    </w:p>
    <w:p w14:paraId="4F3265C1" w14:textId="77777777" w:rsidR="00052F07" w:rsidRDefault="00052F07" w:rsidP="00052F07">
      <w:pPr>
        <w:pStyle w:val="Body"/>
        <w:spacing w:after="0"/>
      </w:pPr>
    </w:p>
    <w:p w14:paraId="799F9E09" w14:textId="7B5D8E8B" w:rsidR="00052F07" w:rsidRDefault="00052F07" w:rsidP="00052F07">
      <w:pPr>
        <w:pStyle w:val="Body"/>
        <w:spacing w:after="0"/>
      </w:pPr>
      <w:r>
        <w:t xml:space="preserve">Arık, A., &amp; </w:t>
      </w:r>
      <w:proofErr w:type="spellStart"/>
      <w:r>
        <w:t>Erturan</w:t>
      </w:r>
      <w:proofErr w:type="spellEnd"/>
      <w:r>
        <w:t>, G. (2023). Autonomy support and motivation in physical education: A comparison of teacher and student perspectives. International Journal of Contemporary Educational Research, 10(3), 649–657. https://doi.org/10.52380/ijcer.2023.10.3.470</w:t>
      </w:r>
    </w:p>
    <w:p w14:paraId="74D4569F" w14:textId="77777777" w:rsidR="00052F07" w:rsidRDefault="00052F07" w:rsidP="00052F07">
      <w:pPr>
        <w:pStyle w:val="Body"/>
        <w:spacing w:after="0"/>
      </w:pPr>
    </w:p>
    <w:p w14:paraId="47C0DF7F" w14:textId="707287E5" w:rsidR="00052F07" w:rsidRDefault="00052F07" w:rsidP="00052F07">
      <w:pPr>
        <w:pStyle w:val="Body"/>
        <w:spacing w:after="0"/>
      </w:pPr>
      <w:r>
        <w:t xml:space="preserve">Aslan, S., </w:t>
      </w:r>
      <w:proofErr w:type="spellStart"/>
      <w:r>
        <w:t>Fastrich</w:t>
      </w:r>
      <w:proofErr w:type="spellEnd"/>
      <w:r>
        <w:t xml:space="preserve">, G., Donnellan, E., Jones, D. J. W., &amp; Murayama, K. (2021). People’s naïve belief about curiosity and interest: A qualitative study. </w:t>
      </w:r>
      <w:proofErr w:type="spellStart"/>
      <w:r>
        <w:t>PLoS</w:t>
      </w:r>
      <w:proofErr w:type="spellEnd"/>
      <w:r>
        <w:t xml:space="preserve"> ONE, 16(9), e0256632. https://doi.org/10.1371/journal.pone.0256632</w:t>
      </w:r>
    </w:p>
    <w:p w14:paraId="286452A0" w14:textId="77777777" w:rsidR="00052F07" w:rsidRDefault="00052F07" w:rsidP="00052F07">
      <w:pPr>
        <w:pStyle w:val="Body"/>
        <w:spacing w:after="0"/>
      </w:pPr>
    </w:p>
    <w:p w14:paraId="4FFC7CF0" w14:textId="6BD368B2" w:rsidR="00052F07" w:rsidRDefault="00052F07" w:rsidP="00052F07">
      <w:pPr>
        <w:pStyle w:val="Body"/>
        <w:spacing w:after="0"/>
      </w:pPr>
      <w:proofErr w:type="spellStart"/>
      <w:r>
        <w:t>Barlizo</w:t>
      </w:r>
      <w:proofErr w:type="spellEnd"/>
      <w:r>
        <w:t>, R. J. E., &amp; Osorno, R. II M. (2022). The influence on physical education state anxiety and leisure motivation on perceived well</w:t>
      </w:r>
      <w:r>
        <w:rPr>
          <w:rFonts w:ascii="Cambria Math" w:hAnsi="Cambria Math" w:cs="Cambria Math"/>
        </w:rPr>
        <w:t>‑</w:t>
      </w:r>
      <w:r>
        <w:t>being of students. European Journal of Physical Education and Sport Science, 9(2). https://doi.org/10.46827/ejpe.v9i2.4560</w:t>
      </w:r>
    </w:p>
    <w:p w14:paraId="10E35760" w14:textId="77777777" w:rsidR="00052F07" w:rsidRDefault="00052F07" w:rsidP="00052F07">
      <w:pPr>
        <w:pStyle w:val="Body"/>
        <w:spacing w:after="0"/>
      </w:pPr>
    </w:p>
    <w:p w14:paraId="725175F5" w14:textId="49605D2D" w:rsidR="00052F07" w:rsidRDefault="00052F07" w:rsidP="00052F07">
      <w:pPr>
        <w:pStyle w:val="Body"/>
        <w:spacing w:after="0"/>
      </w:pPr>
      <w:r>
        <w:t>Burgueño, R., &amp; Medina-</w:t>
      </w:r>
      <w:proofErr w:type="spellStart"/>
      <w:r>
        <w:t>Casaubón</w:t>
      </w:r>
      <w:proofErr w:type="spellEnd"/>
      <w:r>
        <w:t xml:space="preserve">, J. (2021). Validity and Reliability of the Interpersonal Behaviors Questionnaire in Physical Education </w:t>
      </w:r>
      <w:proofErr w:type="gramStart"/>
      <w:r>
        <w:t>With</w:t>
      </w:r>
      <w:proofErr w:type="gramEnd"/>
      <w:r>
        <w:t xml:space="preserve"> Spanish Secondary School Students. Perceptual and Motor Skills, 128(1), 003151252094828. https://doi.org/10.1177/0031512520948286</w:t>
      </w:r>
    </w:p>
    <w:p w14:paraId="00E6C36C" w14:textId="77777777" w:rsidR="00052F07" w:rsidRDefault="00052F07" w:rsidP="00052F07">
      <w:pPr>
        <w:pStyle w:val="Body"/>
        <w:spacing w:after="0"/>
      </w:pPr>
    </w:p>
    <w:p w14:paraId="093D4DB3" w14:textId="7F5BD426" w:rsidR="00052F07" w:rsidRDefault="00052F07" w:rsidP="00052F07">
      <w:pPr>
        <w:pStyle w:val="Body"/>
        <w:spacing w:after="0"/>
      </w:pPr>
      <w:proofErr w:type="spellStart"/>
      <w:r>
        <w:t>Caramenti</w:t>
      </w:r>
      <w:proofErr w:type="spellEnd"/>
      <w:r>
        <w:t>, M., &amp; Castiglioni, I. (2022). Determinants of self-perceived health: The importance of physical well-being but also of mental health and cognitive functioning. Behavioral Sciences (Basel), 12(12), 498. https://doi.org/10.3390/bs12120498</w:t>
      </w:r>
    </w:p>
    <w:p w14:paraId="6B0500B2" w14:textId="77777777" w:rsidR="00052F07" w:rsidRDefault="00052F07" w:rsidP="00052F07">
      <w:pPr>
        <w:pStyle w:val="Body"/>
        <w:spacing w:after="0"/>
      </w:pPr>
    </w:p>
    <w:p w14:paraId="4DF5570A" w14:textId="242CF022" w:rsidR="00052F07" w:rsidRDefault="00052F07" w:rsidP="00052F07">
      <w:pPr>
        <w:pStyle w:val="Body"/>
        <w:spacing w:after="0"/>
      </w:pPr>
      <w:r>
        <w:t>Chen, S., Sun, H., Zhu, X., Chen, A., &amp; Ennis (Posthumous), C. D. (2021). Learners’ motivational response to the Science, PE, &amp; Me! curriculum: A situational interest perspective. Journal of Sport and Health Science, 10(2), 243–251. https://doi.org/10.1016/j.jshs.2019.11.001</w:t>
      </w:r>
    </w:p>
    <w:p w14:paraId="17484305" w14:textId="77777777" w:rsidR="00052F07" w:rsidRDefault="00052F07" w:rsidP="00052F07">
      <w:pPr>
        <w:pStyle w:val="Body"/>
        <w:spacing w:after="0"/>
      </w:pPr>
    </w:p>
    <w:p w14:paraId="54024E1D" w14:textId="188DE99F" w:rsidR="00052F07" w:rsidRDefault="00052F07" w:rsidP="00052F07">
      <w:pPr>
        <w:pStyle w:val="Body"/>
        <w:spacing w:after="0"/>
      </w:pPr>
      <w:r>
        <w:t>Cruz, A. B. (2021). Post-primary School Students’ Attitudes Toward Physical Education and Physical Activity Preferences: Philippines’ K-12 Program. The Asia-Pacific Education Researcher, 31. https://doi.org/10.1007/s40299-021-00598-2</w:t>
      </w:r>
    </w:p>
    <w:p w14:paraId="785CFAB2" w14:textId="77777777" w:rsidR="00052F07" w:rsidRDefault="00052F07" w:rsidP="00052F07">
      <w:pPr>
        <w:pStyle w:val="Body"/>
        <w:spacing w:after="0"/>
      </w:pPr>
    </w:p>
    <w:p w14:paraId="5C141B0D" w14:textId="10506C72" w:rsidR="00052F07" w:rsidRDefault="00052F07" w:rsidP="00052F07">
      <w:pPr>
        <w:pStyle w:val="Body"/>
        <w:spacing w:after="0"/>
      </w:pPr>
      <w:proofErr w:type="spellStart"/>
      <w:r>
        <w:t>Diloy</w:t>
      </w:r>
      <w:proofErr w:type="spellEnd"/>
      <w:r>
        <w:t xml:space="preserve"> Peña, S., García González, L., Sevil Serrano, J., Sanz </w:t>
      </w:r>
      <w:proofErr w:type="spellStart"/>
      <w:r>
        <w:t>Remacha</w:t>
      </w:r>
      <w:proofErr w:type="spellEnd"/>
      <w:r>
        <w:t xml:space="preserve">, M., &amp; </w:t>
      </w:r>
      <w:proofErr w:type="spellStart"/>
      <w:r>
        <w:t>Abós</w:t>
      </w:r>
      <w:proofErr w:type="spellEnd"/>
      <w:r>
        <w:t xml:space="preserve">, A. (2021). Motivational teaching style in Physical Education: How does it affect students’ experiences? </w:t>
      </w:r>
      <w:proofErr w:type="spellStart"/>
      <w:r>
        <w:t>Apunts</w:t>
      </w:r>
      <w:proofErr w:type="spellEnd"/>
      <w:r>
        <w:t xml:space="preserve">. </w:t>
      </w:r>
      <w:proofErr w:type="spellStart"/>
      <w:r>
        <w:t>Educación</w:t>
      </w:r>
      <w:proofErr w:type="spellEnd"/>
      <w:r>
        <w:t xml:space="preserve"> </w:t>
      </w:r>
      <w:proofErr w:type="spellStart"/>
      <w:r>
        <w:t>Física</w:t>
      </w:r>
      <w:proofErr w:type="spellEnd"/>
      <w:r>
        <w:t xml:space="preserve"> y </w:t>
      </w:r>
      <w:proofErr w:type="spellStart"/>
      <w:r>
        <w:t>Deportes</w:t>
      </w:r>
      <w:proofErr w:type="spellEnd"/>
      <w:r>
        <w:t xml:space="preserve">, 144, 44–51. https://doi.org/10.5672/apunts.2014 </w:t>
      </w:r>
      <w:proofErr w:type="gramStart"/>
      <w:r>
        <w:t>0983.es.(</w:t>
      </w:r>
      <w:proofErr w:type="gramEnd"/>
      <w:r>
        <w:t>2021/2).144.05</w:t>
      </w:r>
    </w:p>
    <w:p w14:paraId="1E60ECBC" w14:textId="77777777" w:rsidR="00052F07" w:rsidRDefault="00052F07" w:rsidP="00052F07">
      <w:pPr>
        <w:pStyle w:val="Body"/>
        <w:spacing w:after="0"/>
      </w:pPr>
    </w:p>
    <w:p w14:paraId="06E1B6EE" w14:textId="499CC5E6" w:rsidR="00052F07" w:rsidRDefault="00052F07" w:rsidP="00052F07">
      <w:pPr>
        <w:pStyle w:val="Body"/>
        <w:spacing w:after="0"/>
      </w:pPr>
      <w:r>
        <w:t>Fierro-Suero, S., Van Doren, N., De Cocker, K., &amp; </w:t>
      </w:r>
      <w:proofErr w:type="spellStart"/>
      <w:r>
        <w:t>Haerens</w:t>
      </w:r>
      <w:proofErr w:type="spellEnd"/>
      <w:r>
        <w:t>, L. (2024). Towards a refined insight into physical education teachers’ autonomy-supportive, structuring, and controlling style to the importance of student motivation: A person-centered approach. Physical Education and Sport Pedagogy. Advance online publication. https://doi.org/10.1080/17408989.2024.2432307</w:t>
      </w:r>
    </w:p>
    <w:p w14:paraId="34BE9E70" w14:textId="77777777" w:rsidR="00052F07" w:rsidRDefault="00052F07" w:rsidP="00052F07">
      <w:pPr>
        <w:pStyle w:val="Body"/>
        <w:spacing w:after="0"/>
      </w:pPr>
    </w:p>
    <w:p w14:paraId="7DB09D29" w14:textId="2CFE598F" w:rsidR="00052F07" w:rsidRDefault="00052F07" w:rsidP="00052F07">
      <w:pPr>
        <w:pStyle w:val="Body"/>
        <w:spacing w:after="0"/>
      </w:pPr>
      <w:r>
        <w:t>González</w:t>
      </w:r>
      <w:r>
        <w:rPr>
          <w:rFonts w:ascii="Cambria Math" w:hAnsi="Cambria Math" w:cs="Cambria Math"/>
        </w:rPr>
        <w:t>‑</w:t>
      </w:r>
      <w:r>
        <w:t>Guti</w:t>
      </w:r>
      <w:r>
        <w:rPr>
          <w:rFonts w:cs="Helvetica"/>
        </w:rPr>
        <w:t>é</w:t>
      </w:r>
      <w:r>
        <w:t>rrez, I., L</w:t>
      </w:r>
      <w:r>
        <w:rPr>
          <w:rFonts w:cs="Helvetica"/>
        </w:rPr>
        <w:t>ó</w:t>
      </w:r>
      <w:r>
        <w:t>pez</w:t>
      </w:r>
      <w:r>
        <w:rPr>
          <w:rFonts w:ascii="Cambria Math" w:hAnsi="Cambria Math" w:cs="Cambria Math"/>
        </w:rPr>
        <w:t>‑</w:t>
      </w:r>
      <w:r>
        <w:t>Garc</w:t>
      </w:r>
      <w:r>
        <w:rPr>
          <w:rFonts w:cs="Helvetica"/>
        </w:rPr>
        <w:t>í</w:t>
      </w:r>
      <w:r>
        <w:t xml:space="preserve">a, S., </w:t>
      </w:r>
      <w:proofErr w:type="spellStart"/>
      <w:r>
        <w:t>Barcala</w:t>
      </w:r>
      <w:proofErr w:type="spellEnd"/>
      <w:r>
        <w:t xml:space="preserve"> </w:t>
      </w:r>
      <w:proofErr w:type="spellStart"/>
      <w:r>
        <w:t>Furelos</w:t>
      </w:r>
      <w:proofErr w:type="spellEnd"/>
      <w:r>
        <w:t xml:space="preserve">, M., </w:t>
      </w:r>
      <w:proofErr w:type="spellStart"/>
      <w:r>
        <w:t>Mec</w:t>
      </w:r>
      <w:r>
        <w:rPr>
          <w:rFonts w:cs="Helvetica"/>
        </w:rPr>
        <w:t>í</w:t>
      </w:r>
      <w:r>
        <w:t>as</w:t>
      </w:r>
      <w:proofErr w:type="spellEnd"/>
      <w:r>
        <w:t xml:space="preserve"> Calvo, M., &amp; Navarro Pat</w:t>
      </w:r>
      <w:r>
        <w:rPr>
          <w:rFonts w:cs="Helvetica"/>
        </w:rPr>
        <w:t>ó</w:t>
      </w:r>
      <w:r>
        <w:t>n, R. (2025). Self</w:t>
      </w:r>
      <w:r>
        <w:rPr>
          <w:rFonts w:ascii="Cambria Math" w:hAnsi="Cambria Math" w:cs="Cambria Math"/>
        </w:rPr>
        <w:t>‑</w:t>
      </w:r>
      <w:r>
        <w:t>perception of efficacy and attitudes towards physical activity and sport in schoolchildren: Are there differences between Primary Education and Secondary Education students in Cantabria? Journal of Human Sport and Exercise, 20(1), 93</w:t>
      </w:r>
      <w:r>
        <w:rPr>
          <w:rFonts w:cs="Helvetica"/>
        </w:rPr>
        <w:t>–</w:t>
      </w:r>
      <w:r>
        <w:t>105. https://doi.org/10.55860/462kbt81</w:t>
      </w:r>
    </w:p>
    <w:p w14:paraId="18B29374" w14:textId="77777777" w:rsidR="00052F07" w:rsidRDefault="00052F07" w:rsidP="00052F07">
      <w:pPr>
        <w:pStyle w:val="Body"/>
        <w:spacing w:after="0"/>
      </w:pPr>
    </w:p>
    <w:p w14:paraId="7B994EF9" w14:textId="6AA6B675" w:rsidR="00052F07" w:rsidRDefault="00052F07" w:rsidP="00052F07">
      <w:pPr>
        <w:pStyle w:val="Body"/>
        <w:spacing w:after="0"/>
      </w:pPr>
      <w:r>
        <w:t>Hao, M., Liu, X., Wang, Y., Wu, Q., Yan, W., &amp; Hao, Y. (2023). The associations between body dissatisfaction, exercise intensity, sleep quality, and depression in university students in southern China. Frontiers in Psychiatry, 14, Article 1118855. https://doi.org/10.3389/fpsyt.2023.1118855</w:t>
      </w:r>
    </w:p>
    <w:p w14:paraId="498C82E6" w14:textId="77777777" w:rsidR="00052F07" w:rsidRDefault="00052F07" w:rsidP="00052F07">
      <w:pPr>
        <w:pStyle w:val="Body"/>
        <w:spacing w:after="0"/>
      </w:pPr>
    </w:p>
    <w:p w14:paraId="5CCC1AF9" w14:textId="336BCC61" w:rsidR="00052F07" w:rsidRDefault="00052F07" w:rsidP="00052F07">
      <w:pPr>
        <w:pStyle w:val="Body"/>
        <w:spacing w:after="0"/>
      </w:pPr>
      <w:proofErr w:type="spellStart"/>
      <w:r>
        <w:t>Hudo</w:t>
      </w:r>
      <w:proofErr w:type="spellEnd"/>
      <w:r>
        <w:t>, S., &amp; Perlman, D. J. (2024). Situational Interest: A Valuable Motivator for the Physical Education Student. Journal of Physical Education, Recreation &amp; Dance, 95(6), 52–54. https://doi.org/10.1080/07303084.2024.2359896</w:t>
      </w:r>
    </w:p>
    <w:p w14:paraId="04176744" w14:textId="77777777" w:rsidR="00052F07" w:rsidRDefault="00052F07" w:rsidP="00052F07">
      <w:pPr>
        <w:pStyle w:val="Body"/>
        <w:spacing w:after="0"/>
      </w:pPr>
    </w:p>
    <w:p w14:paraId="61787056" w14:textId="0135B2C2" w:rsidR="00052F07" w:rsidRDefault="00052F07" w:rsidP="00052F07">
      <w:pPr>
        <w:pStyle w:val="Body"/>
        <w:spacing w:after="0"/>
      </w:pPr>
      <w:r>
        <w:lastRenderedPageBreak/>
        <w:t>Kim, I., &amp; Ahn, J. (2021). The effect of changes in physical self-concept through participation in exercise on changes in self-esteem and mental well-being. International Journal of Environmental Research and Public Health, 18(10), 5224. https://doi.org/10.3390/ijerph18105224</w:t>
      </w:r>
    </w:p>
    <w:p w14:paraId="6952D691" w14:textId="77777777" w:rsidR="00052F07" w:rsidRDefault="00052F07" w:rsidP="00052F07">
      <w:pPr>
        <w:pStyle w:val="Body"/>
        <w:spacing w:after="0"/>
      </w:pPr>
    </w:p>
    <w:p w14:paraId="4CFBB3A5" w14:textId="2AC1D69C" w:rsidR="00052F07" w:rsidRDefault="00052F07" w:rsidP="00052F07">
      <w:pPr>
        <w:pStyle w:val="Body"/>
        <w:spacing w:after="0"/>
      </w:pPr>
      <w:proofErr w:type="spellStart"/>
      <w:r>
        <w:t>Kolovelonis</w:t>
      </w:r>
      <w:proofErr w:type="spellEnd"/>
      <w:r>
        <w:t>, A., &amp; Goudas, M. (2023). The effects of cognitively challenging physical activity games versus health related fitness activities on students’ executive functions and situational interest in physical education: A group randomized controlled trial. European Journal of Investigation in Health, Psychology and Education, 13(5), 796–809. https://doi.org/10.3390/ejihpe13050060</w:t>
      </w:r>
    </w:p>
    <w:p w14:paraId="1CDFD607" w14:textId="77777777" w:rsidR="00052F07" w:rsidRDefault="00052F07" w:rsidP="00052F07">
      <w:pPr>
        <w:pStyle w:val="Body"/>
        <w:spacing w:after="0"/>
      </w:pPr>
    </w:p>
    <w:p w14:paraId="60E7B41B" w14:textId="13361567" w:rsidR="00052F07" w:rsidRDefault="00052F07" w:rsidP="00052F07">
      <w:pPr>
        <w:pStyle w:val="Body"/>
        <w:spacing w:after="0"/>
      </w:pPr>
      <w:proofErr w:type="spellStart"/>
      <w:r>
        <w:t>Lentillon-Kaestner</w:t>
      </w:r>
      <w:proofErr w:type="spellEnd"/>
      <w:r>
        <w:t>, V., &amp; Roure, C. (2024). Situational interest within the reciprocal teaching style: Roles of dyad composition and students’ personal variables. Research Quarterly for Exercise and Sport, 95(2), 509–518. https://doi.org/10.1080/02701367.2023.2265450</w:t>
      </w:r>
    </w:p>
    <w:p w14:paraId="442242D0" w14:textId="77777777" w:rsidR="00052F07" w:rsidRDefault="00052F07" w:rsidP="00052F07">
      <w:pPr>
        <w:pStyle w:val="Body"/>
        <w:spacing w:after="0"/>
      </w:pPr>
    </w:p>
    <w:p w14:paraId="676FD06F" w14:textId="42474B58" w:rsidR="00052F07" w:rsidRDefault="00052F07" w:rsidP="00052F07">
      <w:pPr>
        <w:pStyle w:val="Body"/>
        <w:spacing w:after="0"/>
      </w:pPr>
      <w:r>
        <w:t>Leo, F. M., Pulido, J. J., Sánchez Oliva, D., López Gajardo, M. A., &amp; Mouratidis, A. (2022). See the forest by looking at the trees: Physical education teachers’ interpersonal style profiles and students’ engagement. European Physical Education Review, 28(3), 720–738. https://doi.org/10.1177/1356336X221075501</w:t>
      </w:r>
    </w:p>
    <w:p w14:paraId="24A40291" w14:textId="77777777" w:rsidR="00052F07" w:rsidRDefault="00052F07" w:rsidP="00052F07">
      <w:pPr>
        <w:pStyle w:val="Body"/>
        <w:spacing w:after="0"/>
      </w:pPr>
    </w:p>
    <w:p w14:paraId="4E28B844" w14:textId="50C8063C" w:rsidR="00052F07" w:rsidRDefault="00052F07" w:rsidP="00052F07">
      <w:pPr>
        <w:pStyle w:val="Body"/>
        <w:spacing w:after="0"/>
      </w:pPr>
      <w:r>
        <w:t>Lindwall, M., Asci, H., &amp; Hagger, M. S. (2011). Factorial validity and measurement invariance of the Revised Physical Self-Perception Profile (PSPP-R) in three countries. Psychology, Health &amp; Medicine, 16(1), 115–128. https://doi.org/10.1080/13548506.2010.521567</w:t>
      </w:r>
    </w:p>
    <w:p w14:paraId="140A7C40" w14:textId="77777777" w:rsidR="00052F07" w:rsidRDefault="00052F07" w:rsidP="00052F07">
      <w:pPr>
        <w:pStyle w:val="Body"/>
        <w:spacing w:after="0"/>
      </w:pPr>
    </w:p>
    <w:p w14:paraId="1564EDCE" w14:textId="0AAC6E27" w:rsidR="00052F07" w:rsidRDefault="00052F07" w:rsidP="00052F07">
      <w:pPr>
        <w:pStyle w:val="Body"/>
        <w:spacing w:after="0"/>
      </w:pPr>
      <w:r>
        <w:t xml:space="preserve">Lobo, J. (2025). The Influence of Multidimensional Situational Interest on Study Engagement in the University Physical Education Learning Environment in the Philippines. Sport </w:t>
      </w:r>
      <w:proofErr w:type="spellStart"/>
      <w:r>
        <w:t>i</w:t>
      </w:r>
      <w:proofErr w:type="spellEnd"/>
      <w:r>
        <w:t xml:space="preserve"> </w:t>
      </w:r>
      <w:proofErr w:type="spellStart"/>
      <w:r>
        <w:t>Turystyka</w:t>
      </w:r>
      <w:proofErr w:type="spellEnd"/>
      <w:r>
        <w:t xml:space="preserve">. </w:t>
      </w:r>
      <w:proofErr w:type="spellStart"/>
      <w:r>
        <w:t>Środkowoeuropejskie</w:t>
      </w:r>
      <w:proofErr w:type="spellEnd"/>
      <w:r>
        <w:t xml:space="preserve"> </w:t>
      </w:r>
      <w:proofErr w:type="spellStart"/>
      <w:r>
        <w:t>Czasopismo</w:t>
      </w:r>
      <w:proofErr w:type="spellEnd"/>
      <w:r>
        <w:t xml:space="preserve"> </w:t>
      </w:r>
      <w:proofErr w:type="spellStart"/>
      <w:r>
        <w:t>Naukowe</w:t>
      </w:r>
      <w:proofErr w:type="spellEnd"/>
      <w:r>
        <w:t>, 8(2), 63–83 http://dx.doi.org/10.16926/sit.2025.02.04</w:t>
      </w:r>
    </w:p>
    <w:p w14:paraId="4412F7B5" w14:textId="77777777" w:rsidR="00052F07" w:rsidRDefault="00052F07" w:rsidP="00052F07">
      <w:pPr>
        <w:pStyle w:val="Body"/>
        <w:spacing w:after="0"/>
      </w:pPr>
    </w:p>
    <w:p w14:paraId="1808BD1C" w14:textId="65067713" w:rsidR="00052F07" w:rsidRDefault="00052F07" w:rsidP="00052F07">
      <w:pPr>
        <w:pStyle w:val="Body"/>
        <w:spacing w:after="0"/>
      </w:pPr>
      <w:proofErr w:type="spellStart"/>
      <w:r>
        <w:t>Monacis</w:t>
      </w:r>
      <w:proofErr w:type="spellEnd"/>
      <w:r>
        <w:t xml:space="preserve">, D., Trecroci, A., Invernizzi, P. L., &amp; Colella, D. (2022). Can enjoyment and physical </w:t>
      </w:r>
      <w:proofErr w:type="spellStart"/>
      <w:r>
        <w:t>self perception</w:t>
      </w:r>
      <w:proofErr w:type="spellEnd"/>
      <w:r>
        <w:t xml:space="preserve"> mediate the relationship between BMI and levels of physical activity? Preliminary results from the Regional Observatory of Motor Development in Italy. International Journal of Environmental Research and Public Health, 19(19), 12567. https://doi.org/10.3390/ijerph191912567</w:t>
      </w:r>
    </w:p>
    <w:p w14:paraId="363CEB78" w14:textId="77777777" w:rsidR="00052F07" w:rsidRDefault="00052F07" w:rsidP="00052F07">
      <w:pPr>
        <w:pStyle w:val="Body"/>
        <w:spacing w:after="0"/>
      </w:pPr>
    </w:p>
    <w:p w14:paraId="4B1BE067" w14:textId="5912831E" w:rsidR="00052F07" w:rsidRDefault="00052F07" w:rsidP="00052F07">
      <w:pPr>
        <w:pStyle w:val="Body"/>
        <w:spacing w:after="0"/>
      </w:pPr>
      <w:r>
        <w:t xml:space="preserve">Morales-Sánchez, V., Hernández-Martos, J., </w:t>
      </w:r>
      <w:proofErr w:type="spellStart"/>
      <w:r>
        <w:t>Reigal</w:t>
      </w:r>
      <w:proofErr w:type="spellEnd"/>
      <w:r>
        <w:t>, R. E., &amp; Morillo-Baro, J. P. (2021). Physical self-concept and motor self-efficacy are related to satisfaction/enjoyment and boredom in physical education classes. Sustainability, 13(16), Article 8829. https://doi.org/10.3390/su13168829</w:t>
      </w:r>
    </w:p>
    <w:p w14:paraId="3BE1B52C" w14:textId="77777777" w:rsidR="00052F07" w:rsidRDefault="00052F07" w:rsidP="00052F07">
      <w:pPr>
        <w:pStyle w:val="Body"/>
        <w:spacing w:after="0"/>
      </w:pPr>
    </w:p>
    <w:p w14:paraId="077CADC2" w14:textId="5D3E58CE" w:rsidR="00052F07" w:rsidRDefault="00052F07" w:rsidP="00052F07">
      <w:pPr>
        <w:pStyle w:val="Body"/>
        <w:spacing w:after="0"/>
      </w:pPr>
      <w:r>
        <w:t xml:space="preserve">Nicolosi, S., </w:t>
      </w:r>
      <w:proofErr w:type="spellStart"/>
      <w:r>
        <w:t>Commandatore</w:t>
      </w:r>
      <w:proofErr w:type="spellEnd"/>
      <w:r>
        <w:t>, A., Ruiz, R. O., &amp; Benitez-</w:t>
      </w:r>
      <w:proofErr w:type="spellStart"/>
      <w:r>
        <w:t>Sillerob</w:t>
      </w:r>
      <w:proofErr w:type="spellEnd"/>
      <w:r>
        <w:t xml:space="preserve">, </w:t>
      </w:r>
      <w:proofErr w:type="spellStart"/>
      <w:r>
        <w:t>uan</w:t>
      </w:r>
      <w:proofErr w:type="spellEnd"/>
      <w:r>
        <w:t xml:space="preserve"> D. D. (2021). International </w:t>
      </w:r>
      <w:r>
        <w:tab/>
        <w:t xml:space="preserve">Journal of Sport and Exercise Psychology (IJSEP). </w:t>
      </w:r>
      <w:r>
        <w:tab/>
        <w:t xml:space="preserve">International Journal of Sport and </w:t>
      </w:r>
      <w:r>
        <w:tab/>
        <w:t>Exercise Psychology, 19(sup1), S1–</w:t>
      </w:r>
      <w:r>
        <w:tab/>
        <w:t>S539. https://doi.org/10.1080/1612197x.2021.1982479</w:t>
      </w:r>
    </w:p>
    <w:p w14:paraId="52565BE8" w14:textId="77777777" w:rsidR="00052F07" w:rsidRDefault="00052F07" w:rsidP="00052F07">
      <w:pPr>
        <w:pStyle w:val="Body"/>
        <w:spacing w:after="0"/>
      </w:pPr>
    </w:p>
    <w:p w14:paraId="2A69FD23" w14:textId="599F60ED" w:rsidR="00052F07" w:rsidRDefault="00052F07" w:rsidP="00052F07">
      <w:pPr>
        <w:pStyle w:val="Body"/>
        <w:spacing w:after="0"/>
      </w:pPr>
      <w:r>
        <w:t xml:space="preserve">Núñez, J. L., León, J., Valero-Valenzuela, A., Conte, L., Moreno-Murcia, J. A., &amp; </w:t>
      </w:r>
      <w:proofErr w:type="spellStart"/>
      <w:r>
        <w:t>Huéscar</w:t>
      </w:r>
      <w:proofErr w:type="spellEnd"/>
      <w:r>
        <w:t>, E. (2021). Influence of physical self-concept and motivational processes on moderate-to-vigorous physical activity of adolescents. Frontiers in Psychology, 12, Article 685612. https://doi.org/10.3389/fpsyg.2021.685612</w:t>
      </w:r>
    </w:p>
    <w:p w14:paraId="7A3D24A4" w14:textId="77777777" w:rsidR="00052F07" w:rsidRDefault="00052F07" w:rsidP="00052F07">
      <w:pPr>
        <w:pStyle w:val="Body"/>
        <w:spacing w:after="0"/>
      </w:pPr>
    </w:p>
    <w:p w14:paraId="6C2685B8" w14:textId="5B2A20E7" w:rsidR="00052F07" w:rsidRDefault="00052F07" w:rsidP="00052F07">
      <w:pPr>
        <w:pStyle w:val="Body"/>
        <w:spacing w:after="0"/>
      </w:pPr>
      <w:r>
        <w:t>Renninger, K. A., &amp; Su, S. (2012). Interest and its development. In R. M. Ryan (Ed.), The Oxford handbook of human motivation (pp. 167–187). Oxford University Press. https://works.swarthmore.edu/fac-education/51</w:t>
      </w:r>
    </w:p>
    <w:p w14:paraId="5E5F3584" w14:textId="77777777" w:rsidR="00052F07" w:rsidRDefault="00052F07" w:rsidP="00052F07">
      <w:pPr>
        <w:pStyle w:val="Body"/>
        <w:spacing w:after="0"/>
      </w:pPr>
    </w:p>
    <w:p w14:paraId="10AC391D" w14:textId="6A231165" w:rsidR="00052F07" w:rsidRDefault="00052F07" w:rsidP="00052F07">
      <w:pPr>
        <w:pStyle w:val="Body"/>
        <w:spacing w:after="0"/>
      </w:pPr>
      <w:r>
        <w:t xml:space="preserve">Roure, C., &amp; </w:t>
      </w:r>
      <w:proofErr w:type="spellStart"/>
      <w:r>
        <w:t>Lentillon-Kaestner</w:t>
      </w:r>
      <w:proofErr w:type="spellEnd"/>
      <w:r>
        <w:t>, V. (2021). Relationships between students’ individual interest, achievement goals, perceived competence and situational interest: A cluster analysis in swimming. European Physical Education Review, 28, 1356336X2110459. https://doi.org/10.1177/1356336x211045992</w:t>
      </w:r>
    </w:p>
    <w:p w14:paraId="2CC632CC" w14:textId="77777777" w:rsidR="00052F07" w:rsidRDefault="00052F07" w:rsidP="00052F07">
      <w:pPr>
        <w:pStyle w:val="Body"/>
        <w:spacing w:after="0"/>
      </w:pPr>
    </w:p>
    <w:p w14:paraId="3A859695" w14:textId="122B937F" w:rsidR="00052F07" w:rsidRDefault="00052F07" w:rsidP="00052F07">
      <w:pPr>
        <w:pStyle w:val="Body"/>
        <w:spacing w:after="0"/>
      </w:pPr>
      <w:r>
        <w:t>Roure, C., &amp; Pasco, D. (2018). Exploring situational interest sources in the French physical education context. European Physical Education Review, 24(1), 3–20. https://doi.org/10.1177/1356336x16662289</w:t>
      </w:r>
    </w:p>
    <w:p w14:paraId="641AA6DD" w14:textId="77777777" w:rsidR="00052F07" w:rsidRDefault="00052F07" w:rsidP="00052F07">
      <w:pPr>
        <w:pStyle w:val="Body"/>
        <w:spacing w:after="0"/>
      </w:pPr>
    </w:p>
    <w:p w14:paraId="2DE8E804" w14:textId="7C159C50" w:rsidR="00052F07" w:rsidRDefault="00052F07" w:rsidP="00052F07">
      <w:pPr>
        <w:pStyle w:val="Body"/>
        <w:spacing w:after="0"/>
      </w:pPr>
      <w:r>
        <w:t>Roure, C., &amp; Pasco, D. (2022). Exploring the effects of a context personalization approach in physical education on students’ interests and perceived competence. Journal of Teaching in Physical Education, 42(2), 331–340. https://doi.org/10.1123/jtpe.2021-0283</w:t>
      </w:r>
    </w:p>
    <w:p w14:paraId="666B4250" w14:textId="77777777" w:rsidR="00052F07" w:rsidRDefault="00052F07" w:rsidP="00052F07">
      <w:pPr>
        <w:pStyle w:val="Body"/>
        <w:spacing w:after="0"/>
      </w:pPr>
    </w:p>
    <w:p w14:paraId="5B19A4BD" w14:textId="2E574E80" w:rsidR="00052F07" w:rsidRDefault="00052F07" w:rsidP="00052F07">
      <w:pPr>
        <w:pStyle w:val="Body"/>
        <w:spacing w:after="0"/>
      </w:pPr>
      <w:r>
        <w:t>Ryan, R. M., &amp; Deci, E. L. (2017). Self-determination theory: Basic psychological</w:t>
      </w:r>
    </w:p>
    <w:p w14:paraId="677978AB" w14:textId="4903A2CF" w:rsidR="00052F07" w:rsidRDefault="00052F07" w:rsidP="00052F07">
      <w:pPr>
        <w:pStyle w:val="Body"/>
        <w:spacing w:after="0"/>
      </w:pPr>
      <w:r>
        <w:t>needs in motivation, development, and wellness. The Guilford Press. https://doi.org/10.1521/978.14625/28806</w:t>
      </w:r>
    </w:p>
    <w:p w14:paraId="267440DE" w14:textId="022341C1" w:rsidR="00052F07" w:rsidRDefault="00052F07" w:rsidP="00052F07">
      <w:pPr>
        <w:pStyle w:val="Body"/>
        <w:spacing w:after="0"/>
      </w:pPr>
      <w:r>
        <w:t>Sáez, I., Martín, J. J., Álvarez, E., de Paula, J., &amp; Moreno-Moreno, M. (2020). Physical self-concept, gender, and physical condition of university students. International Journal of Environmental Research and Public Health, 17(20), 7400. https://doi.org/10.3390/ijerph17207400</w:t>
      </w:r>
    </w:p>
    <w:p w14:paraId="2A16B3A6" w14:textId="77777777" w:rsidR="00052F07" w:rsidRDefault="00052F07" w:rsidP="00052F07">
      <w:pPr>
        <w:pStyle w:val="Body"/>
        <w:spacing w:after="0"/>
      </w:pPr>
    </w:p>
    <w:p w14:paraId="12855084" w14:textId="53BD8EA8" w:rsidR="00052F07" w:rsidRDefault="00052F07" w:rsidP="00052F07">
      <w:pPr>
        <w:pStyle w:val="Body"/>
        <w:spacing w:after="0"/>
      </w:pPr>
      <w:r>
        <w:t>Scott, L., Shen, B., Price, A., &amp; Centeio, E. (2020). The role of content specificity in situational interest and physical activity. Research Quarterly for Exercise and Sport, 91(1), 127–135. https://doi.org/10.1080/02701367.2019.1650879</w:t>
      </w:r>
    </w:p>
    <w:p w14:paraId="2F67E75F" w14:textId="77777777" w:rsidR="00052F07" w:rsidRDefault="00052F07" w:rsidP="00052F07">
      <w:pPr>
        <w:pStyle w:val="Body"/>
        <w:spacing w:after="0"/>
      </w:pPr>
    </w:p>
    <w:p w14:paraId="6EFBEBBA" w14:textId="0A09A768" w:rsidR="00052F07" w:rsidRDefault="00052F07" w:rsidP="00052F07">
      <w:pPr>
        <w:pStyle w:val="Body"/>
        <w:spacing w:after="0"/>
      </w:pPr>
      <w:r>
        <w:t>Selvam, M. M., Srivastava, S., Murugan, R. T., &amp; Gayathri, B. (2024). Research methodology. RK Publication. https://l1nk.dev/Dd3rk</w:t>
      </w:r>
    </w:p>
    <w:p w14:paraId="555E9002" w14:textId="77777777" w:rsidR="00052F07" w:rsidRDefault="00052F07" w:rsidP="00052F07">
      <w:pPr>
        <w:pStyle w:val="Body"/>
        <w:spacing w:after="0"/>
      </w:pPr>
    </w:p>
    <w:p w14:paraId="7B04162A" w14:textId="3F91BF24" w:rsidR="00052F07" w:rsidRDefault="00052F07" w:rsidP="00052F07">
      <w:pPr>
        <w:pStyle w:val="Body"/>
        <w:spacing w:after="0"/>
      </w:pPr>
      <w:r>
        <w:t>Tian, L., &amp; Shen, J. (2023). The effect of perceived teachers’ interpersonal behavior on students’ learning in physical education: a systematic review. Frontiers in Psychology, 14. https://doi.org/10.3389/fpsyg.2023.1233556</w:t>
      </w:r>
    </w:p>
    <w:p w14:paraId="6800E970" w14:textId="77777777" w:rsidR="00052F07" w:rsidRDefault="00052F07" w:rsidP="00052F07">
      <w:pPr>
        <w:pStyle w:val="Body"/>
        <w:spacing w:after="0"/>
      </w:pPr>
    </w:p>
    <w:p w14:paraId="52A7A656" w14:textId="397F698C" w:rsidR="00052F07" w:rsidRDefault="00052F07" w:rsidP="00052F07">
      <w:pPr>
        <w:pStyle w:val="Body"/>
        <w:spacing w:after="0"/>
      </w:pPr>
      <w:r>
        <w:t xml:space="preserve">Tonnetti, B., &amp; </w:t>
      </w:r>
      <w:proofErr w:type="spellStart"/>
      <w:r>
        <w:t>Lentillon-Kaestner</w:t>
      </w:r>
      <w:proofErr w:type="spellEnd"/>
      <w:r>
        <w:t>, V. (2023). Interdisciplinarity in Physical Education: Effect on Students’ Situational Interest. Education Sciences, 13(4), 373. https://doi.org/10.3390/educsci13040373</w:t>
      </w:r>
    </w:p>
    <w:p w14:paraId="61EDD5B0" w14:textId="77777777" w:rsidR="00052F07" w:rsidRDefault="00052F07" w:rsidP="00052F07">
      <w:pPr>
        <w:pStyle w:val="Body"/>
        <w:spacing w:after="0"/>
      </w:pPr>
    </w:p>
    <w:p w14:paraId="4A031DAC" w14:textId="3F05F0A6" w:rsidR="00052F07" w:rsidRDefault="00052F07" w:rsidP="00052F07">
      <w:pPr>
        <w:pStyle w:val="Body"/>
        <w:spacing w:after="0"/>
      </w:pPr>
      <w:r>
        <w:t xml:space="preserve">Tóth-Király, I., Morin, A. J. S., Gillet, N., </w:t>
      </w:r>
      <w:proofErr w:type="spellStart"/>
      <w:r>
        <w:t>Bőthe</w:t>
      </w:r>
      <w:proofErr w:type="spellEnd"/>
      <w:r>
        <w:t>, B., Nadon, L., Rigó, A., &amp; Orosz, G. (2022). Refining the assessment of need supportive and need thwarting interpersonal behaviors using the bifactor exploratory structural equation modeling framework. Current Psychology, 41, 2998-3012. https://doi.org/10.1007/s12144-020-00828-8</w:t>
      </w:r>
    </w:p>
    <w:p w14:paraId="5792ADAA" w14:textId="77777777" w:rsidR="00052F07" w:rsidRDefault="00052F07" w:rsidP="00052F07">
      <w:pPr>
        <w:pStyle w:val="Body"/>
        <w:spacing w:after="0"/>
      </w:pPr>
    </w:p>
    <w:p w14:paraId="405FFF74" w14:textId="4C8CFB54" w:rsidR="00052F07" w:rsidRDefault="00052F07" w:rsidP="00052F07">
      <w:pPr>
        <w:pStyle w:val="Body"/>
        <w:spacing w:after="0"/>
      </w:pPr>
      <w:r>
        <w:t xml:space="preserve">Wang, T., Sun, Y., &amp; Liao, S. (2022). Physical </w:t>
      </w:r>
      <w:proofErr w:type="spellStart"/>
      <w:r>
        <w:t>self matters</w:t>
      </w:r>
      <w:proofErr w:type="spellEnd"/>
      <w:r>
        <w:t>: How the dual nature of body image influences smart watch purchase intention. Frontiers in Psychology, 13. https://doi.org/10.3389/fpsyg.2022.846491</w:t>
      </w:r>
    </w:p>
    <w:p w14:paraId="453BF8B2" w14:textId="77777777" w:rsidR="00052F07" w:rsidRDefault="00052F07" w:rsidP="00052F07">
      <w:pPr>
        <w:pStyle w:val="Body"/>
        <w:spacing w:after="0"/>
      </w:pPr>
    </w:p>
    <w:p w14:paraId="1CCE9DA7" w14:textId="56278591" w:rsidR="00052F07" w:rsidRDefault="00052F07" w:rsidP="00052F07">
      <w:pPr>
        <w:pStyle w:val="Body"/>
        <w:spacing w:after="0"/>
      </w:pPr>
      <w:r>
        <w:t xml:space="preserve">Yang, Z., Yang, Z., Ou, W., Zeng, Q., &amp; Huang, J. (2024). Effects of physical activity interventions on physical </w:t>
      </w:r>
      <w:proofErr w:type="spellStart"/>
      <w:r>
        <w:t>self perception</w:t>
      </w:r>
      <w:proofErr w:type="spellEnd"/>
      <w:r>
        <w:t xml:space="preserve"> in college students: A systematic review and </w:t>
      </w:r>
      <w:proofErr w:type="spellStart"/>
      <w:r>
        <w:t>meta analysis</w:t>
      </w:r>
      <w:proofErr w:type="spellEnd"/>
      <w:r>
        <w:t>. Journal of Physical Activity and Health, 21(10), 990–1007. https://doi.org/10.1123/jpah.2024-0055 pubmed.ncbi.nlm.nih.gov</w:t>
      </w:r>
    </w:p>
    <w:p w14:paraId="71DEB621" w14:textId="77777777" w:rsidR="00052F07" w:rsidRDefault="00052F07" w:rsidP="00052F07">
      <w:pPr>
        <w:pStyle w:val="Body"/>
        <w:spacing w:after="0"/>
      </w:pPr>
    </w:p>
    <w:p w14:paraId="5E3460B6" w14:textId="5F6647D6" w:rsidR="00052F07" w:rsidRDefault="00052F07" w:rsidP="00052F07">
      <w:pPr>
        <w:pStyle w:val="Body"/>
        <w:spacing w:after="0"/>
      </w:pPr>
      <w:r>
        <w:t xml:space="preserve">Yu, M. V. B., Liu, Y., Hsieh, T., Lee, G., Simpkins, S. D., &amp; Pantano, A. (2020). “Working together as a team really gets them fired up”: Afterschool program mentoring strategies to </w:t>
      </w:r>
      <w:r>
        <w:lastRenderedPageBreak/>
        <w:t>promote collaborative learning among adolescent participants. Applied Developmental Science, 26(2), 1–15. https://doi.org/10.1080/10888691.2020.1800467</w:t>
      </w:r>
    </w:p>
    <w:p w14:paraId="26BA40A6" w14:textId="77777777" w:rsidR="00052F07" w:rsidRDefault="00052F07" w:rsidP="00052F07">
      <w:pPr>
        <w:pStyle w:val="Body"/>
        <w:spacing w:after="0"/>
      </w:pPr>
    </w:p>
    <w:p w14:paraId="5C05F3BE" w14:textId="3A13DAB6" w:rsidR="00B01FCD" w:rsidRPr="00052F07" w:rsidRDefault="00052F07" w:rsidP="00052F07">
      <w:pPr>
        <w:pStyle w:val="Body"/>
        <w:spacing w:after="0"/>
      </w:pPr>
      <w:r>
        <w:t xml:space="preserve">Zhu, W., Du, Z., Zhai, F., &amp; </w:t>
      </w:r>
      <w:proofErr w:type="spellStart"/>
      <w:r>
        <w:t>Lv</w:t>
      </w:r>
      <w:proofErr w:type="spellEnd"/>
      <w:r>
        <w:t>, K., (2025). Mediating effects of physical self-esteem and subjective well-being on physical activity and prosocial behavior among college students. Scientific Reports, 15, 19538. https://doi.org/10.1038/s41598-025-02706-4</w:t>
      </w:r>
    </w:p>
    <w:p w14:paraId="24EC5B1A" w14:textId="77777777" w:rsidR="00052F07" w:rsidRDefault="00052F07" w:rsidP="00441B6F">
      <w:pPr>
        <w:pStyle w:val="DefAcrHead"/>
        <w:spacing w:after="0"/>
        <w:jc w:val="both"/>
        <w:rPr>
          <w:rFonts w:ascii="Arial" w:hAnsi="Arial" w:cs="Arial"/>
        </w:rPr>
      </w:pPr>
    </w:p>
    <w:p w14:paraId="3F97059F" w14:textId="5D4292FD" w:rsidR="004D4277" w:rsidRPr="00FB3A86" w:rsidRDefault="004D4277" w:rsidP="00E515EC">
      <w:pPr>
        <w:pStyle w:val="DefAcrHead"/>
        <w:spacing w:after="0"/>
        <w:jc w:val="both"/>
        <w:rPr>
          <w:rFonts w:ascii="Arial" w:hAnsi="Arial" w:cs="Arial"/>
          <w:b w:val="0"/>
        </w:rPr>
        <w:sectPr w:rsidR="004D4277" w:rsidRPr="00FB3A86" w:rsidSect="004D3C82">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44AF974D" w14:textId="77777777" w:rsidR="00052F07" w:rsidRPr="00FB3A86" w:rsidRDefault="00052F07" w:rsidP="00441B6F">
      <w:pPr>
        <w:pStyle w:val="Appendix"/>
        <w:spacing w:after="0"/>
        <w:jc w:val="both"/>
        <w:rPr>
          <w:rFonts w:ascii="Arial" w:hAnsi="Arial" w:cs="Arial"/>
          <w:b w:val="0"/>
        </w:rPr>
      </w:pPr>
    </w:p>
    <w:sectPr w:rsidR="00052F07" w:rsidRPr="00FB3A86" w:rsidSect="004D3C8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0CEC1" w14:textId="77777777" w:rsidR="004F6202" w:rsidRDefault="004F6202" w:rsidP="00C37E61">
      <w:r>
        <w:separator/>
      </w:r>
    </w:p>
  </w:endnote>
  <w:endnote w:type="continuationSeparator" w:id="0">
    <w:p w14:paraId="55811E0F" w14:textId="77777777" w:rsidR="004F6202" w:rsidRDefault="004F620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auto"/>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0A6E8" w14:textId="77777777" w:rsidR="00810470" w:rsidRDefault="008104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95D69" w14:textId="77777777" w:rsidR="00810470" w:rsidRDefault="008104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746A" w14:textId="77777777" w:rsidR="00810470" w:rsidRDefault="00810470">
    <w:pPr>
      <w:pStyle w:val="Footer"/>
      <w:rPr>
        <w:rFonts w:ascii="Arial" w:hAnsi="Arial" w:cs="Arial"/>
        <w:sz w:val="16"/>
      </w:rPr>
    </w:pPr>
  </w:p>
  <w:p w14:paraId="1453E5BF" w14:textId="77777777" w:rsidR="00810470" w:rsidRDefault="0081047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1A17EB1" w14:textId="77777777" w:rsidR="00810470" w:rsidRDefault="00810470">
    <w:pPr>
      <w:pStyle w:val="Footer"/>
      <w:rPr>
        <w:rFonts w:ascii="Arial" w:hAnsi="Arial" w:cs="Arial"/>
        <w:sz w:val="16"/>
      </w:rPr>
    </w:pPr>
  </w:p>
  <w:p w14:paraId="5B862FE1" w14:textId="77777777" w:rsidR="00810470" w:rsidRPr="009E048A" w:rsidRDefault="00810470">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1B8CB" w14:textId="77777777" w:rsidR="00810470" w:rsidRPr="00C37E61" w:rsidRDefault="0081047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0E3FD" w14:textId="77777777" w:rsidR="004F6202" w:rsidRDefault="004F6202" w:rsidP="00C37E61">
      <w:r>
        <w:separator/>
      </w:r>
    </w:p>
  </w:footnote>
  <w:footnote w:type="continuationSeparator" w:id="0">
    <w:p w14:paraId="5DE676AB" w14:textId="77777777" w:rsidR="004F6202" w:rsidRDefault="004F620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F62B3" w14:textId="68D832CF" w:rsidR="00810470" w:rsidRDefault="00810470">
    <w:pPr>
      <w:pStyle w:val="Header"/>
    </w:pPr>
    <w:r>
      <w:rPr>
        <w:noProof/>
      </w:rPr>
      <w:pict w14:anchorId="149666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05929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E91F6" w14:textId="1C0DC765" w:rsidR="00810470" w:rsidRDefault="00810470">
    <w:pPr>
      <w:pStyle w:val="Header"/>
    </w:pPr>
    <w:r>
      <w:rPr>
        <w:noProof/>
      </w:rPr>
      <w:pict w14:anchorId="2D75D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05929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E196" w14:textId="3A12040B" w:rsidR="00810470" w:rsidRPr="00296529" w:rsidRDefault="00810470" w:rsidP="00296529">
    <w:pPr>
      <w:ind w:left="2160"/>
      <w:jc w:val="center"/>
      <w:rPr>
        <w:rFonts w:ascii="Times New Roman" w:eastAsia="Calibri" w:hAnsi="Times New Roman"/>
        <w:i/>
        <w:sz w:val="18"/>
        <w:szCs w:val="22"/>
      </w:rPr>
    </w:pPr>
    <w:r>
      <w:rPr>
        <w:noProof/>
      </w:rPr>
      <w:pict w14:anchorId="4BB35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05929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2063081" w14:textId="77777777" w:rsidR="00810470" w:rsidRPr="00296529" w:rsidRDefault="0081047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27F85D3" w14:textId="77777777" w:rsidR="00810470" w:rsidRPr="00296529" w:rsidRDefault="0081047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13DDBFF" w14:textId="77777777" w:rsidR="00810470" w:rsidRPr="00296529" w:rsidRDefault="0081047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2DB880" w14:textId="77777777" w:rsidR="00810470" w:rsidRDefault="0081047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0BF1CB" w14:textId="77777777" w:rsidR="00810470" w:rsidRDefault="0081047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B47FD25" w14:textId="77777777" w:rsidR="00810470" w:rsidRDefault="0081047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C5706" w14:textId="19DC8BF8" w:rsidR="00810470" w:rsidRDefault="00810470">
    <w:pPr>
      <w:pStyle w:val="Header"/>
    </w:pPr>
    <w:r>
      <w:rPr>
        <w:noProof/>
      </w:rPr>
      <w:pict w14:anchorId="53F5DA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05930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1D41B" w14:textId="2BE020D7" w:rsidR="00810470" w:rsidRDefault="00810470">
    <w:pPr>
      <w:pStyle w:val="Header"/>
    </w:pPr>
    <w:r>
      <w:rPr>
        <w:noProof/>
      </w:rPr>
      <w:pict w14:anchorId="6B18A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05930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2E41A" w14:textId="1FB02E51" w:rsidR="00810470" w:rsidRDefault="00810470">
    <w:pPr>
      <w:pStyle w:val="Header"/>
    </w:pPr>
    <w:r>
      <w:rPr>
        <w:noProof/>
      </w:rPr>
      <w:pict w14:anchorId="0E319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05930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48DE"/>
    <w:rsid w:val="0004579C"/>
    <w:rsid w:val="00052F07"/>
    <w:rsid w:val="000A47FA"/>
    <w:rsid w:val="000A65D3"/>
    <w:rsid w:val="000B1E33"/>
    <w:rsid w:val="000D689F"/>
    <w:rsid w:val="000E7B7B"/>
    <w:rsid w:val="000E7D62"/>
    <w:rsid w:val="00103357"/>
    <w:rsid w:val="00123C9F"/>
    <w:rsid w:val="00126190"/>
    <w:rsid w:val="00130F17"/>
    <w:rsid w:val="001320BF"/>
    <w:rsid w:val="00155C98"/>
    <w:rsid w:val="00163BC4"/>
    <w:rsid w:val="001832FA"/>
    <w:rsid w:val="00191062"/>
    <w:rsid w:val="00192B72"/>
    <w:rsid w:val="001A29D8"/>
    <w:rsid w:val="001A5CAA"/>
    <w:rsid w:val="001B0427"/>
    <w:rsid w:val="001D3A51"/>
    <w:rsid w:val="001D3E52"/>
    <w:rsid w:val="001D7750"/>
    <w:rsid w:val="001E10D2"/>
    <w:rsid w:val="001E25B4"/>
    <w:rsid w:val="001E44FE"/>
    <w:rsid w:val="001F4867"/>
    <w:rsid w:val="00200595"/>
    <w:rsid w:val="00204835"/>
    <w:rsid w:val="002069CC"/>
    <w:rsid w:val="00231920"/>
    <w:rsid w:val="0023195C"/>
    <w:rsid w:val="0024282C"/>
    <w:rsid w:val="002460DC"/>
    <w:rsid w:val="00250985"/>
    <w:rsid w:val="002556F6"/>
    <w:rsid w:val="00283105"/>
    <w:rsid w:val="00284C4C"/>
    <w:rsid w:val="00287E68"/>
    <w:rsid w:val="00296529"/>
    <w:rsid w:val="00296C22"/>
    <w:rsid w:val="002B1CA7"/>
    <w:rsid w:val="002B27FB"/>
    <w:rsid w:val="002B685A"/>
    <w:rsid w:val="002C57D2"/>
    <w:rsid w:val="002E0D56"/>
    <w:rsid w:val="00315186"/>
    <w:rsid w:val="0033343E"/>
    <w:rsid w:val="003512C2"/>
    <w:rsid w:val="003556B4"/>
    <w:rsid w:val="00371FB6"/>
    <w:rsid w:val="003763C1"/>
    <w:rsid w:val="00376BBE"/>
    <w:rsid w:val="0039224F"/>
    <w:rsid w:val="003A43A4"/>
    <w:rsid w:val="003A7E18"/>
    <w:rsid w:val="003C4C86"/>
    <w:rsid w:val="003C6258"/>
    <w:rsid w:val="003E2904"/>
    <w:rsid w:val="00401927"/>
    <w:rsid w:val="00407C59"/>
    <w:rsid w:val="0041027F"/>
    <w:rsid w:val="00412475"/>
    <w:rsid w:val="00417D61"/>
    <w:rsid w:val="00423789"/>
    <w:rsid w:val="00440F43"/>
    <w:rsid w:val="00441B6F"/>
    <w:rsid w:val="00446221"/>
    <w:rsid w:val="00450E62"/>
    <w:rsid w:val="004539DB"/>
    <w:rsid w:val="00471A80"/>
    <w:rsid w:val="004939F8"/>
    <w:rsid w:val="004D305E"/>
    <w:rsid w:val="004D3C82"/>
    <w:rsid w:val="004D4277"/>
    <w:rsid w:val="004F6202"/>
    <w:rsid w:val="00502516"/>
    <w:rsid w:val="00505F06"/>
    <w:rsid w:val="00506828"/>
    <w:rsid w:val="0053056E"/>
    <w:rsid w:val="00554FDA"/>
    <w:rsid w:val="005B2414"/>
    <w:rsid w:val="005B528D"/>
    <w:rsid w:val="005C01D5"/>
    <w:rsid w:val="005C784C"/>
    <w:rsid w:val="005D17F6"/>
    <w:rsid w:val="005E5539"/>
    <w:rsid w:val="00602BF5"/>
    <w:rsid w:val="00617FDD"/>
    <w:rsid w:val="00621499"/>
    <w:rsid w:val="00633614"/>
    <w:rsid w:val="00633F68"/>
    <w:rsid w:val="00636EB2"/>
    <w:rsid w:val="006375B8"/>
    <w:rsid w:val="0066510A"/>
    <w:rsid w:val="0067334B"/>
    <w:rsid w:val="00673F9F"/>
    <w:rsid w:val="00686953"/>
    <w:rsid w:val="00687DEA"/>
    <w:rsid w:val="00687E67"/>
    <w:rsid w:val="006967F7"/>
    <w:rsid w:val="006A250C"/>
    <w:rsid w:val="006B21D3"/>
    <w:rsid w:val="006B57D0"/>
    <w:rsid w:val="006D30FF"/>
    <w:rsid w:val="006D3DDA"/>
    <w:rsid w:val="006D6940"/>
    <w:rsid w:val="006F11EC"/>
    <w:rsid w:val="0070082C"/>
    <w:rsid w:val="007369E6"/>
    <w:rsid w:val="00746E59"/>
    <w:rsid w:val="00754C9A"/>
    <w:rsid w:val="0075599A"/>
    <w:rsid w:val="00756C73"/>
    <w:rsid w:val="0075741D"/>
    <w:rsid w:val="00761D52"/>
    <w:rsid w:val="00761D93"/>
    <w:rsid w:val="00762177"/>
    <w:rsid w:val="0077749E"/>
    <w:rsid w:val="00790ADA"/>
    <w:rsid w:val="007A5143"/>
    <w:rsid w:val="007C3864"/>
    <w:rsid w:val="007D2288"/>
    <w:rsid w:val="007E088F"/>
    <w:rsid w:val="007F5C99"/>
    <w:rsid w:val="007F616C"/>
    <w:rsid w:val="007F7B32"/>
    <w:rsid w:val="00804BC2"/>
    <w:rsid w:val="00810470"/>
    <w:rsid w:val="0081431A"/>
    <w:rsid w:val="0083216F"/>
    <w:rsid w:val="008417FE"/>
    <w:rsid w:val="00846FFE"/>
    <w:rsid w:val="00860000"/>
    <w:rsid w:val="00863BD3"/>
    <w:rsid w:val="008641ED"/>
    <w:rsid w:val="00866D66"/>
    <w:rsid w:val="008671C6"/>
    <w:rsid w:val="00875803"/>
    <w:rsid w:val="008B459E"/>
    <w:rsid w:val="008D4BB7"/>
    <w:rsid w:val="008E13AE"/>
    <w:rsid w:val="008E1506"/>
    <w:rsid w:val="008E710C"/>
    <w:rsid w:val="008F69D6"/>
    <w:rsid w:val="00902823"/>
    <w:rsid w:val="0090628D"/>
    <w:rsid w:val="00915CA6"/>
    <w:rsid w:val="00927834"/>
    <w:rsid w:val="009303CC"/>
    <w:rsid w:val="009500A6"/>
    <w:rsid w:val="00957C18"/>
    <w:rsid w:val="009659BA"/>
    <w:rsid w:val="00983040"/>
    <w:rsid w:val="009B3FB9"/>
    <w:rsid w:val="009C05E2"/>
    <w:rsid w:val="009C2465"/>
    <w:rsid w:val="009D35A0"/>
    <w:rsid w:val="009D7EB7"/>
    <w:rsid w:val="009E048A"/>
    <w:rsid w:val="009E08E9"/>
    <w:rsid w:val="009E3DB9"/>
    <w:rsid w:val="009E6E35"/>
    <w:rsid w:val="009F0EDA"/>
    <w:rsid w:val="009F6FBF"/>
    <w:rsid w:val="00A03B96"/>
    <w:rsid w:val="00A05B19"/>
    <w:rsid w:val="00A1134E"/>
    <w:rsid w:val="00A24E7E"/>
    <w:rsid w:val="00A258C3"/>
    <w:rsid w:val="00A347C0"/>
    <w:rsid w:val="00A4171D"/>
    <w:rsid w:val="00A51431"/>
    <w:rsid w:val="00A539AD"/>
    <w:rsid w:val="00A94063"/>
    <w:rsid w:val="00A97DF2"/>
    <w:rsid w:val="00AA6219"/>
    <w:rsid w:val="00AA74E0"/>
    <w:rsid w:val="00AB703F"/>
    <w:rsid w:val="00AC6BB8"/>
    <w:rsid w:val="00AD621E"/>
    <w:rsid w:val="00AE008F"/>
    <w:rsid w:val="00B01FCD"/>
    <w:rsid w:val="00B1776C"/>
    <w:rsid w:val="00B40DA7"/>
    <w:rsid w:val="00B52583"/>
    <w:rsid w:val="00B52896"/>
    <w:rsid w:val="00B660E7"/>
    <w:rsid w:val="00B902CB"/>
    <w:rsid w:val="00B95236"/>
    <w:rsid w:val="00B96BD9"/>
    <w:rsid w:val="00BA1B01"/>
    <w:rsid w:val="00BA2641"/>
    <w:rsid w:val="00BB37AA"/>
    <w:rsid w:val="00BC53A0"/>
    <w:rsid w:val="00BE62AD"/>
    <w:rsid w:val="00BF121F"/>
    <w:rsid w:val="00BF1F80"/>
    <w:rsid w:val="00C04FC1"/>
    <w:rsid w:val="00C166EF"/>
    <w:rsid w:val="00C17EB0"/>
    <w:rsid w:val="00C27F5F"/>
    <w:rsid w:val="00C30A0F"/>
    <w:rsid w:val="00C37E61"/>
    <w:rsid w:val="00C4715C"/>
    <w:rsid w:val="00C70F1B"/>
    <w:rsid w:val="00C71A47"/>
    <w:rsid w:val="00C7464C"/>
    <w:rsid w:val="00C812B4"/>
    <w:rsid w:val="00C85588"/>
    <w:rsid w:val="00CC26C5"/>
    <w:rsid w:val="00CD6755"/>
    <w:rsid w:val="00CD6856"/>
    <w:rsid w:val="00CE0089"/>
    <w:rsid w:val="00CE793C"/>
    <w:rsid w:val="00CF193C"/>
    <w:rsid w:val="00CF4E66"/>
    <w:rsid w:val="00D173F1"/>
    <w:rsid w:val="00D74CB0"/>
    <w:rsid w:val="00D8295D"/>
    <w:rsid w:val="00D907BD"/>
    <w:rsid w:val="00DC2A65"/>
    <w:rsid w:val="00DE15F0"/>
    <w:rsid w:val="00DE5663"/>
    <w:rsid w:val="00DE78AA"/>
    <w:rsid w:val="00E053D0"/>
    <w:rsid w:val="00E12AC5"/>
    <w:rsid w:val="00E15994"/>
    <w:rsid w:val="00E3114E"/>
    <w:rsid w:val="00E31A70"/>
    <w:rsid w:val="00E35B02"/>
    <w:rsid w:val="00E515EC"/>
    <w:rsid w:val="00E66496"/>
    <w:rsid w:val="00E66B35"/>
    <w:rsid w:val="00E66E10"/>
    <w:rsid w:val="00E769F6"/>
    <w:rsid w:val="00E8407C"/>
    <w:rsid w:val="00E84F3C"/>
    <w:rsid w:val="00E90C0C"/>
    <w:rsid w:val="00EA012C"/>
    <w:rsid w:val="00EC6A55"/>
    <w:rsid w:val="00ED0288"/>
    <w:rsid w:val="00EE52CB"/>
    <w:rsid w:val="00EF581D"/>
    <w:rsid w:val="00EF7FD8"/>
    <w:rsid w:val="00F06F59"/>
    <w:rsid w:val="00F17988"/>
    <w:rsid w:val="00F469F0"/>
    <w:rsid w:val="00F53273"/>
    <w:rsid w:val="00F755E4"/>
    <w:rsid w:val="00F77D02"/>
    <w:rsid w:val="00F9794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48DD8BF"/>
  <w15:docId w15:val="{3943D093-DE6A-4316-B499-ACA49813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semiHidden/>
    <w:unhideWhenUsed/>
    <w:qFormat/>
    <w:rsid w:val="00C04FC1"/>
    <w:pPr>
      <w:keepNext/>
      <w:keepLines/>
      <w:spacing w:before="160" w:after="80" w:line="276" w:lineRule="auto"/>
      <w:outlineLvl w:val="2"/>
    </w:pPr>
    <w:rPr>
      <w:rFonts w:asciiTheme="minorHAnsi" w:eastAsiaTheme="majorEastAsia" w:hAnsiTheme="minorHAnsi" w:cstheme="majorBidi"/>
      <w:color w:val="365F91" w:themeColor="accent1" w:themeShade="BF"/>
      <w:kern w:val="2"/>
      <w:sz w:val="28"/>
      <w:szCs w:val="28"/>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5C01D5"/>
    <w:pPr>
      <w:spacing w:after="120"/>
    </w:pPr>
  </w:style>
  <w:style w:type="character" w:customStyle="1" w:styleId="BodyTextChar">
    <w:name w:val="Body Text Char"/>
    <w:basedOn w:val="DefaultParagraphFont"/>
    <w:link w:val="BodyText"/>
    <w:semiHidden/>
    <w:rsid w:val="005C01D5"/>
    <w:rPr>
      <w:rFonts w:ascii="Helvetica" w:hAnsi="Helvetica"/>
    </w:rPr>
  </w:style>
  <w:style w:type="paragraph" w:styleId="NoSpacing">
    <w:name w:val="No Spacing"/>
    <w:uiPriority w:val="1"/>
    <w:qFormat/>
    <w:rsid w:val="005C01D5"/>
    <w:rPr>
      <w:rFonts w:asciiTheme="minorHAnsi" w:eastAsiaTheme="minorHAnsi" w:hAnsiTheme="minorHAnsi" w:cstheme="minorBidi"/>
      <w:kern w:val="2"/>
      <w:sz w:val="22"/>
      <w:szCs w:val="22"/>
      <w:lang w:val="en-PH"/>
    </w:rPr>
  </w:style>
  <w:style w:type="paragraph" w:styleId="ListParagraph">
    <w:name w:val="List Paragraph"/>
    <w:basedOn w:val="Normal"/>
    <w:uiPriority w:val="34"/>
    <w:qFormat/>
    <w:rsid w:val="005C01D5"/>
    <w:pPr>
      <w:spacing w:after="200" w:line="276" w:lineRule="auto"/>
      <w:ind w:left="720"/>
      <w:contextualSpacing/>
    </w:pPr>
    <w:rPr>
      <w:rFonts w:asciiTheme="minorHAnsi" w:eastAsiaTheme="minorEastAsia" w:hAnsiTheme="minorHAnsi" w:cstheme="minorBidi"/>
      <w:sz w:val="22"/>
      <w:szCs w:val="22"/>
      <w:lang w:val="en-PH" w:eastAsia="en-PH"/>
    </w:rPr>
  </w:style>
  <w:style w:type="paragraph" w:customStyle="1" w:styleId="TableContents">
    <w:name w:val="Table Contents"/>
    <w:basedOn w:val="Normal"/>
    <w:rsid w:val="005C01D5"/>
    <w:pPr>
      <w:suppressLineNumbers/>
      <w:suppressAutoHyphens/>
    </w:pPr>
    <w:rPr>
      <w:rFonts w:ascii="Times New Roman" w:hAnsi="Times New Roman"/>
      <w:sz w:val="24"/>
      <w:szCs w:val="24"/>
      <w:lang w:eastAsia="ar-SA"/>
    </w:rPr>
  </w:style>
  <w:style w:type="character" w:customStyle="1" w:styleId="Heading3Char">
    <w:name w:val="Heading 3 Char"/>
    <w:basedOn w:val="DefaultParagraphFont"/>
    <w:link w:val="Heading3"/>
    <w:uiPriority w:val="9"/>
    <w:semiHidden/>
    <w:rsid w:val="00C04FC1"/>
    <w:rPr>
      <w:rFonts w:asciiTheme="minorHAnsi" w:eastAsiaTheme="majorEastAsia" w:hAnsiTheme="minorHAnsi" w:cstheme="majorBidi"/>
      <w:color w:val="365F91" w:themeColor="accent1" w:themeShade="BF"/>
      <w:kern w:val="2"/>
      <w:sz w:val="28"/>
      <w:szCs w:val="28"/>
      <w:lang w:val="en-PH"/>
    </w:rPr>
  </w:style>
  <w:style w:type="paragraph" w:customStyle="1" w:styleId="Default">
    <w:name w:val="Default"/>
    <w:qFormat/>
    <w:rsid w:val="00C04FC1"/>
    <w:pPr>
      <w:autoSpaceDE w:val="0"/>
      <w:autoSpaceDN w:val="0"/>
      <w:adjustRightInd w:val="0"/>
    </w:pPr>
    <w:rPr>
      <w:rFonts w:eastAsiaTheme="minorEastAsia"/>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FE921-ED0F-4D0E-B763-81DE9EEEA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339</TotalTime>
  <Pages>15</Pages>
  <Words>7205</Words>
  <Characters>41075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48184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1158</cp:lastModifiedBy>
  <cp:revision>5</cp:revision>
  <cp:lastPrinted>1999-07-06T11:00:00Z</cp:lastPrinted>
  <dcterms:created xsi:type="dcterms:W3CDTF">2014-10-25T14:34:00Z</dcterms:created>
  <dcterms:modified xsi:type="dcterms:W3CDTF">2026-03-09T08:06:00Z</dcterms:modified>
</cp:coreProperties>
</file>