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573C9" w14:textId="5E8CA86B" w:rsidR="00754C9A" w:rsidRDefault="0096385D" w:rsidP="00441B6F">
      <w:pPr>
        <w:pStyle w:val="Title"/>
        <w:spacing w:after="0"/>
        <w:jc w:val="both"/>
        <w:rPr>
          <w:rFonts w:ascii="Arial" w:hAnsi="Arial" w:cs="Arial"/>
          <w:sz w:val="32"/>
          <w:szCs w:val="18"/>
          <w:u w:val="single"/>
        </w:rPr>
      </w:pPr>
      <w:r w:rsidRPr="0096385D">
        <w:rPr>
          <w:rFonts w:ascii="Arial" w:hAnsi="Arial" w:cs="Arial"/>
          <w:sz w:val="32"/>
          <w:szCs w:val="18"/>
          <w:u w:val="single"/>
        </w:rPr>
        <w:t>Original Research Article</w:t>
      </w:r>
    </w:p>
    <w:p w14:paraId="2DB62046" w14:textId="77777777" w:rsidR="0096385D" w:rsidRPr="0096385D" w:rsidRDefault="0096385D" w:rsidP="00441B6F">
      <w:pPr>
        <w:pStyle w:val="Title"/>
        <w:spacing w:after="0"/>
        <w:jc w:val="both"/>
        <w:rPr>
          <w:rFonts w:ascii="Arial" w:hAnsi="Arial" w:cs="Arial"/>
          <w:sz w:val="32"/>
          <w:szCs w:val="18"/>
          <w:u w:val="single"/>
        </w:rPr>
      </w:pPr>
    </w:p>
    <w:p w14:paraId="2727ABF7" w14:textId="3E7EB285" w:rsidR="00A258C3" w:rsidRPr="00790ADA" w:rsidRDefault="00723EFD" w:rsidP="00723EFD">
      <w:pPr>
        <w:pStyle w:val="Author"/>
        <w:spacing w:line="240" w:lineRule="auto"/>
        <w:rPr>
          <w:rFonts w:ascii="Arial" w:hAnsi="Arial" w:cs="Arial"/>
          <w:sz w:val="36"/>
        </w:rPr>
      </w:pPr>
      <w:r w:rsidRPr="00723EFD">
        <w:rPr>
          <w:rFonts w:ascii="Arial" w:hAnsi="Arial" w:cs="Arial"/>
          <w:bCs/>
          <w:iCs/>
          <w:kern w:val="28"/>
          <w:sz w:val="36"/>
        </w:rPr>
        <w:t xml:space="preserve">  </w:t>
      </w:r>
      <w:r w:rsidR="00323E82">
        <w:rPr>
          <w:rFonts w:ascii="Arial" w:hAnsi="Arial" w:cs="Arial"/>
          <w:bCs/>
          <w:iCs/>
          <w:kern w:val="28"/>
          <w:sz w:val="36"/>
        </w:rPr>
        <w:t>Management Practices of Financial Institutions</w:t>
      </w:r>
    </w:p>
    <w:p w14:paraId="586409D2" w14:textId="77777777" w:rsidR="005A066A" w:rsidRDefault="005A066A" w:rsidP="0096385D">
      <w:pPr>
        <w:pStyle w:val="Affiliation"/>
        <w:spacing w:after="0" w:line="240" w:lineRule="auto"/>
        <w:rPr>
          <w:rFonts w:ascii="Arial" w:hAnsi="Arial" w:cs="Arial"/>
        </w:rPr>
      </w:pPr>
    </w:p>
    <w:p w14:paraId="6AB67314" w14:textId="6D3D0134" w:rsidR="00477893" w:rsidRDefault="00477893" w:rsidP="0096385D">
      <w:pPr>
        <w:pStyle w:val="Affiliation"/>
        <w:spacing w:after="0" w:line="240" w:lineRule="auto"/>
        <w:rPr>
          <w:rFonts w:ascii="Arial" w:hAnsi="Arial" w:cs="Arial"/>
        </w:rPr>
      </w:pPr>
      <w:r>
        <w:rPr>
          <w:rFonts w:ascii="Arial" w:hAnsi="Arial" w:cs="Arial"/>
        </w:rPr>
        <w:t xml:space="preserve"> </w:t>
      </w:r>
    </w:p>
    <w:p w14:paraId="7454850C" w14:textId="77777777" w:rsidR="002C57D2" w:rsidRPr="00FB3A86" w:rsidRDefault="002C57D2" w:rsidP="00441B6F">
      <w:pPr>
        <w:pStyle w:val="Affiliation"/>
        <w:spacing w:after="0" w:line="240" w:lineRule="auto"/>
        <w:jc w:val="both"/>
        <w:rPr>
          <w:rFonts w:ascii="Arial" w:hAnsi="Arial" w:cs="Arial"/>
        </w:rPr>
      </w:pPr>
    </w:p>
    <w:p w14:paraId="69811983" w14:textId="2BF00A0A" w:rsidR="00B01FCD" w:rsidRPr="00FB3A86" w:rsidRDefault="00472FB9" w:rsidP="00441B6F">
      <w:pPr>
        <w:pStyle w:val="Copyright"/>
        <w:spacing w:after="0" w:line="240" w:lineRule="auto"/>
        <w:jc w:val="both"/>
        <w:rPr>
          <w:rFonts w:ascii="Arial" w:hAnsi="Arial" w:cs="Arial"/>
        </w:rPr>
        <w:sectPr w:rsidR="00B01FCD" w:rsidRPr="00FB3A86" w:rsidSect="005B382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6493919" wp14:editId="7C10CF5C">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A3EC6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18BCB60C" w14:textId="390E9C96" w:rsidR="00B01FCD" w:rsidRDefault="00B01FCD" w:rsidP="00441B6F">
      <w:pPr>
        <w:pStyle w:val="AbstHead"/>
        <w:spacing w:after="0"/>
        <w:jc w:val="both"/>
        <w:rPr>
          <w:rFonts w:ascii="Arial" w:hAnsi="Arial" w:cs="Arial"/>
        </w:rPr>
      </w:pPr>
      <w:r w:rsidRPr="00FB3A86">
        <w:rPr>
          <w:rFonts w:ascii="Arial" w:hAnsi="Arial" w:cs="Arial"/>
        </w:rPr>
        <w:t>ABSTRACT</w:t>
      </w:r>
    </w:p>
    <w:p w14:paraId="1AA09CB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F23228E" w14:textId="77777777" w:rsidTr="001E44FE">
        <w:tc>
          <w:tcPr>
            <w:tcW w:w="9576" w:type="dxa"/>
            <w:shd w:val="clear" w:color="auto" w:fill="F2F2F2"/>
          </w:tcPr>
          <w:p w14:paraId="725056E9" w14:textId="437DE348" w:rsidR="00505F06" w:rsidRPr="00E218F7" w:rsidRDefault="00E218F7" w:rsidP="00E218F7">
            <w:pPr>
              <w:jc w:val="both"/>
              <w:rPr>
                <w:rFonts w:ascii="Arial" w:hAnsi="Arial" w:cs="Arial"/>
              </w:rPr>
            </w:pPr>
            <w:r w:rsidRPr="00FF3CBC">
              <w:rPr>
                <w:rFonts w:ascii="Arial" w:hAnsi="Arial" w:cs="Arial"/>
              </w:rPr>
              <w:t xml:space="preserve">This study aimed to assess the management practices of financial institutions in </w:t>
            </w:r>
            <w:proofErr w:type="spellStart"/>
            <w:r w:rsidRPr="00FF3CBC">
              <w:rPr>
                <w:rFonts w:ascii="Arial" w:hAnsi="Arial" w:cs="Arial"/>
              </w:rPr>
              <w:t>Cateel</w:t>
            </w:r>
            <w:proofErr w:type="spellEnd"/>
            <w:r w:rsidRPr="00FF3CBC">
              <w:rPr>
                <w:rFonts w:ascii="Arial" w:hAnsi="Arial" w:cs="Arial"/>
              </w:rPr>
              <w:t>, Davao Oriental, focusing on the areas of human resources, finance, and marketing. A quantitative descriptive-comparative research design was used, with data gathered through a structured questionnaire administered to 124 respondents from selected financial institutions.</w:t>
            </w:r>
            <w:r>
              <w:rPr>
                <w:rFonts w:ascii="Arial" w:hAnsi="Arial" w:cs="Arial"/>
              </w:rPr>
              <w:t xml:space="preserve">  </w:t>
            </w:r>
            <w:r w:rsidRPr="00FF3CBC">
              <w:rPr>
                <w:rFonts w:ascii="Arial" w:hAnsi="Arial" w:cs="Arial"/>
              </w:rPr>
              <w:t>The findings revealed that human resource and financial management practices were rated as highly evident, while marketing practices were rated as evident. No statistically significant difference was found when the data were analyzed according to respondents’ age and sex, and no comparison was made for educational attainment due to uniform responses. These results implied that management practices were applied consistently regardless of demographic variables.</w:t>
            </w:r>
            <w:r>
              <w:rPr>
                <w:rFonts w:ascii="Arial" w:hAnsi="Arial" w:cs="Arial"/>
              </w:rPr>
              <w:t xml:space="preserve"> </w:t>
            </w:r>
            <w:r w:rsidRPr="00FF3CBC">
              <w:rPr>
                <w:rFonts w:ascii="Arial" w:hAnsi="Arial" w:cs="Arial"/>
              </w:rPr>
              <w:t>The study contributed valuable insights to institutional leaders, employees, and policymakers by identifying strengths and improvement areas in local financial institutions. The findings also underscored the importance of inclusivity and innovation in sustaining effective institutional operations.</w:t>
            </w:r>
          </w:p>
        </w:tc>
      </w:tr>
    </w:tbl>
    <w:p w14:paraId="51F16971" w14:textId="77777777" w:rsidR="00636EB2" w:rsidRDefault="00636EB2" w:rsidP="00441B6F">
      <w:pPr>
        <w:pStyle w:val="Body"/>
        <w:spacing w:after="0"/>
        <w:rPr>
          <w:rFonts w:ascii="Arial" w:hAnsi="Arial" w:cs="Arial"/>
          <w:i/>
        </w:rPr>
      </w:pPr>
    </w:p>
    <w:p w14:paraId="3566F54F" w14:textId="73B2AC24" w:rsidR="00A24E7E" w:rsidRDefault="00A24E7E" w:rsidP="00441B6F">
      <w:pPr>
        <w:pStyle w:val="Body"/>
        <w:spacing w:after="0"/>
        <w:rPr>
          <w:rFonts w:ascii="Arial" w:hAnsi="Arial" w:cs="Arial"/>
          <w:i/>
        </w:rPr>
      </w:pPr>
      <w:r>
        <w:rPr>
          <w:rFonts w:ascii="Arial" w:hAnsi="Arial" w:cs="Arial"/>
          <w:i/>
        </w:rPr>
        <w:t xml:space="preserve">Keywords: </w:t>
      </w:r>
      <w:r w:rsidR="00E218F7">
        <w:rPr>
          <w:rFonts w:ascii="Arial" w:hAnsi="Arial" w:cs="Arial"/>
          <w:i/>
        </w:rPr>
        <w:t xml:space="preserve">management practices, financial institutions, human resources, finance, marketing </w:t>
      </w:r>
    </w:p>
    <w:p w14:paraId="64A3D2CD" w14:textId="77777777" w:rsidR="00505F06" w:rsidRPr="00A24E7E" w:rsidRDefault="00505F06" w:rsidP="00441B6F">
      <w:pPr>
        <w:pStyle w:val="Body"/>
        <w:spacing w:after="0"/>
        <w:rPr>
          <w:rFonts w:ascii="Arial" w:hAnsi="Arial" w:cs="Arial"/>
          <w:i/>
        </w:rPr>
      </w:pPr>
    </w:p>
    <w:p w14:paraId="18AF9ECD" w14:textId="40FBC616" w:rsidR="00790ADA"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8D7E9E1" w14:textId="77777777" w:rsidR="00FD6C2A" w:rsidRPr="00FB3A86" w:rsidRDefault="00FD6C2A" w:rsidP="00441B6F">
      <w:pPr>
        <w:pStyle w:val="AbstHead"/>
        <w:spacing w:after="0"/>
        <w:jc w:val="both"/>
        <w:rPr>
          <w:rFonts w:ascii="Arial" w:hAnsi="Arial" w:cs="Arial"/>
        </w:rPr>
      </w:pPr>
    </w:p>
    <w:p w14:paraId="05328BD5" w14:textId="4CA1B1D1" w:rsidR="008C6C97" w:rsidRPr="0075387D" w:rsidRDefault="008C6C97" w:rsidP="008C6C97">
      <w:pPr>
        <w:spacing w:after="240"/>
        <w:jc w:val="both"/>
        <w:rPr>
          <w:rFonts w:ascii="Arial" w:hAnsi="Arial" w:cs="Arial"/>
        </w:rPr>
      </w:pPr>
      <w:r w:rsidRPr="0075387D">
        <w:rPr>
          <w:rFonts w:ascii="Arial" w:hAnsi="Arial" w:cs="Arial"/>
        </w:rPr>
        <w:t>Financial institutions played a critical role in promoting economic stability and growth by facilitating financial transactions, mobilizing savings, and enabling investments. These institutions serve as cornerstones for economic activity, providing services that empower individuals and businesses alike (Hasan et al., 2024). However, the dynamic and competitive nature of the financial sector has brought challenges that directly affect the efficiency and sustainability of these organizations (Nizam et al., 20</w:t>
      </w:r>
      <w:r w:rsidR="008F0713">
        <w:rPr>
          <w:rFonts w:ascii="Arial" w:hAnsi="Arial" w:cs="Arial"/>
        </w:rPr>
        <w:t>1</w:t>
      </w:r>
      <w:r w:rsidRPr="0075387D">
        <w:rPr>
          <w:rFonts w:ascii="Arial" w:hAnsi="Arial" w:cs="Arial"/>
        </w:rPr>
        <w:t>9). Globally, financial institutions are struggling to address operational inefficiencies and maintain customer satisfaction amid rapid technological advancements and shifting market demands (</w:t>
      </w:r>
      <w:proofErr w:type="spellStart"/>
      <w:r w:rsidRPr="0075387D">
        <w:rPr>
          <w:rFonts w:ascii="Arial" w:hAnsi="Arial" w:cs="Arial"/>
        </w:rPr>
        <w:t>Jameaba</w:t>
      </w:r>
      <w:proofErr w:type="spellEnd"/>
      <w:r w:rsidRPr="0075387D">
        <w:rPr>
          <w:rFonts w:ascii="Arial" w:hAnsi="Arial" w:cs="Arial"/>
        </w:rPr>
        <w:t>, 2020). As these challenges escalate, effective management practices have become indispensable for ensuring long-term institutional success (Olaniyi, 2023).</w:t>
      </w:r>
    </w:p>
    <w:p w14:paraId="486DEC98" w14:textId="77777777" w:rsidR="008C6C97" w:rsidRPr="0075387D" w:rsidRDefault="008C6C97" w:rsidP="008C6C97">
      <w:pPr>
        <w:spacing w:after="240"/>
        <w:jc w:val="both"/>
        <w:rPr>
          <w:rFonts w:ascii="Arial" w:hAnsi="Arial" w:cs="Arial"/>
        </w:rPr>
      </w:pPr>
      <w:r w:rsidRPr="0075387D">
        <w:rPr>
          <w:rFonts w:ascii="Arial" w:hAnsi="Arial" w:cs="Arial"/>
        </w:rPr>
        <w:t>Specific issues such as poor strategic planning, insufficient leadership, and the inability to adapt to emerging technologies have been highlighted in various studies as primary obstacles to institutional efficiency (</w:t>
      </w:r>
      <w:proofErr w:type="spellStart"/>
      <w:r w:rsidRPr="0075387D">
        <w:rPr>
          <w:rFonts w:ascii="Arial" w:hAnsi="Arial" w:cs="Arial"/>
        </w:rPr>
        <w:t>Volberda</w:t>
      </w:r>
      <w:proofErr w:type="spellEnd"/>
      <w:r w:rsidRPr="0075387D">
        <w:rPr>
          <w:rFonts w:ascii="Arial" w:hAnsi="Arial" w:cs="Arial"/>
        </w:rPr>
        <w:t xml:space="preserve"> et al., 2021). Research reveals that such challenges can severely undermine financial institutions’ ability to compete, particularly in resource-constrained environments (Hota et al., 2019). Moreover, gaps in employee training and lack of robust risk management frameworks exacerbate these issues, leaving institutions vulnerable to operational and financial setbacks (Zhong et al., 2021). In rural settings like </w:t>
      </w:r>
      <w:proofErr w:type="spellStart"/>
      <w:r w:rsidRPr="0075387D">
        <w:rPr>
          <w:rFonts w:ascii="Arial" w:hAnsi="Arial" w:cs="Arial"/>
        </w:rPr>
        <w:t>Cateel</w:t>
      </w:r>
      <w:proofErr w:type="spellEnd"/>
      <w:r w:rsidRPr="0075387D">
        <w:rPr>
          <w:rFonts w:ascii="Arial" w:hAnsi="Arial" w:cs="Arial"/>
        </w:rPr>
        <w:t>, Davao Oriental, these problems are compounded by additional limitations such as infrastructure deficits and limited access to financial technology (</w:t>
      </w:r>
      <w:proofErr w:type="spellStart"/>
      <w:r w:rsidRPr="0075387D">
        <w:rPr>
          <w:rFonts w:ascii="Arial" w:hAnsi="Arial" w:cs="Arial"/>
        </w:rPr>
        <w:t>Minimo</w:t>
      </w:r>
      <w:proofErr w:type="spellEnd"/>
      <w:r w:rsidRPr="0075387D">
        <w:rPr>
          <w:rFonts w:ascii="Arial" w:hAnsi="Arial" w:cs="Arial"/>
        </w:rPr>
        <w:t xml:space="preserve">, </w:t>
      </w:r>
      <w:r w:rsidRPr="0075387D">
        <w:rPr>
          <w:rFonts w:ascii="Arial" w:hAnsi="Arial" w:cs="Arial"/>
        </w:rPr>
        <w:lastRenderedPageBreak/>
        <w:t>2021). Such challenges not only hinder institutional performance but also restrict the community's access to vital financial services (</w:t>
      </w:r>
      <w:proofErr w:type="spellStart"/>
      <w:r w:rsidRPr="0075387D">
        <w:rPr>
          <w:rFonts w:ascii="Arial" w:hAnsi="Arial" w:cs="Arial"/>
        </w:rPr>
        <w:t>Ediagbonya</w:t>
      </w:r>
      <w:proofErr w:type="spellEnd"/>
      <w:r w:rsidRPr="0075387D">
        <w:rPr>
          <w:rFonts w:ascii="Arial" w:hAnsi="Arial" w:cs="Arial"/>
        </w:rPr>
        <w:t xml:space="preserve"> &amp; </w:t>
      </w:r>
      <w:proofErr w:type="spellStart"/>
      <w:r w:rsidRPr="0075387D">
        <w:rPr>
          <w:rFonts w:ascii="Arial" w:hAnsi="Arial" w:cs="Arial"/>
        </w:rPr>
        <w:t>Tioluwani</w:t>
      </w:r>
      <w:proofErr w:type="spellEnd"/>
      <w:r w:rsidRPr="0075387D">
        <w:rPr>
          <w:rFonts w:ascii="Arial" w:hAnsi="Arial" w:cs="Arial"/>
        </w:rPr>
        <w:t>, 2023).</w:t>
      </w:r>
    </w:p>
    <w:p w14:paraId="020C2DB3" w14:textId="77777777" w:rsidR="008C6C97" w:rsidRDefault="008C6C97" w:rsidP="008C6C97">
      <w:pPr>
        <w:spacing w:after="240"/>
        <w:jc w:val="both"/>
        <w:rPr>
          <w:rFonts w:ascii="Arial" w:hAnsi="Arial" w:cs="Arial"/>
        </w:rPr>
      </w:pPr>
      <w:r w:rsidRPr="0075387D">
        <w:rPr>
          <w:rFonts w:ascii="Arial" w:hAnsi="Arial" w:cs="Arial"/>
        </w:rPr>
        <w:t>To address these challenges, various studies have explored management practices aimed at enhancing institutional efficiency and performance (Anwar &amp; Abdullah, 2021). For example, frameworks like the Balanced Scorecard and Total Quality Management have been widely recommended for improving decision-making processes (Dinçer et al., 2019). Additionally, integrating data-driven approaches and fostering employee engagement have been identified as crucial strategies for strengthening institutional performance (Conte &amp; Siano, 2023). Despite these efforts, many solutions remain theoretical, with limited practical application in rural financial institutions (</w:t>
      </w:r>
      <w:proofErr w:type="spellStart"/>
      <w:r w:rsidRPr="0075387D">
        <w:rPr>
          <w:rFonts w:ascii="Arial" w:hAnsi="Arial" w:cs="Arial"/>
        </w:rPr>
        <w:t>Ozili</w:t>
      </w:r>
      <w:proofErr w:type="spellEnd"/>
      <w:r w:rsidRPr="0075387D">
        <w:rPr>
          <w:rFonts w:ascii="Arial" w:hAnsi="Arial" w:cs="Arial"/>
        </w:rPr>
        <w:t>, 2020). This lack of contextual research underscores the need for studies that evaluate the effectiveness of management practices in underrepresented regions (Bains et al., 2023).</w:t>
      </w:r>
    </w:p>
    <w:p w14:paraId="6C0E8EB4" w14:textId="4982DCBA" w:rsidR="00EA53B9" w:rsidRPr="00EA53B9" w:rsidRDefault="00EA53B9" w:rsidP="008C6C97">
      <w:pPr>
        <w:spacing w:after="240"/>
        <w:jc w:val="both"/>
        <w:rPr>
          <w:rFonts w:ascii="Arial" w:hAnsi="Arial" w:cs="Arial"/>
        </w:rPr>
      </w:pPr>
      <w:r w:rsidRPr="00EA53B9">
        <w:rPr>
          <w:rFonts w:ascii="Arial" w:hAnsi="Arial" w:cs="Arial"/>
        </w:rPr>
        <w:t>However, previous studies on rural financial institutions have often relied on generalized frameworks and urban-centered samples, creating methodological and empirical limitations in explaining how internal management systems operate in smaller communities (</w:t>
      </w:r>
      <w:proofErr w:type="spellStart"/>
      <w:r w:rsidRPr="00EA53B9">
        <w:rPr>
          <w:rFonts w:ascii="Arial" w:hAnsi="Arial" w:cs="Arial"/>
        </w:rPr>
        <w:t>Adegbite</w:t>
      </w:r>
      <w:proofErr w:type="spellEnd"/>
      <w:r w:rsidRPr="00EA53B9">
        <w:rPr>
          <w:rFonts w:ascii="Arial" w:hAnsi="Arial" w:cs="Arial"/>
        </w:rPr>
        <w:t xml:space="preserve"> &amp; </w:t>
      </w:r>
      <w:proofErr w:type="spellStart"/>
      <w:r w:rsidRPr="00EA53B9">
        <w:rPr>
          <w:rFonts w:ascii="Arial" w:hAnsi="Arial" w:cs="Arial"/>
        </w:rPr>
        <w:t>Machethe</w:t>
      </w:r>
      <w:proofErr w:type="spellEnd"/>
      <w:r w:rsidRPr="00EA53B9">
        <w:rPr>
          <w:rFonts w:ascii="Arial" w:hAnsi="Arial" w:cs="Arial"/>
        </w:rPr>
        <w:t xml:space="preserve">, 2020; </w:t>
      </w:r>
      <w:proofErr w:type="spellStart"/>
      <w:r w:rsidRPr="00EA53B9">
        <w:rPr>
          <w:rFonts w:ascii="Arial" w:hAnsi="Arial" w:cs="Arial"/>
        </w:rPr>
        <w:t>Kaswa</w:t>
      </w:r>
      <w:proofErr w:type="spellEnd"/>
      <w:r w:rsidRPr="00EA53B9">
        <w:rPr>
          <w:rFonts w:ascii="Arial" w:hAnsi="Arial" w:cs="Arial"/>
        </w:rPr>
        <w:t>, 2021</w:t>
      </w:r>
      <w:r>
        <w:rPr>
          <w:rFonts w:ascii="Arial" w:hAnsi="Arial" w:cs="Arial"/>
        </w:rPr>
        <w:t xml:space="preserve">). In </w:t>
      </w:r>
      <w:proofErr w:type="spellStart"/>
      <w:r>
        <w:rPr>
          <w:rFonts w:ascii="Arial" w:hAnsi="Arial" w:cs="Arial"/>
        </w:rPr>
        <w:t>Cateel</w:t>
      </w:r>
      <w:proofErr w:type="spellEnd"/>
      <w:r>
        <w:rPr>
          <w:rFonts w:ascii="Arial" w:hAnsi="Arial" w:cs="Arial"/>
        </w:rPr>
        <w:t>, Davao Oriental, a municipal</w:t>
      </w:r>
      <w:r w:rsidRPr="00EA53B9">
        <w:rPr>
          <w:rFonts w:ascii="Arial" w:hAnsi="Arial" w:cs="Arial"/>
        </w:rPr>
        <w:t xml:space="preserve"> where financial institutions such as banks, cooperatives, and lending companies provide essential credit and savings services to employees, farmers, and small entrepreneurs, effective management practices are vital for sustaining local economic activities. Despite their importance, limited empirical research has examined how specific management dimensions function within these institutions in the local setting. In this study, human resources, finance, and marketing serve as the independent variables, while management practices represent the dependent variable. The dimensions are measured through indicators including job orientation, compensation and fringe benefits, working conditions, motivation, financial planning, financing decisions, working capital management, capital budgeting, and market information to clearly guide the study’s conceptual framework and analysis.</w:t>
      </w:r>
    </w:p>
    <w:p w14:paraId="42568BAC" w14:textId="77777777" w:rsidR="008C6C97" w:rsidRPr="0075387D" w:rsidRDefault="008C6C97" w:rsidP="008C6C97">
      <w:pPr>
        <w:spacing w:after="240"/>
        <w:jc w:val="both"/>
        <w:rPr>
          <w:rFonts w:ascii="Arial" w:hAnsi="Arial" w:cs="Arial"/>
        </w:rPr>
      </w:pPr>
      <w:r w:rsidRPr="0075387D">
        <w:rPr>
          <w:rFonts w:ascii="Arial" w:hAnsi="Arial" w:cs="Arial"/>
        </w:rPr>
        <w:t>There remains a significant gap in understanding the impact of management practices on financial institutions' performance in rural settings (</w:t>
      </w:r>
      <w:proofErr w:type="spellStart"/>
      <w:r w:rsidRPr="0075387D">
        <w:rPr>
          <w:rFonts w:ascii="Arial" w:hAnsi="Arial" w:cs="Arial"/>
        </w:rPr>
        <w:t>Adegbite</w:t>
      </w:r>
      <w:proofErr w:type="spellEnd"/>
      <w:r w:rsidRPr="0075387D">
        <w:rPr>
          <w:rFonts w:ascii="Arial" w:hAnsi="Arial" w:cs="Arial"/>
        </w:rPr>
        <w:t xml:space="preserve"> &amp; </w:t>
      </w:r>
      <w:proofErr w:type="spellStart"/>
      <w:r w:rsidRPr="0075387D">
        <w:rPr>
          <w:rFonts w:ascii="Arial" w:hAnsi="Arial" w:cs="Arial"/>
        </w:rPr>
        <w:t>Machethe</w:t>
      </w:r>
      <w:proofErr w:type="spellEnd"/>
      <w:r w:rsidRPr="0075387D">
        <w:rPr>
          <w:rFonts w:ascii="Arial" w:hAnsi="Arial" w:cs="Arial"/>
        </w:rPr>
        <w:t>, 2020). Most existing studies focus on urban or well-resourced financial institutions, leaving the unique challenges of rural organizations underexplored (</w:t>
      </w:r>
      <w:proofErr w:type="spellStart"/>
      <w:r w:rsidRPr="0075387D">
        <w:rPr>
          <w:rFonts w:ascii="Arial" w:hAnsi="Arial" w:cs="Arial"/>
        </w:rPr>
        <w:t>Kaswa</w:t>
      </w:r>
      <w:proofErr w:type="spellEnd"/>
      <w:r w:rsidRPr="0075387D">
        <w:rPr>
          <w:rFonts w:ascii="Arial" w:hAnsi="Arial" w:cs="Arial"/>
        </w:rPr>
        <w:t xml:space="preserve">, 2021). This gap highlights the need for tailored strategies that address the specific needs of financial institutions operating in underserved areas (Jagtap, 2019). </w:t>
      </w:r>
      <w:proofErr w:type="spellStart"/>
      <w:r w:rsidRPr="0075387D">
        <w:rPr>
          <w:rFonts w:ascii="Arial" w:hAnsi="Arial" w:cs="Arial"/>
        </w:rPr>
        <w:t>Cateel</w:t>
      </w:r>
      <w:proofErr w:type="spellEnd"/>
      <w:r w:rsidRPr="0075387D">
        <w:rPr>
          <w:rFonts w:ascii="Arial" w:hAnsi="Arial" w:cs="Arial"/>
        </w:rPr>
        <w:t>, Davao Oriental, with its unique socio-economic landscape, presents an opportunity to explore these dynamics and provide actionable insights (</w:t>
      </w:r>
      <w:proofErr w:type="spellStart"/>
      <w:r w:rsidRPr="0075387D">
        <w:rPr>
          <w:rFonts w:ascii="Arial" w:hAnsi="Arial" w:cs="Arial"/>
        </w:rPr>
        <w:t>Alzamel</w:t>
      </w:r>
      <w:proofErr w:type="spellEnd"/>
      <w:r w:rsidRPr="0075387D">
        <w:rPr>
          <w:rFonts w:ascii="Arial" w:hAnsi="Arial" w:cs="Arial"/>
        </w:rPr>
        <w:t>, 2024). Filling this gap is crucial for strengthening financial institutions' role in fostering inclusive economic development (Cabeza-García et al., 2019).</w:t>
      </w:r>
    </w:p>
    <w:p w14:paraId="07ACADF7" w14:textId="2D441289" w:rsidR="00843C44" w:rsidRPr="008247A6" w:rsidRDefault="008C6C97" w:rsidP="00E87B96">
      <w:pPr>
        <w:pStyle w:val="Body"/>
        <w:spacing w:after="0"/>
        <w:rPr>
          <w:rFonts w:ascii="Arial" w:hAnsi="Arial" w:cs="Arial"/>
          <w:b/>
          <w:bCs/>
          <w:szCs w:val="22"/>
        </w:rPr>
      </w:pPr>
      <w:r w:rsidRPr="0075387D">
        <w:rPr>
          <w:rFonts w:ascii="Arial" w:hAnsi="Arial" w:cs="Arial"/>
        </w:rPr>
        <w:t xml:space="preserve">This study aims to investigate the relationship between management practices and the performance of financial institutions in </w:t>
      </w:r>
      <w:proofErr w:type="spellStart"/>
      <w:r w:rsidRPr="0075387D">
        <w:rPr>
          <w:rFonts w:ascii="Arial" w:hAnsi="Arial" w:cs="Arial"/>
        </w:rPr>
        <w:t>Cateel</w:t>
      </w:r>
      <w:proofErr w:type="spellEnd"/>
      <w:r w:rsidRPr="0075387D">
        <w:rPr>
          <w:rFonts w:ascii="Arial" w:hAnsi="Arial" w:cs="Arial"/>
        </w:rPr>
        <w:t xml:space="preserve"> (Casteel &amp; </w:t>
      </w:r>
      <w:proofErr w:type="spellStart"/>
      <w:r w:rsidRPr="0075387D">
        <w:rPr>
          <w:rFonts w:ascii="Arial" w:hAnsi="Arial" w:cs="Arial"/>
        </w:rPr>
        <w:t>Bridier</w:t>
      </w:r>
      <w:proofErr w:type="spellEnd"/>
      <w:r w:rsidRPr="0075387D">
        <w:rPr>
          <w:rFonts w:ascii="Arial" w:hAnsi="Arial" w:cs="Arial"/>
        </w:rPr>
        <w:t>, 2021). By examining this relationship, the research seeks to identify key strategies that can improve efficiency and competitiveness (</w:t>
      </w:r>
      <w:proofErr w:type="spellStart"/>
      <w:r w:rsidRPr="0075387D">
        <w:rPr>
          <w:rFonts w:ascii="Arial" w:hAnsi="Arial" w:cs="Arial"/>
        </w:rPr>
        <w:t>Mikalef</w:t>
      </w:r>
      <w:proofErr w:type="spellEnd"/>
      <w:r w:rsidRPr="0075387D">
        <w:rPr>
          <w:rFonts w:ascii="Arial" w:hAnsi="Arial" w:cs="Arial"/>
        </w:rPr>
        <w:t xml:space="preserve"> et al., 2020). The findings of this study will contribute to developing localized solutions that can address the specific challenges faced by rural financial institutions (</w:t>
      </w:r>
      <w:proofErr w:type="spellStart"/>
      <w:r w:rsidRPr="0075387D">
        <w:rPr>
          <w:rFonts w:ascii="Arial" w:hAnsi="Arial" w:cs="Arial"/>
        </w:rPr>
        <w:t>Somanje</w:t>
      </w:r>
      <w:proofErr w:type="spellEnd"/>
      <w:r w:rsidRPr="0075387D">
        <w:rPr>
          <w:rFonts w:ascii="Arial" w:hAnsi="Arial" w:cs="Arial"/>
        </w:rPr>
        <w:t xml:space="preserve"> et al., 2020). Furthermore, this research aligns with global efforts to enhance the sustainability of financial systems while supporting local economic growth in underserved communities (Franco &amp; Tracey, 2019). Ultimately, the study’s outcomes aim to bridge the gap between theory and practice, creating a more inclusive framework for managing financial institutions effectively (Resch &amp; </w:t>
      </w:r>
      <w:proofErr w:type="spellStart"/>
      <w:r w:rsidRPr="0075387D">
        <w:rPr>
          <w:rFonts w:ascii="Arial" w:hAnsi="Arial" w:cs="Arial"/>
        </w:rPr>
        <w:t>Schrittesser</w:t>
      </w:r>
      <w:proofErr w:type="spellEnd"/>
      <w:r w:rsidRPr="0075387D">
        <w:rPr>
          <w:rFonts w:ascii="Arial" w:hAnsi="Arial" w:cs="Arial"/>
        </w:rPr>
        <w:t>, 2023).</w:t>
      </w:r>
    </w:p>
    <w:p w14:paraId="5DC2E544" w14:textId="77777777" w:rsidR="00851412" w:rsidRDefault="00851412" w:rsidP="000C53F7">
      <w:pPr>
        <w:pStyle w:val="AbstHead"/>
        <w:spacing w:after="0"/>
        <w:jc w:val="both"/>
        <w:rPr>
          <w:rFonts w:ascii="Arial" w:hAnsi="Arial" w:cs="Arial"/>
        </w:rPr>
      </w:pPr>
    </w:p>
    <w:p w14:paraId="0210950F" w14:textId="75238850" w:rsidR="00790ADA" w:rsidRDefault="00E87B96" w:rsidP="000C53F7">
      <w:pPr>
        <w:pStyle w:val="AbstHead"/>
        <w:spacing w:after="0"/>
        <w:jc w:val="both"/>
        <w:rPr>
          <w:rFonts w:ascii="Arial" w:hAnsi="Arial" w:cs="Arial"/>
        </w:rPr>
      </w:pPr>
      <w:r>
        <w:rPr>
          <w:rFonts w:ascii="Arial" w:hAnsi="Arial" w:cs="Arial"/>
        </w:rPr>
        <w:t>2</w:t>
      </w:r>
      <w:r w:rsidR="00902823">
        <w:rPr>
          <w:rFonts w:ascii="Arial" w:hAnsi="Arial" w:cs="Arial"/>
        </w:rPr>
        <w:t xml:space="preserve">. </w:t>
      </w:r>
      <w:r w:rsidR="006B57D0">
        <w:rPr>
          <w:rFonts w:ascii="Arial" w:hAnsi="Arial" w:cs="Arial"/>
        </w:rPr>
        <w:t>methodolog</w:t>
      </w:r>
      <w:r w:rsidR="00FD6C2A">
        <w:rPr>
          <w:rFonts w:ascii="Arial" w:hAnsi="Arial" w:cs="Arial"/>
        </w:rPr>
        <w:t>Y</w:t>
      </w:r>
    </w:p>
    <w:p w14:paraId="1352207E" w14:textId="77777777" w:rsidR="000C53F7" w:rsidRPr="00FB3A86" w:rsidRDefault="000C53F7" w:rsidP="000C53F7">
      <w:pPr>
        <w:pStyle w:val="AbstHead"/>
        <w:spacing w:after="0"/>
        <w:jc w:val="both"/>
        <w:rPr>
          <w:rFonts w:ascii="Arial" w:hAnsi="Arial" w:cs="Arial"/>
        </w:rPr>
      </w:pPr>
    </w:p>
    <w:p w14:paraId="51330D68" w14:textId="2093D202" w:rsidR="00AA74E0" w:rsidRDefault="00E87B96" w:rsidP="00441B6F">
      <w:pPr>
        <w:pStyle w:val="Body"/>
        <w:spacing w:after="0"/>
        <w:rPr>
          <w:rFonts w:ascii="Arial" w:hAnsi="Arial" w:cs="Arial"/>
          <w:b/>
          <w:sz w:val="22"/>
        </w:rPr>
      </w:pPr>
      <w:r>
        <w:rPr>
          <w:rFonts w:ascii="Arial" w:hAnsi="Arial" w:cs="Arial"/>
          <w:b/>
          <w:caps/>
          <w:sz w:val="22"/>
        </w:rPr>
        <w:t>2</w:t>
      </w:r>
      <w:r w:rsidR="00AA74E0" w:rsidRPr="00C30A0F">
        <w:rPr>
          <w:rFonts w:ascii="Arial" w:hAnsi="Arial" w:cs="Arial"/>
          <w:b/>
          <w:caps/>
          <w:sz w:val="22"/>
        </w:rPr>
        <w:t xml:space="preserve">.1 </w:t>
      </w:r>
      <w:r w:rsidR="00103862">
        <w:rPr>
          <w:rFonts w:ascii="Arial" w:hAnsi="Arial" w:cs="Arial"/>
          <w:b/>
          <w:sz w:val="22"/>
        </w:rPr>
        <w:t>Research Design</w:t>
      </w:r>
    </w:p>
    <w:p w14:paraId="03288710" w14:textId="77777777" w:rsidR="00103862" w:rsidRDefault="00103862" w:rsidP="00441B6F">
      <w:pPr>
        <w:pStyle w:val="Body"/>
        <w:spacing w:after="0"/>
        <w:rPr>
          <w:rFonts w:ascii="Arial" w:hAnsi="Arial" w:cs="Arial"/>
        </w:rPr>
      </w:pPr>
    </w:p>
    <w:p w14:paraId="5DA2DC62" w14:textId="77777777" w:rsidR="002D0589" w:rsidRPr="0075387D" w:rsidRDefault="002D0589" w:rsidP="002D0589">
      <w:pPr>
        <w:jc w:val="both"/>
        <w:rPr>
          <w:rFonts w:ascii="Arial" w:hAnsi="Arial" w:cs="Arial"/>
        </w:rPr>
      </w:pPr>
      <w:r w:rsidRPr="0075387D">
        <w:rPr>
          <w:rFonts w:ascii="Arial" w:hAnsi="Arial" w:cs="Arial"/>
        </w:rPr>
        <w:t xml:space="preserve">This study utilized a quantitative research design to systematically collect and analyze numerical data related to the management practices of financial institutions in </w:t>
      </w:r>
      <w:proofErr w:type="spellStart"/>
      <w:r w:rsidRPr="0075387D">
        <w:rPr>
          <w:rFonts w:ascii="Arial" w:hAnsi="Arial" w:cs="Arial"/>
        </w:rPr>
        <w:t>Cateel</w:t>
      </w:r>
      <w:proofErr w:type="spellEnd"/>
      <w:r w:rsidRPr="0075387D">
        <w:rPr>
          <w:rFonts w:ascii="Arial" w:hAnsi="Arial" w:cs="Arial"/>
        </w:rPr>
        <w:t xml:space="preserve">, Davao Oriental. Quantitative research focuses on collecting data in numerical form to identify patterns, trends, and relationships through statistical analysis, making it suitable for organizational research (Ahmad et al., 2019). A descriptive-comparative approach was employed to describe the current management practices of financial institutions and explore patterns and differences between groups. Descriptive-comparative research allows the comparison of existing conditions across groups without manipulating variables and is useful for evaluating institutional characteristics and practices (Devi, 2023). By using the descriptive-comparative design, the study aims to describe the characteristics, trends, and patterns of the management practices of financial institutions in </w:t>
      </w:r>
      <w:proofErr w:type="spellStart"/>
      <w:r w:rsidRPr="0075387D">
        <w:rPr>
          <w:rFonts w:ascii="Arial" w:hAnsi="Arial" w:cs="Arial"/>
        </w:rPr>
        <w:t>Cateel</w:t>
      </w:r>
      <w:proofErr w:type="spellEnd"/>
      <w:r w:rsidRPr="0075387D">
        <w:rPr>
          <w:rFonts w:ascii="Arial" w:hAnsi="Arial" w:cs="Arial"/>
        </w:rPr>
        <w:t>, Davao Oriental. The data were gathered through structured survey questionnaires distributed to managers and staff within the institutions. This design allowed for the collection of quantifiable data that were analyzed statistically, enabling an objective evaluation of the practices being studied. The use of statistical tools helped identify trends, strengths, and gaps in management practices across the participating financial institutions.</w:t>
      </w:r>
    </w:p>
    <w:p w14:paraId="06770C27" w14:textId="77777777" w:rsidR="00103862" w:rsidRDefault="00103862" w:rsidP="00103862">
      <w:pPr>
        <w:pStyle w:val="Body"/>
        <w:spacing w:after="0"/>
        <w:rPr>
          <w:rFonts w:ascii="Arial" w:hAnsi="Arial" w:cs="Arial"/>
        </w:rPr>
      </w:pPr>
    </w:p>
    <w:p w14:paraId="5D8C9386" w14:textId="5BB0D339"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2</w:t>
      </w:r>
      <w:r w:rsidR="00103862" w:rsidRPr="00C30A0F">
        <w:rPr>
          <w:rFonts w:ascii="Arial" w:hAnsi="Arial" w:cs="Arial"/>
          <w:b/>
          <w:caps/>
          <w:sz w:val="22"/>
        </w:rPr>
        <w:t xml:space="preserve"> </w:t>
      </w:r>
      <w:r w:rsidR="00103862">
        <w:rPr>
          <w:rFonts w:ascii="Arial" w:hAnsi="Arial" w:cs="Arial"/>
          <w:b/>
          <w:sz w:val="22"/>
        </w:rPr>
        <w:t>Research Instrument</w:t>
      </w:r>
    </w:p>
    <w:p w14:paraId="652EB9C3" w14:textId="77777777" w:rsidR="00103862" w:rsidRDefault="00103862" w:rsidP="00103862">
      <w:pPr>
        <w:pStyle w:val="Body"/>
        <w:spacing w:after="0"/>
        <w:rPr>
          <w:rFonts w:ascii="Arial" w:hAnsi="Arial" w:cs="Arial"/>
          <w:b/>
          <w:sz w:val="22"/>
        </w:rPr>
      </w:pPr>
    </w:p>
    <w:p w14:paraId="3BCAC241" w14:textId="111AC687" w:rsidR="002D0589" w:rsidRPr="00DF30F9" w:rsidRDefault="002D0589" w:rsidP="002D0589">
      <w:pPr>
        <w:jc w:val="both"/>
        <w:rPr>
          <w:rFonts w:ascii="Arial" w:hAnsi="Arial" w:cs="Arial"/>
        </w:rPr>
      </w:pPr>
      <w:r w:rsidRPr="00DF30F9">
        <w:rPr>
          <w:rFonts w:ascii="Arial" w:hAnsi="Arial" w:cs="Arial"/>
        </w:rPr>
        <w:t xml:space="preserve">The study utilized an adapted questionnaire from Parilla (2013), entitled “The Level of Management Practices of Micro and Small Businesses.” A Likert scale was used to interpret the data collected. The questionnaire consisted of two sections: the first part covered the demographic profile of the respondents, while the second part assessed the level of management practices. This section included 4 items for marketing practices, 14 items for human resources practices, and 19 items for financial practices. The survey was administered to managers and staff of financial institutions in </w:t>
      </w:r>
      <w:proofErr w:type="spellStart"/>
      <w:r w:rsidRPr="00DF30F9">
        <w:rPr>
          <w:rFonts w:ascii="Arial" w:hAnsi="Arial" w:cs="Arial"/>
        </w:rPr>
        <w:t>Cateel</w:t>
      </w:r>
      <w:proofErr w:type="spellEnd"/>
      <w:r w:rsidRPr="00DF30F9">
        <w:rPr>
          <w:rFonts w:ascii="Arial" w:hAnsi="Arial" w:cs="Arial"/>
        </w:rPr>
        <w:t>, Davao Oriental. In this section, respondents were asked to rate various statements related to the level of management practices in the areas of human resources, finance, and marketing.</w:t>
      </w:r>
      <w:r w:rsidR="00EA53B9">
        <w:rPr>
          <w:rFonts w:ascii="Arial" w:hAnsi="Arial" w:cs="Arial"/>
        </w:rPr>
        <w:t xml:space="preserve"> </w:t>
      </w:r>
      <w:r w:rsidR="00EA53B9" w:rsidRPr="00EA53B9">
        <w:rPr>
          <w:rFonts w:ascii="Arial" w:hAnsi="Arial" w:cs="Arial"/>
        </w:rPr>
        <w:t>The instrument had been previously validated and used in earlier academic research, establishing its content validity and reliability. Because the questionnaire was derived from an existing validated tool and the items directly corresponded to established management practice indicators, additional pilot testing and Cronbach’s alpha testing were no longer necessary. Moreover, the structured format, clear indicators, and prior scholarly use of the instrument supported its suitability and consistency in measuring management practices within organizational settings.</w:t>
      </w:r>
    </w:p>
    <w:p w14:paraId="21A97F2F" w14:textId="77777777" w:rsidR="003A4A75" w:rsidRDefault="003A4A75" w:rsidP="003A4A75">
      <w:pPr>
        <w:pStyle w:val="Body"/>
        <w:spacing w:after="0"/>
        <w:rPr>
          <w:rFonts w:ascii="Arial" w:hAnsi="Arial" w:cs="Arial"/>
          <w:b/>
          <w:sz w:val="22"/>
        </w:rPr>
      </w:pPr>
    </w:p>
    <w:p w14:paraId="1CC258AE" w14:textId="751E8B90" w:rsidR="00103862" w:rsidRDefault="00E87B96" w:rsidP="00103862">
      <w:pPr>
        <w:pStyle w:val="Body"/>
        <w:spacing w:after="0"/>
        <w:rPr>
          <w:rFonts w:ascii="Arial" w:hAnsi="Arial" w:cs="Arial"/>
          <w:b/>
          <w:sz w:val="22"/>
        </w:rPr>
      </w:pPr>
      <w:r>
        <w:rPr>
          <w:rFonts w:ascii="Arial" w:hAnsi="Arial" w:cs="Arial"/>
          <w:b/>
          <w:caps/>
          <w:sz w:val="22"/>
        </w:rPr>
        <w:t>2</w:t>
      </w:r>
      <w:r w:rsidR="00103862" w:rsidRPr="00C30A0F">
        <w:rPr>
          <w:rFonts w:ascii="Arial" w:hAnsi="Arial" w:cs="Arial"/>
          <w:b/>
          <w:caps/>
          <w:sz w:val="22"/>
        </w:rPr>
        <w:t>.</w:t>
      </w:r>
      <w:r w:rsidR="00103862">
        <w:rPr>
          <w:rFonts w:ascii="Arial" w:hAnsi="Arial" w:cs="Arial"/>
          <w:b/>
          <w:caps/>
          <w:sz w:val="22"/>
        </w:rPr>
        <w:t>3</w:t>
      </w:r>
      <w:r w:rsidR="00103862" w:rsidRPr="00C30A0F">
        <w:rPr>
          <w:rFonts w:ascii="Arial" w:hAnsi="Arial" w:cs="Arial"/>
          <w:b/>
          <w:caps/>
          <w:sz w:val="22"/>
        </w:rPr>
        <w:t xml:space="preserve"> </w:t>
      </w:r>
      <w:r w:rsidR="00103862">
        <w:rPr>
          <w:rFonts w:ascii="Arial" w:hAnsi="Arial" w:cs="Arial"/>
          <w:b/>
          <w:sz w:val="22"/>
        </w:rPr>
        <w:t>Respondents of the Study</w:t>
      </w:r>
    </w:p>
    <w:p w14:paraId="63A3235F" w14:textId="77777777" w:rsidR="0057535D" w:rsidRDefault="0057535D" w:rsidP="00103862">
      <w:pPr>
        <w:pStyle w:val="Body"/>
        <w:spacing w:after="0"/>
        <w:rPr>
          <w:rFonts w:ascii="Arial" w:hAnsi="Arial" w:cs="Arial"/>
        </w:rPr>
      </w:pPr>
    </w:p>
    <w:p w14:paraId="641EBFF5" w14:textId="0411F576" w:rsidR="0057535D" w:rsidRDefault="003D2900" w:rsidP="003D2900">
      <w:pPr>
        <w:jc w:val="both"/>
        <w:rPr>
          <w:rFonts w:ascii="Arial" w:hAnsi="Arial" w:cs="Arial"/>
        </w:rPr>
      </w:pPr>
      <w:r w:rsidRPr="00176A3D">
        <w:rPr>
          <w:rFonts w:ascii="Arial" w:hAnsi="Arial" w:cs="Arial"/>
        </w:rPr>
        <w:t xml:space="preserve">The respondents of this study consisted of 124 managers and staff selected from rural financing corporations, banks, and lending companies operating within </w:t>
      </w:r>
      <w:proofErr w:type="spellStart"/>
      <w:r w:rsidRPr="00176A3D">
        <w:rPr>
          <w:rFonts w:ascii="Arial" w:hAnsi="Arial" w:cs="Arial"/>
        </w:rPr>
        <w:t>Cateel</w:t>
      </w:r>
      <w:proofErr w:type="spellEnd"/>
      <w:r w:rsidRPr="00176A3D">
        <w:rPr>
          <w:rFonts w:ascii="Arial" w:hAnsi="Arial" w:cs="Arial"/>
        </w:rPr>
        <w:t>, Davao Oriental. These individuals represented financial institutions that provide lending and financial services in the area. The selected institutions had been in operation for at least 3 to 5 years, ensuring that the data reflected established management practices and organizational experience. The total population of financial institutions in the area was identified, and a target sample size was calculated to ensure the representativeness of the data. A random sampling technique was employed, wherein institutions were first categorized by type (e.g., banks, cooperatives, microfinance) and size, and respondents were randomly selected from each group to ensure a diverse mix and minimize sampling bias. Random sampling is widely recognized for reducing selection bias and increasing the likelihood that the sample accurately reflects the population (Lohr, 2021). It allows every member of the population an equal chance of being included, enhancing the generalizability of results (</w:t>
      </w:r>
      <w:proofErr w:type="spellStart"/>
      <w:r w:rsidRPr="00176A3D">
        <w:rPr>
          <w:rFonts w:ascii="Arial" w:hAnsi="Arial" w:cs="Arial"/>
        </w:rPr>
        <w:t>Degtiar</w:t>
      </w:r>
      <w:proofErr w:type="spellEnd"/>
      <w:r w:rsidRPr="00176A3D">
        <w:rPr>
          <w:rFonts w:ascii="Arial" w:hAnsi="Arial" w:cs="Arial"/>
        </w:rPr>
        <w:t xml:space="preserve"> &amp; Rose, 2023). The final sample size was determined using appropriate </w:t>
      </w:r>
      <w:r w:rsidRPr="00176A3D">
        <w:rPr>
          <w:rFonts w:ascii="Arial" w:hAnsi="Arial" w:cs="Arial"/>
        </w:rPr>
        <w:lastRenderedPageBreak/>
        <w:t>statistical formulas to ensure the reliability and generalizability of the findings (Bolarinwa, 2020).</w:t>
      </w:r>
    </w:p>
    <w:p w14:paraId="50D67840" w14:textId="77777777" w:rsidR="0057535D" w:rsidRDefault="0057535D" w:rsidP="0057535D">
      <w:pPr>
        <w:pStyle w:val="Body"/>
        <w:spacing w:after="0"/>
        <w:rPr>
          <w:rFonts w:ascii="Arial" w:hAnsi="Arial" w:cs="Arial"/>
        </w:rPr>
      </w:pPr>
    </w:p>
    <w:p w14:paraId="6EF6833B" w14:textId="4EC62412" w:rsidR="00902823" w:rsidRDefault="00E253E0"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00F8F">
        <w:rPr>
          <w:rFonts w:ascii="Arial" w:hAnsi="Arial" w:cs="Arial"/>
        </w:rPr>
        <w:t>results and discussion</w:t>
      </w:r>
    </w:p>
    <w:p w14:paraId="633E0CF3" w14:textId="77777777" w:rsidR="00851412" w:rsidRDefault="00851412" w:rsidP="00851412">
      <w:pPr>
        <w:pStyle w:val="Body"/>
        <w:spacing w:after="0"/>
        <w:rPr>
          <w:rFonts w:ascii="Arial" w:hAnsi="Arial" w:cs="Arial"/>
          <w:b/>
          <w:caps/>
          <w:sz w:val="22"/>
        </w:rPr>
      </w:pPr>
    </w:p>
    <w:p w14:paraId="79009573" w14:textId="7410D7D3" w:rsidR="00851412" w:rsidRDefault="00E253E0" w:rsidP="00851412">
      <w:pPr>
        <w:pStyle w:val="Body"/>
        <w:spacing w:after="0"/>
        <w:rPr>
          <w:rFonts w:ascii="Arial" w:hAnsi="Arial" w:cs="Arial"/>
          <w:b/>
          <w:sz w:val="22"/>
        </w:rPr>
      </w:pPr>
      <w:r>
        <w:rPr>
          <w:rFonts w:ascii="Arial" w:hAnsi="Arial" w:cs="Arial"/>
          <w:b/>
          <w:caps/>
          <w:sz w:val="22"/>
        </w:rPr>
        <w:t>3</w:t>
      </w:r>
      <w:r w:rsidR="00851412">
        <w:rPr>
          <w:rFonts w:ascii="Arial" w:hAnsi="Arial" w:cs="Arial"/>
          <w:b/>
          <w:caps/>
          <w:sz w:val="22"/>
        </w:rPr>
        <w:t>.1</w:t>
      </w:r>
      <w:r w:rsidR="00851412" w:rsidRPr="00C30A0F">
        <w:rPr>
          <w:rFonts w:ascii="Arial" w:hAnsi="Arial" w:cs="Arial"/>
          <w:b/>
          <w:caps/>
          <w:sz w:val="22"/>
        </w:rPr>
        <w:t xml:space="preserve"> </w:t>
      </w:r>
      <w:r w:rsidR="00851412" w:rsidRPr="00851412">
        <w:rPr>
          <w:rFonts w:ascii="Arial" w:hAnsi="Arial" w:cs="Arial"/>
          <w:b/>
          <w:sz w:val="22"/>
        </w:rPr>
        <w:t>Respondents’ Demographic Profile</w:t>
      </w:r>
    </w:p>
    <w:p w14:paraId="5EC9E7D2" w14:textId="77777777" w:rsidR="004208F9" w:rsidRDefault="004208F9" w:rsidP="00851412">
      <w:pPr>
        <w:pStyle w:val="Body"/>
        <w:spacing w:after="0"/>
        <w:rPr>
          <w:rFonts w:ascii="Arial" w:hAnsi="Arial" w:cs="Arial"/>
          <w:b/>
          <w:sz w:val="22"/>
        </w:rPr>
      </w:pPr>
    </w:p>
    <w:p w14:paraId="3A0A470B" w14:textId="159CA030" w:rsidR="00AB00E6" w:rsidRDefault="00AB00E6" w:rsidP="009E44C6">
      <w:pPr>
        <w:spacing w:after="240"/>
        <w:ind w:right="43"/>
        <w:jc w:val="both"/>
        <w:rPr>
          <w:rFonts w:ascii="Arial" w:hAnsi="Arial" w:cs="Arial"/>
          <w:color w:val="000000" w:themeColor="text1"/>
        </w:rPr>
      </w:pPr>
      <w:r w:rsidRPr="00AB00E6">
        <w:rPr>
          <w:rFonts w:ascii="Arial" w:hAnsi="Arial" w:cs="Arial"/>
        </w:rPr>
        <w:t>‎</w:t>
      </w:r>
      <w:r w:rsidR="009E44C6">
        <w:rPr>
          <w:rFonts w:ascii="Arial" w:hAnsi="Arial" w:cs="Arial"/>
          <w:color w:val="000000" w:themeColor="text1"/>
        </w:rPr>
        <w:t>Table 1</w:t>
      </w:r>
      <w:r w:rsidR="009E44C6" w:rsidRPr="002F6727">
        <w:rPr>
          <w:rFonts w:ascii="Arial" w:hAnsi="Arial" w:cs="Arial"/>
          <w:color w:val="000000" w:themeColor="text1"/>
        </w:rPr>
        <w:t xml:space="preserve"> showed that the 18 to 35 years old age group had the highest number of respondents, accounting for 86 out of 124 (69.35%). This indicated that most employees in financial institutions in </w:t>
      </w:r>
      <w:proofErr w:type="spellStart"/>
      <w:r w:rsidR="009E44C6" w:rsidRPr="002F6727">
        <w:rPr>
          <w:rFonts w:ascii="Arial" w:hAnsi="Arial" w:cs="Arial"/>
          <w:color w:val="000000" w:themeColor="text1"/>
        </w:rPr>
        <w:t>Cateel</w:t>
      </w:r>
      <w:proofErr w:type="spellEnd"/>
      <w:r w:rsidR="009E44C6" w:rsidRPr="002F6727">
        <w:rPr>
          <w:rFonts w:ascii="Arial" w:hAnsi="Arial" w:cs="Arial"/>
          <w:color w:val="000000" w:themeColor="text1"/>
        </w:rPr>
        <w:t>, Davao Oriental were in their early to mid-career stages. The result implied a workforce composed largely of younger professionals who may be more adaptable, energetic, and responsive to evolving institutional systems. This finding supported the observations of Guo et al. (2020), who emphasized that younger employees often engage more actively in structured environments and contribute to institutional efficiency. Their significant presence likely contributed to the consistency of responses related to management practices.</w:t>
      </w:r>
    </w:p>
    <w:p w14:paraId="6B40B995" w14:textId="3F87D6AB" w:rsidR="009E44C6" w:rsidRDefault="009E44C6" w:rsidP="009E44C6">
      <w:pPr>
        <w:spacing w:after="240"/>
        <w:ind w:right="43"/>
        <w:jc w:val="both"/>
        <w:rPr>
          <w:rFonts w:ascii="Arial" w:hAnsi="Arial" w:cs="Arial"/>
          <w:color w:val="000000" w:themeColor="text1"/>
        </w:rPr>
      </w:pPr>
      <w:r w:rsidRPr="002F6727">
        <w:rPr>
          <w:rFonts w:ascii="Arial" w:hAnsi="Arial" w:cs="Arial"/>
          <w:color w:val="000000" w:themeColor="text1"/>
        </w:rPr>
        <w:t>In contrast, the 46 years old and above group had the lowest number of respondents, with only 3 individuals (2.42%) represented</w:t>
      </w:r>
      <w:r w:rsidR="00097315">
        <w:rPr>
          <w:rFonts w:ascii="Arial" w:hAnsi="Arial" w:cs="Arial"/>
          <w:color w:val="000000" w:themeColor="text1"/>
        </w:rPr>
        <w:t>.</w:t>
      </w:r>
      <w:r w:rsidRPr="002F6727">
        <w:rPr>
          <w:rFonts w:ascii="Arial" w:hAnsi="Arial" w:cs="Arial"/>
          <w:color w:val="000000" w:themeColor="text1"/>
        </w:rPr>
        <w:t xml:space="preserve"> This indicated a limited participation of older employees in frontline or managerial positions within financial institutions in the area. The result implied that the workforce was predominantly youthful, with fewer older individuals possibly due to retirement, career shifts, or hiring preferences. This supported Mahapatro’s (2021) view that age disparities can influence institutional memory and mentorship availability if not managed inclusively. Encouraging age diversity could enhance knowledge sharing and support well-rounded decision-making across generations.</w:t>
      </w:r>
    </w:p>
    <w:p w14:paraId="15DD05C1" w14:textId="38632825" w:rsidR="009E44C6" w:rsidRPr="002F6727" w:rsidRDefault="00E5674D" w:rsidP="009E44C6">
      <w:pPr>
        <w:spacing w:after="240"/>
        <w:ind w:right="43"/>
        <w:jc w:val="both"/>
        <w:rPr>
          <w:rFonts w:ascii="Arial" w:hAnsi="Arial" w:cs="Arial"/>
          <w:color w:val="000000" w:themeColor="text1"/>
        </w:rPr>
      </w:pPr>
      <w:r>
        <w:rPr>
          <w:rFonts w:ascii="Arial" w:hAnsi="Arial" w:cs="Arial"/>
          <w:color w:val="000000" w:themeColor="text1"/>
        </w:rPr>
        <w:t>M</w:t>
      </w:r>
      <w:r w:rsidR="009E44C6" w:rsidRPr="002F6727">
        <w:rPr>
          <w:rFonts w:ascii="Arial" w:hAnsi="Arial" w:cs="Arial"/>
          <w:color w:val="000000" w:themeColor="text1"/>
        </w:rPr>
        <w:t xml:space="preserve">ost respondents were female, with a frequency of 66 or 53.23%, making them the most represented sex group in the study. This indicated that women played a dominant role in the workforce of financial institutions in </w:t>
      </w:r>
      <w:proofErr w:type="spellStart"/>
      <w:r w:rsidR="009E44C6" w:rsidRPr="002F6727">
        <w:rPr>
          <w:rFonts w:ascii="Arial" w:hAnsi="Arial" w:cs="Arial"/>
          <w:color w:val="000000" w:themeColor="text1"/>
        </w:rPr>
        <w:t>Cateel</w:t>
      </w:r>
      <w:proofErr w:type="spellEnd"/>
      <w:r w:rsidR="009E44C6" w:rsidRPr="002F6727">
        <w:rPr>
          <w:rFonts w:ascii="Arial" w:hAnsi="Arial" w:cs="Arial"/>
          <w:color w:val="000000" w:themeColor="text1"/>
        </w:rPr>
        <w:t xml:space="preserve">, Davao Oriental. The result implied a gender-inclusive hiring environment where women were trusted with responsibilities in banking and finance. This outcome supported the findings of </w:t>
      </w:r>
      <w:proofErr w:type="spellStart"/>
      <w:r w:rsidR="009E44C6" w:rsidRPr="002F6727">
        <w:rPr>
          <w:rFonts w:ascii="Arial" w:hAnsi="Arial" w:cs="Arial"/>
          <w:color w:val="000000" w:themeColor="text1"/>
        </w:rPr>
        <w:t>Ashikali</w:t>
      </w:r>
      <w:proofErr w:type="spellEnd"/>
      <w:r w:rsidR="009E44C6" w:rsidRPr="002F6727">
        <w:rPr>
          <w:rFonts w:ascii="Arial" w:hAnsi="Arial" w:cs="Arial"/>
          <w:color w:val="000000" w:themeColor="text1"/>
        </w:rPr>
        <w:t xml:space="preserve"> et al. (2021), who emphasized that gender diversity in organizations leads to improved collaboration, inclusive leadership, and better employee engagement. </w:t>
      </w:r>
    </w:p>
    <w:p w14:paraId="4EE0479C" w14:textId="1A4BF643" w:rsidR="009E44C6" w:rsidRDefault="00AB00E6" w:rsidP="009E44C6">
      <w:pPr>
        <w:spacing w:after="240"/>
        <w:ind w:right="43"/>
        <w:jc w:val="both"/>
        <w:rPr>
          <w:rFonts w:ascii="Arial" w:hAnsi="Arial" w:cs="Arial"/>
          <w:color w:val="000000" w:themeColor="text1"/>
        </w:rPr>
      </w:pPr>
      <w:r w:rsidRPr="00AB00E6">
        <w:rPr>
          <w:rFonts w:ascii="Arial" w:hAnsi="Arial" w:cs="Arial"/>
        </w:rPr>
        <w:t>‎</w:t>
      </w:r>
      <w:r w:rsidR="009E44C6" w:rsidRPr="002F6727">
        <w:rPr>
          <w:rFonts w:ascii="Arial" w:hAnsi="Arial" w:cs="Arial"/>
          <w:color w:val="000000" w:themeColor="text1"/>
        </w:rPr>
        <w:t xml:space="preserve">On the other hand, male respondents accounted for 58 or 46.77% of the total population, making them the lesser represented group. Although the difference was not significant, the result still pointed to a slightly lower male presence in financial institutions within the study area. This implied that institutions are fostering an environment of near-equal representation in staffing regardless of gender, promoting fairness in recruitment and role assignment. This finding aligned with Jonsen et al. (2021), who concluded that a balanced gender distribution in organizations enhances decision-making, innovation, and adaptability in competitive environments. </w:t>
      </w:r>
    </w:p>
    <w:p w14:paraId="5897A0B1" w14:textId="42C5F3EF" w:rsidR="00FC7B34" w:rsidRDefault="00E5674D" w:rsidP="009E44C6">
      <w:pPr>
        <w:spacing w:after="240"/>
        <w:jc w:val="both"/>
        <w:rPr>
          <w:rFonts w:ascii="Arial" w:hAnsi="Arial" w:cs="Arial"/>
        </w:rPr>
      </w:pPr>
      <w:r>
        <w:rPr>
          <w:rFonts w:ascii="Arial" w:hAnsi="Arial" w:cs="Arial"/>
          <w:color w:val="000000" w:themeColor="text1"/>
        </w:rPr>
        <w:t>A</w:t>
      </w:r>
      <w:r w:rsidR="009E44C6" w:rsidRPr="002F6727">
        <w:rPr>
          <w:rFonts w:ascii="Arial" w:hAnsi="Arial" w:cs="Arial"/>
          <w:color w:val="000000" w:themeColor="text1"/>
        </w:rPr>
        <w:t xml:space="preserve">ll 124 respondents (100.00%) were college graduates, making it the most represented educational level in the study. This indicated that financial institutions in </w:t>
      </w:r>
      <w:proofErr w:type="spellStart"/>
      <w:r w:rsidR="009E44C6" w:rsidRPr="002F6727">
        <w:rPr>
          <w:rFonts w:ascii="Arial" w:hAnsi="Arial" w:cs="Arial"/>
          <w:color w:val="000000" w:themeColor="text1"/>
        </w:rPr>
        <w:t>Cateel</w:t>
      </w:r>
      <w:proofErr w:type="spellEnd"/>
      <w:r w:rsidR="009E44C6" w:rsidRPr="002F6727">
        <w:rPr>
          <w:rFonts w:ascii="Arial" w:hAnsi="Arial" w:cs="Arial"/>
          <w:color w:val="000000" w:themeColor="text1"/>
        </w:rPr>
        <w:t xml:space="preserve">, Davao Oriental maintained a workforce with a strong academic foundation. The result implied that formal education was a key qualification for employment in the local financial sector, ensuring employees were equipped with the necessary knowledge and skills. This aligned with Otoo (2019), who stated that employees with higher education levels are more likely to understand and implement organizational policies effectively. </w:t>
      </w:r>
    </w:p>
    <w:p w14:paraId="52769B04" w14:textId="1D28423E" w:rsidR="009E44C6" w:rsidRDefault="009E44C6" w:rsidP="009E44C6">
      <w:pPr>
        <w:spacing w:after="240"/>
        <w:jc w:val="both"/>
        <w:rPr>
          <w:rFonts w:ascii="Arial" w:hAnsi="Arial" w:cs="Arial"/>
        </w:rPr>
      </w:pPr>
      <w:r w:rsidRPr="002F6727">
        <w:rPr>
          <w:rFonts w:ascii="Arial" w:hAnsi="Arial" w:cs="Arial"/>
        </w:rPr>
        <w:t xml:space="preserve">In contrast, Graduate Studies and Post-Graduate levels had zero representation (0.00%), making them the least represented educational categories. This finding implied that </w:t>
      </w:r>
      <w:r w:rsidRPr="002F6727">
        <w:rPr>
          <w:rFonts w:ascii="Arial" w:hAnsi="Arial" w:cs="Arial"/>
        </w:rPr>
        <w:lastRenderedPageBreak/>
        <w:t>advanced academic qualifications were not a common requirement or priority among financial institutions in the area. The absence of respondents in these categories may reflect hiring trends that focus more on undergraduate degrees and practical skills. Mahapatro (2021) noted that while higher education can enhance strategic leadership, many institutions still rely on college graduates for operational roles. Encouraging professional development and support for higher studies may strengthen leadership capacity and long-term institutional growth.</w:t>
      </w:r>
    </w:p>
    <w:p w14:paraId="4A76DD30" w14:textId="5F4DC71D" w:rsidR="00FC7B34" w:rsidRDefault="00FC7B34" w:rsidP="00FC7B34">
      <w:pPr>
        <w:tabs>
          <w:tab w:val="left" w:pos="1080"/>
        </w:tabs>
        <w:jc w:val="both"/>
        <w:rPr>
          <w:rFonts w:ascii="Arial" w:hAnsi="Arial"/>
          <w:b/>
        </w:rPr>
      </w:pPr>
      <w:r>
        <w:rPr>
          <w:rFonts w:ascii="Arial" w:hAnsi="Arial"/>
          <w:b/>
        </w:rPr>
        <w:t xml:space="preserve">Table </w:t>
      </w:r>
      <w:r w:rsidR="00AB00E6">
        <w:rPr>
          <w:rFonts w:ascii="Arial" w:hAnsi="Arial"/>
          <w:b/>
        </w:rPr>
        <w:t>1</w:t>
      </w:r>
      <w:r>
        <w:rPr>
          <w:rFonts w:ascii="Arial" w:hAnsi="Arial"/>
          <w:b/>
        </w:rPr>
        <w:t>.</w:t>
      </w:r>
      <w:r w:rsidRPr="00DC3180">
        <w:rPr>
          <w:rFonts w:ascii="Arial" w:hAnsi="Arial"/>
          <w:b/>
        </w:rPr>
        <w:tab/>
      </w:r>
      <w:r w:rsidR="002A1033" w:rsidRPr="002A1033">
        <w:rPr>
          <w:rFonts w:ascii="Arial" w:hAnsi="Arial"/>
          <w:b/>
          <w:color w:val="000000" w:themeColor="text1"/>
        </w:rPr>
        <w:t>F</w:t>
      </w:r>
      <w:r w:rsidR="00D21CE6" w:rsidRPr="002A1033">
        <w:rPr>
          <w:rFonts w:ascii="Arial" w:hAnsi="Arial"/>
          <w:b/>
          <w:color w:val="000000" w:themeColor="text1"/>
        </w:rPr>
        <w:t>requency and percentage distribution of respondents by demographic characteristics</w:t>
      </w:r>
    </w:p>
    <w:p w14:paraId="31C4AD00" w14:textId="77777777" w:rsidR="00FC7B34" w:rsidRDefault="00FC7B34" w:rsidP="00FC7B34">
      <w:pPr>
        <w:tabs>
          <w:tab w:val="left" w:pos="1080"/>
        </w:tabs>
        <w:jc w:val="both"/>
        <w:rPr>
          <w:rFonts w:ascii="Arial" w:hAnsi="Arial"/>
          <w:b/>
        </w:rPr>
      </w:pPr>
    </w:p>
    <w:tbl>
      <w:tblPr>
        <w:tblpPr w:leftFromText="180" w:rightFromText="180" w:vertAnchor="text" w:horzAnchor="margin" w:tblpY="47"/>
        <w:tblW w:w="5000" w:type="pct"/>
        <w:tblLook w:val="04A0" w:firstRow="1" w:lastRow="0" w:firstColumn="1" w:lastColumn="0" w:noHBand="0" w:noVBand="1"/>
      </w:tblPr>
      <w:tblGrid>
        <w:gridCol w:w="3422"/>
        <w:gridCol w:w="2500"/>
        <w:gridCol w:w="2502"/>
      </w:tblGrid>
      <w:tr w:rsidR="00204C4A" w:rsidRPr="00204C4A" w14:paraId="40E896BA" w14:textId="77777777" w:rsidTr="00204C4A">
        <w:trPr>
          <w:trHeight w:val="144"/>
        </w:trPr>
        <w:tc>
          <w:tcPr>
            <w:tcW w:w="2031" w:type="pct"/>
            <w:tcBorders>
              <w:top w:val="single" w:sz="4" w:space="0" w:color="auto"/>
              <w:bottom w:val="single" w:sz="4" w:space="0" w:color="auto"/>
            </w:tcBorders>
            <w:vAlign w:val="center"/>
            <w:hideMark/>
          </w:tcPr>
          <w:p w14:paraId="4BBC747F"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Demographic Items</w:t>
            </w:r>
          </w:p>
        </w:tc>
        <w:tc>
          <w:tcPr>
            <w:tcW w:w="1484" w:type="pct"/>
            <w:tcBorders>
              <w:top w:val="single" w:sz="4" w:space="0" w:color="auto"/>
              <w:bottom w:val="single" w:sz="4" w:space="0" w:color="auto"/>
            </w:tcBorders>
            <w:vAlign w:val="center"/>
            <w:hideMark/>
          </w:tcPr>
          <w:p w14:paraId="17CE196C"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Frequency</w:t>
            </w:r>
          </w:p>
        </w:tc>
        <w:tc>
          <w:tcPr>
            <w:tcW w:w="1485" w:type="pct"/>
            <w:tcBorders>
              <w:top w:val="single" w:sz="4" w:space="0" w:color="auto"/>
              <w:bottom w:val="single" w:sz="4" w:space="0" w:color="auto"/>
            </w:tcBorders>
            <w:vAlign w:val="center"/>
            <w:hideMark/>
          </w:tcPr>
          <w:p w14:paraId="58B207F8" w14:textId="77777777" w:rsidR="00204C4A" w:rsidRPr="00204C4A" w:rsidRDefault="00204C4A" w:rsidP="00204C4A">
            <w:pPr>
              <w:jc w:val="center"/>
              <w:rPr>
                <w:rFonts w:ascii="Arial" w:eastAsia="Yu Gothic" w:hAnsi="Arial" w:cs="Arial"/>
                <w:b/>
                <w:bCs/>
                <w:color w:val="000000"/>
                <w:kern w:val="2"/>
                <w:lang w:eastAsia="ja-JP"/>
              </w:rPr>
            </w:pPr>
            <w:r w:rsidRPr="00204C4A">
              <w:rPr>
                <w:rFonts w:ascii="Arial" w:eastAsia="Yu Gothic" w:hAnsi="Arial" w:cs="Arial"/>
                <w:b/>
                <w:color w:val="000000"/>
                <w:kern w:val="2"/>
                <w:lang w:eastAsia="ja-JP"/>
              </w:rPr>
              <w:t>Percent</w:t>
            </w:r>
          </w:p>
        </w:tc>
      </w:tr>
      <w:tr w:rsidR="00204C4A" w:rsidRPr="00204C4A" w14:paraId="19DF3E28" w14:textId="77777777" w:rsidTr="00204C4A">
        <w:trPr>
          <w:trHeight w:val="144"/>
        </w:trPr>
        <w:tc>
          <w:tcPr>
            <w:tcW w:w="5000" w:type="pct"/>
            <w:gridSpan w:val="3"/>
            <w:tcBorders>
              <w:top w:val="single" w:sz="4" w:space="0" w:color="auto"/>
            </w:tcBorders>
          </w:tcPr>
          <w:p w14:paraId="35EB2B0C" w14:textId="77777777" w:rsidR="00204C4A" w:rsidRPr="00204C4A" w:rsidRDefault="00204C4A" w:rsidP="00204C4A">
            <w:pPr>
              <w:rPr>
                <w:rFonts w:ascii="Arial" w:eastAsia="Yu Gothic" w:hAnsi="Arial" w:cs="Arial"/>
                <w:b/>
                <w:bCs/>
                <w:color w:val="000000"/>
                <w:kern w:val="2"/>
                <w:lang w:eastAsia="ja-JP"/>
              </w:rPr>
            </w:pPr>
            <w:r w:rsidRPr="00204C4A">
              <w:rPr>
                <w:rFonts w:ascii="Arial" w:eastAsia="Yu Gothic" w:hAnsi="Arial" w:cs="Arial"/>
                <w:b/>
                <w:bCs/>
                <w:color w:val="000000"/>
                <w:kern w:val="2"/>
                <w:lang w:eastAsia="ja-JP"/>
              </w:rPr>
              <w:t>Age</w:t>
            </w:r>
          </w:p>
        </w:tc>
      </w:tr>
      <w:tr w:rsidR="00204C4A" w:rsidRPr="00204C4A" w14:paraId="2D443DA7" w14:textId="77777777" w:rsidTr="00204C4A">
        <w:trPr>
          <w:trHeight w:val="144"/>
        </w:trPr>
        <w:tc>
          <w:tcPr>
            <w:tcW w:w="2031" w:type="pct"/>
            <w:hideMark/>
          </w:tcPr>
          <w:p w14:paraId="2460535C" w14:textId="7DE1A5AF" w:rsidR="00204C4A" w:rsidRPr="00204C4A" w:rsidRDefault="00CF2195" w:rsidP="00204C4A">
            <w:pPr>
              <w:ind w:firstLine="720"/>
              <w:rPr>
                <w:rFonts w:ascii="Arial" w:eastAsia="Yu Gothic" w:hAnsi="Arial" w:cs="Arial"/>
                <w:color w:val="000000"/>
                <w:kern w:val="2"/>
                <w:lang w:eastAsia="ja-JP"/>
              </w:rPr>
            </w:pPr>
            <w:r>
              <w:rPr>
                <w:rFonts w:ascii="Arial" w:eastAsia="Yu Gothic" w:hAnsi="Arial" w:cs="Arial"/>
                <w:color w:val="000000"/>
                <w:kern w:val="2"/>
                <w:lang w:eastAsia="ja-JP"/>
              </w:rPr>
              <w:t>18 to 35</w:t>
            </w:r>
            <w:r w:rsidR="00204C4A" w:rsidRPr="00204C4A">
              <w:rPr>
                <w:rFonts w:ascii="Arial" w:eastAsia="Yu Gothic" w:hAnsi="Arial" w:cs="Arial"/>
                <w:color w:val="000000"/>
                <w:kern w:val="2"/>
                <w:lang w:eastAsia="ja-JP"/>
              </w:rPr>
              <w:t xml:space="preserve"> years old</w:t>
            </w:r>
          </w:p>
        </w:tc>
        <w:tc>
          <w:tcPr>
            <w:tcW w:w="1484" w:type="pct"/>
            <w:noWrap/>
            <w:hideMark/>
          </w:tcPr>
          <w:p w14:paraId="1E6AA732" w14:textId="534CADB1"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86</w:t>
            </w:r>
          </w:p>
        </w:tc>
        <w:tc>
          <w:tcPr>
            <w:tcW w:w="1485" w:type="pct"/>
            <w:noWrap/>
            <w:hideMark/>
          </w:tcPr>
          <w:p w14:paraId="7C9CFA88" w14:textId="2B8E4A25"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69.35</w:t>
            </w:r>
          </w:p>
        </w:tc>
      </w:tr>
      <w:tr w:rsidR="00204C4A" w:rsidRPr="00204C4A" w14:paraId="62C340B4" w14:textId="77777777" w:rsidTr="00204C4A">
        <w:trPr>
          <w:trHeight w:val="144"/>
        </w:trPr>
        <w:tc>
          <w:tcPr>
            <w:tcW w:w="2031" w:type="pct"/>
            <w:hideMark/>
          </w:tcPr>
          <w:p w14:paraId="2DFDE817" w14:textId="30948122" w:rsidR="00204C4A" w:rsidRPr="00204C4A" w:rsidRDefault="00CF2195" w:rsidP="00204C4A">
            <w:pPr>
              <w:ind w:firstLine="720"/>
              <w:rPr>
                <w:rFonts w:ascii="Arial" w:eastAsia="Yu Gothic" w:hAnsi="Arial" w:cs="Arial"/>
                <w:color w:val="000000"/>
                <w:kern w:val="2"/>
                <w:lang w:eastAsia="ja-JP"/>
              </w:rPr>
            </w:pPr>
            <w:r>
              <w:rPr>
                <w:rFonts w:ascii="Arial" w:eastAsia="Yu Gothic" w:hAnsi="Arial" w:cs="Arial"/>
                <w:color w:val="000000"/>
                <w:kern w:val="2"/>
                <w:lang w:eastAsia="ja-JP"/>
              </w:rPr>
              <w:t>36 to 45</w:t>
            </w:r>
            <w:r w:rsidR="00204C4A" w:rsidRPr="00204C4A">
              <w:rPr>
                <w:rFonts w:ascii="Arial" w:eastAsia="Yu Gothic" w:hAnsi="Arial" w:cs="Arial"/>
                <w:color w:val="000000"/>
                <w:kern w:val="2"/>
                <w:lang w:eastAsia="ja-JP"/>
              </w:rPr>
              <w:t xml:space="preserve"> years old</w:t>
            </w:r>
          </w:p>
        </w:tc>
        <w:tc>
          <w:tcPr>
            <w:tcW w:w="1484" w:type="pct"/>
            <w:noWrap/>
            <w:hideMark/>
          </w:tcPr>
          <w:p w14:paraId="00BD8B95" w14:textId="2D548606"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35</w:t>
            </w:r>
          </w:p>
        </w:tc>
        <w:tc>
          <w:tcPr>
            <w:tcW w:w="1485" w:type="pct"/>
            <w:noWrap/>
            <w:hideMark/>
          </w:tcPr>
          <w:p w14:paraId="02A082B6" w14:textId="3193358C"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28</w:t>
            </w:r>
            <w:r w:rsidR="00204C4A" w:rsidRPr="00204C4A">
              <w:rPr>
                <w:rFonts w:ascii="Arial" w:eastAsia="Yu Gothic" w:hAnsi="Arial" w:cs="Arial"/>
                <w:color w:val="000000"/>
                <w:kern w:val="2"/>
                <w:lang w:eastAsia="ja-JP"/>
              </w:rPr>
              <w:t>.2</w:t>
            </w:r>
            <w:r>
              <w:rPr>
                <w:rFonts w:ascii="Arial" w:eastAsia="Yu Gothic" w:hAnsi="Arial" w:cs="Arial"/>
                <w:color w:val="000000"/>
                <w:kern w:val="2"/>
                <w:lang w:eastAsia="ja-JP"/>
              </w:rPr>
              <w:t>3</w:t>
            </w:r>
          </w:p>
        </w:tc>
      </w:tr>
      <w:tr w:rsidR="00204C4A" w:rsidRPr="00204C4A" w14:paraId="055DFEE0" w14:textId="77777777" w:rsidTr="00204C4A">
        <w:trPr>
          <w:trHeight w:val="144"/>
        </w:trPr>
        <w:tc>
          <w:tcPr>
            <w:tcW w:w="2031" w:type="pct"/>
            <w:hideMark/>
          </w:tcPr>
          <w:p w14:paraId="779634C1" w14:textId="563FC3CB" w:rsidR="00204C4A" w:rsidRPr="00204C4A" w:rsidRDefault="00CF2195" w:rsidP="00204C4A">
            <w:pPr>
              <w:ind w:firstLine="720"/>
              <w:rPr>
                <w:rFonts w:ascii="Arial" w:eastAsia="Yu Gothic" w:hAnsi="Arial" w:cs="Arial"/>
                <w:color w:val="000000"/>
                <w:kern w:val="2"/>
                <w:lang w:eastAsia="ja-JP"/>
              </w:rPr>
            </w:pPr>
            <w:r>
              <w:rPr>
                <w:rFonts w:ascii="Arial" w:eastAsia="Yu Gothic" w:hAnsi="Arial" w:cs="Arial"/>
                <w:color w:val="000000"/>
                <w:kern w:val="2"/>
                <w:lang w:eastAsia="ja-JP"/>
              </w:rPr>
              <w:t xml:space="preserve">46 </w:t>
            </w:r>
            <w:r w:rsidR="00204C4A" w:rsidRPr="00204C4A">
              <w:rPr>
                <w:rFonts w:ascii="Arial" w:eastAsia="Yu Gothic" w:hAnsi="Arial" w:cs="Arial"/>
                <w:color w:val="000000"/>
                <w:kern w:val="2"/>
                <w:lang w:eastAsia="ja-JP"/>
              </w:rPr>
              <w:t>years old</w:t>
            </w:r>
            <w:r>
              <w:rPr>
                <w:rFonts w:ascii="Arial" w:eastAsia="Yu Gothic" w:hAnsi="Arial" w:cs="Arial"/>
                <w:color w:val="000000"/>
                <w:kern w:val="2"/>
                <w:lang w:eastAsia="ja-JP"/>
              </w:rPr>
              <w:t xml:space="preserve"> and above</w:t>
            </w:r>
          </w:p>
        </w:tc>
        <w:tc>
          <w:tcPr>
            <w:tcW w:w="1484" w:type="pct"/>
            <w:noWrap/>
            <w:hideMark/>
          </w:tcPr>
          <w:p w14:paraId="5872CF44" w14:textId="3A72E1C4" w:rsidR="00204C4A" w:rsidRPr="00204C4A" w:rsidRDefault="00CF2195"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3</w:t>
            </w:r>
          </w:p>
        </w:tc>
        <w:tc>
          <w:tcPr>
            <w:tcW w:w="1485" w:type="pct"/>
            <w:noWrap/>
            <w:hideMark/>
          </w:tcPr>
          <w:p w14:paraId="478646FC" w14:textId="7874C6D3"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eastAsia="ja-JP"/>
              </w:rPr>
              <w:t>2</w:t>
            </w:r>
            <w:r w:rsidR="00204C4A" w:rsidRPr="00204C4A">
              <w:rPr>
                <w:rFonts w:ascii="Arial" w:eastAsia="Yu Gothic" w:hAnsi="Arial" w:cs="Arial"/>
                <w:color w:val="000000"/>
                <w:kern w:val="2"/>
                <w:lang w:eastAsia="ja-JP"/>
              </w:rPr>
              <w:t>.</w:t>
            </w:r>
            <w:r>
              <w:rPr>
                <w:rFonts w:ascii="Arial" w:eastAsia="Yu Gothic" w:hAnsi="Arial" w:cs="Arial"/>
                <w:color w:val="000000"/>
                <w:kern w:val="2"/>
                <w:lang w:eastAsia="ja-JP"/>
              </w:rPr>
              <w:t>42</w:t>
            </w:r>
          </w:p>
        </w:tc>
      </w:tr>
      <w:tr w:rsidR="00A86158" w:rsidRPr="00204C4A" w14:paraId="70E961BC" w14:textId="77777777" w:rsidTr="00204C4A">
        <w:trPr>
          <w:trHeight w:val="144"/>
        </w:trPr>
        <w:tc>
          <w:tcPr>
            <w:tcW w:w="2031" w:type="pct"/>
          </w:tcPr>
          <w:p w14:paraId="5142C23F" w14:textId="25440D10" w:rsidR="00A86158" w:rsidRPr="00A86158" w:rsidRDefault="00A86158" w:rsidP="00204C4A">
            <w:pPr>
              <w:ind w:firstLine="720"/>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Total</w:t>
            </w:r>
          </w:p>
        </w:tc>
        <w:tc>
          <w:tcPr>
            <w:tcW w:w="1484" w:type="pct"/>
            <w:noWrap/>
          </w:tcPr>
          <w:p w14:paraId="0922BD50" w14:textId="50E2010B" w:rsidR="00A86158" w:rsidRPr="00A86158" w:rsidRDefault="00CF2195" w:rsidP="00204C4A">
            <w:pPr>
              <w:jc w:val="center"/>
              <w:rPr>
                <w:rFonts w:ascii="Arial" w:eastAsia="Yu Gothic" w:hAnsi="Arial" w:cs="Arial"/>
                <w:b/>
                <w:bCs/>
                <w:color w:val="000000"/>
                <w:kern w:val="2"/>
                <w:lang w:eastAsia="ja-JP"/>
              </w:rPr>
            </w:pPr>
            <w:r>
              <w:rPr>
                <w:rFonts w:ascii="Arial" w:eastAsia="Yu Gothic" w:hAnsi="Arial" w:cs="Arial"/>
                <w:b/>
                <w:bCs/>
                <w:color w:val="000000"/>
                <w:kern w:val="2"/>
                <w:lang w:eastAsia="ja-JP"/>
              </w:rPr>
              <w:t>124</w:t>
            </w:r>
          </w:p>
        </w:tc>
        <w:tc>
          <w:tcPr>
            <w:tcW w:w="1485" w:type="pct"/>
            <w:noWrap/>
          </w:tcPr>
          <w:p w14:paraId="14C5520C" w14:textId="38D645C3" w:rsidR="00A86158" w:rsidRPr="00A86158" w:rsidRDefault="00A86158" w:rsidP="00204C4A">
            <w:pPr>
              <w:jc w:val="center"/>
              <w:rPr>
                <w:rFonts w:ascii="Arial" w:eastAsia="Yu Gothic" w:hAnsi="Arial" w:cs="Arial"/>
                <w:b/>
                <w:bCs/>
                <w:color w:val="000000"/>
                <w:kern w:val="2"/>
                <w:lang w:eastAsia="ja-JP"/>
              </w:rPr>
            </w:pPr>
            <w:r w:rsidRPr="00A86158">
              <w:rPr>
                <w:rFonts w:ascii="Arial" w:eastAsia="Yu Gothic" w:hAnsi="Arial" w:cs="Arial"/>
                <w:b/>
                <w:bCs/>
                <w:color w:val="000000"/>
                <w:kern w:val="2"/>
                <w:lang w:eastAsia="ja-JP"/>
              </w:rPr>
              <w:t>100.00</w:t>
            </w:r>
          </w:p>
        </w:tc>
      </w:tr>
      <w:tr w:rsidR="00204C4A" w:rsidRPr="00204C4A" w14:paraId="3A12ED91" w14:textId="77777777" w:rsidTr="00204C4A">
        <w:trPr>
          <w:trHeight w:val="144"/>
        </w:trPr>
        <w:tc>
          <w:tcPr>
            <w:tcW w:w="5000" w:type="pct"/>
            <w:gridSpan w:val="3"/>
          </w:tcPr>
          <w:p w14:paraId="130ECE74" w14:textId="23F22D49" w:rsidR="00204C4A" w:rsidRPr="00204C4A" w:rsidRDefault="00BF1FC8" w:rsidP="00204C4A">
            <w:pPr>
              <w:rPr>
                <w:rFonts w:ascii="Arial" w:eastAsia="Yu Gothic" w:hAnsi="Arial" w:cs="Arial"/>
                <w:color w:val="000000"/>
                <w:kern w:val="2"/>
                <w:lang w:eastAsia="ja-JP"/>
              </w:rPr>
            </w:pPr>
            <w:r>
              <w:rPr>
                <w:rFonts w:ascii="Arial" w:eastAsia="Yu Gothic" w:hAnsi="Arial" w:cs="Arial"/>
                <w:b/>
                <w:color w:val="000000"/>
                <w:kern w:val="2"/>
                <w:lang w:val="en-PH" w:eastAsia="ja-JP"/>
              </w:rPr>
              <w:t>Sex</w:t>
            </w:r>
          </w:p>
        </w:tc>
      </w:tr>
      <w:tr w:rsidR="00204C4A" w:rsidRPr="00204C4A" w14:paraId="65A9335C" w14:textId="77777777" w:rsidTr="00204C4A">
        <w:trPr>
          <w:trHeight w:val="144"/>
        </w:trPr>
        <w:tc>
          <w:tcPr>
            <w:tcW w:w="2031" w:type="pct"/>
          </w:tcPr>
          <w:p w14:paraId="03309AB6"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Male</w:t>
            </w:r>
          </w:p>
        </w:tc>
        <w:tc>
          <w:tcPr>
            <w:tcW w:w="1484" w:type="pct"/>
            <w:noWrap/>
          </w:tcPr>
          <w:p w14:paraId="7AABF315" w14:textId="219E1E43"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58</w:t>
            </w:r>
          </w:p>
        </w:tc>
        <w:tc>
          <w:tcPr>
            <w:tcW w:w="1485" w:type="pct"/>
            <w:noWrap/>
          </w:tcPr>
          <w:p w14:paraId="31996AF6" w14:textId="62A13DD4"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4</w:t>
            </w:r>
            <w:r w:rsidR="00BF1FC8">
              <w:rPr>
                <w:rFonts w:ascii="Arial" w:eastAsia="Yu Gothic" w:hAnsi="Arial" w:cs="Arial"/>
                <w:color w:val="000000"/>
                <w:kern w:val="2"/>
                <w:lang w:val="en-PH" w:eastAsia="ja-JP"/>
              </w:rPr>
              <w:t>6.77</w:t>
            </w:r>
          </w:p>
        </w:tc>
      </w:tr>
      <w:tr w:rsidR="00204C4A" w:rsidRPr="00204C4A" w14:paraId="699EB72F" w14:textId="77777777" w:rsidTr="00204C4A">
        <w:trPr>
          <w:trHeight w:val="144"/>
        </w:trPr>
        <w:tc>
          <w:tcPr>
            <w:tcW w:w="2031" w:type="pct"/>
          </w:tcPr>
          <w:p w14:paraId="27244204" w14:textId="77777777" w:rsidR="00204C4A" w:rsidRPr="00204C4A" w:rsidRDefault="00204C4A" w:rsidP="00204C4A">
            <w:pPr>
              <w:ind w:firstLine="720"/>
              <w:rPr>
                <w:rFonts w:ascii="Arial" w:eastAsia="Yu Gothic" w:hAnsi="Arial" w:cs="Arial"/>
                <w:color w:val="000000"/>
                <w:kern w:val="2"/>
                <w:lang w:eastAsia="ja-JP"/>
              </w:rPr>
            </w:pPr>
            <w:r w:rsidRPr="00204C4A">
              <w:rPr>
                <w:rFonts w:ascii="Arial" w:eastAsia="Yu Gothic" w:hAnsi="Arial" w:cs="Arial"/>
                <w:color w:val="000000"/>
                <w:kern w:val="2"/>
                <w:lang w:val="en-PH" w:eastAsia="ja-JP"/>
              </w:rPr>
              <w:t>Female</w:t>
            </w:r>
          </w:p>
        </w:tc>
        <w:tc>
          <w:tcPr>
            <w:tcW w:w="1484" w:type="pct"/>
            <w:noWrap/>
          </w:tcPr>
          <w:p w14:paraId="35055504" w14:textId="7360F8FF" w:rsidR="00204C4A" w:rsidRPr="00204C4A" w:rsidRDefault="00BF1FC8" w:rsidP="00204C4A">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66</w:t>
            </w:r>
          </w:p>
        </w:tc>
        <w:tc>
          <w:tcPr>
            <w:tcW w:w="1485" w:type="pct"/>
            <w:noWrap/>
          </w:tcPr>
          <w:p w14:paraId="289B51D2" w14:textId="6C577980" w:rsidR="00204C4A" w:rsidRPr="00204C4A" w:rsidRDefault="00204C4A" w:rsidP="00204C4A">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5</w:t>
            </w:r>
            <w:r w:rsidR="00BF1FC8">
              <w:rPr>
                <w:rFonts w:ascii="Arial" w:eastAsia="Yu Gothic" w:hAnsi="Arial" w:cs="Arial"/>
                <w:color w:val="000000"/>
                <w:kern w:val="2"/>
                <w:lang w:val="en-PH" w:eastAsia="ja-JP"/>
              </w:rPr>
              <w:t>3.23</w:t>
            </w:r>
          </w:p>
        </w:tc>
      </w:tr>
      <w:tr w:rsidR="00A86158" w:rsidRPr="00204C4A" w14:paraId="2682013D" w14:textId="77777777" w:rsidTr="00204C4A">
        <w:trPr>
          <w:trHeight w:val="144"/>
        </w:trPr>
        <w:tc>
          <w:tcPr>
            <w:tcW w:w="2031" w:type="pct"/>
          </w:tcPr>
          <w:p w14:paraId="7A932B96" w14:textId="5934A758"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noWrap/>
          </w:tcPr>
          <w:p w14:paraId="7AFC1E09" w14:textId="26F019E4" w:rsidR="00A86158" w:rsidRPr="00A86158" w:rsidRDefault="00BF1FC8" w:rsidP="00A86158">
            <w:pPr>
              <w:jc w:val="center"/>
              <w:rPr>
                <w:rFonts w:ascii="Arial" w:eastAsia="Yu Gothic" w:hAnsi="Arial" w:cs="Arial"/>
                <w:b/>
                <w:bCs/>
                <w:color w:val="000000"/>
                <w:kern w:val="2"/>
                <w:lang w:val="en-PH" w:eastAsia="ja-JP"/>
              </w:rPr>
            </w:pPr>
            <w:r>
              <w:rPr>
                <w:rFonts w:ascii="Arial" w:eastAsia="Yu Gothic" w:hAnsi="Arial" w:cs="Arial"/>
                <w:b/>
                <w:bCs/>
                <w:color w:val="000000"/>
                <w:kern w:val="2"/>
                <w:lang w:eastAsia="ja-JP"/>
              </w:rPr>
              <w:t>124</w:t>
            </w:r>
          </w:p>
        </w:tc>
        <w:tc>
          <w:tcPr>
            <w:tcW w:w="1485" w:type="pct"/>
            <w:noWrap/>
          </w:tcPr>
          <w:p w14:paraId="35194BE9" w14:textId="53C458EE"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r w:rsidR="00A86158" w:rsidRPr="00204C4A" w14:paraId="698ED10A" w14:textId="77777777" w:rsidTr="00204C4A">
        <w:trPr>
          <w:trHeight w:val="144"/>
        </w:trPr>
        <w:tc>
          <w:tcPr>
            <w:tcW w:w="5000" w:type="pct"/>
            <w:gridSpan w:val="3"/>
          </w:tcPr>
          <w:p w14:paraId="0C45B71F" w14:textId="77777777" w:rsidR="00A86158" w:rsidRPr="00204C4A" w:rsidRDefault="00A86158" w:rsidP="00A86158">
            <w:pPr>
              <w:rPr>
                <w:rFonts w:ascii="Arial" w:eastAsia="Yu Gothic" w:hAnsi="Arial" w:cs="Arial"/>
                <w:color w:val="000000"/>
                <w:kern w:val="2"/>
                <w:lang w:eastAsia="ja-JP"/>
              </w:rPr>
            </w:pPr>
            <w:r w:rsidRPr="00204C4A">
              <w:rPr>
                <w:rFonts w:ascii="Arial" w:eastAsia="Yu Gothic" w:hAnsi="Arial" w:cs="Arial"/>
                <w:b/>
                <w:color w:val="000000"/>
                <w:kern w:val="2"/>
                <w:lang w:val="en-PH" w:eastAsia="ja-JP"/>
              </w:rPr>
              <w:t>Educational Attainment</w:t>
            </w:r>
          </w:p>
        </w:tc>
      </w:tr>
      <w:tr w:rsidR="00A86158" w:rsidRPr="00204C4A" w14:paraId="64A1EDB6" w14:textId="77777777" w:rsidTr="00204C4A">
        <w:trPr>
          <w:trHeight w:val="144"/>
        </w:trPr>
        <w:tc>
          <w:tcPr>
            <w:tcW w:w="2031" w:type="pct"/>
          </w:tcPr>
          <w:p w14:paraId="26F64FFD" w14:textId="7C8FA790" w:rsidR="00A86158" w:rsidRPr="00204C4A" w:rsidRDefault="00BF1FC8" w:rsidP="00A86158">
            <w:pPr>
              <w:ind w:firstLine="720"/>
              <w:rPr>
                <w:rFonts w:ascii="Arial" w:eastAsia="Yu Gothic" w:hAnsi="Arial" w:cs="Arial"/>
                <w:color w:val="000000"/>
                <w:kern w:val="2"/>
                <w:lang w:eastAsia="ja-JP"/>
              </w:rPr>
            </w:pPr>
            <w:r>
              <w:rPr>
                <w:rFonts w:ascii="Arial" w:eastAsia="Yu Gothic" w:hAnsi="Arial" w:cs="Arial"/>
                <w:color w:val="000000"/>
                <w:kern w:val="2"/>
                <w:lang w:val="en-PH" w:eastAsia="ja-JP"/>
              </w:rPr>
              <w:t>College Graduate</w:t>
            </w:r>
          </w:p>
        </w:tc>
        <w:tc>
          <w:tcPr>
            <w:tcW w:w="1484" w:type="pct"/>
            <w:noWrap/>
          </w:tcPr>
          <w:p w14:paraId="52677134" w14:textId="7F85589E"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124</w:t>
            </w:r>
          </w:p>
        </w:tc>
        <w:tc>
          <w:tcPr>
            <w:tcW w:w="1485" w:type="pct"/>
            <w:noWrap/>
          </w:tcPr>
          <w:p w14:paraId="656EBEFD" w14:textId="4340D1EB" w:rsidR="00A86158" w:rsidRPr="00204C4A" w:rsidRDefault="00A86158" w:rsidP="00A86158">
            <w:pPr>
              <w:jc w:val="center"/>
              <w:rPr>
                <w:rFonts w:ascii="Arial" w:eastAsia="Yu Gothic" w:hAnsi="Arial" w:cs="Arial"/>
                <w:color w:val="000000"/>
                <w:kern w:val="2"/>
                <w:lang w:eastAsia="ja-JP"/>
              </w:rPr>
            </w:pPr>
            <w:r w:rsidRPr="00204C4A">
              <w:rPr>
                <w:rFonts w:ascii="Arial" w:eastAsia="Yu Gothic" w:hAnsi="Arial" w:cs="Arial"/>
                <w:color w:val="000000"/>
                <w:kern w:val="2"/>
                <w:lang w:val="en-PH" w:eastAsia="ja-JP"/>
              </w:rPr>
              <w:t>1</w:t>
            </w:r>
            <w:r w:rsidR="00BF1FC8">
              <w:rPr>
                <w:rFonts w:ascii="Arial" w:eastAsia="Yu Gothic" w:hAnsi="Arial" w:cs="Arial"/>
                <w:color w:val="000000"/>
                <w:kern w:val="2"/>
                <w:lang w:val="en-PH" w:eastAsia="ja-JP"/>
              </w:rPr>
              <w:t>00.00</w:t>
            </w:r>
          </w:p>
        </w:tc>
      </w:tr>
      <w:tr w:rsidR="00A86158" w:rsidRPr="00204C4A" w14:paraId="662A1590" w14:textId="77777777" w:rsidTr="00204C4A">
        <w:trPr>
          <w:trHeight w:val="144"/>
        </w:trPr>
        <w:tc>
          <w:tcPr>
            <w:tcW w:w="2031" w:type="pct"/>
          </w:tcPr>
          <w:p w14:paraId="33295E59" w14:textId="4B2DC94D" w:rsidR="00A86158" w:rsidRPr="00204C4A" w:rsidRDefault="00BF1FC8" w:rsidP="00A86158">
            <w:pPr>
              <w:ind w:firstLine="720"/>
              <w:rPr>
                <w:rFonts w:ascii="Arial" w:eastAsia="Yu Gothic" w:hAnsi="Arial" w:cs="Arial"/>
                <w:color w:val="000000"/>
                <w:kern w:val="2"/>
                <w:lang w:eastAsia="ja-JP"/>
              </w:rPr>
            </w:pPr>
            <w:r>
              <w:rPr>
                <w:rFonts w:ascii="Arial" w:eastAsia="Yu Gothic" w:hAnsi="Arial" w:cs="Arial"/>
                <w:color w:val="000000"/>
                <w:kern w:val="2"/>
                <w:lang w:val="en-PH" w:eastAsia="ja-JP"/>
              </w:rPr>
              <w:t>Graduate Studies</w:t>
            </w:r>
          </w:p>
        </w:tc>
        <w:tc>
          <w:tcPr>
            <w:tcW w:w="1484" w:type="pct"/>
            <w:noWrap/>
          </w:tcPr>
          <w:p w14:paraId="55154024" w14:textId="0D6E22DE"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w:t>
            </w:r>
          </w:p>
        </w:tc>
        <w:tc>
          <w:tcPr>
            <w:tcW w:w="1485" w:type="pct"/>
            <w:noWrap/>
          </w:tcPr>
          <w:p w14:paraId="2B4A8DAE" w14:textId="196DCBE0"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0.00</w:t>
            </w:r>
          </w:p>
        </w:tc>
      </w:tr>
      <w:tr w:rsidR="00A86158" w:rsidRPr="00204C4A" w14:paraId="4BF66501" w14:textId="77777777" w:rsidTr="00204C4A">
        <w:trPr>
          <w:trHeight w:val="144"/>
        </w:trPr>
        <w:tc>
          <w:tcPr>
            <w:tcW w:w="2031" w:type="pct"/>
          </w:tcPr>
          <w:p w14:paraId="778A2ED8" w14:textId="5DAC6D4C" w:rsidR="00A86158" w:rsidRPr="00204C4A" w:rsidRDefault="00BF1FC8" w:rsidP="00A86158">
            <w:pPr>
              <w:ind w:firstLine="720"/>
              <w:rPr>
                <w:rFonts w:ascii="Arial" w:eastAsia="Yu Gothic" w:hAnsi="Arial" w:cs="Arial"/>
                <w:color w:val="000000"/>
                <w:kern w:val="2"/>
                <w:lang w:eastAsia="ja-JP"/>
              </w:rPr>
            </w:pPr>
            <w:r>
              <w:rPr>
                <w:rFonts w:ascii="Arial" w:eastAsia="Yu Gothic" w:hAnsi="Arial" w:cs="Arial"/>
                <w:color w:val="000000"/>
                <w:kern w:val="2"/>
                <w:lang w:val="en-PH" w:eastAsia="ja-JP"/>
              </w:rPr>
              <w:t>Post-Graduate</w:t>
            </w:r>
          </w:p>
        </w:tc>
        <w:tc>
          <w:tcPr>
            <w:tcW w:w="1484" w:type="pct"/>
            <w:noWrap/>
          </w:tcPr>
          <w:p w14:paraId="0B340623" w14:textId="34A0ACE1"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w:t>
            </w:r>
          </w:p>
        </w:tc>
        <w:tc>
          <w:tcPr>
            <w:tcW w:w="1485" w:type="pct"/>
            <w:noWrap/>
          </w:tcPr>
          <w:p w14:paraId="65DC3552" w14:textId="28C9668C" w:rsidR="00A86158" w:rsidRPr="00204C4A" w:rsidRDefault="00BF1FC8" w:rsidP="00A86158">
            <w:pPr>
              <w:jc w:val="center"/>
              <w:rPr>
                <w:rFonts w:ascii="Arial" w:eastAsia="Yu Gothic" w:hAnsi="Arial" w:cs="Arial"/>
                <w:color w:val="000000"/>
                <w:kern w:val="2"/>
                <w:lang w:eastAsia="ja-JP"/>
              </w:rPr>
            </w:pPr>
            <w:r>
              <w:rPr>
                <w:rFonts w:ascii="Arial" w:eastAsia="Yu Gothic" w:hAnsi="Arial" w:cs="Arial"/>
                <w:color w:val="000000"/>
                <w:kern w:val="2"/>
                <w:lang w:val="en-PH" w:eastAsia="ja-JP"/>
              </w:rPr>
              <w:t>0.00</w:t>
            </w:r>
          </w:p>
        </w:tc>
      </w:tr>
      <w:tr w:rsidR="00A86158" w:rsidRPr="00204C4A" w14:paraId="5D2C5CE7" w14:textId="77777777" w:rsidTr="00A86158">
        <w:trPr>
          <w:trHeight w:val="144"/>
        </w:trPr>
        <w:tc>
          <w:tcPr>
            <w:tcW w:w="2031" w:type="pct"/>
            <w:tcBorders>
              <w:bottom w:val="single" w:sz="4" w:space="0" w:color="auto"/>
            </w:tcBorders>
          </w:tcPr>
          <w:p w14:paraId="1866BA0F" w14:textId="18C01D29" w:rsidR="00A86158" w:rsidRPr="00A86158" w:rsidRDefault="00A86158" w:rsidP="00A86158">
            <w:pPr>
              <w:ind w:firstLine="720"/>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Total</w:t>
            </w:r>
          </w:p>
        </w:tc>
        <w:tc>
          <w:tcPr>
            <w:tcW w:w="1484" w:type="pct"/>
            <w:tcBorders>
              <w:bottom w:val="single" w:sz="4" w:space="0" w:color="auto"/>
            </w:tcBorders>
            <w:noWrap/>
          </w:tcPr>
          <w:p w14:paraId="37FC9A35" w14:textId="7C98C307" w:rsidR="00A86158" w:rsidRPr="00A86158" w:rsidRDefault="00BF1FC8" w:rsidP="00A86158">
            <w:pPr>
              <w:jc w:val="center"/>
              <w:rPr>
                <w:rFonts w:ascii="Arial" w:eastAsia="Yu Gothic" w:hAnsi="Arial" w:cs="Arial"/>
                <w:b/>
                <w:bCs/>
                <w:color w:val="000000"/>
                <w:kern w:val="2"/>
                <w:lang w:val="en-PH" w:eastAsia="ja-JP"/>
              </w:rPr>
            </w:pPr>
            <w:r>
              <w:rPr>
                <w:rFonts w:ascii="Arial" w:eastAsia="Yu Gothic" w:hAnsi="Arial" w:cs="Arial"/>
                <w:b/>
                <w:bCs/>
                <w:color w:val="000000"/>
                <w:kern w:val="2"/>
                <w:lang w:eastAsia="ja-JP"/>
              </w:rPr>
              <w:t>124</w:t>
            </w:r>
          </w:p>
        </w:tc>
        <w:tc>
          <w:tcPr>
            <w:tcW w:w="1485" w:type="pct"/>
            <w:tcBorders>
              <w:bottom w:val="single" w:sz="4" w:space="0" w:color="auto"/>
            </w:tcBorders>
            <w:noWrap/>
          </w:tcPr>
          <w:p w14:paraId="70B4A50A" w14:textId="23465691" w:rsidR="00A86158" w:rsidRPr="00A86158" w:rsidRDefault="00A86158" w:rsidP="00A86158">
            <w:pPr>
              <w:jc w:val="center"/>
              <w:rPr>
                <w:rFonts w:ascii="Arial" w:eastAsia="Yu Gothic" w:hAnsi="Arial" w:cs="Arial"/>
                <w:b/>
                <w:bCs/>
                <w:color w:val="000000"/>
                <w:kern w:val="2"/>
                <w:lang w:val="en-PH" w:eastAsia="ja-JP"/>
              </w:rPr>
            </w:pPr>
            <w:r w:rsidRPr="00A86158">
              <w:rPr>
                <w:rFonts w:ascii="Arial" w:eastAsia="Yu Gothic" w:hAnsi="Arial" w:cs="Arial"/>
                <w:b/>
                <w:bCs/>
                <w:color w:val="000000"/>
                <w:kern w:val="2"/>
                <w:lang w:eastAsia="ja-JP"/>
              </w:rPr>
              <w:t>100.00</w:t>
            </w:r>
          </w:p>
        </w:tc>
      </w:tr>
    </w:tbl>
    <w:p w14:paraId="45E4931C" w14:textId="77777777" w:rsidR="00B6322E" w:rsidRDefault="00B6322E" w:rsidP="00851412">
      <w:pPr>
        <w:pStyle w:val="Body"/>
        <w:spacing w:after="0"/>
        <w:rPr>
          <w:rFonts w:ascii="Arial" w:hAnsi="Arial" w:cs="Arial"/>
          <w:b/>
          <w:sz w:val="22"/>
        </w:rPr>
      </w:pPr>
    </w:p>
    <w:p w14:paraId="5F3CB8D0" w14:textId="011A7910"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.2 </w:t>
      </w:r>
      <w:r w:rsidR="00851412" w:rsidRPr="00851412">
        <w:rPr>
          <w:rFonts w:ascii="Arial" w:hAnsi="Arial" w:cs="Arial"/>
          <w:b/>
          <w:sz w:val="22"/>
        </w:rPr>
        <w:t xml:space="preserve">Level of </w:t>
      </w:r>
      <w:r w:rsidR="0095330A">
        <w:rPr>
          <w:rFonts w:ascii="Arial" w:hAnsi="Arial" w:cs="Arial"/>
          <w:b/>
          <w:sz w:val="22"/>
        </w:rPr>
        <w:t xml:space="preserve">Management Practices of Financial Institutions in terms of Human Resources </w:t>
      </w:r>
    </w:p>
    <w:p w14:paraId="359D267B" w14:textId="77777777" w:rsidR="004208F9" w:rsidRDefault="004208F9" w:rsidP="00851412">
      <w:pPr>
        <w:pStyle w:val="Body"/>
        <w:spacing w:after="0"/>
        <w:rPr>
          <w:rFonts w:ascii="Arial" w:hAnsi="Arial" w:cs="Arial"/>
          <w:b/>
          <w:sz w:val="22"/>
        </w:rPr>
      </w:pPr>
    </w:p>
    <w:p w14:paraId="404B3716" w14:textId="0A3E2628" w:rsidR="0095330A" w:rsidRPr="00231448" w:rsidRDefault="0095330A" w:rsidP="0095330A">
      <w:pPr>
        <w:spacing w:after="240"/>
        <w:ind w:right="43"/>
        <w:jc w:val="both"/>
        <w:rPr>
          <w:rFonts w:ascii="Arial" w:hAnsi="Arial" w:cs="Arial"/>
        </w:rPr>
      </w:pPr>
      <w:r>
        <w:rPr>
          <w:rFonts w:ascii="Arial" w:hAnsi="Arial" w:cs="Arial"/>
        </w:rPr>
        <w:t>Table 2</w:t>
      </w:r>
      <w:r w:rsidRPr="00231448">
        <w:rPr>
          <w:rFonts w:ascii="Arial" w:hAnsi="Arial" w:cs="Arial"/>
        </w:rPr>
        <w:t xml:space="preserve"> indicated that the overall mean of human resource management practices among financial institutions in </w:t>
      </w:r>
      <w:proofErr w:type="spellStart"/>
      <w:r w:rsidRPr="00231448">
        <w:rPr>
          <w:rFonts w:ascii="Arial" w:hAnsi="Arial" w:cs="Arial"/>
        </w:rPr>
        <w:t>Cateel</w:t>
      </w:r>
      <w:proofErr w:type="spellEnd"/>
      <w:r w:rsidRPr="00231448">
        <w:rPr>
          <w:rFonts w:ascii="Arial" w:hAnsi="Arial" w:cs="Arial"/>
        </w:rPr>
        <w:t>, Davao Oriental was highly evident, with a computed mean of 4.26. The consistently high mean scores across items implied that institutions had well-established HR systems that supported employee orientation, compensation, working conditions, and motivation. This reflected a strong organizational commitment to structured employee management and workforce integration. The implementation of HR strategies appeared uniform and aligned with professional standards, indicating institutional maturity. These findings supported Otoo’s (2019) conclusion that strong HR frameworks enhance staff cohesion and institutional productivity.</w:t>
      </w:r>
    </w:p>
    <w:p w14:paraId="3A26953E" w14:textId="12AC7AD8" w:rsidR="0095330A" w:rsidRPr="00231448" w:rsidRDefault="0095330A" w:rsidP="0095330A">
      <w:pPr>
        <w:spacing w:after="240"/>
        <w:ind w:right="43"/>
        <w:jc w:val="both"/>
        <w:rPr>
          <w:rFonts w:ascii="Arial" w:hAnsi="Arial" w:cs="Arial"/>
        </w:rPr>
      </w:pPr>
      <w:r w:rsidRPr="00231448">
        <w:rPr>
          <w:rFonts w:ascii="Arial" w:hAnsi="Arial" w:cs="Arial"/>
        </w:rPr>
        <w:t xml:space="preserve">The highest-rated statement was “Introduces the business and the job to the new employees,” with a mean score of 4.39, interpreted as highly evident. This implied that financial institutions placed significant importance on properly orienting their new hires, helping them understand both their responsibilities and the organization’s structure. A strong orientation process likely improved </w:t>
      </w:r>
      <w:r w:rsidR="00D00E26" w:rsidRPr="00231448">
        <w:rPr>
          <w:rFonts w:ascii="Arial" w:hAnsi="Arial" w:cs="Arial"/>
        </w:rPr>
        <w:t>employee</w:t>
      </w:r>
      <w:r w:rsidR="00D00E26">
        <w:rPr>
          <w:rFonts w:ascii="Arial" w:hAnsi="Arial" w:cs="Arial"/>
        </w:rPr>
        <w:t>s’</w:t>
      </w:r>
      <w:r w:rsidRPr="00231448">
        <w:rPr>
          <w:rFonts w:ascii="Arial" w:hAnsi="Arial" w:cs="Arial"/>
        </w:rPr>
        <w:t xml:space="preserve"> confidence and clarity from the beginning of their tenure. This result was consistent with Guo et al. (2020), who found that effective orientation programs reduce early-stage confusion and accelerate employee integration. The data reflected those institutions understood the value of first impressions in shaping long-term performance and satisfaction.</w:t>
      </w:r>
    </w:p>
    <w:p w14:paraId="423E5DDF" w14:textId="6DBD7DF8" w:rsidR="00D7585A" w:rsidRDefault="00AB00E6" w:rsidP="00704ADA">
      <w:pPr>
        <w:ind w:right="43"/>
        <w:jc w:val="both"/>
        <w:rPr>
          <w:rFonts w:ascii="Arial" w:hAnsi="Arial" w:cs="Arial"/>
        </w:rPr>
      </w:pPr>
      <w:r w:rsidRPr="00AB00E6">
        <w:rPr>
          <w:rFonts w:ascii="Arial" w:hAnsi="Arial" w:cs="Arial"/>
        </w:rPr>
        <w:t>‎</w:t>
      </w:r>
      <w:r w:rsidR="00704ADA" w:rsidRPr="00231448">
        <w:rPr>
          <w:rFonts w:ascii="Arial" w:hAnsi="Arial" w:cs="Arial"/>
        </w:rPr>
        <w:t xml:space="preserve">In contrast, the lowest-rated statement was “Gives overtime pay,” which received a mean score of 4.15, and was classified as evident. This indicated that while most employees </w:t>
      </w:r>
      <w:r w:rsidR="00704ADA" w:rsidRPr="00231448">
        <w:rPr>
          <w:rFonts w:ascii="Arial" w:hAnsi="Arial" w:cs="Arial"/>
        </w:rPr>
        <w:lastRenderedPageBreak/>
        <w:t>acknowledged the presence of overtime pay policies, the practice may not have been consistently implemented or perceived as equitable. The slightly lower score implied potential gaps in how compensation for extended work hours was managed. This aligned with the findings of Mahapatro (2021), who emphasized the need for regular review of compensation structures to ensure employee motivation and fairness. Strengthening the clarity and fairness of overtime policies could improve staff morale and reinforce trust in institutional reward systems.</w:t>
      </w:r>
      <w:r w:rsidR="00704ADA">
        <w:rPr>
          <w:rFonts w:ascii="Arial" w:hAnsi="Arial" w:cs="Arial"/>
        </w:rPr>
        <w:t xml:space="preserve"> </w:t>
      </w:r>
    </w:p>
    <w:p w14:paraId="1623412B" w14:textId="77777777" w:rsidR="00AB00E6" w:rsidRDefault="00AB00E6" w:rsidP="00AB00E6">
      <w:pPr>
        <w:pStyle w:val="Body"/>
        <w:spacing w:after="0"/>
        <w:rPr>
          <w:rFonts w:ascii="Arial" w:hAnsi="Arial" w:cs="Arial"/>
        </w:rPr>
      </w:pPr>
    </w:p>
    <w:p w14:paraId="7513DD33" w14:textId="4E01998D" w:rsidR="00AB00E6" w:rsidRPr="00895E56" w:rsidRDefault="00AB00E6" w:rsidP="00AB00E6">
      <w:pPr>
        <w:tabs>
          <w:tab w:val="left" w:pos="1080"/>
        </w:tabs>
        <w:jc w:val="both"/>
        <w:rPr>
          <w:rFonts w:ascii="Arial" w:hAnsi="Arial"/>
          <w:b/>
          <w:color w:val="000000" w:themeColor="text1"/>
        </w:rPr>
      </w:pPr>
      <w:r>
        <w:rPr>
          <w:rFonts w:ascii="Arial" w:hAnsi="Arial"/>
          <w:b/>
        </w:rPr>
        <w:t>Table 2.</w:t>
      </w:r>
      <w:r w:rsidRPr="00DC3180">
        <w:rPr>
          <w:rFonts w:ascii="Arial" w:hAnsi="Arial"/>
          <w:b/>
        </w:rPr>
        <w:tab/>
      </w:r>
      <w:r w:rsidR="00895E56" w:rsidRPr="00895E56">
        <w:rPr>
          <w:rFonts w:ascii="Arial" w:hAnsi="Arial"/>
          <w:b/>
          <w:color w:val="000000" w:themeColor="text1"/>
        </w:rPr>
        <w:t xml:space="preserve">Level of </w:t>
      </w:r>
      <w:r w:rsidR="00704ADA">
        <w:rPr>
          <w:rFonts w:ascii="Arial" w:hAnsi="Arial"/>
          <w:b/>
          <w:color w:val="000000" w:themeColor="text1"/>
        </w:rPr>
        <w:t>management practices of financial institutions in terms of human resources</w:t>
      </w:r>
    </w:p>
    <w:p w14:paraId="2AED8FA8" w14:textId="77777777" w:rsidR="00AB00E6" w:rsidRDefault="00AB00E6" w:rsidP="00AB00E6">
      <w:pPr>
        <w:tabs>
          <w:tab w:val="left" w:pos="1080"/>
        </w:tabs>
        <w:jc w:val="both"/>
        <w:rPr>
          <w:rFonts w:ascii="Arial" w:hAnsi="Arial"/>
          <w:bCs/>
          <w:color w:val="000000" w:themeColor="text1"/>
        </w:rPr>
      </w:pPr>
    </w:p>
    <w:tbl>
      <w:tblPr>
        <w:tblW w:w="8479"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32"/>
        <w:gridCol w:w="1102"/>
        <w:gridCol w:w="1281"/>
        <w:gridCol w:w="2064"/>
      </w:tblGrid>
      <w:tr w:rsidR="00704ADA" w:rsidRPr="002C1CEF" w14:paraId="2F22D78B" w14:textId="77777777" w:rsidTr="00EA53B9">
        <w:trPr>
          <w:trHeight w:val="20"/>
        </w:trPr>
        <w:tc>
          <w:tcPr>
            <w:tcW w:w="4032" w:type="dxa"/>
            <w:tcBorders>
              <w:top w:val="single" w:sz="4" w:space="0" w:color="auto"/>
              <w:left w:val="nil"/>
              <w:bottom w:val="nil"/>
            </w:tcBorders>
            <w:vAlign w:val="center"/>
            <w:hideMark/>
          </w:tcPr>
          <w:p w14:paraId="4CE7088D" w14:textId="77777777" w:rsidR="00704ADA" w:rsidRPr="00C52A7A" w:rsidRDefault="00704ADA" w:rsidP="00EA53B9">
            <w:pPr>
              <w:ind w:right="43"/>
              <w:jc w:val="center"/>
              <w:rPr>
                <w:rFonts w:ascii="Arial" w:hAnsi="Arial" w:cs="Arial"/>
                <w:b/>
                <w:bCs/>
              </w:rPr>
            </w:pPr>
            <w:r w:rsidRPr="00C52A7A">
              <w:rPr>
                <w:rFonts w:ascii="Arial" w:hAnsi="Arial" w:cs="Arial"/>
                <w:b/>
                <w:bCs/>
              </w:rPr>
              <w:t>Indicator</w:t>
            </w:r>
          </w:p>
        </w:tc>
        <w:tc>
          <w:tcPr>
            <w:tcW w:w="1102" w:type="dxa"/>
            <w:vMerge w:val="restart"/>
            <w:tcBorders>
              <w:top w:val="single" w:sz="4" w:space="0" w:color="auto"/>
              <w:bottom w:val="nil"/>
            </w:tcBorders>
            <w:vAlign w:val="center"/>
            <w:hideMark/>
          </w:tcPr>
          <w:p w14:paraId="563FF977" w14:textId="77777777" w:rsidR="00704ADA" w:rsidRPr="00C52A7A" w:rsidRDefault="00704ADA" w:rsidP="00EA53B9">
            <w:pPr>
              <w:ind w:right="43"/>
              <w:jc w:val="center"/>
              <w:rPr>
                <w:rFonts w:ascii="Arial" w:hAnsi="Arial" w:cs="Arial"/>
                <w:b/>
                <w:bCs/>
              </w:rPr>
            </w:pPr>
            <w:r w:rsidRPr="00C52A7A">
              <w:rPr>
                <w:rFonts w:ascii="Arial" w:hAnsi="Arial" w:cs="Arial"/>
                <w:b/>
                <w:bCs/>
              </w:rPr>
              <w:t>Mean</w:t>
            </w:r>
          </w:p>
        </w:tc>
        <w:tc>
          <w:tcPr>
            <w:tcW w:w="1281" w:type="dxa"/>
            <w:vMerge w:val="restart"/>
            <w:tcBorders>
              <w:top w:val="single" w:sz="4" w:space="0" w:color="auto"/>
              <w:bottom w:val="nil"/>
            </w:tcBorders>
            <w:vAlign w:val="center"/>
            <w:hideMark/>
          </w:tcPr>
          <w:p w14:paraId="6F5227D0" w14:textId="77777777" w:rsidR="00704ADA" w:rsidRPr="00C52A7A" w:rsidRDefault="00704ADA" w:rsidP="00EA53B9">
            <w:pPr>
              <w:ind w:right="43"/>
              <w:jc w:val="center"/>
              <w:rPr>
                <w:rFonts w:ascii="Arial" w:hAnsi="Arial" w:cs="Arial"/>
                <w:b/>
                <w:bCs/>
              </w:rPr>
            </w:pPr>
            <w:r w:rsidRPr="00C52A7A">
              <w:rPr>
                <w:rFonts w:ascii="Arial" w:hAnsi="Arial" w:cs="Arial"/>
                <w:b/>
                <w:bCs/>
              </w:rPr>
              <w:t>Std. Deviation</w:t>
            </w:r>
          </w:p>
        </w:tc>
        <w:tc>
          <w:tcPr>
            <w:tcW w:w="2064" w:type="dxa"/>
            <w:vMerge w:val="restart"/>
            <w:tcBorders>
              <w:top w:val="single" w:sz="4" w:space="0" w:color="auto"/>
              <w:bottom w:val="nil"/>
              <w:right w:val="nil"/>
            </w:tcBorders>
            <w:noWrap/>
            <w:vAlign w:val="center"/>
            <w:hideMark/>
          </w:tcPr>
          <w:p w14:paraId="3DCE51BF" w14:textId="77777777" w:rsidR="00704ADA" w:rsidRPr="00C52A7A" w:rsidRDefault="00704ADA" w:rsidP="00EA53B9">
            <w:pPr>
              <w:ind w:right="43"/>
              <w:jc w:val="center"/>
              <w:rPr>
                <w:rFonts w:ascii="Arial" w:hAnsi="Arial" w:cs="Arial"/>
                <w:b/>
                <w:bCs/>
              </w:rPr>
            </w:pPr>
            <w:r w:rsidRPr="00C52A7A">
              <w:rPr>
                <w:rFonts w:ascii="Arial" w:hAnsi="Arial" w:cs="Arial"/>
                <w:b/>
                <w:bCs/>
              </w:rPr>
              <w:t>Interpretation</w:t>
            </w:r>
          </w:p>
        </w:tc>
      </w:tr>
      <w:tr w:rsidR="00704ADA" w:rsidRPr="002C1CEF" w14:paraId="68DE771C" w14:textId="77777777" w:rsidTr="00EA53B9">
        <w:trPr>
          <w:trHeight w:val="20"/>
        </w:trPr>
        <w:tc>
          <w:tcPr>
            <w:tcW w:w="4032" w:type="dxa"/>
            <w:tcBorders>
              <w:top w:val="nil"/>
              <w:left w:val="nil"/>
              <w:bottom w:val="single" w:sz="4" w:space="0" w:color="auto"/>
            </w:tcBorders>
            <w:vAlign w:val="center"/>
          </w:tcPr>
          <w:p w14:paraId="66B3AA17" w14:textId="77777777" w:rsidR="00704ADA" w:rsidRPr="00C52A7A" w:rsidRDefault="00704ADA" w:rsidP="00EA53B9">
            <w:pPr>
              <w:ind w:right="43"/>
              <w:jc w:val="center"/>
              <w:rPr>
                <w:rFonts w:ascii="Arial" w:hAnsi="Arial" w:cs="Arial"/>
                <w:b/>
                <w:bCs/>
              </w:rPr>
            </w:pPr>
            <w:r>
              <w:rPr>
                <w:rFonts w:ascii="Arial" w:hAnsi="Arial" w:cs="Arial"/>
                <w:b/>
                <w:bCs/>
              </w:rPr>
              <w:t>Human Resources</w:t>
            </w:r>
          </w:p>
        </w:tc>
        <w:tc>
          <w:tcPr>
            <w:tcW w:w="1102" w:type="dxa"/>
            <w:vMerge/>
            <w:tcBorders>
              <w:top w:val="nil"/>
              <w:bottom w:val="single" w:sz="4" w:space="0" w:color="auto"/>
            </w:tcBorders>
          </w:tcPr>
          <w:p w14:paraId="15910FD9" w14:textId="77777777" w:rsidR="00704ADA" w:rsidRPr="00C52A7A" w:rsidRDefault="00704ADA" w:rsidP="00EA53B9">
            <w:pPr>
              <w:ind w:right="43"/>
              <w:jc w:val="center"/>
              <w:rPr>
                <w:rFonts w:ascii="Arial" w:hAnsi="Arial" w:cs="Arial"/>
                <w:b/>
                <w:bCs/>
              </w:rPr>
            </w:pPr>
          </w:p>
        </w:tc>
        <w:tc>
          <w:tcPr>
            <w:tcW w:w="1281" w:type="dxa"/>
            <w:vMerge/>
            <w:tcBorders>
              <w:top w:val="nil"/>
              <w:bottom w:val="single" w:sz="4" w:space="0" w:color="auto"/>
            </w:tcBorders>
          </w:tcPr>
          <w:p w14:paraId="7919A2FD" w14:textId="77777777" w:rsidR="00704ADA" w:rsidRPr="00C52A7A" w:rsidRDefault="00704ADA" w:rsidP="00EA53B9">
            <w:pPr>
              <w:ind w:right="43"/>
              <w:jc w:val="center"/>
              <w:rPr>
                <w:rFonts w:ascii="Arial" w:hAnsi="Arial" w:cs="Arial"/>
                <w:b/>
                <w:bCs/>
              </w:rPr>
            </w:pPr>
          </w:p>
        </w:tc>
        <w:tc>
          <w:tcPr>
            <w:tcW w:w="2064" w:type="dxa"/>
            <w:vMerge/>
            <w:tcBorders>
              <w:top w:val="nil"/>
              <w:bottom w:val="single" w:sz="4" w:space="0" w:color="auto"/>
              <w:right w:val="nil"/>
            </w:tcBorders>
            <w:noWrap/>
          </w:tcPr>
          <w:p w14:paraId="678EB5B9" w14:textId="77777777" w:rsidR="00704ADA" w:rsidRPr="00C52A7A" w:rsidRDefault="00704ADA" w:rsidP="00EA53B9">
            <w:pPr>
              <w:ind w:right="43"/>
              <w:jc w:val="center"/>
              <w:rPr>
                <w:rFonts w:ascii="Arial" w:hAnsi="Arial" w:cs="Arial"/>
                <w:b/>
                <w:bCs/>
              </w:rPr>
            </w:pPr>
          </w:p>
        </w:tc>
      </w:tr>
      <w:tr w:rsidR="00704ADA" w:rsidRPr="002C1CEF" w14:paraId="4002E467" w14:textId="77777777" w:rsidTr="00EA53B9">
        <w:trPr>
          <w:trHeight w:val="20"/>
        </w:trPr>
        <w:tc>
          <w:tcPr>
            <w:tcW w:w="4032" w:type="dxa"/>
            <w:tcBorders>
              <w:top w:val="single" w:sz="4" w:space="0" w:color="auto"/>
              <w:left w:val="nil"/>
              <w:bottom w:val="nil"/>
            </w:tcBorders>
            <w:vAlign w:val="center"/>
            <w:hideMark/>
          </w:tcPr>
          <w:p w14:paraId="398C6582" w14:textId="77777777" w:rsidR="00704ADA" w:rsidRPr="00C52A7A" w:rsidRDefault="00704ADA" w:rsidP="00EA53B9">
            <w:pPr>
              <w:ind w:right="43"/>
              <w:rPr>
                <w:rFonts w:ascii="Arial" w:hAnsi="Arial" w:cs="Arial"/>
                <w:b/>
                <w:bCs/>
              </w:rPr>
            </w:pPr>
            <w:r w:rsidRPr="00C52A7A">
              <w:rPr>
                <w:rFonts w:ascii="Arial" w:hAnsi="Arial" w:cs="Arial"/>
                <w:b/>
                <w:bCs/>
              </w:rPr>
              <w:t>A. Job Orientation</w:t>
            </w:r>
          </w:p>
        </w:tc>
        <w:tc>
          <w:tcPr>
            <w:tcW w:w="1102" w:type="dxa"/>
            <w:tcBorders>
              <w:top w:val="single" w:sz="4" w:space="0" w:color="auto"/>
              <w:bottom w:val="nil"/>
            </w:tcBorders>
            <w:noWrap/>
            <w:hideMark/>
          </w:tcPr>
          <w:p w14:paraId="5A1EFB20" w14:textId="77777777" w:rsidR="00704ADA" w:rsidRPr="002C1CEF" w:rsidRDefault="00704ADA" w:rsidP="00EA53B9">
            <w:pPr>
              <w:ind w:right="43"/>
              <w:jc w:val="center"/>
              <w:rPr>
                <w:rFonts w:ascii="Arial" w:hAnsi="Arial" w:cs="Arial"/>
              </w:rPr>
            </w:pPr>
          </w:p>
        </w:tc>
        <w:tc>
          <w:tcPr>
            <w:tcW w:w="1281" w:type="dxa"/>
            <w:tcBorders>
              <w:top w:val="single" w:sz="4" w:space="0" w:color="auto"/>
              <w:bottom w:val="nil"/>
            </w:tcBorders>
            <w:noWrap/>
            <w:hideMark/>
          </w:tcPr>
          <w:p w14:paraId="7194DEBA" w14:textId="77777777" w:rsidR="00704ADA" w:rsidRPr="002C1CEF" w:rsidRDefault="00704ADA" w:rsidP="00EA53B9">
            <w:pPr>
              <w:ind w:right="43"/>
              <w:jc w:val="center"/>
              <w:rPr>
                <w:rFonts w:ascii="Arial" w:hAnsi="Arial" w:cs="Arial"/>
              </w:rPr>
            </w:pPr>
          </w:p>
        </w:tc>
        <w:tc>
          <w:tcPr>
            <w:tcW w:w="2064" w:type="dxa"/>
            <w:tcBorders>
              <w:top w:val="single" w:sz="4" w:space="0" w:color="auto"/>
              <w:bottom w:val="nil"/>
              <w:right w:val="nil"/>
            </w:tcBorders>
            <w:noWrap/>
            <w:hideMark/>
          </w:tcPr>
          <w:p w14:paraId="7731792E" w14:textId="77777777" w:rsidR="00704ADA" w:rsidRPr="002C1CEF" w:rsidRDefault="00704ADA" w:rsidP="00EA53B9">
            <w:pPr>
              <w:ind w:right="43"/>
              <w:jc w:val="center"/>
              <w:rPr>
                <w:rFonts w:ascii="Arial" w:hAnsi="Arial" w:cs="Arial"/>
              </w:rPr>
            </w:pPr>
          </w:p>
        </w:tc>
      </w:tr>
      <w:tr w:rsidR="00704ADA" w:rsidRPr="002C1CEF" w14:paraId="5DA0F8E8" w14:textId="77777777" w:rsidTr="00EA53B9">
        <w:trPr>
          <w:trHeight w:val="20"/>
        </w:trPr>
        <w:tc>
          <w:tcPr>
            <w:tcW w:w="4032" w:type="dxa"/>
            <w:tcBorders>
              <w:top w:val="nil"/>
              <w:left w:val="nil"/>
              <w:bottom w:val="nil"/>
            </w:tcBorders>
            <w:vAlign w:val="center"/>
            <w:hideMark/>
          </w:tcPr>
          <w:p w14:paraId="4A0125A6" w14:textId="77777777" w:rsidR="00704ADA" w:rsidRPr="002C1CEF" w:rsidRDefault="00704ADA" w:rsidP="00EA53B9">
            <w:pPr>
              <w:ind w:right="43"/>
              <w:rPr>
                <w:rFonts w:ascii="Arial" w:hAnsi="Arial" w:cs="Arial"/>
              </w:rPr>
            </w:pPr>
            <w:r w:rsidRPr="00B2502A">
              <w:rPr>
                <w:rFonts w:ascii="Arial" w:hAnsi="Arial" w:cs="Arial"/>
              </w:rPr>
              <w:t>Introduces the business and the job to the new employees</w:t>
            </w:r>
          </w:p>
        </w:tc>
        <w:tc>
          <w:tcPr>
            <w:tcW w:w="1102" w:type="dxa"/>
            <w:tcBorders>
              <w:top w:val="nil"/>
              <w:bottom w:val="nil"/>
            </w:tcBorders>
            <w:noWrap/>
            <w:hideMark/>
          </w:tcPr>
          <w:p w14:paraId="290E302A" w14:textId="77777777" w:rsidR="00704ADA" w:rsidRPr="002C1CEF" w:rsidRDefault="00704ADA" w:rsidP="00EA53B9">
            <w:pPr>
              <w:ind w:right="43"/>
              <w:jc w:val="center"/>
              <w:rPr>
                <w:rFonts w:ascii="Arial" w:hAnsi="Arial" w:cs="Arial"/>
              </w:rPr>
            </w:pPr>
            <w:r w:rsidRPr="002C1CEF">
              <w:rPr>
                <w:rFonts w:ascii="Arial" w:hAnsi="Arial" w:cs="Arial"/>
              </w:rPr>
              <w:t>4.39</w:t>
            </w:r>
          </w:p>
        </w:tc>
        <w:tc>
          <w:tcPr>
            <w:tcW w:w="1281" w:type="dxa"/>
            <w:tcBorders>
              <w:top w:val="nil"/>
              <w:bottom w:val="nil"/>
            </w:tcBorders>
            <w:noWrap/>
            <w:hideMark/>
          </w:tcPr>
          <w:p w14:paraId="205A9373" w14:textId="77777777" w:rsidR="00704ADA" w:rsidRPr="002C1CEF" w:rsidRDefault="00704ADA" w:rsidP="00EA53B9">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4DD77499"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0F884327" w14:textId="77777777" w:rsidTr="00EA53B9">
        <w:trPr>
          <w:trHeight w:val="20"/>
        </w:trPr>
        <w:tc>
          <w:tcPr>
            <w:tcW w:w="4032" w:type="dxa"/>
            <w:tcBorders>
              <w:top w:val="nil"/>
              <w:left w:val="nil"/>
              <w:bottom w:val="nil"/>
            </w:tcBorders>
            <w:vAlign w:val="center"/>
            <w:hideMark/>
          </w:tcPr>
          <w:p w14:paraId="0379C8A2" w14:textId="77777777" w:rsidR="00704ADA" w:rsidRPr="002C1CEF" w:rsidRDefault="00704ADA" w:rsidP="00EA53B9">
            <w:pPr>
              <w:ind w:right="43"/>
              <w:rPr>
                <w:rFonts w:ascii="Arial" w:hAnsi="Arial" w:cs="Arial"/>
              </w:rPr>
            </w:pPr>
            <w:r w:rsidRPr="00B2502A">
              <w:rPr>
                <w:rFonts w:ascii="Arial" w:hAnsi="Arial" w:cs="Arial"/>
              </w:rPr>
              <w:t>Introduces the new employee to fellow workers</w:t>
            </w:r>
          </w:p>
        </w:tc>
        <w:tc>
          <w:tcPr>
            <w:tcW w:w="1102" w:type="dxa"/>
            <w:tcBorders>
              <w:top w:val="nil"/>
              <w:bottom w:val="nil"/>
            </w:tcBorders>
            <w:noWrap/>
            <w:hideMark/>
          </w:tcPr>
          <w:p w14:paraId="721294FD" w14:textId="77777777" w:rsidR="00704ADA" w:rsidRPr="002C1CEF" w:rsidRDefault="00704ADA" w:rsidP="00EA53B9">
            <w:pPr>
              <w:ind w:right="43"/>
              <w:jc w:val="center"/>
              <w:rPr>
                <w:rFonts w:ascii="Arial" w:hAnsi="Arial" w:cs="Arial"/>
              </w:rPr>
            </w:pPr>
            <w:r w:rsidRPr="002C1CEF">
              <w:rPr>
                <w:rFonts w:ascii="Arial" w:hAnsi="Arial" w:cs="Arial"/>
              </w:rPr>
              <w:t>4.31</w:t>
            </w:r>
          </w:p>
        </w:tc>
        <w:tc>
          <w:tcPr>
            <w:tcW w:w="1281" w:type="dxa"/>
            <w:tcBorders>
              <w:top w:val="nil"/>
              <w:bottom w:val="nil"/>
            </w:tcBorders>
            <w:noWrap/>
            <w:hideMark/>
          </w:tcPr>
          <w:p w14:paraId="4DEA9935" w14:textId="77777777" w:rsidR="00704ADA" w:rsidRPr="002C1CEF" w:rsidRDefault="00704ADA" w:rsidP="00EA53B9">
            <w:pPr>
              <w:ind w:right="43"/>
              <w:jc w:val="center"/>
              <w:rPr>
                <w:rFonts w:ascii="Arial" w:hAnsi="Arial" w:cs="Arial"/>
              </w:rPr>
            </w:pPr>
            <w:r w:rsidRPr="002C1CEF">
              <w:rPr>
                <w:rFonts w:ascii="Arial" w:hAnsi="Arial" w:cs="Arial"/>
              </w:rPr>
              <w:t>0.55</w:t>
            </w:r>
          </w:p>
        </w:tc>
        <w:tc>
          <w:tcPr>
            <w:tcW w:w="2064" w:type="dxa"/>
            <w:tcBorders>
              <w:top w:val="nil"/>
              <w:bottom w:val="nil"/>
              <w:right w:val="nil"/>
            </w:tcBorders>
            <w:noWrap/>
            <w:hideMark/>
          </w:tcPr>
          <w:p w14:paraId="3C04644A"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0F58D31D" w14:textId="77777777" w:rsidTr="00EA53B9">
        <w:trPr>
          <w:trHeight w:val="20"/>
        </w:trPr>
        <w:tc>
          <w:tcPr>
            <w:tcW w:w="4032" w:type="dxa"/>
            <w:tcBorders>
              <w:top w:val="nil"/>
              <w:left w:val="nil"/>
              <w:bottom w:val="nil"/>
            </w:tcBorders>
            <w:vAlign w:val="center"/>
            <w:hideMark/>
          </w:tcPr>
          <w:p w14:paraId="7984E197" w14:textId="77777777" w:rsidR="00704ADA" w:rsidRPr="002C1CEF" w:rsidRDefault="00704ADA" w:rsidP="00EA53B9">
            <w:pPr>
              <w:ind w:right="43"/>
              <w:rPr>
                <w:rFonts w:ascii="Arial" w:hAnsi="Arial" w:cs="Arial"/>
              </w:rPr>
            </w:pPr>
            <w:r w:rsidRPr="00B2502A">
              <w:rPr>
                <w:rFonts w:ascii="Arial" w:hAnsi="Arial" w:cs="Arial"/>
              </w:rPr>
              <w:t>Familiarizes the new employees at the physical lay-out and facilities of the business</w:t>
            </w:r>
          </w:p>
        </w:tc>
        <w:tc>
          <w:tcPr>
            <w:tcW w:w="1102" w:type="dxa"/>
            <w:tcBorders>
              <w:top w:val="nil"/>
              <w:bottom w:val="nil"/>
            </w:tcBorders>
            <w:noWrap/>
            <w:hideMark/>
          </w:tcPr>
          <w:p w14:paraId="79CF676C" w14:textId="77777777" w:rsidR="00704ADA" w:rsidRPr="002C1CEF" w:rsidRDefault="00704ADA" w:rsidP="00EA53B9">
            <w:pPr>
              <w:ind w:right="43"/>
              <w:jc w:val="center"/>
              <w:rPr>
                <w:rFonts w:ascii="Arial" w:hAnsi="Arial" w:cs="Arial"/>
              </w:rPr>
            </w:pPr>
            <w:r w:rsidRPr="002C1CEF">
              <w:rPr>
                <w:rFonts w:ascii="Arial" w:hAnsi="Arial" w:cs="Arial"/>
              </w:rPr>
              <w:t>4.27</w:t>
            </w:r>
          </w:p>
        </w:tc>
        <w:tc>
          <w:tcPr>
            <w:tcW w:w="1281" w:type="dxa"/>
            <w:tcBorders>
              <w:top w:val="nil"/>
              <w:bottom w:val="nil"/>
            </w:tcBorders>
            <w:noWrap/>
            <w:hideMark/>
          </w:tcPr>
          <w:p w14:paraId="24BF86F5" w14:textId="77777777" w:rsidR="00704ADA" w:rsidRPr="002C1CEF" w:rsidRDefault="00704ADA" w:rsidP="00EA53B9">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62A92E0F"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657988E4" w14:textId="77777777" w:rsidTr="00EA53B9">
        <w:trPr>
          <w:trHeight w:val="20"/>
        </w:trPr>
        <w:tc>
          <w:tcPr>
            <w:tcW w:w="4032" w:type="dxa"/>
            <w:tcBorders>
              <w:top w:val="nil"/>
              <w:left w:val="nil"/>
              <w:bottom w:val="nil"/>
            </w:tcBorders>
            <w:vAlign w:val="center"/>
          </w:tcPr>
          <w:p w14:paraId="5DA7B4F5" w14:textId="77777777" w:rsidR="00704ADA" w:rsidRPr="005D4C86" w:rsidRDefault="00704ADA" w:rsidP="00EA53B9">
            <w:pPr>
              <w:ind w:right="43"/>
              <w:jc w:val="center"/>
              <w:rPr>
                <w:rFonts w:ascii="Arial" w:hAnsi="Arial" w:cs="Arial"/>
                <w:b/>
                <w:bCs/>
              </w:rPr>
            </w:pPr>
            <w:r w:rsidRPr="005D4C86">
              <w:rPr>
                <w:rFonts w:ascii="Arial" w:hAnsi="Arial" w:cs="Arial"/>
                <w:b/>
                <w:bCs/>
              </w:rPr>
              <w:t>Average</w:t>
            </w:r>
          </w:p>
        </w:tc>
        <w:tc>
          <w:tcPr>
            <w:tcW w:w="1102" w:type="dxa"/>
            <w:tcBorders>
              <w:top w:val="nil"/>
              <w:bottom w:val="nil"/>
            </w:tcBorders>
            <w:noWrap/>
          </w:tcPr>
          <w:p w14:paraId="05D60867" w14:textId="77777777" w:rsidR="00704ADA" w:rsidRPr="005D4C86" w:rsidRDefault="00704ADA" w:rsidP="00EA53B9">
            <w:pPr>
              <w:ind w:right="43"/>
              <w:jc w:val="center"/>
              <w:rPr>
                <w:rFonts w:ascii="Arial" w:hAnsi="Arial" w:cs="Arial"/>
                <w:b/>
                <w:bCs/>
              </w:rPr>
            </w:pPr>
            <w:r w:rsidRPr="005D4C86">
              <w:rPr>
                <w:rFonts w:ascii="Arial" w:hAnsi="Arial" w:cs="Arial"/>
                <w:b/>
                <w:bCs/>
              </w:rPr>
              <w:t>4.33</w:t>
            </w:r>
          </w:p>
        </w:tc>
        <w:tc>
          <w:tcPr>
            <w:tcW w:w="1281" w:type="dxa"/>
            <w:tcBorders>
              <w:top w:val="nil"/>
              <w:bottom w:val="nil"/>
            </w:tcBorders>
            <w:noWrap/>
          </w:tcPr>
          <w:p w14:paraId="7F0D1262" w14:textId="77777777" w:rsidR="00704ADA" w:rsidRPr="005D4C86" w:rsidRDefault="00704ADA" w:rsidP="00EA53B9">
            <w:pPr>
              <w:ind w:right="43"/>
              <w:jc w:val="center"/>
              <w:rPr>
                <w:rFonts w:ascii="Arial" w:hAnsi="Arial" w:cs="Arial"/>
                <w:b/>
                <w:bCs/>
              </w:rPr>
            </w:pPr>
            <w:r w:rsidRPr="005D4C86">
              <w:rPr>
                <w:rFonts w:ascii="Arial" w:hAnsi="Arial" w:cs="Arial"/>
                <w:b/>
                <w:bCs/>
              </w:rPr>
              <w:t>0.41</w:t>
            </w:r>
          </w:p>
        </w:tc>
        <w:tc>
          <w:tcPr>
            <w:tcW w:w="2064" w:type="dxa"/>
            <w:tcBorders>
              <w:top w:val="nil"/>
              <w:bottom w:val="nil"/>
              <w:right w:val="nil"/>
            </w:tcBorders>
            <w:noWrap/>
          </w:tcPr>
          <w:p w14:paraId="338737EF" w14:textId="77777777" w:rsidR="00704ADA" w:rsidRPr="005D4C86" w:rsidRDefault="00704ADA" w:rsidP="00EA53B9">
            <w:pPr>
              <w:ind w:right="43"/>
              <w:jc w:val="center"/>
              <w:rPr>
                <w:rFonts w:ascii="Arial" w:hAnsi="Arial" w:cs="Arial"/>
                <w:b/>
                <w:bCs/>
              </w:rPr>
            </w:pPr>
            <w:r w:rsidRPr="005D4C86">
              <w:rPr>
                <w:rFonts w:ascii="Arial" w:hAnsi="Arial" w:cs="Arial"/>
                <w:b/>
                <w:bCs/>
              </w:rPr>
              <w:t>Very High</w:t>
            </w:r>
          </w:p>
        </w:tc>
      </w:tr>
      <w:tr w:rsidR="00704ADA" w:rsidRPr="002C1CEF" w14:paraId="523D47C3" w14:textId="77777777" w:rsidTr="00EA53B9">
        <w:trPr>
          <w:trHeight w:val="20"/>
        </w:trPr>
        <w:tc>
          <w:tcPr>
            <w:tcW w:w="4032" w:type="dxa"/>
            <w:tcBorders>
              <w:top w:val="nil"/>
              <w:left w:val="nil"/>
              <w:bottom w:val="nil"/>
            </w:tcBorders>
            <w:vAlign w:val="center"/>
            <w:hideMark/>
          </w:tcPr>
          <w:p w14:paraId="02856E18" w14:textId="77777777" w:rsidR="00704ADA" w:rsidRPr="00C52A7A" w:rsidRDefault="00704ADA" w:rsidP="00EA53B9">
            <w:pPr>
              <w:ind w:right="43"/>
              <w:rPr>
                <w:rFonts w:ascii="Arial" w:hAnsi="Arial" w:cs="Arial"/>
                <w:b/>
                <w:bCs/>
              </w:rPr>
            </w:pPr>
            <w:r w:rsidRPr="00C52A7A">
              <w:rPr>
                <w:rFonts w:ascii="Arial" w:hAnsi="Arial" w:cs="Arial"/>
                <w:b/>
                <w:bCs/>
              </w:rPr>
              <w:t>B. Compensation and Fringe Benefits</w:t>
            </w:r>
          </w:p>
        </w:tc>
        <w:tc>
          <w:tcPr>
            <w:tcW w:w="1102" w:type="dxa"/>
            <w:tcBorders>
              <w:top w:val="nil"/>
              <w:bottom w:val="nil"/>
            </w:tcBorders>
            <w:noWrap/>
            <w:hideMark/>
          </w:tcPr>
          <w:p w14:paraId="53DD4B56" w14:textId="77777777" w:rsidR="00704ADA" w:rsidRPr="002C1CEF" w:rsidRDefault="00704ADA" w:rsidP="00EA53B9">
            <w:pPr>
              <w:ind w:right="43"/>
              <w:jc w:val="center"/>
              <w:rPr>
                <w:rFonts w:ascii="Arial" w:hAnsi="Arial" w:cs="Arial"/>
              </w:rPr>
            </w:pPr>
          </w:p>
        </w:tc>
        <w:tc>
          <w:tcPr>
            <w:tcW w:w="1281" w:type="dxa"/>
            <w:tcBorders>
              <w:top w:val="nil"/>
              <w:bottom w:val="nil"/>
            </w:tcBorders>
            <w:noWrap/>
            <w:hideMark/>
          </w:tcPr>
          <w:p w14:paraId="6B9FFA0F" w14:textId="77777777" w:rsidR="00704ADA" w:rsidRPr="002C1CEF" w:rsidRDefault="00704ADA" w:rsidP="00EA53B9">
            <w:pPr>
              <w:ind w:right="43"/>
              <w:jc w:val="center"/>
              <w:rPr>
                <w:rFonts w:ascii="Arial" w:hAnsi="Arial" w:cs="Arial"/>
              </w:rPr>
            </w:pPr>
          </w:p>
        </w:tc>
        <w:tc>
          <w:tcPr>
            <w:tcW w:w="2064" w:type="dxa"/>
            <w:tcBorders>
              <w:top w:val="nil"/>
              <w:bottom w:val="nil"/>
              <w:right w:val="nil"/>
            </w:tcBorders>
            <w:noWrap/>
            <w:hideMark/>
          </w:tcPr>
          <w:p w14:paraId="7348FDCB" w14:textId="77777777" w:rsidR="00704ADA" w:rsidRPr="002C1CEF" w:rsidRDefault="00704ADA" w:rsidP="00EA53B9">
            <w:pPr>
              <w:ind w:right="43"/>
              <w:jc w:val="center"/>
              <w:rPr>
                <w:rFonts w:ascii="Arial" w:hAnsi="Arial" w:cs="Arial"/>
              </w:rPr>
            </w:pPr>
          </w:p>
        </w:tc>
      </w:tr>
      <w:tr w:rsidR="00704ADA" w:rsidRPr="002C1CEF" w14:paraId="3B05C5C0" w14:textId="77777777" w:rsidTr="00EA53B9">
        <w:trPr>
          <w:trHeight w:val="20"/>
        </w:trPr>
        <w:tc>
          <w:tcPr>
            <w:tcW w:w="4032" w:type="dxa"/>
            <w:tcBorders>
              <w:top w:val="nil"/>
              <w:left w:val="nil"/>
              <w:bottom w:val="nil"/>
            </w:tcBorders>
            <w:vAlign w:val="center"/>
            <w:hideMark/>
          </w:tcPr>
          <w:p w14:paraId="13F6D6CA" w14:textId="77777777" w:rsidR="00704ADA" w:rsidRPr="002C1CEF" w:rsidRDefault="00704ADA" w:rsidP="00EA53B9">
            <w:pPr>
              <w:ind w:right="43"/>
              <w:rPr>
                <w:rFonts w:ascii="Arial" w:hAnsi="Arial" w:cs="Arial"/>
              </w:rPr>
            </w:pPr>
            <w:r w:rsidRPr="00B2502A">
              <w:rPr>
                <w:rFonts w:ascii="Arial" w:hAnsi="Arial" w:cs="Arial"/>
              </w:rPr>
              <w:t>Provides competitive compensation</w:t>
            </w:r>
          </w:p>
        </w:tc>
        <w:tc>
          <w:tcPr>
            <w:tcW w:w="1102" w:type="dxa"/>
            <w:tcBorders>
              <w:top w:val="nil"/>
              <w:bottom w:val="nil"/>
            </w:tcBorders>
            <w:noWrap/>
            <w:hideMark/>
          </w:tcPr>
          <w:p w14:paraId="7F9AB9C7" w14:textId="77777777" w:rsidR="00704ADA" w:rsidRPr="002C1CEF" w:rsidRDefault="00704ADA" w:rsidP="00EA53B9">
            <w:pPr>
              <w:ind w:right="43"/>
              <w:jc w:val="center"/>
              <w:rPr>
                <w:rFonts w:ascii="Arial" w:hAnsi="Arial" w:cs="Arial"/>
              </w:rPr>
            </w:pPr>
            <w:r w:rsidRPr="002C1CEF">
              <w:rPr>
                <w:rFonts w:ascii="Arial" w:hAnsi="Arial" w:cs="Arial"/>
              </w:rPr>
              <w:t>4.18</w:t>
            </w:r>
          </w:p>
        </w:tc>
        <w:tc>
          <w:tcPr>
            <w:tcW w:w="1281" w:type="dxa"/>
            <w:tcBorders>
              <w:top w:val="nil"/>
              <w:bottom w:val="nil"/>
            </w:tcBorders>
            <w:noWrap/>
            <w:hideMark/>
          </w:tcPr>
          <w:p w14:paraId="6DD6028C" w14:textId="77777777" w:rsidR="00704ADA" w:rsidRPr="002C1CEF" w:rsidRDefault="00704ADA" w:rsidP="00EA53B9">
            <w:pPr>
              <w:ind w:right="43"/>
              <w:jc w:val="center"/>
              <w:rPr>
                <w:rFonts w:ascii="Arial" w:hAnsi="Arial" w:cs="Arial"/>
              </w:rPr>
            </w:pPr>
            <w:r w:rsidRPr="002C1CEF">
              <w:rPr>
                <w:rFonts w:ascii="Arial" w:hAnsi="Arial" w:cs="Arial"/>
              </w:rPr>
              <w:t>0.48</w:t>
            </w:r>
          </w:p>
        </w:tc>
        <w:tc>
          <w:tcPr>
            <w:tcW w:w="2064" w:type="dxa"/>
            <w:tcBorders>
              <w:top w:val="nil"/>
              <w:bottom w:val="nil"/>
              <w:right w:val="nil"/>
            </w:tcBorders>
            <w:noWrap/>
            <w:hideMark/>
          </w:tcPr>
          <w:p w14:paraId="462CAD6B" w14:textId="77777777" w:rsidR="00704ADA" w:rsidRPr="002C1CEF" w:rsidRDefault="00704ADA" w:rsidP="00EA53B9">
            <w:pPr>
              <w:ind w:right="43"/>
              <w:jc w:val="center"/>
              <w:rPr>
                <w:rFonts w:ascii="Arial" w:hAnsi="Arial" w:cs="Arial"/>
              </w:rPr>
            </w:pPr>
            <w:r w:rsidRPr="004277EE">
              <w:rPr>
                <w:rFonts w:ascii="Arial" w:hAnsi="Arial" w:cs="Arial"/>
              </w:rPr>
              <w:t>High</w:t>
            </w:r>
          </w:p>
        </w:tc>
      </w:tr>
      <w:tr w:rsidR="00704ADA" w:rsidRPr="002C1CEF" w14:paraId="68BF6A08" w14:textId="77777777" w:rsidTr="00EA53B9">
        <w:trPr>
          <w:trHeight w:val="20"/>
        </w:trPr>
        <w:tc>
          <w:tcPr>
            <w:tcW w:w="4032" w:type="dxa"/>
            <w:tcBorders>
              <w:top w:val="nil"/>
              <w:left w:val="nil"/>
              <w:bottom w:val="nil"/>
            </w:tcBorders>
            <w:vAlign w:val="center"/>
            <w:hideMark/>
          </w:tcPr>
          <w:p w14:paraId="67803575" w14:textId="77777777" w:rsidR="00704ADA" w:rsidRPr="002C1CEF" w:rsidRDefault="00704ADA" w:rsidP="00EA53B9">
            <w:pPr>
              <w:ind w:right="43"/>
              <w:rPr>
                <w:rFonts w:ascii="Arial" w:hAnsi="Arial" w:cs="Arial"/>
              </w:rPr>
            </w:pPr>
            <w:r w:rsidRPr="00B2502A">
              <w:rPr>
                <w:rFonts w:ascii="Arial" w:hAnsi="Arial" w:cs="Arial"/>
              </w:rPr>
              <w:t>Provides Fringe Benefits</w:t>
            </w:r>
          </w:p>
        </w:tc>
        <w:tc>
          <w:tcPr>
            <w:tcW w:w="1102" w:type="dxa"/>
            <w:tcBorders>
              <w:top w:val="nil"/>
              <w:bottom w:val="nil"/>
            </w:tcBorders>
            <w:noWrap/>
            <w:hideMark/>
          </w:tcPr>
          <w:p w14:paraId="3C8FBA1F" w14:textId="77777777" w:rsidR="00704ADA" w:rsidRPr="002C1CEF" w:rsidRDefault="00704ADA" w:rsidP="00EA53B9">
            <w:pPr>
              <w:ind w:right="43"/>
              <w:jc w:val="center"/>
              <w:rPr>
                <w:rFonts w:ascii="Arial" w:hAnsi="Arial" w:cs="Arial"/>
              </w:rPr>
            </w:pPr>
            <w:r w:rsidRPr="002C1CEF">
              <w:rPr>
                <w:rFonts w:ascii="Arial" w:hAnsi="Arial" w:cs="Arial"/>
              </w:rPr>
              <w:t>4.19</w:t>
            </w:r>
          </w:p>
        </w:tc>
        <w:tc>
          <w:tcPr>
            <w:tcW w:w="1281" w:type="dxa"/>
            <w:tcBorders>
              <w:top w:val="nil"/>
              <w:bottom w:val="nil"/>
            </w:tcBorders>
            <w:noWrap/>
            <w:hideMark/>
          </w:tcPr>
          <w:p w14:paraId="70E41153" w14:textId="77777777" w:rsidR="00704ADA" w:rsidRPr="002C1CEF" w:rsidRDefault="00704ADA" w:rsidP="00EA53B9">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787983BA" w14:textId="77777777" w:rsidR="00704ADA" w:rsidRPr="002C1CEF" w:rsidRDefault="00704ADA" w:rsidP="00EA53B9">
            <w:pPr>
              <w:ind w:right="43"/>
              <w:jc w:val="center"/>
              <w:rPr>
                <w:rFonts w:ascii="Arial" w:hAnsi="Arial" w:cs="Arial"/>
              </w:rPr>
            </w:pPr>
            <w:r w:rsidRPr="004277EE">
              <w:rPr>
                <w:rFonts w:ascii="Arial" w:hAnsi="Arial" w:cs="Arial"/>
              </w:rPr>
              <w:t>High</w:t>
            </w:r>
          </w:p>
        </w:tc>
      </w:tr>
      <w:tr w:rsidR="00704ADA" w:rsidRPr="002C1CEF" w14:paraId="6522BB95" w14:textId="77777777" w:rsidTr="00EA53B9">
        <w:trPr>
          <w:trHeight w:val="20"/>
        </w:trPr>
        <w:tc>
          <w:tcPr>
            <w:tcW w:w="4032" w:type="dxa"/>
            <w:tcBorders>
              <w:top w:val="nil"/>
              <w:left w:val="nil"/>
              <w:bottom w:val="nil"/>
            </w:tcBorders>
            <w:vAlign w:val="center"/>
            <w:hideMark/>
          </w:tcPr>
          <w:p w14:paraId="1253B1AA" w14:textId="77777777" w:rsidR="00704ADA" w:rsidRPr="002C1CEF" w:rsidRDefault="00704ADA" w:rsidP="00EA53B9">
            <w:pPr>
              <w:ind w:right="43"/>
              <w:rPr>
                <w:rFonts w:ascii="Arial" w:hAnsi="Arial" w:cs="Arial"/>
              </w:rPr>
            </w:pPr>
            <w:r w:rsidRPr="00B2502A">
              <w:rPr>
                <w:rFonts w:ascii="Arial" w:hAnsi="Arial" w:cs="Arial"/>
              </w:rPr>
              <w:t>Gives overtime pay</w:t>
            </w:r>
          </w:p>
        </w:tc>
        <w:tc>
          <w:tcPr>
            <w:tcW w:w="1102" w:type="dxa"/>
            <w:tcBorders>
              <w:top w:val="nil"/>
              <w:bottom w:val="nil"/>
            </w:tcBorders>
            <w:noWrap/>
            <w:hideMark/>
          </w:tcPr>
          <w:p w14:paraId="2FD38ACB" w14:textId="77777777" w:rsidR="00704ADA" w:rsidRPr="002C1CEF" w:rsidRDefault="00704ADA" w:rsidP="00EA53B9">
            <w:pPr>
              <w:ind w:right="43"/>
              <w:jc w:val="center"/>
              <w:rPr>
                <w:rFonts w:ascii="Arial" w:hAnsi="Arial" w:cs="Arial"/>
              </w:rPr>
            </w:pPr>
            <w:r w:rsidRPr="002C1CEF">
              <w:rPr>
                <w:rFonts w:ascii="Arial" w:hAnsi="Arial" w:cs="Arial"/>
              </w:rPr>
              <w:t>4.15</w:t>
            </w:r>
          </w:p>
        </w:tc>
        <w:tc>
          <w:tcPr>
            <w:tcW w:w="1281" w:type="dxa"/>
            <w:tcBorders>
              <w:top w:val="nil"/>
              <w:bottom w:val="nil"/>
            </w:tcBorders>
            <w:noWrap/>
            <w:hideMark/>
          </w:tcPr>
          <w:p w14:paraId="618064E3" w14:textId="77777777" w:rsidR="00704ADA" w:rsidRPr="002C1CEF" w:rsidRDefault="00704ADA" w:rsidP="00EA53B9">
            <w:pPr>
              <w:ind w:right="43"/>
              <w:jc w:val="center"/>
              <w:rPr>
                <w:rFonts w:ascii="Arial" w:hAnsi="Arial" w:cs="Arial"/>
              </w:rPr>
            </w:pPr>
            <w:r w:rsidRPr="002C1CEF">
              <w:rPr>
                <w:rFonts w:ascii="Arial" w:hAnsi="Arial" w:cs="Arial"/>
              </w:rPr>
              <w:t>0.58</w:t>
            </w:r>
          </w:p>
        </w:tc>
        <w:tc>
          <w:tcPr>
            <w:tcW w:w="2064" w:type="dxa"/>
            <w:tcBorders>
              <w:top w:val="nil"/>
              <w:bottom w:val="nil"/>
              <w:right w:val="nil"/>
            </w:tcBorders>
            <w:noWrap/>
            <w:hideMark/>
          </w:tcPr>
          <w:p w14:paraId="15AB3BD3" w14:textId="77777777" w:rsidR="00704ADA" w:rsidRPr="002C1CEF" w:rsidRDefault="00704ADA" w:rsidP="00EA53B9">
            <w:pPr>
              <w:ind w:right="43"/>
              <w:jc w:val="center"/>
              <w:rPr>
                <w:rFonts w:ascii="Arial" w:hAnsi="Arial" w:cs="Arial"/>
              </w:rPr>
            </w:pPr>
            <w:r w:rsidRPr="004277EE">
              <w:rPr>
                <w:rFonts w:ascii="Arial" w:hAnsi="Arial" w:cs="Arial"/>
              </w:rPr>
              <w:t>High</w:t>
            </w:r>
          </w:p>
        </w:tc>
      </w:tr>
      <w:tr w:rsidR="00704ADA" w:rsidRPr="002C1CEF" w14:paraId="3DF371B1" w14:textId="77777777" w:rsidTr="00EA53B9">
        <w:trPr>
          <w:trHeight w:val="20"/>
        </w:trPr>
        <w:tc>
          <w:tcPr>
            <w:tcW w:w="4032" w:type="dxa"/>
            <w:tcBorders>
              <w:top w:val="nil"/>
              <w:left w:val="nil"/>
              <w:bottom w:val="nil"/>
            </w:tcBorders>
            <w:vAlign w:val="center"/>
          </w:tcPr>
          <w:p w14:paraId="00832A3C" w14:textId="77777777" w:rsidR="00704ADA" w:rsidRPr="00B2502A" w:rsidRDefault="00704ADA" w:rsidP="00EA53B9">
            <w:pPr>
              <w:ind w:right="43"/>
              <w:jc w:val="center"/>
              <w:rPr>
                <w:rFonts w:ascii="Arial" w:hAnsi="Arial" w:cs="Arial"/>
              </w:rPr>
            </w:pPr>
            <w:r w:rsidRPr="005D4C86">
              <w:rPr>
                <w:rFonts w:ascii="Arial" w:hAnsi="Arial" w:cs="Arial"/>
                <w:b/>
                <w:bCs/>
              </w:rPr>
              <w:t>Average</w:t>
            </w:r>
          </w:p>
        </w:tc>
        <w:tc>
          <w:tcPr>
            <w:tcW w:w="1102" w:type="dxa"/>
            <w:tcBorders>
              <w:top w:val="nil"/>
              <w:bottom w:val="nil"/>
            </w:tcBorders>
            <w:noWrap/>
          </w:tcPr>
          <w:p w14:paraId="42F7F0E0" w14:textId="77777777" w:rsidR="00704ADA" w:rsidRPr="005D4C86" w:rsidRDefault="00704ADA" w:rsidP="00EA53B9">
            <w:pPr>
              <w:ind w:right="43"/>
              <w:jc w:val="center"/>
              <w:rPr>
                <w:rFonts w:ascii="Arial" w:hAnsi="Arial" w:cs="Arial"/>
                <w:b/>
                <w:bCs/>
              </w:rPr>
            </w:pPr>
            <w:r w:rsidRPr="005D4C86">
              <w:rPr>
                <w:rFonts w:ascii="Arial" w:hAnsi="Arial" w:cs="Arial"/>
                <w:b/>
                <w:bCs/>
              </w:rPr>
              <w:t>4.17</w:t>
            </w:r>
          </w:p>
        </w:tc>
        <w:tc>
          <w:tcPr>
            <w:tcW w:w="1281" w:type="dxa"/>
            <w:tcBorders>
              <w:top w:val="nil"/>
              <w:bottom w:val="nil"/>
            </w:tcBorders>
            <w:noWrap/>
          </w:tcPr>
          <w:p w14:paraId="3CE09A3E" w14:textId="77777777" w:rsidR="00704ADA" w:rsidRPr="005D4C86" w:rsidRDefault="00704ADA" w:rsidP="00EA53B9">
            <w:pPr>
              <w:ind w:right="43"/>
              <w:jc w:val="center"/>
              <w:rPr>
                <w:rFonts w:ascii="Arial" w:hAnsi="Arial" w:cs="Arial"/>
                <w:b/>
                <w:bCs/>
              </w:rPr>
            </w:pPr>
            <w:r w:rsidRPr="005D4C86">
              <w:rPr>
                <w:rFonts w:ascii="Arial" w:hAnsi="Arial" w:cs="Arial"/>
                <w:b/>
                <w:bCs/>
              </w:rPr>
              <w:t>0.38</w:t>
            </w:r>
          </w:p>
        </w:tc>
        <w:tc>
          <w:tcPr>
            <w:tcW w:w="2064" w:type="dxa"/>
            <w:tcBorders>
              <w:top w:val="nil"/>
              <w:bottom w:val="nil"/>
              <w:right w:val="nil"/>
            </w:tcBorders>
            <w:noWrap/>
          </w:tcPr>
          <w:p w14:paraId="0F8A0BCD" w14:textId="77777777" w:rsidR="00704ADA" w:rsidRPr="005D4C86" w:rsidRDefault="00704ADA" w:rsidP="00EA53B9">
            <w:pPr>
              <w:ind w:right="43"/>
              <w:jc w:val="center"/>
              <w:rPr>
                <w:rFonts w:ascii="Arial" w:hAnsi="Arial" w:cs="Arial"/>
                <w:b/>
                <w:bCs/>
              </w:rPr>
            </w:pPr>
            <w:r w:rsidRPr="005D4C86">
              <w:rPr>
                <w:rFonts w:ascii="Arial" w:hAnsi="Arial" w:cs="Arial"/>
                <w:b/>
                <w:bCs/>
              </w:rPr>
              <w:t>High</w:t>
            </w:r>
          </w:p>
        </w:tc>
      </w:tr>
      <w:tr w:rsidR="00704ADA" w:rsidRPr="002C1CEF" w14:paraId="5263B14A" w14:textId="77777777" w:rsidTr="00EA53B9">
        <w:trPr>
          <w:trHeight w:val="20"/>
        </w:trPr>
        <w:tc>
          <w:tcPr>
            <w:tcW w:w="4032" w:type="dxa"/>
            <w:tcBorders>
              <w:top w:val="nil"/>
              <w:left w:val="nil"/>
              <w:bottom w:val="nil"/>
            </w:tcBorders>
            <w:vAlign w:val="center"/>
            <w:hideMark/>
          </w:tcPr>
          <w:p w14:paraId="3F5D724F" w14:textId="77777777" w:rsidR="00704ADA" w:rsidRPr="00C52A7A" w:rsidRDefault="00704ADA" w:rsidP="00EA53B9">
            <w:pPr>
              <w:ind w:right="43"/>
              <w:rPr>
                <w:rFonts w:ascii="Arial" w:hAnsi="Arial" w:cs="Arial"/>
                <w:b/>
                <w:bCs/>
              </w:rPr>
            </w:pPr>
            <w:r w:rsidRPr="00C52A7A">
              <w:rPr>
                <w:rFonts w:ascii="Arial" w:hAnsi="Arial" w:cs="Arial"/>
                <w:b/>
                <w:bCs/>
              </w:rPr>
              <w:t>C. Working Condition</w:t>
            </w:r>
          </w:p>
        </w:tc>
        <w:tc>
          <w:tcPr>
            <w:tcW w:w="1102" w:type="dxa"/>
            <w:tcBorders>
              <w:top w:val="nil"/>
              <w:bottom w:val="nil"/>
            </w:tcBorders>
            <w:noWrap/>
            <w:hideMark/>
          </w:tcPr>
          <w:p w14:paraId="7EF726D3" w14:textId="77777777" w:rsidR="00704ADA" w:rsidRPr="002C1CEF" w:rsidRDefault="00704ADA" w:rsidP="00EA53B9">
            <w:pPr>
              <w:ind w:right="43"/>
              <w:jc w:val="center"/>
              <w:rPr>
                <w:rFonts w:ascii="Arial" w:hAnsi="Arial" w:cs="Arial"/>
              </w:rPr>
            </w:pPr>
          </w:p>
        </w:tc>
        <w:tc>
          <w:tcPr>
            <w:tcW w:w="1281" w:type="dxa"/>
            <w:tcBorders>
              <w:top w:val="nil"/>
              <w:bottom w:val="nil"/>
            </w:tcBorders>
            <w:noWrap/>
            <w:hideMark/>
          </w:tcPr>
          <w:p w14:paraId="6A995C98" w14:textId="77777777" w:rsidR="00704ADA" w:rsidRPr="002C1CEF" w:rsidRDefault="00704ADA" w:rsidP="00EA53B9">
            <w:pPr>
              <w:ind w:right="43"/>
              <w:jc w:val="center"/>
              <w:rPr>
                <w:rFonts w:ascii="Arial" w:hAnsi="Arial" w:cs="Arial"/>
              </w:rPr>
            </w:pPr>
          </w:p>
        </w:tc>
        <w:tc>
          <w:tcPr>
            <w:tcW w:w="2064" w:type="dxa"/>
            <w:tcBorders>
              <w:top w:val="nil"/>
              <w:bottom w:val="nil"/>
              <w:right w:val="nil"/>
            </w:tcBorders>
            <w:noWrap/>
            <w:hideMark/>
          </w:tcPr>
          <w:p w14:paraId="18821B72" w14:textId="77777777" w:rsidR="00704ADA" w:rsidRPr="002C1CEF" w:rsidRDefault="00704ADA" w:rsidP="00EA53B9">
            <w:pPr>
              <w:ind w:right="43"/>
              <w:jc w:val="center"/>
              <w:rPr>
                <w:rFonts w:ascii="Arial" w:hAnsi="Arial" w:cs="Arial"/>
              </w:rPr>
            </w:pPr>
          </w:p>
        </w:tc>
      </w:tr>
      <w:tr w:rsidR="00704ADA" w:rsidRPr="002C1CEF" w14:paraId="477D9C84" w14:textId="77777777" w:rsidTr="00EA53B9">
        <w:trPr>
          <w:trHeight w:val="20"/>
        </w:trPr>
        <w:tc>
          <w:tcPr>
            <w:tcW w:w="4032" w:type="dxa"/>
            <w:tcBorders>
              <w:top w:val="nil"/>
              <w:left w:val="nil"/>
              <w:bottom w:val="nil"/>
            </w:tcBorders>
            <w:vAlign w:val="center"/>
            <w:hideMark/>
          </w:tcPr>
          <w:p w14:paraId="55954BA8" w14:textId="77777777" w:rsidR="00704ADA" w:rsidRPr="002C1CEF" w:rsidRDefault="00704ADA" w:rsidP="00EA53B9">
            <w:pPr>
              <w:ind w:right="43"/>
              <w:rPr>
                <w:rFonts w:ascii="Arial" w:hAnsi="Arial" w:cs="Arial"/>
              </w:rPr>
            </w:pPr>
            <w:r w:rsidRPr="00B2502A">
              <w:rPr>
                <w:rFonts w:ascii="Arial" w:hAnsi="Arial" w:cs="Arial"/>
              </w:rPr>
              <w:t>Provides adequate facilities for the workers</w:t>
            </w:r>
          </w:p>
        </w:tc>
        <w:tc>
          <w:tcPr>
            <w:tcW w:w="1102" w:type="dxa"/>
            <w:tcBorders>
              <w:top w:val="nil"/>
              <w:bottom w:val="nil"/>
            </w:tcBorders>
            <w:noWrap/>
            <w:hideMark/>
          </w:tcPr>
          <w:p w14:paraId="5B845BD3" w14:textId="77777777" w:rsidR="00704ADA" w:rsidRPr="002C1CEF" w:rsidRDefault="00704ADA" w:rsidP="00EA53B9">
            <w:pPr>
              <w:ind w:right="43"/>
              <w:jc w:val="center"/>
              <w:rPr>
                <w:rFonts w:ascii="Arial" w:hAnsi="Arial" w:cs="Arial"/>
              </w:rPr>
            </w:pPr>
            <w:r w:rsidRPr="002C1CEF">
              <w:rPr>
                <w:rFonts w:ascii="Arial" w:hAnsi="Arial" w:cs="Arial"/>
              </w:rPr>
              <w:t>4.24</w:t>
            </w:r>
          </w:p>
        </w:tc>
        <w:tc>
          <w:tcPr>
            <w:tcW w:w="1281" w:type="dxa"/>
            <w:tcBorders>
              <w:top w:val="nil"/>
              <w:bottom w:val="nil"/>
            </w:tcBorders>
            <w:noWrap/>
            <w:hideMark/>
          </w:tcPr>
          <w:p w14:paraId="7FC387CA" w14:textId="77777777" w:rsidR="00704ADA" w:rsidRPr="002C1CEF" w:rsidRDefault="00704ADA" w:rsidP="00EA53B9">
            <w:pPr>
              <w:ind w:right="43"/>
              <w:jc w:val="center"/>
              <w:rPr>
                <w:rFonts w:ascii="Arial" w:hAnsi="Arial" w:cs="Arial"/>
              </w:rPr>
            </w:pPr>
            <w:r w:rsidRPr="002C1CEF">
              <w:rPr>
                <w:rFonts w:ascii="Arial" w:hAnsi="Arial" w:cs="Arial"/>
              </w:rPr>
              <w:t>0.48</w:t>
            </w:r>
          </w:p>
        </w:tc>
        <w:tc>
          <w:tcPr>
            <w:tcW w:w="2064" w:type="dxa"/>
            <w:tcBorders>
              <w:top w:val="nil"/>
              <w:bottom w:val="nil"/>
              <w:right w:val="nil"/>
            </w:tcBorders>
            <w:noWrap/>
            <w:hideMark/>
          </w:tcPr>
          <w:p w14:paraId="0B3D3DEE"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55D56652" w14:textId="77777777" w:rsidTr="00EA53B9">
        <w:trPr>
          <w:trHeight w:val="20"/>
        </w:trPr>
        <w:tc>
          <w:tcPr>
            <w:tcW w:w="4032" w:type="dxa"/>
            <w:tcBorders>
              <w:top w:val="nil"/>
              <w:left w:val="nil"/>
              <w:bottom w:val="nil"/>
            </w:tcBorders>
            <w:vAlign w:val="center"/>
            <w:hideMark/>
          </w:tcPr>
          <w:p w14:paraId="38EA519D" w14:textId="77777777" w:rsidR="00704ADA" w:rsidRPr="002C1CEF" w:rsidRDefault="00704ADA" w:rsidP="00EA53B9">
            <w:pPr>
              <w:ind w:right="43"/>
              <w:rPr>
                <w:rFonts w:ascii="Arial" w:hAnsi="Arial" w:cs="Arial"/>
              </w:rPr>
            </w:pPr>
            <w:r w:rsidRPr="00B2502A">
              <w:rPr>
                <w:rFonts w:ascii="Arial" w:hAnsi="Arial" w:cs="Arial"/>
              </w:rPr>
              <w:t>Provides adequate equipment for the workers</w:t>
            </w:r>
          </w:p>
        </w:tc>
        <w:tc>
          <w:tcPr>
            <w:tcW w:w="1102" w:type="dxa"/>
            <w:tcBorders>
              <w:top w:val="nil"/>
              <w:bottom w:val="nil"/>
            </w:tcBorders>
            <w:noWrap/>
            <w:hideMark/>
          </w:tcPr>
          <w:p w14:paraId="1049CFD3" w14:textId="77777777" w:rsidR="00704ADA" w:rsidRPr="002C1CEF" w:rsidRDefault="00704ADA" w:rsidP="00EA53B9">
            <w:pPr>
              <w:ind w:right="43"/>
              <w:jc w:val="center"/>
              <w:rPr>
                <w:rFonts w:ascii="Arial" w:hAnsi="Arial" w:cs="Arial"/>
              </w:rPr>
            </w:pPr>
            <w:r w:rsidRPr="002C1CEF">
              <w:rPr>
                <w:rFonts w:ascii="Arial" w:hAnsi="Arial" w:cs="Arial"/>
              </w:rPr>
              <w:t>4.22</w:t>
            </w:r>
          </w:p>
        </w:tc>
        <w:tc>
          <w:tcPr>
            <w:tcW w:w="1281" w:type="dxa"/>
            <w:tcBorders>
              <w:top w:val="nil"/>
              <w:bottom w:val="nil"/>
            </w:tcBorders>
            <w:noWrap/>
            <w:hideMark/>
          </w:tcPr>
          <w:p w14:paraId="7AB698AE" w14:textId="77777777" w:rsidR="00704ADA" w:rsidRPr="002C1CEF" w:rsidRDefault="00704ADA" w:rsidP="00EA53B9">
            <w:pPr>
              <w:ind w:right="43"/>
              <w:jc w:val="center"/>
              <w:rPr>
                <w:rFonts w:ascii="Arial" w:hAnsi="Arial" w:cs="Arial"/>
              </w:rPr>
            </w:pPr>
            <w:r w:rsidRPr="002C1CEF">
              <w:rPr>
                <w:rFonts w:ascii="Arial" w:hAnsi="Arial" w:cs="Arial"/>
              </w:rPr>
              <w:t>0.49</w:t>
            </w:r>
          </w:p>
        </w:tc>
        <w:tc>
          <w:tcPr>
            <w:tcW w:w="2064" w:type="dxa"/>
            <w:tcBorders>
              <w:top w:val="nil"/>
              <w:bottom w:val="nil"/>
              <w:right w:val="nil"/>
            </w:tcBorders>
            <w:noWrap/>
            <w:hideMark/>
          </w:tcPr>
          <w:p w14:paraId="4A0C52E8"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552641D7" w14:textId="77777777" w:rsidTr="00EA53B9">
        <w:trPr>
          <w:trHeight w:val="20"/>
        </w:trPr>
        <w:tc>
          <w:tcPr>
            <w:tcW w:w="4032" w:type="dxa"/>
            <w:tcBorders>
              <w:top w:val="nil"/>
              <w:left w:val="nil"/>
              <w:bottom w:val="nil"/>
            </w:tcBorders>
            <w:vAlign w:val="center"/>
            <w:hideMark/>
          </w:tcPr>
          <w:p w14:paraId="76C34209" w14:textId="77777777" w:rsidR="00704ADA" w:rsidRPr="002C1CEF" w:rsidRDefault="00704ADA" w:rsidP="00EA53B9">
            <w:pPr>
              <w:ind w:right="43"/>
              <w:rPr>
                <w:rFonts w:ascii="Arial" w:hAnsi="Arial" w:cs="Arial"/>
              </w:rPr>
            </w:pPr>
            <w:r w:rsidRPr="00B2502A">
              <w:rPr>
                <w:rFonts w:ascii="Arial" w:hAnsi="Arial" w:cs="Arial"/>
              </w:rPr>
              <w:t>Maintains cleanliness of the work area</w:t>
            </w:r>
          </w:p>
        </w:tc>
        <w:tc>
          <w:tcPr>
            <w:tcW w:w="1102" w:type="dxa"/>
            <w:tcBorders>
              <w:top w:val="nil"/>
              <w:bottom w:val="nil"/>
            </w:tcBorders>
            <w:noWrap/>
            <w:hideMark/>
          </w:tcPr>
          <w:p w14:paraId="3BC942D7" w14:textId="77777777" w:rsidR="00704ADA" w:rsidRPr="002C1CEF" w:rsidRDefault="00704ADA" w:rsidP="00EA53B9">
            <w:pPr>
              <w:ind w:right="43"/>
              <w:jc w:val="center"/>
              <w:rPr>
                <w:rFonts w:ascii="Arial" w:hAnsi="Arial" w:cs="Arial"/>
              </w:rPr>
            </w:pPr>
            <w:r w:rsidRPr="002C1CEF">
              <w:rPr>
                <w:rFonts w:ascii="Arial" w:hAnsi="Arial" w:cs="Arial"/>
              </w:rPr>
              <w:t>4.39</w:t>
            </w:r>
          </w:p>
        </w:tc>
        <w:tc>
          <w:tcPr>
            <w:tcW w:w="1281" w:type="dxa"/>
            <w:tcBorders>
              <w:top w:val="nil"/>
              <w:bottom w:val="nil"/>
            </w:tcBorders>
            <w:noWrap/>
            <w:hideMark/>
          </w:tcPr>
          <w:p w14:paraId="3315F76A" w14:textId="77777777" w:rsidR="00704ADA" w:rsidRPr="002C1CEF" w:rsidRDefault="00704ADA" w:rsidP="00EA53B9">
            <w:pPr>
              <w:ind w:right="43"/>
              <w:jc w:val="center"/>
              <w:rPr>
                <w:rFonts w:ascii="Arial" w:hAnsi="Arial" w:cs="Arial"/>
              </w:rPr>
            </w:pPr>
            <w:r w:rsidRPr="002C1CEF">
              <w:rPr>
                <w:rFonts w:ascii="Arial" w:hAnsi="Arial" w:cs="Arial"/>
              </w:rPr>
              <w:t>0.52</w:t>
            </w:r>
          </w:p>
        </w:tc>
        <w:tc>
          <w:tcPr>
            <w:tcW w:w="2064" w:type="dxa"/>
            <w:tcBorders>
              <w:top w:val="nil"/>
              <w:bottom w:val="nil"/>
              <w:right w:val="nil"/>
            </w:tcBorders>
            <w:noWrap/>
            <w:hideMark/>
          </w:tcPr>
          <w:p w14:paraId="6CC17805"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434898B2" w14:textId="77777777" w:rsidTr="00EA53B9">
        <w:trPr>
          <w:trHeight w:val="20"/>
        </w:trPr>
        <w:tc>
          <w:tcPr>
            <w:tcW w:w="4032" w:type="dxa"/>
            <w:tcBorders>
              <w:top w:val="nil"/>
              <w:left w:val="nil"/>
              <w:bottom w:val="nil"/>
            </w:tcBorders>
            <w:vAlign w:val="center"/>
            <w:hideMark/>
          </w:tcPr>
          <w:p w14:paraId="37B8AFD8" w14:textId="77777777" w:rsidR="00704ADA" w:rsidRPr="002C1CEF" w:rsidRDefault="00704ADA" w:rsidP="00EA53B9">
            <w:pPr>
              <w:ind w:right="43"/>
              <w:rPr>
                <w:rFonts w:ascii="Arial" w:hAnsi="Arial" w:cs="Arial"/>
              </w:rPr>
            </w:pPr>
            <w:r w:rsidRPr="00B2502A">
              <w:rPr>
                <w:rFonts w:ascii="Arial" w:hAnsi="Arial" w:cs="Arial"/>
              </w:rPr>
              <w:t>Observes proper ventilation</w:t>
            </w:r>
          </w:p>
        </w:tc>
        <w:tc>
          <w:tcPr>
            <w:tcW w:w="1102" w:type="dxa"/>
            <w:tcBorders>
              <w:top w:val="nil"/>
              <w:bottom w:val="nil"/>
            </w:tcBorders>
            <w:noWrap/>
            <w:hideMark/>
          </w:tcPr>
          <w:p w14:paraId="433ECA09" w14:textId="77777777" w:rsidR="00704ADA" w:rsidRPr="002C1CEF" w:rsidRDefault="00704ADA" w:rsidP="00EA53B9">
            <w:pPr>
              <w:ind w:right="43"/>
              <w:jc w:val="center"/>
              <w:rPr>
                <w:rFonts w:ascii="Arial" w:hAnsi="Arial" w:cs="Arial"/>
              </w:rPr>
            </w:pPr>
            <w:r w:rsidRPr="002C1CEF">
              <w:rPr>
                <w:rFonts w:ascii="Arial" w:hAnsi="Arial" w:cs="Arial"/>
              </w:rPr>
              <w:t>4.27</w:t>
            </w:r>
          </w:p>
        </w:tc>
        <w:tc>
          <w:tcPr>
            <w:tcW w:w="1281" w:type="dxa"/>
            <w:tcBorders>
              <w:top w:val="nil"/>
              <w:bottom w:val="nil"/>
            </w:tcBorders>
            <w:noWrap/>
            <w:hideMark/>
          </w:tcPr>
          <w:p w14:paraId="5AD98991" w14:textId="77777777" w:rsidR="00704ADA" w:rsidRPr="002C1CEF" w:rsidRDefault="00704ADA" w:rsidP="00EA53B9">
            <w:pPr>
              <w:ind w:right="43"/>
              <w:jc w:val="center"/>
              <w:rPr>
                <w:rFonts w:ascii="Arial" w:hAnsi="Arial" w:cs="Arial"/>
              </w:rPr>
            </w:pPr>
            <w:r w:rsidRPr="002C1CEF">
              <w:rPr>
                <w:rFonts w:ascii="Arial" w:hAnsi="Arial" w:cs="Arial"/>
              </w:rPr>
              <w:t>0.50</w:t>
            </w:r>
          </w:p>
        </w:tc>
        <w:tc>
          <w:tcPr>
            <w:tcW w:w="2064" w:type="dxa"/>
            <w:tcBorders>
              <w:top w:val="nil"/>
              <w:bottom w:val="nil"/>
              <w:right w:val="nil"/>
            </w:tcBorders>
            <w:noWrap/>
            <w:hideMark/>
          </w:tcPr>
          <w:p w14:paraId="667F78C2"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555F068B" w14:textId="77777777" w:rsidTr="00EA53B9">
        <w:trPr>
          <w:trHeight w:val="20"/>
        </w:trPr>
        <w:tc>
          <w:tcPr>
            <w:tcW w:w="4032" w:type="dxa"/>
            <w:tcBorders>
              <w:top w:val="nil"/>
              <w:left w:val="nil"/>
              <w:bottom w:val="nil"/>
            </w:tcBorders>
            <w:vAlign w:val="center"/>
          </w:tcPr>
          <w:p w14:paraId="5316C5EC" w14:textId="77777777" w:rsidR="00704ADA" w:rsidRPr="00B2502A" w:rsidRDefault="00704ADA" w:rsidP="00EA53B9">
            <w:pPr>
              <w:ind w:right="43"/>
              <w:jc w:val="center"/>
              <w:rPr>
                <w:rFonts w:ascii="Arial" w:hAnsi="Arial" w:cs="Arial"/>
              </w:rPr>
            </w:pPr>
            <w:r w:rsidRPr="005D4C86">
              <w:rPr>
                <w:rFonts w:ascii="Arial" w:hAnsi="Arial" w:cs="Arial"/>
                <w:b/>
                <w:bCs/>
              </w:rPr>
              <w:t>Average</w:t>
            </w:r>
          </w:p>
        </w:tc>
        <w:tc>
          <w:tcPr>
            <w:tcW w:w="1102" w:type="dxa"/>
            <w:tcBorders>
              <w:top w:val="nil"/>
              <w:bottom w:val="nil"/>
            </w:tcBorders>
            <w:noWrap/>
          </w:tcPr>
          <w:p w14:paraId="2BB3BFBC" w14:textId="77777777" w:rsidR="00704ADA" w:rsidRPr="005D4C86" w:rsidRDefault="00704ADA" w:rsidP="00EA53B9">
            <w:pPr>
              <w:ind w:right="43"/>
              <w:jc w:val="center"/>
              <w:rPr>
                <w:rFonts w:ascii="Arial" w:hAnsi="Arial" w:cs="Arial"/>
                <w:b/>
                <w:bCs/>
              </w:rPr>
            </w:pPr>
            <w:r w:rsidRPr="005D4C86">
              <w:rPr>
                <w:rFonts w:ascii="Arial" w:hAnsi="Arial" w:cs="Arial"/>
                <w:b/>
                <w:bCs/>
              </w:rPr>
              <w:t>4.28</w:t>
            </w:r>
          </w:p>
        </w:tc>
        <w:tc>
          <w:tcPr>
            <w:tcW w:w="1281" w:type="dxa"/>
            <w:tcBorders>
              <w:top w:val="nil"/>
              <w:bottom w:val="nil"/>
            </w:tcBorders>
            <w:noWrap/>
          </w:tcPr>
          <w:p w14:paraId="29CF5056" w14:textId="77777777" w:rsidR="00704ADA" w:rsidRPr="005D4C86" w:rsidRDefault="00704ADA" w:rsidP="00EA53B9">
            <w:pPr>
              <w:ind w:right="43"/>
              <w:jc w:val="center"/>
              <w:rPr>
                <w:rFonts w:ascii="Arial" w:hAnsi="Arial" w:cs="Arial"/>
                <w:b/>
                <w:bCs/>
              </w:rPr>
            </w:pPr>
            <w:r w:rsidRPr="005D4C86">
              <w:rPr>
                <w:rFonts w:ascii="Arial" w:hAnsi="Arial" w:cs="Arial"/>
                <w:b/>
                <w:bCs/>
              </w:rPr>
              <w:t>0.35</w:t>
            </w:r>
          </w:p>
        </w:tc>
        <w:tc>
          <w:tcPr>
            <w:tcW w:w="2064" w:type="dxa"/>
            <w:tcBorders>
              <w:top w:val="nil"/>
              <w:bottom w:val="nil"/>
              <w:right w:val="nil"/>
            </w:tcBorders>
            <w:noWrap/>
          </w:tcPr>
          <w:p w14:paraId="1149C032" w14:textId="77777777" w:rsidR="00704ADA" w:rsidRPr="005D4C86" w:rsidRDefault="00704ADA" w:rsidP="00EA53B9">
            <w:pPr>
              <w:ind w:right="43"/>
              <w:jc w:val="center"/>
              <w:rPr>
                <w:rFonts w:ascii="Arial" w:hAnsi="Arial" w:cs="Arial"/>
                <w:b/>
                <w:bCs/>
              </w:rPr>
            </w:pPr>
            <w:r w:rsidRPr="005D4C86">
              <w:rPr>
                <w:rFonts w:ascii="Arial" w:hAnsi="Arial" w:cs="Arial"/>
                <w:b/>
                <w:bCs/>
              </w:rPr>
              <w:t>Very High</w:t>
            </w:r>
          </w:p>
        </w:tc>
      </w:tr>
      <w:tr w:rsidR="00704ADA" w:rsidRPr="002C1CEF" w14:paraId="68A104BA" w14:textId="77777777" w:rsidTr="00EA53B9">
        <w:trPr>
          <w:trHeight w:val="20"/>
        </w:trPr>
        <w:tc>
          <w:tcPr>
            <w:tcW w:w="4032" w:type="dxa"/>
            <w:tcBorders>
              <w:top w:val="nil"/>
              <w:left w:val="nil"/>
              <w:bottom w:val="nil"/>
            </w:tcBorders>
            <w:vAlign w:val="center"/>
            <w:hideMark/>
          </w:tcPr>
          <w:p w14:paraId="398AEE2B" w14:textId="77777777" w:rsidR="00704ADA" w:rsidRPr="00C52A7A" w:rsidRDefault="00704ADA" w:rsidP="00EA53B9">
            <w:pPr>
              <w:ind w:right="43"/>
              <w:rPr>
                <w:rFonts w:ascii="Arial" w:hAnsi="Arial" w:cs="Arial"/>
                <w:b/>
                <w:bCs/>
              </w:rPr>
            </w:pPr>
            <w:r w:rsidRPr="00C52A7A">
              <w:rPr>
                <w:rFonts w:ascii="Arial" w:hAnsi="Arial" w:cs="Arial"/>
                <w:b/>
                <w:bCs/>
              </w:rPr>
              <w:t>D. Motivation</w:t>
            </w:r>
          </w:p>
        </w:tc>
        <w:tc>
          <w:tcPr>
            <w:tcW w:w="1102" w:type="dxa"/>
            <w:tcBorders>
              <w:top w:val="nil"/>
              <w:bottom w:val="nil"/>
            </w:tcBorders>
            <w:noWrap/>
            <w:hideMark/>
          </w:tcPr>
          <w:p w14:paraId="21DFC223" w14:textId="77777777" w:rsidR="00704ADA" w:rsidRPr="002C1CEF" w:rsidRDefault="00704ADA" w:rsidP="00EA53B9">
            <w:pPr>
              <w:ind w:right="43"/>
              <w:jc w:val="center"/>
              <w:rPr>
                <w:rFonts w:ascii="Arial" w:hAnsi="Arial" w:cs="Arial"/>
              </w:rPr>
            </w:pPr>
          </w:p>
        </w:tc>
        <w:tc>
          <w:tcPr>
            <w:tcW w:w="1281" w:type="dxa"/>
            <w:tcBorders>
              <w:top w:val="nil"/>
              <w:bottom w:val="nil"/>
            </w:tcBorders>
            <w:noWrap/>
            <w:hideMark/>
          </w:tcPr>
          <w:p w14:paraId="20277C61" w14:textId="77777777" w:rsidR="00704ADA" w:rsidRPr="002C1CEF" w:rsidRDefault="00704ADA" w:rsidP="00EA53B9">
            <w:pPr>
              <w:ind w:right="43"/>
              <w:jc w:val="center"/>
              <w:rPr>
                <w:rFonts w:ascii="Arial" w:hAnsi="Arial" w:cs="Arial"/>
              </w:rPr>
            </w:pPr>
          </w:p>
        </w:tc>
        <w:tc>
          <w:tcPr>
            <w:tcW w:w="2064" w:type="dxa"/>
            <w:tcBorders>
              <w:top w:val="nil"/>
              <w:bottom w:val="nil"/>
              <w:right w:val="nil"/>
            </w:tcBorders>
            <w:noWrap/>
            <w:hideMark/>
          </w:tcPr>
          <w:p w14:paraId="25DB498A" w14:textId="77777777" w:rsidR="00704ADA" w:rsidRPr="002C1CEF" w:rsidRDefault="00704ADA" w:rsidP="00EA53B9">
            <w:pPr>
              <w:ind w:right="43"/>
              <w:jc w:val="center"/>
              <w:rPr>
                <w:rFonts w:ascii="Arial" w:hAnsi="Arial" w:cs="Arial"/>
              </w:rPr>
            </w:pPr>
          </w:p>
        </w:tc>
      </w:tr>
      <w:tr w:rsidR="00704ADA" w:rsidRPr="002C1CEF" w14:paraId="6E4913D0" w14:textId="77777777" w:rsidTr="00EA53B9">
        <w:trPr>
          <w:trHeight w:val="20"/>
        </w:trPr>
        <w:tc>
          <w:tcPr>
            <w:tcW w:w="4032" w:type="dxa"/>
            <w:tcBorders>
              <w:top w:val="nil"/>
              <w:left w:val="nil"/>
              <w:bottom w:val="nil"/>
            </w:tcBorders>
            <w:vAlign w:val="center"/>
            <w:hideMark/>
          </w:tcPr>
          <w:p w14:paraId="043F4C5C" w14:textId="77777777" w:rsidR="00704ADA" w:rsidRPr="002C1CEF" w:rsidRDefault="00704ADA" w:rsidP="00EA53B9">
            <w:pPr>
              <w:ind w:right="43"/>
              <w:rPr>
                <w:rFonts w:ascii="Arial" w:hAnsi="Arial" w:cs="Arial"/>
              </w:rPr>
            </w:pPr>
            <w:r w:rsidRPr="00B2502A">
              <w:rPr>
                <w:rFonts w:ascii="Arial" w:hAnsi="Arial" w:cs="Arial"/>
              </w:rPr>
              <w:t>Provides incentives to employees</w:t>
            </w:r>
          </w:p>
        </w:tc>
        <w:tc>
          <w:tcPr>
            <w:tcW w:w="1102" w:type="dxa"/>
            <w:tcBorders>
              <w:top w:val="nil"/>
              <w:bottom w:val="nil"/>
            </w:tcBorders>
            <w:noWrap/>
            <w:hideMark/>
          </w:tcPr>
          <w:p w14:paraId="0B611169" w14:textId="77777777" w:rsidR="00704ADA" w:rsidRPr="002C1CEF" w:rsidRDefault="00704ADA" w:rsidP="00EA53B9">
            <w:pPr>
              <w:ind w:right="43"/>
              <w:jc w:val="center"/>
              <w:rPr>
                <w:rFonts w:ascii="Arial" w:hAnsi="Arial" w:cs="Arial"/>
              </w:rPr>
            </w:pPr>
            <w:r w:rsidRPr="002C1CEF">
              <w:rPr>
                <w:rFonts w:ascii="Arial" w:hAnsi="Arial" w:cs="Arial"/>
              </w:rPr>
              <w:t>4.28</w:t>
            </w:r>
          </w:p>
        </w:tc>
        <w:tc>
          <w:tcPr>
            <w:tcW w:w="1281" w:type="dxa"/>
            <w:tcBorders>
              <w:top w:val="nil"/>
              <w:bottom w:val="nil"/>
            </w:tcBorders>
            <w:noWrap/>
            <w:hideMark/>
          </w:tcPr>
          <w:p w14:paraId="25E58E29" w14:textId="77777777" w:rsidR="00704ADA" w:rsidRPr="002C1CEF" w:rsidRDefault="00704ADA" w:rsidP="00EA53B9">
            <w:pPr>
              <w:ind w:right="43"/>
              <w:jc w:val="center"/>
              <w:rPr>
                <w:rFonts w:ascii="Arial" w:hAnsi="Arial" w:cs="Arial"/>
              </w:rPr>
            </w:pPr>
            <w:r w:rsidRPr="002C1CEF">
              <w:rPr>
                <w:rFonts w:ascii="Arial" w:hAnsi="Arial" w:cs="Arial"/>
              </w:rPr>
              <w:t>0.55</w:t>
            </w:r>
          </w:p>
        </w:tc>
        <w:tc>
          <w:tcPr>
            <w:tcW w:w="2064" w:type="dxa"/>
            <w:tcBorders>
              <w:top w:val="nil"/>
              <w:bottom w:val="nil"/>
              <w:right w:val="nil"/>
            </w:tcBorders>
            <w:noWrap/>
            <w:hideMark/>
          </w:tcPr>
          <w:p w14:paraId="728B8A64"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0416097F" w14:textId="77777777" w:rsidTr="00EA53B9">
        <w:trPr>
          <w:trHeight w:val="20"/>
        </w:trPr>
        <w:tc>
          <w:tcPr>
            <w:tcW w:w="4032" w:type="dxa"/>
            <w:tcBorders>
              <w:top w:val="nil"/>
              <w:left w:val="nil"/>
              <w:bottom w:val="nil"/>
            </w:tcBorders>
            <w:vAlign w:val="center"/>
            <w:hideMark/>
          </w:tcPr>
          <w:p w14:paraId="048A0B93" w14:textId="77777777" w:rsidR="00704ADA" w:rsidRPr="002C1CEF" w:rsidRDefault="00704ADA" w:rsidP="00EA53B9">
            <w:pPr>
              <w:ind w:right="43"/>
              <w:rPr>
                <w:rFonts w:ascii="Arial" w:hAnsi="Arial" w:cs="Arial"/>
              </w:rPr>
            </w:pPr>
            <w:r w:rsidRPr="00B2502A">
              <w:rPr>
                <w:rFonts w:ascii="Arial" w:hAnsi="Arial" w:cs="Arial"/>
              </w:rPr>
              <w:t>Involves workers in planning and implementation</w:t>
            </w:r>
          </w:p>
        </w:tc>
        <w:tc>
          <w:tcPr>
            <w:tcW w:w="1102" w:type="dxa"/>
            <w:tcBorders>
              <w:top w:val="nil"/>
              <w:bottom w:val="nil"/>
            </w:tcBorders>
            <w:noWrap/>
            <w:hideMark/>
          </w:tcPr>
          <w:p w14:paraId="3EEAC75E" w14:textId="77777777" w:rsidR="00704ADA" w:rsidRPr="002C1CEF" w:rsidRDefault="00704ADA" w:rsidP="00EA53B9">
            <w:pPr>
              <w:ind w:right="43"/>
              <w:jc w:val="center"/>
              <w:rPr>
                <w:rFonts w:ascii="Arial" w:hAnsi="Arial" w:cs="Arial"/>
              </w:rPr>
            </w:pPr>
            <w:r w:rsidRPr="002C1CEF">
              <w:rPr>
                <w:rFonts w:ascii="Arial" w:hAnsi="Arial" w:cs="Arial"/>
              </w:rPr>
              <w:t>4.24</w:t>
            </w:r>
          </w:p>
        </w:tc>
        <w:tc>
          <w:tcPr>
            <w:tcW w:w="1281" w:type="dxa"/>
            <w:tcBorders>
              <w:top w:val="nil"/>
              <w:bottom w:val="nil"/>
            </w:tcBorders>
            <w:noWrap/>
            <w:hideMark/>
          </w:tcPr>
          <w:p w14:paraId="4FEF2721" w14:textId="77777777" w:rsidR="00704ADA" w:rsidRPr="002C1CEF" w:rsidRDefault="00704ADA" w:rsidP="00EA53B9">
            <w:pPr>
              <w:ind w:right="43"/>
              <w:jc w:val="center"/>
              <w:rPr>
                <w:rFonts w:ascii="Arial" w:hAnsi="Arial" w:cs="Arial"/>
              </w:rPr>
            </w:pPr>
            <w:r w:rsidRPr="002C1CEF">
              <w:rPr>
                <w:rFonts w:ascii="Arial" w:hAnsi="Arial" w:cs="Arial"/>
              </w:rPr>
              <w:t>0.53</w:t>
            </w:r>
          </w:p>
        </w:tc>
        <w:tc>
          <w:tcPr>
            <w:tcW w:w="2064" w:type="dxa"/>
            <w:tcBorders>
              <w:top w:val="nil"/>
              <w:bottom w:val="nil"/>
              <w:right w:val="nil"/>
            </w:tcBorders>
            <w:noWrap/>
            <w:hideMark/>
          </w:tcPr>
          <w:p w14:paraId="24BD0FDB"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0C0A168A" w14:textId="77777777" w:rsidTr="00EA53B9">
        <w:trPr>
          <w:trHeight w:val="20"/>
        </w:trPr>
        <w:tc>
          <w:tcPr>
            <w:tcW w:w="4032" w:type="dxa"/>
            <w:tcBorders>
              <w:top w:val="nil"/>
              <w:left w:val="nil"/>
              <w:bottom w:val="nil"/>
            </w:tcBorders>
            <w:vAlign w:val="center"/>
            <w:hideMark/>
          </w:tcPr>
          <w:p w14:paraId="5C7704CF" w14:textId="77777777" w:rsidR="00704ADA" w:rsidRPr="002C1CEF" w:rsidRDefault="00704ADA" w:rsidP="00EA53B9">
            <w:pPr>
              <w:ind w:right="43"/>
              <w:rPr>
                <w:rFonts w:ascii="Arial" w:hAnsi="Arial" w:cs="Arial"/>
              </w:rPr>
            </w:pPr>
            <w:r w:rsidRPr="00B2502A">
              <w:rPr>
                <w:rFonts w:ascii="Arial" w:hAnsi="Arial" w:cs="Arial"/>
              </w:rPr>
              <w:t>Pays workers on a regular basis</w:t>
            </w:r>
          </w:p>
        </w:tc>
        <w:tc>
          <w:tcPr>
            <w:tcW w:w="1102" w:type="dxa"/>
            <w:tcBorders>
              <w:top w:val="nil"/>
              <w:bottom w:val="nil"/>
            </w:tcBorders>
            <w:noWrap/>
            <w:hideMark/>
          </w:tcPr>
          <w:p w14:paraId="5D005177" w14:textId="77777777" w:rsidR="00704ADA" w:rsidRPr="002C1CEF" w:rsidRDefault="00704ADA" w:rsidP="00EA53B9">
            <w:pPr>
              <w:ind w:right="43"/>
              <w:jc w:val="center"/>
              <w:rPr>
                <w:rFonts w:ascii="Arial" w:hAnsi="Arial" w:cs="Arial"/>
              </w:rPr>
            </w:pPr>
            <w:r w:rsidRPr="002C1CEF">
              <w:rPr>
                <w:rFonts w:ascii="Arial" w:hAnsi="Arial" w:cs="Arial"/>
              </w:rPr>
              <w:t>4.36</w:t>
            </w:r>
          </w:p>
        </w:tc>
        <w:tc>
          <w:tcPr>
            <w:tcW w:w="1281" w:type="dxa"/>
            <w:tcBorders>
              <w:top w:val="nil"/>
              <w:bottom w:val="nil"/>
            </w:tcBorders>
            <w:noWrap/>
            <w:hideMark/>
          </w:tcPr>
          <w:p w14:paraId="70421B05" w14:textId="77777777" w:rsidR="00704ADA" w:rsidRPr="002C1CEF" w:rsidRDefault="00704ADA" w:rsidP="00EA53B9">
            <w:pPr>
              <w:ind w:right="43"/>
              <w:jc w:val="center"/>
              <w:rPr>
                <w:rFonts w:ascii="Arial" w:hAnsi="Arial" w:cs="Arial"/>
              </w:rPr>
            </w:pPr>
            <w:r w:rsidRPr="002C1CEF">
              <w:rPr>
                <w:rFonts w:ascii="Arial" w:hAnsi="Arial" w:cs="Arial"/>
              </w:rPr>
              <w:t>0.50</w:t>
            </w:r>
          </w:p>
        </w:tc>
        <w:tc>
          <w:tcPr>
            <w:tcW w:w="2064" w:type="dxa"/>
            <w:tcBorders>
              <w:top w:val="nil"/>
              <w:bottom w:val="nil"/>
              <w:right w:val="nil"/>
            </w:tcBorders>
            <w:noWrap/>
            <w:hideMark/>
          </w:tcPr>
          <w:p w14:paraId="33137206"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3470FDDA" w14:textId="77777777" w:rsidTr="00EA53B9">
        <w:trPr>
          <w:trHeight w:val="20"/>
        </w:trPr>
        <w:tc>
          <w:tcPr>
            <w:tcW w:w="4032" w:type="dxa"/>
            <w:tcBorders>
              <w:top w:val="nil"/>
              <w:left w:val="nil"/>
              <w:bottom w:val="nil"/>
            </w:tcBorders>
            <w:vAlign w:val="center"/>
            <w:hideMark/>
          </w:tcPr>
          <w:p w14:paraId="7A0F751C" w14:textId="77777777" w:rsidR="00704ADA" w:rsidRPr="002C1CEF" w:rsidRDefault="00704ADA" w:rsidP="00EA53B9">
            <w:pPr>
              <w:ind w:right="43"/>
              <w:rPr>
                <w:rFonts w:ascii="Arial" w:hAnsi="Arial" w:cs="Arial"/>
              </w:rPr>
            </w:pPr>
            <w:r w:rsidRPr="00B2502A">
              <w:rPr>
                <w:rFonts w:ascii="Arial" w:hAnsi="Arial" w:cs="Arial"/>
              </w:rPr>
              <w:t>Recognizes exemplary performance of employees</w:t>
            </w:r>
          </w:p>
        </w:tc>
        <w:tc>
          <w:tcPr>
            <w:tcW w:w="1102" w:type="dxa"/>
            <w:tcBorders>
              <w:top w:val="nil"/>
              <w:bottom w:val="nil"/>
            </w:tcBorders>
            <w:noWrap/>
            <w:hideMark/>
          </w:tcPr>
          <w:p w14:paraId="3E0CB03A" w14:textId="77777777" w:rsidR="00704ADA" w:rsidRPr="002C1CEF" w:rsidRDefault="00704ADA" w:rsidP="00EA53B9">
            <w:pPr>
              <w:ind w:right="43"/>
              <w:jc w:val="center"/>
              <w:rPr>
                <w:rFonts w:ascii="Arial" w:hAnsi="Arial" w:cs="Arial"/>
              </w:rPr>
            </w:pPr>
            <w:r w:rsidRPr="002C1CEF">
              <w:rPr>
                <w:rFonts w:ascii="Arial" w:hAnsi="Arial" w:cs="Arial"/>
              </w:rPr>
              <w:t>4.21</w:t>
            </w:r>
          </w:p>
        </w:tc>
        <w:tc>
          <w:tcPr>
            <w:tcW w:w="1281" w:type="dxa"/>
            <w:tcBorders>
              <w:top w:val="nil"/>
              <w:bottom w:val="nil"/>
            </w:tcBorders>
            <w:noWrap/>
            <w:hideMark/>
          </w:tcPr>
          <w:p w14:paraId="07D1810F" w14:textId="77777777" w:rsidR="00704ADA" w:rsidRPr="002C1CEF" w:rsidRDefault="00704ADA" w:rsidP="00EA53B9">
            <w:pPr>
              <w:ind w:right="43"/>
              <w:jc w:val="center"/>
              <w:rPr>
                <w:rFonts w:ascii="Arial" w:hAnsi="Arial" w:cs="Arial"/>
              </w:rPr>
            </w:pPr>
            <w:r w:rsidRPr="002C1CEF">
              <w:rPr>
                <w:rFonts w:ascii="Arial" w:hAnsi="Arial" w:cs="Arial"/>
              </w:rPr>
              <w:t>0.56</w:t>
            </w:r>
          </w:p>
        </w:tc>
        <w:tc>
          <w:tcPr>
            <w:tcW w:w="2064" w:type="dxa"/>
            <w:tcBorders>
              <w:top w:val="nil"/>
              <w:bottom w:val="nil"/>
              <w:right w:val="nil"/>
            </w:tcBorders>
            <w:noWrap/>
            <w:hideMark/>
          </w:tcPr>
          <w:p w14:paraId="0B50C3B7" w14:textId="77777777" w:rsidR="00704ADA" w:rsidRPr="002C1CEF" w:rsidRDefault="00704ADA" w:rsidP="00EA53B9">
            <w:pPr>
              <w:ind w:right="43"/>
              <w:jc w:val="center"/>
              <w:rPr>
                <w:rFonts w:ascii="Arial" w:hAnsi="Arial" w:cs="Arial"/>
              </w:rPr>
            </w:pPr>
            <w:r w:rsidRPr="004277EE">
              <w:rPr>
                <w:rFonts w:ascii="Arial" w:hAnsi="Arial" w:cs="Arial"/>
              </w:rPr>
              <w:t>Very High</w:t>
            </w:r>
          </w:p>
        </w:tc>
      </w:tr>
      <w:tr w:rsidR="00704ADA" w:rsidRPr="002C1CEF" w14:paraId="61D8F71A" w14:textId="77777777" w:rsidTr="00EA53B9">
        <w:trPr>
          <w:trHeight w:val="20"/>
        </w:trPr>
        <w:tc>
          <w:tcPr>
            <w:tcW w:w="4032" w:type="dxa"/>
            <w:tcBorders>
              <w:top w:val="nil"/>
              <w:left w:val="nil"/>
              <w:bottom w:val="nil"/>
            </w:tcBorders>
            <w:hideMark/>
          </w:tcPr>
          <w:p w14:paraId="6DC75AC6" w14:textId="77777777" w:rsidR="00704ADA" w:rsidRPr="00915FAE" w:rsidRDefault="00704ADA" w:rsidP="00EA53B9">
            <w:pPr>
              <w:ind w:right="43"/>
              <w:jc w:val="center"/>
              <w:rPr>
                <w:rFonts w:ascii="Arial" w:hAnsi="Arial" w:cs="Arial"/>
                <w:b/>
                <w:bCs/>
              </w:rPr>
            </w:pPr>
            <w:r w:rsidRPr="005D4C86">
              <w:rPr>
                <w:rFonts w:ascii="Arial" w:hAnsi="Arial" w:cs="Arial"/>
                <w:b/>
                <w:bCs/>
              </w:rPr>
              <w:t>Average</w:t>
            </w:r>
          </w:p>
        </w:tc>
        <w:tc>
          <w:tcPr>
            <w:tcW w:w="1102" w:type="dxa"/>
            <w:tcBorders>
              <w:top w:val="nil"/>
              <w:bottom w:val="nil"/>
            </w:tcBorders>
            <w:noWrap/>
            <w:hideMark/>
          </w:tcPr>
          <w:p w14:paraId="13F2622E" w14:textId="77777777" w:rsidR="00704ADA" w:rsidRPr="009216EA" w:rsidRDefault="00704ADA" w:rsidP="00EA53B9">
            <w:pPr>
              <w:ind w:right="43"/>
              <w:jc w:val="center"/>
              <w:rPr>
                <w:rFonts w:ascii="Arial" w:hAnsi="Arial" w:cs="Arial"/>
                <w:b/>
                <w:bCs/>
              </w:rPr>
            </w:pPr>
            <w:r w:rsidRPr="009216EA">
              <w:rPr>
                <w:rFonts w:ascii="Arial" w:hAnsi="Arial" w:cs="Arial"/>
                <w:b/>
                <w:bCs/>
              </w:rPr>
              <w:t>4.27</w:t>
            </w:r>
          </w:p>
        </w:tc>
        <w:tc>
          <w:tcPr>
            <w:tcW w:w="1281" w:type="dxa"/>
            <w:tcBorders>
              <w:top w:val="nil"/>
              <w:bottom w:val="nil"/>
            </w:tcBorders>
            <w:noWrap/>
            <w:hideMark/>
          </w:tcPr>
          <w:p w14:paraId="54AD491D" w14:textId="77777777" w:rsidR="00704ADA" w:rsidRPr="009216EA" w:rsidRDefault="00704ADA" w:rsidP="00EA53B9">
            <w:pPr>
              <w:ind w:right="43"/>
              <w:jc w:val="center"/>
              <w:rPr>
                <w:rFonts w:ascii="Arial" w:hAnsi="Arial" w:cs="Arial"/>
                <w:b/>
                <w:bCs/>
              </w:rPr>
            </w:pPr>
            <w:r w:rsidRPr="009216EA">
              <w:rPr>
                <w:rFonts w:ascii="Arial" w:hAnsi="Arial" w:cs="Arial"/>
                <w:b/>
                <w:bCs/>
              </w:rPr>
              <w:t>0.40</w:t>
            </w:r>
          </w:p>
        </w:tc>
        <w:tc>
          <w:tcPr>
            <w:tcW w:w="2064" w:type="dxa"/>
            <w:tcBorders>
              <w:top w:val="nil"/>
              <w:bottom w:val="nil"/>
              <w:right w:val="nil"/>
            </w:tcBorders>
            <w:noWrap/>
            <w:hideMark/>
          </w:tcPr>
          <w:p w14:paraId="16DAC58A" w14:textId="77777777" w:rsidR="00704ADA" w:rsidRPr="009216EA" w:rsidRDefault="00704ADA" w:rsidP="00EA53B9">
            <w:pPr>
              <w:ind w:right="43"/>
              <w:jc w:val="center"/>
              <w:rPr>
                <w:rFonts w:ascii="Arial" w:hAnsi="Arial" w:cs="Arial"/>
                <w:b/>
                <w:bCs/>
              </w:rPr>
            </w:pPr>
            <w:r w:rsidRPr="009216EA">
              <w:rPr>
                <w:rFonts w:ascii="Arial" w:hAnsi="Arial" w:cs="Arial"/>
                <w:b/>
                <w:bCs/>
              </w:rPr>
              <w:t>Very High</w:t>
            </w:r>
          </w:p>
        </w:tc>
      </w:tr>
      <w:tr w:rsidR="00704ADA" w:rsidRPr="00915FAE" w14:paraId="3F5ECDD0" w14:textId="77777777" w:rsidTr="00EA53B9">
        <w:trPr>
          <w:trHeight w:val="20"/>
        </w:trPr>
        <w:tc>
          <w:tcPr>
            <w:tcW w:w="4032" w:type="dxa"/>
            <w:tcBorders>
              <w:top w:val="nil"/>
              <w:left w:val="nil"/>
              <w:bottom w:val="single" w:sz="4" w:space="0" w:color="auto"/>
            </w:tcBorders>
            <w:hideMark/>
          </w:tcPr>
          <w:p w14:paraId="5B8C9495" w14:textId="77777777" w:rsidR="00704ADA" w:rsidRPr="0005482F" w:rsidRDefault="00704ADA" w:rsidP="00EA53B9">
            <w:pPr>
              <w:ind w:right="43"/>
              <w:jc w:val="center"/>
              <w:rPr>
                <w:rFonts w:ascii="Arial" w:hAnsi="Arial" w:cs="Arial"/>
                <w:b/>
                <w:bCs/>
                <w:color w:val="000000" w:themeColor="text1"/>
                <w:lang w:eastAsia="en-PH"/>
              </w:rPr>
            </w:pPr>
            <w:r w:rsidRPr="0005482F">
              <w:rPr>
                <w:rFonts w:ascii="Arial" w:hAnsi="Arial" w:cs="Arial"/>
                <w:b/>
                <w:bCs/>
                <w:color w:val="000000" w:themeColor="text1"/>
                <w:lang w:eastAsia="en-PH"/>
              </w:rPr>
              <w:t>Overall Human Resources Management</w:t>
            </w:r>
          </w:p>
        </w:tc>
        <w:tc>
          <w:tcPr>
            <w:tcW w:w="1102" w:type="dxa"/>
            <w:tcBorders>
              <w:top w:val="nil"/>
              <w:bottom w:val="single" w:sz="4" w:space="0" w:color="auto"/>
            </w:tcBorders>
            <w:noWrap/>
            <w:hideMark/>
          </w:tcPr>
          <w:p w14:paraId="3B2D06CC" w14:textId="77777777" w:rsidR="00704ADA" w:rsidRPr="00915FAE" w:rsidRDefault="00704ADA" w:rsidP="00EA53B9">
            <w:pPr>
              <w:ind w:right="43"/>
              <w:jc w:val="center"/>
              <w:rPr>
                <w:rFonts w:ascii="Arial" w:hAnsi="Arial" w:cs="Arial"/>
                <w:b/>
                <w:bCs/>
              </w:rPr>
            </w:pPr>
            <w:r w:rsidRPr="00915FAE">
              <w:rPr>
                <w:rFonts w:ascii="Arial" w:hAnsi="Arial" w:cs="Arial"/>
                <w:b/>
                <w:bCs/>
              </w:rPr>
              <w:t>4.26</w:t>
            </w:r>
          </w:p>
        </w:tc>
        <w:tc>
          <w:tcPr>
            <w:tcW w:w="1281" w:type="dxa"/>
            <w:tcBorders>
              <w:top w:val="nil"/>
              <w:bottom w:val="single" w:sz="4" w:space="0" w:color="auto"/>
            </w:tcBorders>
            <w:noWrap/>
            <w:hideMark/>
          </w:tcPr>
          <w:p w14:paraId="496AA4D0" w14:textId="77777777" w:rsidR="00704ADA" w:rsidRPr="00915FAE" w:rsidRDefault="00704ADA" w:rsidP="00EA53B9">
            <w:pPr>
              <w:ind w:right="43"/>
              <w:jc w:val="center"/>
              <w:rPr>
                <w:rFonts w:ascii="Arial" w:hAnsi="Arial" w:cs="Arial"/>
                <w:b/>
                <w:bCs/>
              </w:rPr>
            </w:pPr>
            <w:r w:rsidRPr="00915FAE">
              <w:rPr>
                <w:rFonts w:ascii="Arial" w:hAnsi="Arial" w:cs="Arial"/>
                <w:b/>
                <w:bCs/>
              </w:rPr>
              <w:t>0.30</w:t>
            </w:r>
          </w:p>
        </w:tc>
        <w:tc>
          <w:tcPr>
            <w:tcW w:w="2064" w:type="dxa"/>
            <w:tcBorders>
              <w:top w:val="nil"/>
              <w:bottom w:val="single" w:sz="4" w:space="0" w:color="auto"/>
              <w:right w:val="nil"/>
            </w:tcBorders>
            <w:noWrap/>
            <w:hideMark/>
          </w:tcPr>
          <w:p w14:paraId="1B419E33" w14:textId="77777777" w:rsidR="00704ADA" w:rsidRPr="00915FAE" w:rsidRDefault="00704ADA" w:rsidP="00EA53B9">
            <w:pPr>
              <w:ind w:right="43"/>
              <w:jc w:val="center"/>
              <w:rPr>
                <w:rFonts w:ascii="Arial" w:hAnsi="Arial" w:cs="Arial"/>
                <w:b/>
                <w:bCs/>
              </w:rPr>
            </w:pPr>
            <w:r w:rsidRPr="00915FAE">
              <w:rPr>
                <w:rFonts w:ascii="Arial" w:hAnsi="Arial" w:cs="Arial"/>
                <w:b/>
                <w:bCs/>
              </w:rPr>
              <w:t>Very High</w:t>
            </w:r>
          </w:p>
        </w:tc>
      </w:tr>
    </w:tbl>
    <w:p w14:paraId="15CEAF36" w14:textId="77777777" w:rsidR="00183EE3" w:rsidRDefault="00183EE3" w:rsidP="00AB00E6">
      <w:pPr>
        <w:pStyle w:val="Body"/>
        <w:spacing w:after="0"/>
        <w:rPr>
          <w:rFonts w:ascii="Arial" w:hAnsi="Arial" w:cs="Arial"/>
          <w:b/>
          <w:sz w:val="22"/>
        </w:rPr>
      </w:pPr>
    </w:p>
    <w:p w14:paraId="6B3D750C" w14:textId="5E9A60CF"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.3 </w:t>
      </w:r>
      <w:r w:rsidR="00851412" w:rsidRPr="00851412">
        <w:rPr>
          <w:rFonts w:ascii="Arial" w:hAnsi="Arial" w:cs="Arial"/>
          <w:b/>
          <w:sz w:val="22"/>
        </w:rPr>
        <w:t xml:space="preserve">Level of </w:t>
      </w:r>
      <w:r w:rsidR="00704ADA">
        <w:rPr>
          <w:rFonts w:ascii="Arial" w:hAnsi="Arial" w:cs="Arial"/>
          <w:b/>
          <w:sz w:val="22"/>
        </w:rPr>
        <w:t>Management Practices of Financial Institutions in terms of Finance</w:t>
      </w:r>
    </w:p>
    <w:p w14:paraId="2CB0A15E" w14:textId="77777777" w:rsidR="004208F9" w:rsidRDefault="004208F9" w:rsidP="00851412">
      <w:pPr>
        <w:pStyle w:val="Body"/>
        <w:spacing w:after="0"/>
        <w:rPr>
          <w:rFonts w:ascii="Arial" w:hAnsi="Arial" w:cs="Arial"/>
          <w:b/>
          <w:sz w:val="22"/>
        </w:rPr>
      </w:pPr>
    </w:p>
    <w:p w14:paraId="180F13E4" w14:textId="0C290161" w:rsidR="00A633F9" w:rsidRPr="00231448" w:rsidRDefault="00A633F9" w:rsidP="00A633F9">
      <w:pPr>
        <w:spacing w:after="240"/>
        <w:ind w:right="43"/>
        <w:jc w:val="both"/>
        <w:rPr>
          <w:rFonts w:ascii="Arial" w:hAnsi="Arial" w:cs="Arial"/>
        </w:rPr>
      </w:pPr>
      <w:r>
        <w:rPr>
          <w:rFonts w:ascii="Arial" w:hAnsi="Arial" w:cs="Arial"/>
        </w:rPr>
        <w:t>Table 3</w:t>
      </w:r>
      <w:r w:rsidRPr="00231448">
        <w:rPr>
          <w:rFonts w:ascii="Arial" w:hAnsi="Arial" w:cs="Arial"/>
        </w:rPr>
        <w:t xml:space="preserve"> showed that the overall mean of finance management practices in financial institutions in </w:t>
      </w:r>
      <w:proofErr w:type="spellStart"/>
      <w:r w:rsidRPr="00231448">
        <w:rPr>
          <w:rFonts w:ascii="Arial" w:hAnsi="Arial" w:cs="Arial"/>
        </w:rPr>
        <w:t>Cateel</w:t>
      </w:r>
      <w:proofErr w:type="spellEnd"/>
      <w:r w:rsidRPr="00231448">
        <w:rPr>
          <w:rFonts w:ascii="Arial" w:hAnsi="Arial" w:cs="Arial"/>
        </w:rPr>
        <w:t xml:space="preserve">, Davao Oriental was highly evident, with an overall mean of 4.23. This indicated that financial institutions consistently practiced sound financial planning, monitoring, and control across their operations. The uniformity in ratings implied that the institutions upheld structured and strategic financial processes that supported transparency, </w:t>
      </w:r>
      <w:r w:rsidRPr="00231448">
        <w:rPr>
          <w:rFonts w:ascii="Arial" w:hAnsi="Arial" w:cs="Arial"/>
        </w:rPr>
        <w:lastRenderedPageBreak/>
        <w:t xml:space="preserve">operational stability, and informed decision-making. This finding aligned with the observations of Harrison and </w:t>
      </w:r>
      <w:proofErr w:type="spellStart"/>
      <w:r w:rsidRPr="00231448">
        <w:rPr>
          <w:rFonts w:ascii="Arial" w:hAnsi="Arial" w:cs="Arial"/>
        </w:rPr>
        <w:t>Muiru</w:t>
      </w:r>
      <w:proofErr w:type="spellEnd"/>
      <w:r w:rsidRPr="00231448">
        <w:rPr>
          <w:rFonts w:ascii="Arial" w:hAnsi="Arial" w:cs="Arial"/>
        </w:rPr>
        <w:t xml:space="preserve"> (2021), who emphasized that effective financial management plays a central role in sustaining institutional credibility and long-term viability. The results confirmed that finance systems were an area of strength among local institutions.</w:t>
      </w:r>
    </w:p>
    <w:p w14:paraId="13FC624A" w14:textId="77777777" w:rsidR="00A633F9" w:rsidRPr="00231448" w:rsidRDefault="00A633F9" w:rsidP="00A633F9">
      <w:pPr>
        <w:spacing w:before="240" w:after="240"/>
        <w:ind w:right="43"/>
        <w:jc w:val="both"/>
        <w:rPr>
          <w:rFonts w:ascii="Arial" w:hAnsi="Arial" w:cs="Arial"/>
        </w:rPr>
      </w:pPr>
      <w:r w:rsidRPr="00231448">
        <w:rPr>
          <w:rFonts w:ascii="Arial" w:hAnsi="Arial" w:cs="Arial"/>
        </w:rPr>
        <w:t>The highest-rated statement under this section was “Prepares a budget,” which received a mean of 4.38 and was interpreted as highly evident. This indicated that financial institutions placed significant importance on financial forecasting and resource allocation. The high score implied that budgeting was an integral part of institutional operations, promoting fiscal discipline and planning accuracy. This finding supported the conclusion of Mahapatro (2021), who pointed out that consistent budgeting practices are essential for ensuring financial control and reducing operational risks. The result reflected that institutions were proactive in planning their financial resources to meet both short-term and long-term goals.</w:t>
      </w:r>
    </w:p>
    <w:p w14:paraId="17FF10E6" w14:textId="77777777" w:rsidR="00A633F9" w:rsidRPr="00231448" w:rsidRDefault="00A633F9" w:rsidP="00A633F9">
      <w:pPr>
        <w:ind w:right="43"/>
        <w:jc w:val="both"/>
        <w:rPr>
          <w:rFonts w:ascii="Arial" w:hAnsi="Arial" w:cs="Arial"/>
        </w:rPr>
      </w:pPr>
      <w:r w:rsidRPr="00231448">
        <w:rPr>
          <w:rFonts w:ascii="Arial" w:hAnsi="Arial" w:cs="Arial"/>
        </w:rPr>
        <w:t>On the other hand, the lowest-rated statement was “Borrows funds from banks and other financial institutions,” which had a mean of 4.08, and was classified as evident. This score implied that while the practice existed, borrowing was not as frequently or heavily relied upon by financial institutions in the area. It indicated a more cautious or limited approach to external financing, which could reflect strong internal funding strategies or conservative risk management policies. This outcome aligned with the perspective of Anwar and Abdullah (2021), who noted that organizations with sustainable internal financing mechanisms are less dependent on external borrowing, which can reduce financial exposure. Enhancing the institutions’ access to external credit, when needed, may help improve capital expansion or strategic investment opportunities.</w:t>
      </w:r>
    </w:p>
    <w:p w14:paraId="6CA512F5" w14:textId="77777777" w:rsidR="00AC601D" w:rsidRDefault="00AC601D" w:rsidP="00A633F9">
      <w:pPr>
        <w:pStyle w:val="Body"/>
        <w:spacing w:after="0"/>
        <w:rPr>
          <w:rFonts w:ascii="Arial" w:hAnsi="Arial" w:cs="Arial"/>
        </w:rPr>
      </w:pPr>
    </w:p>
    <w:p w14:paraId="410EA31C" w14:textId="3B3615B5" w:rsidR="00183EE3" w:rsidRDefault="00A633F9" w:rsidP="00183EE3">
      <w:pPr>
        <w:tabs>
          <w:tab w:val="left" w:pos="1080"/>
        </w:tabs>
        <w:jc w:val="both"/>
        <w:rPr>
          <w:rFonts w:ascii="Arial" w:hAnsi="Arial"/>
          <w:b/>
          <w:color w:val="FF0000"/>
        </w:rPr>
      </w:pPr>
      <w:r>
        <w:rPr>
          <w:rFonts w:ascii="Arial" w:hAnsi="Arial"/>
          <w:b/>
        </w:rPr>
        <w:t>Table 3</w:t>
      </w:r>
      <w:r w:rsidR="00183EE3">
        <w:rPr>
          <w:rFonts w:ascii="Arial" w:hAnsi="Arial"/>
          <w:b/>
        </w:rPr>
        <w:t>.</w:t>
      </w:r>
      <w:r w:rsidR="00183EE3" w:rsidRPr="00DC3180">
        <w:rPr>
          <w:rFonts w:ascii="Arial" w:hAnsi="Arial"/>
          <w:b/>
        </w:rPr>
        <w:tab/>
      </w:r>
      <w:r w:rsidR="00895E56" w:rsidRPr="00895E56">
        <w:rPr>
          <w:rFonts w:ascii="Arial" w:hAnsi="Arial"/>
          <w:b/>
          <w:color w:val="000000" w:themeColor="text1"/>
        </w:rPr>
        <w:t xml:space="preserve">Level of </w:t>
      </w:r>
      <w:r>
        <w:rPr>
          <w:rFonts w:ascii="Arial" w:hAnsi="Arial"/>
          <w:b/>
          <w:color w:val="000000" w:themeColor="text1"/>
        </w:rPr>
        <w:t>management practices of financial institutions in terms of finance</w:t>
      </w:r>
    </w:p>
    <w:p w14:paraId="3BB82491" w14:textId="77777777" w:rsidR="00421CC7" w:rsidRDefault="00421CC7" w:rsidP="00183EE3">
      <w:pPr>
        <w:tabs>
          <w:tab w:val="left" w:pos="1080"/>
        </w:tabs>
        <w:jc w:val="both"/>
        <w:rPr>
          <w:rFonts w:ascii="Arial" w:hAnsi="Arial"/>
          <w:b/>
          <w:color w:val="FF0000"/>
        </w:rPr>
      </w:pPr>
    </w:p>
    <w:tbl>
      <w:tblPr>
        <w:tblW w:w="8483"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3"/>
        <w:gridCol w:w="1102"/>
        <w:gridCol w:w="1343"/>
        <w:gridCol w:w="2065"/>
      </w:tblGrid>
      <w:tr w:rsidR="00A633F9" w:rsidRPr="00C37B54" w14:paraId="0FF20975" w14:textId="77777777" w:rsidTr="00EA53B9">
        <w:trPr>
          <w:trHeight w:val="20"/>
        </w:trPr>
        <w:tc>
          <w:tcPr>
            <w:tcW w:w="3973" w:type="dxa"/>
            <w:tcBorders>
              <w:top w:val="single" w:sz="4" w:space="0" w:color="auto"/>
              <w:left w:val="nil"/>
              <w:bottom w:val="nil"/>
            </w:tcBorders>
            <w:vAlign w:val="center"/>
            <w:hideMark/>
          </w:tcPr>
          <w:p w14:paraId="0B81F954" w14:textId="77777777" w:rsidR="00A633F9" w:rsidRPr="00C52A7A" w:rsidRDefault="00A633F9" w:rsidP="00EA53B9">
            <w:pPr>
              <w:ind w:right="43"/>
              <w:jc w:val="center"/>
              <w:rPr>
                <w:rFonts w:ascii="Arial" w:hAnsi="Arial" w:cs="Arial"/>
                <w:b/>
                <w:bCs/>
              </w:rPr>
            </w:pPr>
            <w:r w:rsidRPr="00C52A7A">
              <w:rPr>
                <w:rFonts w:ascii="Arial" w:hAnsi="Arial" w:cs="Arial"/>
                <w:b/>
                <w:bCs/>
              </w:rPr>
              <w:t>Indicator</w:t>
            </w:r>
          </w:p>
        </w:tc>
        <w:tc>
          <w:tcPr>
            <w:tcW w:w="1102" w:type="dxa"/>
            <w:vMerge w:val="restart"/>
            <w:tcBorders>
              <w:top w:val="single" w:sz="4" w:space="0" w:color="auto"/>
              <w:bottom w:val="nil"/>
            </w:tcBorders>
            <w:vAlign w:val="center"/>
            <w:hideMark/>
          </w:tcPr>
          <w:p w14:paraId="1446D1CD" w14:textId="77777777" w:rsidR="00A633F9" w:rsidRPr="00C52A7A" w:rsidRDefault="00A633F9" w:rsidP="00EA53B9">
            <w:pPr>
              <w:ind w:right="43"/>
              <w:jc w:val="center"/>
              <w:rPr>
                <w:rFonts w:ascii="Arial" w:hAnsi="Arial" w:cs="Arial"/>
                <w:b/>
                <w:bCs/>
              </w:rPr>
            </w:pPr>
            <w:r w:rsidRPr="00C52A7A">
              <w:rPr>
                <w:rFonts w:ascii="Arial" w:hAnsi="Arial" w:cs="Arial"/>
                <w:b/>
                <w:bCs/>
              </w:rPr>
              <w:t>Mean</w:t>
            </w:r>
          </w:p>
        </w:tc>
        <w:tc>
          <w:tcPr>
            <w:tcW w:w="1343" w:type="dxa"/>
            <w:vMerge w:val="restart"/>
            <w:tcBorders>
              <w:top w:val="single" w:sz="4" w:space="0" w:color="auto"/>
              <w:bottom w:val="nil"/>
            </w:tcBorders>
            <w:vAlign w:val="center"/>
            <w:hideMark/>
          </w:tcPr>
          <w:p w14:paraId="7BEB677B" w14:textId="77777777" w:rsidR="00A633F9" w:rsidRPr="00C52A7A" w:rsidRDefault="00A633F9" w:rsidP="00EA53B9">
            <w:pPr>
              <w:ind w:right="43"/>
              <w:jc w:val="center"/>
              <w:rPr>
                <w:rFonts w:ascii="Arial" w:hAnsi="Arial" w:cs="Arial"/>
                <w:b/>
                <w:bCs/>
              </w:rPr>
            </w:pPr>
            <w:r w:rsidRPr="00C52A7A">
              <w:rPr>
                <w:rFonts w:ascii="Arial" w:hAnsi="Arial" w:cs="Arial"/>
                <w:b/>
                <w:bCs/>
              </w:rPr>
              <w:t>Std. Deviation</w:t>
            </w:r>
          </w:p>
        </w:tc>
        <w:tc>
          <w:tcPr>
            <w:tcW w:w="2065" w:type="dxa"/>
            <w:vMerge w:val="restart"/>
            <w:tcBorders>
              <w:top w:val="single" w:sz="4" w:space="0" w:color="auto"/>
              <w:bottom w:val="nil"/>
              <w:right w:val="nil"/>
            </w:tcBorders>
            <w:noWrap/>
            <w:vAlign w:val="center"/>
            <w:hideMark/>
          </w:tcPr>
          <w:p w14:paraId="10EDDADD" w14:textId="77777777" w:rsidR="00A633F9" w:rsidRPr="00C52A7A" w:rsidRDefault="00A633F9" w:rsidP="00EA53B9">
            <w:pPr>
              <w:ind w:right="43"/>
              <w:jc w:val="center"/>
              <w:rPr>
                <w:rFonts w:ascii="Arial" w:hAnsi="Arial" w:cs="Arial"/>
                <w:b/>
                <w:bCs/>
              </w:rPr>
            </w:pPr>
            <w:r w:rsidRPr="00C52A7A">
              <w:rPr>
                <w:rFonts w:ascii="Arial" w:hAnsi="Arial" w:cs="Arial"/>
                <w:b/>
                <w:bCs/>
              </w:rPr>
              <w:t>Interpretation</w:t>
            </w:r>
          </w:p>
        </w:tc>
      </w:tr>
      <w:tr w:rsidR="00A633F9" w:rsidRPr="00C37B54" w14:paraId="6B12817E" w14:textId="77777777" w:rsidTr="00EA53B9">
        <w:trPr>
          <w:trHeight w:val="20"/>
        </w:trPr>
        <w:tc>
          <w:tcPr>
            <w:tcW w:w="3973" w:type="dxa"/>
            <w:tcBorders>
              <w:top w:val="nil"/>
              <w:left w:val="nil"/>
              <w:bottom w:val="single" w:sz="4" w:space="0" w:color="auto"/>
            </w:tcBorders>
            <w:vAlign w:val="center"/>
          </w:tcPr>
          <w:p w14:paraId="536197AF" w14:textId="77777777" w:rsidR="00A633F9" w:rsidRPr="00C52A7A" w:rsidRDefault="00A633F9" w:rsidP="00EA53B9">
            <w:pPr>
              <w:ind w:right="43"/>
              <w:jc w:val="center"/>
              <w:rPr>
                <w:rFonts w:ascii="Arial" w:hAnsi="Arial" w:cs="Arial"/>
                <w:b/>
                <w:bCs/>
              </w:rPr>
            </w:pPr>
            <w:r>
              <w:rPr>
                <w:rFonts w:ascii="Arial" w:hAnsi="Arial" w:cs="Arial"/>
                <w:b/>
                <w:bCs/>
              </w:rPr>
              <w:t>Finance</w:t>
            </w:r>
          </w:p>
        </w:tc>
        <w:tc>
          <w:tcPr>
            <w:tcW w:w="1102" w:type="dxa"/>
            <w:vMerge/>
            <w:tcBorders>
              <w:top w:val="nil"/>
              <w:bottom w:val="single" w:sz="4" w:space="0" w:color="auto"/>
            </w:tcBorders>
          </w:tcPr>
          <w:p w14:paraId="6204E7AB" w14:textId="77777777" w:rsidR="00A633F9" w:rsidRPr="00C52A7A" w:rsidRDefault="00A633F9" w:rsidP="00EA53B9">
            <w:pPr>
              <w:ind w:right="43"/>
              <w:jc w:val="center"/>
              <w:rPr>
                <w:rFonts w:ascii="Arial" w:hAnsi="Arial" w:cs="Arial"/>
                <w:b/>
                <w:bCs/>
              </w:rPr>
            </w:pPr>
          </w:p>
        </w:tc>
        <w:tc>
          <w:tcPr>
            <w:tcW w:w="1343" w:type="dxa"/>
            <w:vMerge/>
            <w:tcBorders>
              <w:top w:val="nil"/>
              <w:bottom w:val="single" w:sz="4" w:space="0" w:color="auto"/>
            </w:tcBorders>
          </w:tcPr>
          <w:p w14:paraId="713875D1" w14:textId="77777777" w:rsidR="00A633F9" w:rsidRPr="00C52A7A" w:rsidRDefault="00A633F9" w:rsidP="00EA53B9">
            <w:pPr>
              <w:ind w:right="43"/>
              <w:jc w:val="center"/>
              <w:rPr>
                <w:rFonts w:ascii="Arial" w:hAnsi="Arial" w:cs="Arial"/>
                <w:b/>
                <w:bCs/>
              </w:rPr>
            </w:pPr>
          </w:p>
        </w:tc>
        <w:tc>
          <w:tcPr>
            <w:tcW w:w="2065" w:type="dxa"/>
            <w:vMerge/>
            <w:tcBorders>
              <w:top w:val="nil"/>
              <w:bottom w:val="single" w:sz="4" w:space="0" w:color="auto"/>
              <w:right w:val="nil"/>
            </w:tcBorders>
            <w:noWrap/>
          </w:tcPr>
          <w:p w14:paraId="1E0CC5F1" w14:textId="77777777" w:rsidR="00A633F9" w:rsidRPr="00C52A7A" w:rsidRDefault="00A633F9" w:rsidP="00EA53B9">
            <w:pPr>
              <w:ind w:right="43"/>
              <w:jc w:val="center"/>
              <w:rPr>
                <w:rFonts w:ascii="Arial" w:hAnsi="Arial" w:cs="Arial"/>
                <w:b/>
                <w:bCs/>
              </w:rPr>
            </w:pPr>
          </w:p>
        </w:tc>
      </w:tr>
      <w:tr w:rsidR="00A633F9" w:rsidRPr="00C37B54" w14:paraId="337E3E99" w14:textId="77777777" w:rsidTr="00EA53B9">
        <w:trPr>
          <w:trHeight w:val="20"/>
        </w:trPr>
        <w:tc>
          <w:tcPr>
            <w:tcW w:w="3973" w:type="dxa"/>
            <w:tcBorders>
              <w:top w:val="single" w:sz="4" w:space="0" w:color="auto"/>
              <w:left w:val="nil"/>
              <w:bottom w:val="nil"/>
            </w:tcBorders>
            <w:hideMark/>
          </w:tcPr>
          <w:p w14:paraId="3FFEC1E6" w14:textId="77777777" w:rsidR="00A633F9" w:rsidRPr="00C52A7A" w:rsidRDefault="00A633F9" w:rsidP="00EA53B9">
            <w:pPr>
              <w:ind w:right="43"/>
              <w:jc w:val="both"/>
              <w:rPr>
                <w:rFonts w:ascii="Arial" w:hAnsi="Arial" w:cs="Arial"/>
                <w:b/>
                <w:bCs/>
              </w:rPr>
            </w:pPr>
            <w:r w:rsidRPr="00C52A7A">
              <w:rPr>
                <w:rFonts w:ascii="Arial" w:hAnsi="Arial" w:cs="Arial"/>
                <w:b/>
                <w:bCs/>
              </w:rPr>
              <w:t>A. Financial Planning</w:t>
            </w:r>
          </w:p>
        </w:tc>
        <w:tc>
          <w:tcPr>
            <w:tcW w:w="1102" w:type="dxa"/>
            <w:tcBorders>
              <w:top w:val="single" w:sz="4" w:space="0" w:color="auto"/>
              <w:bottom w:val="nil"/>
            </w:tcBorders>
            <w:noWrap/>
            <w:hideMark/>
          </w:tcPr>
          <w:p w14:paraId="2B61699A" w14:textId="77777777" w:rsidR="00A633F9" w:rsidRPr="00C37B54" w:rsidRDefault="00A633F9" w:rsidP="00EA53B9">
            <w:pPr>
              <w:ind w:right="43"/>
              <w:jc w:val="center"/>
              <w:rPr>
                <w:rFonts w:ascii="Arial" w:hAnsi="Arial" w:cs="Arial"/>
              </w:rPr>
            </w:pPr>
          </w:p>
        </w:tc>
        <w:tc>
          <w:tcPr>
            <w:tcW w:w="1343" w:type="dxa"/>
            <w:tcBorders>
              <w:top w:val="single" w:sz="4" w:space="0" w:color="auto"/>
              <w:bottom w:val="nil"/>
            </w:tcBorders>
            <w:noWrap/>
            <w:hideMark/>
          </w:tcPr>
          <w:p w14:paraId="531CF2A4" w14:textId="77777777" w:rsidR="00A633F9" w:rsidRPr="00C37B54" w:rsidRDefault="00A633F9" w:rsidP="00EA53B9">
            <w:pPr>
              <w:ind w:right="43"/>
              <w:jc w:val="center"/>
              <w:rPr>
                <w:rFonts w:ascii="Arial" w:hAnsi="Arial" w:cs="Arial"/>
              </w:rPr>
            </w:pPr>
          </w:p>
        </w:tc>
        <w:tc>
          <w:tcPr>
            <w:tcW w:w="2065" w:type="dxa"/>
            <w:tcBorders>
              <w:top w:val="single" w:sz="4" w:space="0" w:color="auto"/>
              <w:bottom w:val="nil"/>
              <w:right w:val="nil"/>
            </w:tcBorders>
            <w:noWrap/>
            <w:hideMark/>
          </w:tcPr>
          <w:p w14:paraId="1895522D" w14:textId="77777777" w:rsidR="00A633F9" w:rsidRPr="00C37B54" w:rsidRDefault="00A633F9" w:rsidP="00EA53B9">
            <w:pPr>
              <w:ind w:right="43"/>
              <w:jc w:val="center"/>
              <w:rPr>
                <w:rFonts w:ascii="Arial" w:hAnsi="Arial" w:cs="Arial"/>
              </w:rPr>
            </w:pPr>
          </w:p>
        </w:tc>
      </w:tr>
      <w:tr w:rsidR="00A633F9" w:rsidRPr="00C37B54" w14:paraId="7059F6E1" w14:textId="77777777" w:rsidTr="00EA53B9">
        <w:trPr>
          <w:trHeight w:val="20"/>
        </w:trPr>
        <w:tc>
          <w:tcPr>
            <w:tcW w:w="3973" w:type="dxa"/>
            <w:tcBorders>
              <w:top w:val="nil"/>
              <w:left w:val="nil"/>
              <w:bottom w:val="nil"/>
            </w:tcBorders>
            <w:hideMark/>
          </w:tcPr>
          <w:p w14:paraId="0D343A8B" w14:textId="77777777" w:rsidR="00A633F9" w:rsidRPr="00C37B54" w:rsidRDefault="00A633F9" w:rsidP="00EA53B9">
            <w:pPr>
              <w:ind w:right="43"/>
              <w:jc w:val="both"/>
              <w:rPr>
                <w:rFonts w:ascii="Arial" w:hAnsi="Arial" w:cs="Arial"/>
              </w:rPr>
            </w:pPr>
            <w:r w:rsidRPr="00B2502A">
              <w:rPr>
                <w:rFonts w:ascii="Arial" w:hAnsi="Arial" w:cs="Arial"/>
              </w:rPr>
              <w:t>Prepares projected statement that reflects revenue, costs and expenses</w:t>
            </w:r>
          </w:p>
        </w:tc>
        <w:tc>
          <w:tcPr>
            <w:tcW w:w="1102" w:type="dxa"/>
            <w:tcBorders>
              <w:top w:val="nil"/>
              <w:bottom w:val="nil"/>
            </w:tcBorders>
            <w:noWrap/>
            <w:hideMark/>
          </w:tcPr>
          <w:p w14:paraId="27B69A80" w14:textId="77777777" w:rsidR="00A633F9" w:rsidRPr="00C37B54" w:rsidRDefault="00A633F9" w:rsidP="00EA53B9">
            <w:pPr>
              <w:ind w:right="43"/>
              <w:jc w:val="center"/>
              <w:rPr>
                <w:rFonts w:ascii="Arial" w:hAnsi="Arial" w:cs="Arial"/>
              </w:rPr>
            </w:pPr>
            <w:r w:rsidRPr="00C37B54">
              <w:rPr>
                <w:rFonts w:ascii="Arial" w:hAnsi="Arial" w:cs="Arial"/>
              </w:rPr>
              <w:t>4.17</w:t>
            </w:r>
          </w:p>
        </w:tc>
        <w:tc>
          <w:tcPr>
            <w:tcW w:w="1343" w:type="dxa"/>
            <w:tcBorders>
              <w:top w:val="nil"/>
              <w:bottom w:val="nil"/>
            </w:tcBorders>
            <w:noWrap/>
            <w:hideMark/>
          </w:tcPr>
          <w:p w14:paraId="2351D63A" w14:textId="77777777" w:rsidR="00A633F9" w:rsidRPr="00C37B54" w:rsidRDefault="00A633F9" w:rsidP="00EA53B9">
            <w:pPr>
              <w:ind w:right="43"/>
              <w:jc w:val="center"/>
              <w:rPr>
                <w:rFonts w:ascii="Arial" w:hAnsi="Arial" w:cs="Arial"/>
              </w:rPr>
            </w:pPr>
            <w:r w:rsidRPr="00C37B54">
              <w:rPr>
                <w:rFonts w:ascii="Arial" w:hAnsi="Arial" w:cs="Arial"/>
              </w:rPr>
              <w:t>0.52</w:t>
            </w:r>
          </w:p>
        </w:tc>
        <w:tc>
          <w:tcPr>
            <w:tcW w:w="2065" w:type="dxa"/>
            <w:tcBorders>
              <w:top w:val="nil"/>
              <w:bottom w:val="nil"/>
              <w:right w:val="nil"/>
            </w:tcBorders>
            <w:noWrap/>
            <w:hideMark/>
          </w:tcPr>
          <w:p w14:paraId="15942B9E" w14:textId="77777777" w:rsidR="00A633F9" w:rsidRPr="00C37B54" w:rsidRDefault="00A633F9" w:rsidP="00EA53B9">
            <w:pPr>
              <w:ind w:right="43"/>
              <w:jc w:val="center"/>
              <w:rPr>
                <w:rFonts w:ascii="Arial" w:hAnsi="Arial" w:cs="Arial"/>
              </w:rPr>
            </w:pPr>
            <w:r w:rsidRPr="004277EE">
              <w:rPr>
                <w:rFonts w:ascii="Arial" w:hAnsi="Arial" w:cs="Arial"/>
              </w:rPr>
              <w:t>High</w:t>
            </w:r>
          </w:p>
        </w:tc>
      </w:tr>
      <w:tr w:rsidR="00A633F9" w:rsidRPr="00C37B54" w14:paraId="597F9B03" w14:textId="77777777" w:rsidTr="00EA53B9">
        <w:trPr>
          <w:trHeight w:val="20"/>
        </w:trPr>
        <w:tc>
          <w:tcPr>
            <w:tcW w:w="3973" w:type="dxa"/>
            <w:tcBorders>
              <w:top w:val="nil"/>
              <w:left w:val="nil"/>
              <w:bottom w:val="nil"/>
            </w:tcBorders>
            <w:hideMark/>
          </w:tcPr>
          <w:p w14:paraId="46611591" w14:textId="77777777" w:rsidR="00A633F9" w:rsidRPr="00C37B54" w:rsidRDefault="00A633F9" w:rsidP="00EA53B9">
            <w:pPr>
              <w:ind w:right="43"/>
              <w:jc w:val="both"/>
              <w:rPr>
                <w:rFonts w:ascii="Arial" w:hAnsi="Arial" w:cs="Arial"/>
              </w:rPr>
            </w:pPr>
            <w:r w:rsidRPr="00B2502A">
              <w:rPr>
                <w:rFonts w:ascii="Arial" w:hAnsi="Arial" w:cs="Arial"/>
              </w:rPr>
              <w:t>Prepares projected statement that reflects assets, liabilities and owner’s equity</w:t>
            </w:r>
          </w:p>
        </w:tc>
        <w:tc>
          <w:tcPr>
            <w:tcW w:w="1102" w:type="dxa"/>
            <w:tcBorders>
              <w:top w:val="nil"/>
              <w:bottom w:val="nil"/>
            </w:tcBorders>
            <w:noWrap/>
            <w:hideMark/>
          </w:tcPr>
          <w:p w14:paraId="15853106" w14:textId="77777777" w:rsidR="00A633F9" w:rsidRPr="00C37B54" w:rsidRDefault="00A633F9" w:rsidP="00EA53B9">
            <w:pPr>
              <w:ind w:right="43"/>
              <w:jc w:val="center"/>
              <w:rPr>
                <w:rFonts w:ascii="Arial" w:hAnsi="Arial" w:cs="Arial"/>
              </w:rPr>
            </w:pPr>
            <w:r w:rsidRPr="00C37B54">
              <w:rPr>
                <w:rFonts w:ascii="Arial" w:hAnsi="Arial" w:cs="Arial"/>
              </w:rPr>
              <w:t>4.21</w:t>
            </w:r>
          </w:p>
        </w:tc>
        <w:tc>
          <w:tcPr>
            <w:tcW w:w="1343" w:type="dxa"/>
            <w:tcBorders>
              <w:top w:val="nil"/>
              <w:bottom w:val="nil"/>
            </w:tcBorders>
            <w:noWrap/>
            <w:hideMark/>
          </w:tcPr>
          <w:p w14:paraId="31B66263" w14:textId="77777777" w:rsidR="00A633F9" w:rsidRPr="00C37B54" w:rsidRDefault="00A633F9" w:rsidP="00EA53B9">
            <w:pPr>
              <w:ind w:right="43"/>
              <w:jc w:val="center"/>
              <w:rPr>
                <w:rFonts w:ascii="Arial" w:hAnsi="Arial" w:cs="Arial"/>
              </w:rPr>
            </w:pPr>
            <w:r w:rsidRPr="00C37B54">
              <w:rPr>
                <w:rFonts w:ascii="Arial" w:hAnsi="Arial" w:cs="Arial"/>
              </w:rPr>
              <w:t>0.48</w:t>
            </w:r>
          </w:p>
        </w:tc>
        <w:tc>
          <w:tcPr>
            <w:tcW w:w="2065" w:type="dxa"/>
            <w:tcBorders>
              <w:top w:val="nil"/>
              <w:bottom w:val="nil"/>
              <w:right w:val="nil"/>
            </w:tcBorders>
            <w:noWrap/>
            <w:hideMark/>
          </w:tcPr>
          <w:p w14:paraId="3CE93413"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3D16F092" w14:textId="77777777" w:rsidTr="00EA53B9">
        <w:trPr>
          <w:trHeight w:val="20"/>
        </w:trPr>
        <w:tc>
          <w:tcPr>
            <w:tcW w:w="3973" w:type="dxa"/>
            <w:tcBorders>
              <w:top w:val="nil"/>
              <w:left w:val="nil"/>
              <w:bottom w:val="nil"/>
            </w:tcBorders>
            <w:hideMark/>
          </w:tcPr>
          <w:p w14:paraId="0F6AA154" w14:textId="77777777" w:rsidR="00A633F9" w:rsidRPr="00C37B54" w:rsidRDefault="00A633F9" w:rsidP="00EA53B9">
            <w:pPr>
              <w:ind w:right="43"/>
              <w:jc w:val="both"/>
              <w:rPr>
                <w:rFonts w:ascii="Arial" w:hAnsi="Arial" w:cs="Arial"/>
              </w:rPr>
            </w:pPr>
            <w:r w:rsidRPr="00B2502A">
              <w:rPr>
                <w:rFonts w:ascii="Arial" w:hAnsi="Arial" w:cs="Arial"/>
              </w:rPr>
              <w:t>Prepares projected cash inflow and cash outflow</w:t>
            </w:r>
          </w:p>
        </w:tc>
        <w:tc>
          <w:tcPr>
            <w:tcW w:w="1102" w:type="dxa"/>
            <w:tcBorders>
              <w:top w:val="nil"/>
              <w:bottom w:val="nil"/>
            </w:tcBorders>
            <w:noWrap/>
            <w:hideMark/>
          </w:tcPr>
          <w:p w14:paraId="08BBC1D3" w14:textId="77777777" w:rsidR="00A633F9" w:rsidRPr="00C37B54" w:rsidRDefault="00A633F9" w:rsidP="00EA53B9">
            <w:pPr>
              <w:ind w:right="43"/>
              <w:jc w:val="center"/>
              <w:rPr>
                <w:rFonts w:ascii="Arial" w:hAnsi="Arial" w:cs="Arial"/>
              </w:rPr>
            </w:pPr>
            <w:r w:rsidRPr="00C37B54">
              <w:rPr>
                <w:rFonts w:ascii="Arial" w:hAnsi="Arial" w:cs="Arial"/>
              </w:rPr>
              <w:t>4.35</w:t>
            </w:r>
          </w:p>
        </w:tc>
        <w:tc>
          <w:tcPr>
            <w:tcW w:w="1343" w:type="dxa"/>
            <w:tcBorders>
              <w:top w:val="nil"/>
              <w:bottom w:val="nil"/>
            </w:tcBorders>
            <w:noWrap/>
            <w:hideMark/>
          </w:tcPr>
          <w:p w14:paraId="260778DF" w14:textId="77777777" w:rsidR="00A633F9" w:rsidRPr="00C37B54" w:rsidRDefault="00A633F9" w:rsidP="00EA53B9">
            <w:pPr>
              <w:ind w:right="43"/>
              <w:jc w:val="center"/>
              <w:rPr>
                <w:rFonts w:ascii="Arial" w:hAnsi="Arial" w:cs="Arial"/>
              </w:rPr>
            </w:pPr>
            <w:r w:rsidRPr="00C37B54">
              <w:rPr>
                <w:rFonts w:ascii="Arial" w:hAnsi="Arial" w:cs="Arial"/>
              </w:rPr>
              <w:t>0.51</w:t>
            </w:r>
          </w:p>
        </w:tc>
        <w:tc>
          <w:tcPr>
            <w:tcW w:w="2065" w:type="dxa"/>
            <w:tcBorders>
              <w:top w:val="nil"/>
              <w:bottom w:val="nil"/>
              <w:right w:val="nil"/>
            </w:tcBorders>
            <w:noWrap/>
            <w:hideMark/>
          </w:tcPr>
          <w:p w14:paraId="07B4C5DA"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3B4D4A1E" w14:textId="77777777" w:rsidTr="00EA53B9">
        <w:trPr>
          <w:trHeight w:val="20"/>
        </w:trPr>
        <w:tc>
          <w:tcPr>
            <w:tcW w:w="3973" w:type="dxa"/>
            <w:tcBorders>
              <w:top w:val="nil"/>
              <w:left w:val="nil"/>
              <w:bottom w:val="nil"/>
            </w:tcBorders>
            <w:hideMark/>
          </w:tcPr>
          <w:p w14:paraId="3417E99B" w14:textId="77777777" w:rsidR="00A633F9" w:rsidRPr="00C37B54" w:rsidRDefault="00A633F9" w:rsidP="00EA53B9">
            <w:pPr>
              <w:ind w:right="43"/>
              <w:jc w:val="both"/>
              <w:rPr>
                <w:rFonts w:ascii="Arial" w:hAnsi="Arial" w:cs="Arial"/>
              </w:rPr>
            </w:pPr>
            <w:r w:rsidRPr="00B2502A">
              <w:rPr>
                <w:rFonts w:ascii="Arial" w:hAnsi="Arial" w:cs="Arial"/>
              </w:rPr>
              <w:t>Prepares a budget</w:t>
            </w:r>
          </w:p>
        </w:tc>
        <w:tc>
          <w:tcPr>
            <w:tcW w:w="1102" w:type="dxa"/>
            <w:tcBorders>
              <w:top w:val="nil"/>
              <w:bottom w:val="nil"/>
            </w:tcBorders>
            <w:noWrap/>
            <w:hideMark/>
          </w:tcPr>
          <w:p w14:paraId="1469AD9D" w14:textId="77777777" w:rsidR="00A633F9" w:rsidRPr="00C37B54" w:rsidRDefault="00A633F9" w:rsidP="00EA53B9">
            <w:pPr>
              <w:ind w:right="43"/>
              <w:jc w:val="center"/>
              <w:rPr>
                <w:rFonts w:ascii="Arial" w:hAnsi="Arial" w:cs="Arial"/>
              </w:rPr>
            </w:pPr>
            <w:r w:rsidRPr="00C37B54">
              <w:rPr>
                <w:rFonts w:ascii="Arial" w:hAnsi="Arial" w:cs="Arial"/>
              </w:rPr>
              <w:t>4.38</w:t>
            </w:r>
          </w:p>
        </w:tc>
        <w:tc>
          <w:tcPr>
            <w:tcW w:w="1343" w:type="dxa"/>
            <w:tcBorders>
              <w:top w:val="nil"/>
              <w:bottom w:val="nil"/>
            </w:tcBorders>
            <w:noWrap/>
            <w:hideMark/>
          </w:tcPr>
          <w:p w14:paraId="35360C65" w14:textId="77777777" w:rsidR="00A633F9" w:rsidRPr="00C37B54" w:rsidRDefault="00A633F9" w:rsidP="00EA53B9">
            <w:pPr>
              <w:ind w:right="43"/>
              <w:jc w:val="center"/>
              <w:rPr>
                <w:rFonts w:ascii="Arial" w:hAnsi="Arial" w:cs="Arial"/>
              </w:rPr>
            </w:pPr>
            <w:r w:rsidRPr="00C37B54">
              <w:rPr>
                <w:rFonts w:ascii="Arial" w:hAnsi="Arial" w:cs="Arial"/>
              </w:rPr>
              <w:t>0.58</w:t>
            </w:r>
          </w:p>
        </w:tc>
        <w:tc>
          <w:tcPr>
            <w:tcW w:w="2065" w:type="dxa"/>
            <w:tcBorders>
              <w:top w:val="nil"/>
              <w:bottom w:val="nil"/>
              <w:right w:val="nil"/>
            </w:tcBorders>
            <w:noWrap/>
            <w:hideMark/>
          </w:tcPr>
          <w:p w14:paraId="7586468B"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5655B732" w14:textId="77777777" w:rsidTr="00EA53B9">
        <w:trPr>
          <w:trHeight w:val="20"/>
        </w:trPr>
        <w:tc>
          <w:tcPr>
            <w:tcW w:w="3973" w:type="dxa"/>
            <w:tcBorders>
              <w:top w:val="nil"/>
              <w:left w:val="nil"/>
              <w:bottom w:val="nil"/>
            </w:tcBorders>
          </w:tcPr>
          <w:p w14:paraId="1F21320C" w14:textId="77777777" w:rsidR="00A633F9" w:rsidRPr="00B2502A" w:rsidRDefault="00A633F9" w:rsidP="00EA53B9">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5789C555" w14:textId="77777777" w:rsidR="00A633F9" w:rsidRPr="00B01ACB" w:rsidRDefault="00A633F9" w:rsidP="00EA53B9">
            <w:pPr>
              <w:ind w:right="43"/>
              <w:jc w:val="center"/>
              <w:rPr>
                <w:rFonts w:ascii="Arial" w:hAnsi="Arial" w:cs="Arial"/>
                <w:b/>
                <w:bCs/>
              </w:rPr>
            </w:pPr>
            <w:r w:rsidRPr="00B01ACB">
              <w:rPr>
                <w:rFonts w:ascii="Arial" w:hAnsi="Arial" w:cs="Arial"/>
                <w:b/>
                <w:bCs/>
              </w:rPr>
              <w:t>4.28</w:t>
            </w:r>
          </w:p>
        </w:tc>
        <w:tc>
          <w:tcPr>
            <w:tcW w:w="1343" w:type="dxa"/>
            <w:tcBorders>
              <w:top w:val="nil"/>
              <w:bottom w:val="nil"/>
            </w:tcBorders>
            <w:noWrap/>
          </w:tcPr>
          <w:p w14:paraId="5B6438F3" w14:textId="77777777" w:rsidR="00A633F9" w:rsidRPr="00B01ACB" w:rsidRDefault="00A633F9" w:rsidP="00EA53B9">
            <w:pPr>
              <w:ind w:right="43"/>
              <w:jc w:val="center"/>
              <w:rPr>
                <w:rFonts w:ascii="Arial" w:hAnsi="Arial" w:cs="Arial"/>
                <w:b/>
                <w:bCs/>
              </w:rPr>
            </w:pPr>
            <w:r w:rsidRPr="00B01ACB">
              <w:rPr>
                <w:rFonts w:ascii="Arial" w:hAnsi="Arial" w:cs="Arial"/>
                <w:b/>
                <w:bCs/>
              </w:rPr>
              <w:t>0.35</w:t>
            </w:r>
          </w:p>
        </w:tc>
        <w:tc>
          <w:tcPr>
            <w:tcW w:w="2065" w:type="dxa"/>
            <w:tcBorders>
              <w:top w:val="nil"/>
              <w:bottom w:val="nil"/>
              <w:right w:val="nil"/>
            </w:tcBorders>
            <w:noWrap/>
          </w:tcPr>
          <w:p w14:paraId="2EE9B1C6" w14:textId="77777777" w:rsidR="00A633F9" w:rsidRPr="00B01ACB" w:rsidRDefault="00A633F9" w:rsidP="00EA53B9">
            <w:pPr>
              <w:ind w:right="43"/>
              <w:jc w:val="center"/>
              <w:rPr>
                <w:rFonts w:ascii="Arial" w:hAnsi="Arial" w:cs="Arial"/>
                <w:b/>
                <w:bCs/>
              </w:rPr>
            </w:pPr>
            <w:r w:rsidRPr="00B01ACB">
              <w:rPr>
                <w:rFonts w:ascii="Arial" w:hAnsi="Arial" w:cs="Arial"/>
                <w:b/>
                <w:bCs/>
              </w:rPr>
              <w:t>Very High</w:t>
            </w:r>
          </w:p>
        </w:tc>
      </w:tr>
      <w:tr w:rsidR="00A633F9" w:rsidRPr="00C37B54" w14:paraId="057E93D1" w14:textId="77777777" w:rsidTr="00EA53B9">
        <w:trPr>
          <w:trHeight w:val="20"/>
        </w:trPr>
        <w:tc>
          <w:tcPr>
            <w:tcW w:w="3973" w:type="dxa"/>
            <w:tcBorders>
              <w:top w:val="nil"/>
              <w:left w:val="nil"/>
              <w:bottom w:val="nil"/>
            </w:tcBorders>
            <w:hideMark/>
          </w:tcPr>
          <w:p w14:paraId="3161D0D5" w14:textId="77777777" w:rsidR="00A633F9" w:rsidRPr="00C52A7A" w:rsidRDefault="00A633F9" w:rsidP="00EA53B9">
            <w:pPr>
              <w:ind w:right="43"/>
              <w:jc w:val="both"/>
              <w:rPr>
                <w:rFonts w:ascii="Arial" w:hAnsi="Arial" w:cs="Arial"/>
                <w:b/>
                <w:bCs/>
              </w:rPr>
            </w:pPr>
            <w:r w:rsidRPr="00C52A7A">
              <w:rPr>
                <w:rFonts w:ascii="Arial" w:hAnsi="Arial" w:cs="Arial"/>
                <w:b/>
                <w:bCs/>
              </w:rPr>
              <w:t>B. Financing Decision</w:t>
            </w:r>
          </w:p>
        </w:tc>
        <w:tc>
          <w:tcPr>
            <w:tcW w:w="1102" w:type="dxa"/>
            <w:tcBorders>
              <w:top w:val="nil"/>
              <w:bottom w:val="nil"/>
            </w:tcBorders>
            <w:noWrap/>
            <w:hideMark/>
          </w:tcPr>
          <w:p w14:paraId="109542CA" w14:textId="77777777" w:rsidR="00A633F9" w:rsidRPr="00C37B54" w:rsidRDefault="00A633F9" w:rsidP="00EA53B9">
            <w:pPr>
              <w:ind w:right="43"/>
              <w:jc w:val="center"/>
              <w:rPr>
                <w:rFonts w:ascii="Arial" w:hAnsi="Arial" w:cs="Arial"/>
              </w:rPr>
            </w:pPr>
          </w:p>
        </w:tc>
        <w:tc>
          <w:tcPr>
            <w:tcW w:w="1343" w:type="dxa"/>
            <w:tcBorders>
              <w:top w:val="nil"/>
              <w:bottom w:val="nil"/>
            </w:tcBorders>
            <w:noWrap/>
            <w:hideMark/>
          </w:tcPr>
          <w:p w14:paraId="492FF6D4" w14:textId="77777777" w:rsidR="00A633F9" w:rsidRPr="00C37B54" w:rsidRDefault="00A633F9" w:rsidP="00EA53B9">
            <w:pPr>
              <w:ind w:right="43"/>
              <w:jc w:val="center"/>
              <w:rPr>
                <w:rFonts w:ascii="Arial" w:hAnsi="Arial" w:cs="Arial"/>
              </w:rPr>
            </w:pPr>
          </w:p>
        </w:tc>
        <w:tc>
          <w:tcPr>
            <w:tcW w:w="2065" w:type="dxa"/>
            <w:tcBorders>
              <w:top w:val="nil"/>
              <w:bottom w:val="nil"/>
              <w:right w:val="nil"/>
            </w:tcBorders>
            <w:noWrap/>
            <w:hideMark/>
          </w:tcPr>
          <w:p w14:paraId="501D0CBD" w14:textId="77777777" w:rsidR="00A633F9" w:rsidRPr="00C37B54" w:rsidRDefault="00A633F9" w:rsidP="00EA53B9">
            <w:pPr>
              <w:ind w:right="43"/>
              <w:jc w:val="center"/>
              <w:rPr>
                <w:rFonts w:ascii="Arial" w:hAnsi="Arial" w:cs="Arial"/>
              </w:rPr>
            </w:pPr>
          </w:p>
        </w:tc>
      </w:tr>
      <w:tr w:rsidR="00A633F9" w:rsidRPr="00C37B54" w14:paraId="5B12AA3F" w14:textId="77777777" w:rsidTr="00EA53B9">
        <w:trPr>
          <w:trHeight w:val="20"/>
        </w:trPr>
        <w:tc>
          <w:tcPr>
            <w:tcW w:w="3973" w:type="dxa"/>
            <w:tcBorders>
              <w:top w:val="nil"/>
              <w:left w:val="nil"/>
              <w:bottom w:val="nil"/>
            </w:tcBorders>
            <w:hideMark/>
          </w:tcPr>
          <w:p w14:paraId="63F974A4" w14:textId="77777777" w:rsidR="00A633F9" w:rsidRPr="00C37B54" w:rsidRDefault="00A633F9" w:rsidP="00EA53B9">
            <w:pPr>
              <w:ind w:right="43"/>
              <w:jc w:val="both"/>
              <w:rPr>
                <w:rFonts w:ascii="Arial" w:hAnsi="Arial" w:cs="Arial"/>
              </w:rPr>
            </w:pPr>
            <w:r w:rsidRPr="00B2502A">
              <w:rPr>
                <w:rFonts w:ascii="Arial" w:hAnsi="Arial" w:cs="Arial"/>
              </w:rPr>
              <w:t>Borrows funds from banks and other financial institutions</w:t>
            </w:r>
          </w:p>
        </w:tc>
        <w:tc>
          <w:tcPr>
            <w:tcW w:w="1102" w:type="dxa"/>
            <w:tcBorders>
              <w:top w:val="nil"/>
              <w:bottom w:val="nil"/>
            </w:tcBorders>
            <w:noWrap/>
            <w:hideMark/>
          </w:tcPr>
          <w:p w14:paraId="73FCAEDC" w14:textId="77777777" w:rsidR="00A633F9" w:rsidRPr="00C37B54" w:rsidRDefault="00A633F9" w:rsidP="00EA53B9">
            <w:pPr>
              <w:ind w:right="43"/>
              <w:jc w:val="center"/>
              <w:rPr>
                <w:rFonts w:ascii="Arial" w:hAnsi="Arial" w:cs="Arial"/>
              </w:rPr>
            </w:pPr>
            <w:r w:rsidRPr="00C37B54">
              <w:rPr>
                <w:rFonts w:ascii="Arial" w:hAnsi="Arial" w:cs="Arial"/>
              </w:rPr>
              <w:t>4.08</w:t>
            </w:r>
          </w:p>
        </w:tc>
        <w:tc>
          <w:tcPr>
            <w:tcW w:w="1343" w:type="dxa"/>
            <w:tcBorders>
              <w:top w:val="nil"/>
              <w:bottom w:val="nil"/>
            </w:tcBorders>
            <w:noWrap/>
            <w:hideMark/>
          </w:tcPr>
          <w:p w14:paraId="3FCD34B8" w14:textId="77777777" w:rsidR="00A633F9" w:rsidRPr="00C37B54" w:rsidRDefault="00A633F9" w:rsidP="00EA53B9">
            <w:pPr>
              <w:ind w:right="43"/>
              <w:jc w:val="center"/>
              <w:rPr>
                <w:rFonts w:ascii="Arial" w:hAnsi="Arial" w:cs="Arial"/>
              </w:rPr>
            </w:pPr>
            <w:r w:rsidRPr="00C37B54">
              <w:rPr>
                <w:rFonts w:ascii="Arial" w:hAnsi="Arial" w:cs="Arial"/>
              </w:rPr>
              <w:t>0.55</w:t>
            </w:r>
          </w:p>
        </w:tc>
        <w:tc>
          <w:tcPr>
            <w:tcW w:w="2065" w:type="dxa"/>
            <w:tcBorders>
              <w:top w:val="nil"/>
              <w:bottom w:val="nil"/>
              <w:right w:val="nil"/>
            </w:tcBorders>
            <w:noWrap/>
            <w:hideMark/>
          </w:tcPr>
          <w:p w14:paraId="3E6C47FE" w14:textId="77777777" w:rsidR="00A633F9" w:rsidRPr="00C37B54" w:rsidRDefault="00A633F9" w:rsidP="00EA53B9">
            <w:pPr>
              <w:ind w:right="43"/>
              <w:jc w:val="center"/>
              <w:rPr>
                <w:rFonts w:ascii="Arial" w:hAnsi="Arial" w:cs="Arial"/>
              </w:rPr>
            </w:pPr>
            <w:r w:rsidRPr="004277EE">
              <w:rPr>
                <w:rFonts w:ascii="Arial" w:hAnsi="Arial" w:cs="Arial"/>
              </w:rPr>
              <w:t>High</w:t>
            </w:r>
          </w:p>
        </w:tc>
      </w:tr>
      <w:tr w:rsidR="00A633F9" w:rsidRPr="00C37B54" w14:paraId="5F790791" w14:textId="77777777" w:rsidTr="00EA53B9">
        <w:trPr>
          <w:trHeight w:val="20"/>
        </w:trPr>
        <w:tc>
          <w:tcPr>
            <w:tcW w:w="3973" w:type="dxa"/>
            <w:tcBorders>
              <w:top w:val="nil"/>
              <w:left w:val="nil"/>
              <w:bottom w:val="nil"/>
            </w:tcBorders>
            <w:hideMark/>
          </w:tcPr>
          <w:p w14:paraId="761A1DF5" w14:textId="77777777" w:rsidR="00A633F9" w:rsidRPr="00C37B54" w:rsidRDefault="00A633F9" w:rsidP="00EA53B9">
            <w:pPr>
              <w:ind w:right="43"/>
              <w:jc w:val="both"/>
              <w:rPr>
                <w:rFonts w:ascii="Arial" w:hAnsi="Arial" w:cs="Arial"/>
              </w:rPr>
            </w:pPr>
            <w:r w:rsidRPr="00B2502A">
              <w:rPr>
                <w:rFonts w:ascii="Arial" w:hAnsi="Arial" w:cs="Arial"/>
              </w:rPr>
              <w:t>Receives additional investments/shares from owners</w:t>
            </w:r>
          </w:p>
        </w:tc>
        <w:tc>
          <w:tcPr>
            <w:tcW w:w="1102" w:type="dxa"/>
            <w:tcBorders>
              <w:top w:val="nil"/>
              <w:bottom w:val="nil"/>
            </w:tcBorders>
            <w:noWrap/>
            <w:hideMark/>
          </w:tcPr>
          <w:p w14:paraId="62FC2F7F" w14:textId="77777777" w:rsidR="00A633F9" w:rsidRPr="00C37B54" w:rsidRDefault="00A633F9" w:rsidP="00EA53B9">
            <w:pPr>
              <w:ind w:right="43"/>
              <w:jc w:val="center"/>
              <w:rPr>
                <w:rFonts w:ascii="Arial" w:hAnsi="Arial" w:cs="Arial"/>
              </w:rPr>
            </w:pPr>
            <w:r w:rsidRPr="00C37B54">
              <w:rPr>
                <w:rFonts w:ascii="Arial" w:hAnsi="Arial" w:cs="Arial"/>
              </w:rPr>
              <w:t>4.13</w:t>
            </w:r>
          </w:p>
        </w:tc>
        <w:tc>
          <w:tcPr>
            <w:tcW w:w="1343" w:type="dxa"/>
            <w:tcBorders>
              <w:top w:val="nil"/>
              <w:bottom w:val="nil"/>
            </w:tcBorders>
            <w:noWrap/>
            <w:hideMark/>
          </w:tcPr>
          <w:p w14:paraId="7FB6FFC3" w14:textId="77777777" w:rsidR="00A633F9" w:rsidRPr="00C37B54" w:rsidRDefault="00A633F9" w:rsidP="00EA53B9">
            <w:pPr>
              <w:ind w:right="43"/>
              <w:jc w:val="center"/>
              <w:rPr>
                <w:rFonts w:ascii="Arial" w:hAnsi="Arial" w:cs="Arial"/>
              </w:rPr>
            </w:pPr>
            <w:r w:rsidRPr="00C37B54">
              <w:rPr>
                <w:rFonts w:ascii="Arial" w:hAnsi="Arial" w:cs="Arial"/>
              </w:rPr>
              <w:t>0.51</w:t>
            </w:r>
          </w:p>
        </w:tc>
        <w:tc>
          <w:tcPr>
            <w:tcW w:w="2065" w:type="dxa"/>
            <w:tcBorders>
              <w:top w:val="nil"/>
              <w:bottom w:val="nil"/>
              <w:right w:val="nil"/>
            </w:tcBorders>
            <w:noWrap/>
            <w:hideMark/>
          </w:tcPr>
          <w:p w14:paraId="2A7ED9DF" w14:textId="77777777" w:rsidR="00A633F9" w:rsidRPr="00C37B54" w:rsidRDefault="00A633F9" w:rsidP="00EA53B9">
            <w:pPr>
              <w:ind w:right="43"/>
              <w:jc w:val="center"/>
              <w:rPr>
                <w:rFonts w:ascii="Arial" w:hAnsi="Arial" w:cs="Arial"/>
              </w:rPr>
            </w:pPr>
            <w:r w:rsidRPr="004277EE">
              <w:rPr>
                <w:rFonts w:ascii="Arial" w:hAnsi="Arial" w:cs="Arial"/>
              </w:rPr>
              <w:t>High</w:t>
            </w:r>
          </w:p>
        </w:tc>
      </w:tr>
      <w:tr w:rsidR="00A633F9" w:rsidRPr="00C37B54" w14:paraId="1A2936A8" w14:textId="77777777" w:rsidTr="00EA53B9">
        <w:trPr>
          <w:trHeight w:val="20"/>
        </w:trPr>
        <w:tc>
          <w:tcPr>
            <w:tcW w:w="3973" w:type="dxa"/>
            <w:tcBorders>
              <w:top w:val="nil"/>
              <w:left w:val="nil"/>
              <w:bottom w:val="nil"/>
            </w:tcBorders>
            <w:hideMark/>
          </w:tcPr>
          <w:p w14:paraId="4124316C" w14:textId="77777777" w:rsidR="00A633F9" w:rsidRPr="00C37B54" w:rsidRDefault="00A633F9" w:rsidP="00EA53B9">
            <w:pPr>
              <w:ind w:right="43"/>
              <w:jc w:val="both"/>
              <w:rPr>
                <w:rFonts w:ascii="Arial" w:hAnsi="Arial" w:cs="Arial"/>
              </w:rPr>
            </w:pPr>
            <w:r w:rsidRPr="00B2502A">
              <w:rPr>
                <w:rFonts w:ascii="Arial" w:hAnsi="Arial" w:cs="Arial"/>
              </w:rPr>
              <w:t>Controls costs and expenses</w:t>
            </w:r>
          </w:p>
        </w:tc>
        <w:tc>
          <w:tcPr>
            <w:tcW w:w="1102" w:type="dxa"/>
            <w:tcBorders>
              <w:top w:val="nil"/>
              <w:bottom w:val="nil"/>
            </w:tcBorders>
            <w:noWrap/>
            <w:hideMark/>
          </w:tcPr>
          <w:p w14:paraId="2488DDB8" w14:textId="77777777" w:rsidR="00A633F9" w:rsidRPr="00C37B54" w:rsidRDefault="00A633F9" w:rsidP="00EA53B9">
            <w:pPr>
              <w:ind w:right="43"/>
              <w:jc w:val="center"/>
              <w:rPr>
                <w:rFonts w:ascii="Arial" w:hAnsi="Arial" w:cs="Arial"/>
              </w:rPr>
            </w:pPr>
            <w:r w:rsidRPr="00C37B54">
              <w:rPr>
                <w:rFonts w:ascii="Arial" w:hAnsi="Arial" w:cs="Arial"/>
              </w:rPr>
              <w:t>4.24</w:t>
            </w:r>
          </w:p>
        </w:tc>
        <w:tc>
          <w:tcPr>
            <w:tcW w:w="1343" w:type="dxa"/>
            <w:tcBorders>
              <w:top w:val="nil"/>
              <w:bottom w:val="nil"/>
            </w:tcBorders>
            <w:noWrap/>
            <w:hideMark/>
          </w:tcPr>
          <w:p w14:paraId="31AE9B62" w14:textId="77777777" w:rsidR="00A633F9" w:rsidRPr="00C37B54" w:rsidRDefault="00A633F9" w:rsidP="00EA53B9">
            <w:pPr>
              <w:ind w:right="43"/>
              <w:jc w:val="center"/>
              <w:rPr>
                <w:rFonts w:ascii="Arial" w:hAnsi="Arial" w:cs="Arial"/>
              </w:rPr>
            </w:pPr>
            <w:r w:rsidRPr="00C37B54">
              <w:rPr>
                <w:rFonts w:ascii="Arial" w:hAnsi="Arial" w:cs="Arial"/>
              </w:rPr>
              <w:t>0.50</w:t>
            </w:r>
          </w:p>
        </w:tc>
        <w:tc>
          <w:tcPr>
            <w:tcW w:w="2065" w:type="dxa"/>
            <w:tcBorders>
              <w:top w:val="nil"/>
              <w:bottom w:val="nil"/>
              <w:right w:val="nil"/>
            </w:tcBorders>
            <w:noWrap/>
            <w:hideMark/>
          </w:tcPr>
          <w:p w14:paraId="128BD9A4"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4B57FDC0" w14:textId="77777777" w:rsidTr="00EA53B9">
        <w:trPr>
          <w:trHeight w:val="20"/>
        </w:trPr>
        <w:tc>
          <w:tcPr>
            <w:tcW w:w="3973" w:type="dxa"/>
            <w:tcBorders>
              <w:top w:val="nil"/>
              <w:left w:val="nil"/>
              <w:bottom w:val="nil"/>
            </w:tcBorders>
            <w:hideMark/>
          </w:tcPr>
          <w:p w14:paraId="3A2288D9" w14:textId="77777777" w:rsidR="00A633F9" w:rsidRPr="00C37B54" w:rsidRDefault="00A633F9" w:rsidP="00EA53B9">
            <w:pPr>
              <w:ind w:right="43"/>
              <w:jc w:val="both"/>
              <w:rPr>
                <w:rFonts w:ascii="Arial" w:hAnsi="Arial" w:cs="Arial"/>
              </w:rPr>
            </w:pPr>
            <w:r w:rsidRPr="00B2502A">
              <w:rPr>
                <w:rFonts w:ascii="Arial" w:hAnsi="Arial" w:cs="Arial"/>
              </w:rPr>
              <w:t>Avail of purchase discount</w:t>
            </w:r>
          </w:p>
        </w:tc>
        <w:tc>
          <w:tcPr>
            <w:tcW w:w="1102" w:type="dxa"/>
            <w:tcBorders>
              <w:top w:val="nil"/>
              <w:bottom w:val="nil"/>
            </w:tcBorders>
            <w:noWrap/>
            <w:hideMark/>
          </w:tcPr>
          <w:p w14:paraId="59E8C10D" w14:textId="77777777" w:rsidR="00A633F9" w:rsidRPr="00C37B54" w:rsidRDefault="00A633F9" w:rsidP="00EA53B9">
            <w:pPr>
              <w:ind w:right="43"/>
              <w:jc w:val="center"/>
              <w:rPr>
                <w:rFonts w:ascii="Arial" w:hAnsi="Arial" w:cs="Arial"/>
              </w:rPr>
            </w:pPr>
            <w:r w:rsidRPr="00C37B54">
              <w:rPr>
                <w:rFonts w:ascii="Arial" w:hAnsi="Arial" w:cs="Arial"/>
              </w:rPr>
              <w:t>4.13</w:t>
            </w:r>
          </w:p>
        </w:tc>
        <w:tc>
          <w:tcPr>
            <w:tcW w:w="1343" w:type="dxa"/>
            <w:tcBorders>
              <w:top w:val="nil"/>
              <w:bottom w:val="nil"/>
            </w:tcBorders>
            <w:noWrap/>
            <w:hideMark/>
          </w:tcPr>
          <w:p w14:paraId="5142EFDB" w14:textId="77777777" w:rsidR="00A633F9" w:rsidRPr="00C37B54" w:rsidRDefault="00A633F9" w:rsidP="00EA53B9">
            <w:pPr>
              <w:ind w:right="43"/>
              <w:jc w:val="center"/>
              <w:rPr>
                <w:rFonts w:ascii="Arial" w:hAnsi="Arial" w:cs="Arial"/>
              </w:rPr>
            </w:pPr>
            <w:r w:rsidRPr="00C37B54">
              <w:rPr>
                <w:rFonts w:ascii="Arial" w:hAnsi="Arial" w:cs="Arial"/>
              </w:rPr>
              <w:t>0.57</w:t>
            </w:r>
          </w:p>
        </w:tc>
        <w:tc>
          <w:tcPr>
            <w:tcW w:w="2065" w:type="dxa"/>
            <w:tcBorders>
              <w:top w:val="nil"/>
              <w:bottom w:val="nil"/>
              <w:right w:val="nil"/>
            </w:tcBorders>
            <w:noWrap/>
            <w:hideMark/>
          </w:tcPr>
          <w:p w14:paraId="0FF88020" w14:textId="77777777" w:rsidR="00A633F9" w:rsidRPr="00C37B54" w:rsidRDefault="00A633F9" w:rsidP="00EA53B9">
            <w:pPr>
              <w:ind w:right="43"/>
              <w:jc w:val="center"/>
              <w:rPr>
                <w:rFonts w:ascii="Arial" w:hAnsi="Arial" w:cs="Arial"/>
              </w:rPr>
            </w:pPr>
            <w:r w:rsidRPr="004277EE">
              <w:rPr>
                <w:rFonts w:ascii="Arial" w:hAnsi="Arial" w:cs="Arial"/>
              </w:rPr>
              <w:t>High</w:t>
            </w:r>
          </w:p>
        </w:tc>
      </w:tr>
      <w:tr w:rsidR="00A633F9" w:rsidRPr="00C37B54" w14:paraId="23A583C3" w14:textId="77777777" w:rsidTr="00EA53B9">
        <w:trPr>
          <w:trHeight w:val="20"/>
        </w:trPr>
        <w:tc>
          <w:tcPr>
            <w:tcW w:w="3973" w:type="dxa"/>
            <w:tcBorders>
              <w:top w:val="nil"/>
              <w:left w:val="nil"/>
              <w:bottom w:val="nil"/>
            </w:tcBorders>
            <w:hideMark/>
          </w:tcPr>
          <w:p w14:paraId="09AE9C73" w14:textId="77777777" w:rsidR="00A633F9" w:rsidRPr="00C37B54" w:rsidRDefault="00A633F9" w:rsidP="00EA53B9">
            <w:pPr>
              <w:ind w:right="43"/>
              <w:jc w:val="both"/>
              <w:rPr>
                <w:rFonts w:ascii="Arial" w:hAnsi="Arial" w:cs="Arial"/>
              </w:rPr>
            </w:pPr>
            <w:r w:rsidRPr="00B2502A">
              <w:rPr>
                <w:rFonts w:ascii="Arial" w:hAnsi="Arial" w:cs="Arial"/>
              </w:rPr>
              <w:t>Insures workers</w:t>
            </w:r>
          </w:p>
        </w:tc>
        <w:tc>
          <w:tcPr>
            <w:tcW w:w="1102" w:type="dxa"/>
            <w:tcBorders>
              <w:top w:val="nil"/>
              <w:bottom w:val="nil"/>
            </w:tcBorders>
            <w:noWrap/>
            <w:hideMark/>
          </w:tcPr>
          <w:p w14:paraId="0AB49842" w14:textId="77777777" w:rsidR="00A633F9" w:rsidRPr="00C37B54" w:rsidRDefault="00A633F9" w:rsidP="00EA53B9">
            <w:pPr>
              <w:ind w:right="43"/>
              <w:jc w:val="center"/>
              <w:rPr>
                <w:rFonts w:ascii="Arial" w:hAnsi="Arial" w:cs="Arial"/>
              </w:rPr>
            </w:pPr>
            <w:r w:rsidRPr="00C37B54">
              <w:rPr>
                <w:rFonts w:ascii="Arial" w:hAnsi="Arial" w:cs="Arial"/>
              </w:rPr>
              <w:t>4.32</w:t>
            </w:r>
          </w:p>
        </w:tc>
        <w:tc>
          <w:tcPr>
            <w:tcW w:w="1343" w:type="dxa"/>
            <w:tcBorders>
              <w:top w:val="nil"/>
              <w:bottom w:val="nil"/>
            </w:tcBorders>
            <w:noWrap/>
            <w:hideMark/>
          </w:tcPr>
          <w:p w14:paraId="4D41E375" w14:textId="77777777" w:rsidR="00A633F9" w:rsidRPr="00C37B54" w:rsidRDefault="00A633F9" w:rsidP="00EA53B9">
            <w:pPr>
              <w:ind w:right="43"/>
              <w:jc w:val="center"/>
              <w:rPr>
                <w:rFonts w:ascii="Arial" w:hAnsi="Arial" w:cs="Arial"/>
              </w:rPr>
            </w:pPr>
            <w:r w:rsidRPr="00C37B54">
              <w:rPr>
                <w:rFonts w:ascii="Arial" w:hAnsi="Arial" w:cs="Arial"/>
              </w:rPr>
              <w:t>0.56</w:t>
            </w:r>
          </w:p>
        </w:tc>
        <w:tc>
          <w:tcPr>
            <w:tcW w:w="2065" w:type="dxa"/>
            <w:tcBorders>
              <w:top w:val="nil"/>
              <w:bottom w:val="nil"/>
              <w:right w:val="nil"/>
            </w:tcBorders>
            <w:noWrap/>
            <w:hideMark/>
          </w:tcPr>
          <w:p w14:paraId="73BFE448"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16B45865" w14:textId="77777777" w:rsidTr="00EA53B9">
        <w:trPr>
          <w:trHeight w:val="20"/>
        </w:trPr>
        <w:tc>
          <w:tcPr>
            <w:tcW w:w="3973" w:type="dxa"/>
            <w:tcBorders>
              <w:top w:val="nil"/>
              <w:left w:val="nil"/>
              <w:bottom w:val="nil"/>
            </w:tcBorders>
            <w:hideMark/>
          </w:tcPr>
          <w:p w14:paraId="1FBC8F02" w14:textId="77777777" w:rsidR="00A633F9" w:rsidRPr="00C37B54" w:rsidRDefault="00A633F9" w:rsidP="00EA53B9">
            <w:pPr>
              <w:ind w:right="43"/>
              <w:jc w:val="both"/>
              <w:rPr>
                <w:rFonts w:ascii="Arial" w:hAnsi="Arial" w:cs="Arial"/>
              </w:rPr>
            </w:pPr>
            <w:r w:rsidRPr="00B2502A">
              <w:rPr>
                <w:rFonts w:ascii="Arial" w:hAnsi="Arial" w:cs="Arial"/>
              </w:rPr>
              <w:t>Insures properties</w:t>
            </w:r>
          </w:p>
        </w:tc>
        <w:tc>
          <w:tcPr>
            <w:tcW w:w="1102" w:type="dxa"/>
            <w:tcBorders>
              <w:top w:val="nil"/>
              <w:bottom w:val="nil"/>
            </w:tcBorders>
            <w:noWrap/>
            <w:hideMark/>
          </w:tcPr>
          <w:p w14:paraId="1FC6F7ED" w14:textId="77777777" w:rsidR="00A633F9" w:rsidRPr="00C37B54" w:rsidRDefault="00A633F9" w:rsidP="00EA53B9">
            <w:pPr>
              <w:ind w:right="43"/>
              <w:jc w:val="center"/>
              <w:rPr>
                <w:rFonts w:ascii="Arial" w:hAnsi="Arial" w:cs="Arial"/>
              </w:rPr>
            </w:pPr>
            <w:r w:rsidRPr="00C37B54">
              <w:rPr>
                <w:rFonts w:ascii="Arial" w:hAnsi="Arial" w:cs="Arial"/>
              </w:rPr>
              <w:t>4.31</w:t>
            </w:r>
          </w:p>
        </w:tc>
        <w:tc>
          <w:tcPr>
            <w:tcW w:w="1343" w:type="dxa"/>
            <w:tcBorders>
              <w:top w:val="nil"/>
              <w:bottom w:val="nil"/>
            </w:tcBorders>
            <w:noWrap/>
            <w:hideMark/>
          </w:tcPr>
          <w:p w14:paraId="2F21FB6B" w14:textId="77777777" w:rsidR="00A633F9" w:rsidRPr="00C37B54" w:rsidRDefault="00A633F9" w:rsidP="00EA53B9">
            <w:pPr>
              <w:ind w:right="43"/>
              <w:jc w:val="center"/>
              <w:rPr>
                <w:rFonts w:ascii="Arial" w:hAnsi="Arial" w:cs="Arial"/>
              </w:rPr>
            </w:pPr>
            <w:r w:rsidRPr="00C37B54">
              <w:rPr>
                <w:rFonts w:ascii="Arial" w:hAnsi="Arial" w:cs="Arial"/>
              </w:rPr>
              <w:t>0.53</w:t>
            </w:r>
          </w:p>
        </w:tc>
        <w:tc>
          <w:tcPr>
            <w:tcW w:w="2065" w:type="dxa"/>
            <w:tcBorders>
              <w:top w:val="nil"/>
              <w:bottom w:val="nil"/>
              <w:right w:val="nil"/>
            </w:tcBorders>
            <w:noWrap/>
            <w:hideMark/>
          </w:tcPr>
          <w:p w14:paraId="45B6F3D0"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1F4E2578" w14:textId="77777777" w:rsidTr="00EA53B9">
        <w:trPr>
          <w:trHeight w:val="20"/>
        </w:trPr>
        <w:tc>
          <w:tcPr>
            <w:tcW w:w="3973" w:type="dxa"/>
            <w:tcBorders>
              <w:top w:val="nil"/>
              <w:left w:val="nil"/>
              <w:bottom w:val="nil"/>
            </w:tcBorders>
          </w:tcPr>
          <w:p w14:paraId="1FAFC866" w14:textId="77777777" w:rsidR="00A633F9" w:rsidRPr="00B2502A" w:rsidRDefault="00A633F9" w:rsidP="00EA53B9">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35A7C341" w14:textId="77777777" w:rsidR="00A633F9" w:rsidRPr="00B01ACB" w:rsidRDefault="00A633F9" w:rsidP="00EA53B9">
            <w:pPr>
              <w:ind w:right="43"/>
              <w:jc w:val="center"/>
              <w:rPr>
                <w:rFonts w:ascii="Arial" w:hAnsi="Arial" w:cs="Arial"/>
                <w:b/>
                <w:bCs/>
              </w:rPr>
            </w:pPr>
            <w:r w:rsidRPr="00B01ACB">
              <w:rPr>
                <w:rFonts w:ascii="Arial" w:hAnsi="Arial" w:cs="Arial"/>
                <w:b/>
                <w:bCs/>
              </w:rPr>
              <w:t>4.20</w:t>
            </w:r>
          </w:p>
        </w:tc>
        <w:tc>
          <w:tcPr>
            <w:tcW w:w="1343" w:type="dxa"/>
            <w:tcBorders>
              <w:top w:val="nil"/>
              <w:bottom w:val="nil"/>
            </w:tcBorders>
            <w:noWrap/>
          </w:tcPr>
          <w:p w14:paraId="7FFA520D" w14:textId="77777777" w:rsidR="00A633F9" w:rsidRPr="00B01ACB" w:rsidRDefault="00A633F9" w:rsidP="00EA53B9">
            <w:pPr>
              <w:ind w:right="43"/>
              <w:jc w:val="center"/>
              <w:rPr>
                <w:rFonts w:ascii="Arial" w:hAnsi="Arial" w:cs="Arial"/>
                <w:b/>
                <w:bCs/>
              </w:rPr>
            </w:pPr>
            <w:r w:rsidRPr="00B01ACB">
              <w:rPr>
                <w:rFonts w:ascii="Arial" w:hAnsi="Arial" w:cs="Arial"/>
                <w:b/>
                <w:bCs/>
              </w:rPr>
              <w:t>0.33</w:t>
            </w:r>
          </w:p>
        </w:tc>
        <w:tc>
          <w:tcPr>
            <w:tcW w:w="2065" w:type="dxa"/>
            <w:tcBorders>
              <w:top w:val="nil"/>
              <w:bottom w:val="nil"/>
              <w:right w:val="nil"/>
            </w:tcBorders>
            <w:noWrap/>
          </w:tcPr>
          <w:p w14:paraId="412ABAD4" w14:textId="77777777" w:rsidR="00A633F9" w:rsidRPr="00B01ACB" w:rsidRDefault="00A633F9" w:rsidP="00EA53B9">
            <w:pPr>
              <w:ind w:right="43"/>
              <w:jc w:val="center"/>
              <w:rPr>
                <w:rFonts w:ascii="Arial" w:hAnsi="Arial" w:cs="Arial"/>
                <w:b/>
                <w:bCs/>
              </w:rPr>
            </w:pPr>
            <w:r w:rsidRPr="00B01ACB">
              <w:rPr>
                <w:rFonts w:ascii="Arial" w:hAnsi="Arial" w:cs="Arial"/>
                <w:b/>
                <w:bCs/>
              </w:rPr>
              <w:t>Very High</w:t>
            </w:r>
          </w:p>
        </w:tc>
      </w:tr>
      <w:tr w:rsidR="00A633F9" w:rsidRPr="00C37B54" w14:paraId="17C249F9" w14:textId="77777777" w:rsidTr="00EA53B9">
        <w:trPr>
          <w:trHeight w:val="20"/>
        </w:trPr>
        <w:tc>
          <w:tcPr>
            <w:tcW w:w="3973" w:type="dxa"/>
            <w:tcBorders>
              <w:top w:val="nil"/>
              <w:left w:val="nil"/>
              <w:bottom w:val="nil"/>
            </w:tcBorders>
            <w:hideMark/>
          </w:tcPr>
          <w:p w14:paraId="140026E4" w14:textId="77777777" w:rsidR="00A633F9" w:rsidRPr="00C52A7A" w:rsidRDefault="00A633F9" w:rsidP="00EA53B9">
            <w:pPr>
              <w:ind w:right="43"/>
              <w:jc w:val="both"/>
              <w:rPr>
                <w:rFonts w:ascii="Arial" w:hAnsi="Arial" w:cs="Arial"/>
                <w:b/>
                <w:bCs/>
              </w:rPr>
            </w:pPr>
            <w:r w:rsidRPr="00C52A7A">
              <w:rPr>
                <w:rFonts w:ascii="Arial" w:hAnsi="Arial" w:cs="Arial"/>
                <w:b/>
                <w:bCs/>
              </w:rPr>
              <w:t>C. Working Capital Management</w:t>
            </w:r>
          </w:p>
        </w:tc>
        <w:tc>
          <w:tcPr>
            <w:tcW w:w="1102" w:type="dxa"/>
            <w:tcBorders>
              <w:top w:val="nil"/>
              <w:bottom w:val="nil"/>
            </w:tcBorders>
            <w:noWrap/>
            <w:hideMark/>
          </w:tcPr>
          <w:p w14:paraId="64E0B871" w14:textId="77777777" w:rsidR="00A633F9" w:rsidRPr="00C37B54" w:rsidRDefault="00A633F9" w:rsidP="00EA53B9">
            <w:pPr>
              <w:ind w:right="43"/>
              <w:jc w:val="center"/>
              <w:rPr>
                <w:rFonts w:ascii="Arial" w:hAnsi="Arial" w:cs="Arial"/>
              </w:rPr>
            </w:pPr>
          </w:p>
        </w:tc>
        <w:tc>
          <w:tcPr>
            <w:tcW w:w="1343" w:type="dxa"/>
            <w:tcBorders>
              <w:top w:val="nil"/>
              <w:bottom w:val="nil"/>
            </w:tcBorders>
            <w:noWrap/>
            <w:hideMark/>
          </w:tcPr>
          <w:p w14:paraId="1C10A90F" w14:textId="77777777" w:rsidR="00A633F9" w:rsidRPr="00C37B54" w:rsidRDefault="00A633F9" w:rsidP="00EA53B9">
            <w:pPr>
              <w:ind w:right="43"/>
              <w:jc w:val="center"/>
              <w:rPr>
                <w:rFonts w:ascii="Arial" w:hAnsi="Arial" w:cs="Arial"/>
              </w:rPr>
            </w:pPr>
          </w:p>
        </w:tc>
        <w:tc>
          <w:tcPr>
            <w:tcW w:w="2065" w:type="dxa"/>
            <w:tcBorders>
              <w:top w:val="nil"/>
              <w:bottom w:val="nil"/>
              <w:right w:val="nil"/>
            </w:tcBorders>
            <w:noWrap/>
            <w:hideMark/>
          </w:tcPr>
          <w:p w14:paraId="46326E67" w14:textId="77777777" w:rsidR="00A633F9" w:rsidRPr="00C37B54" w:rsidRDefault="00A633F9" w:rsidP="00EA53B9">
            <w:pPr>
              <w:ind w:right="43"/>
              <w:jc w:val="center"/>
              <w:rPr>
                <w:rFonts w:ascii="Arial" w:hAnsi="Arial" w:cs="Arial"/>
              </w:rPr>
            </w:pPr>
          </w:p>
        </w:tc>
      </w:tr>
      <w:tr w:rsidR="00A633F9" w:rsidRPr="00C37B54" w14:paraId="34A33C99" w14:textId="77777777" w:rsidTr="00EA53B9">
        <w:trPr>
          <w:trHeight w:val="20"/>
        </w:trPr>
        <w:tc>
          <w:tcPr>
            <w:tcW w:w="3973" w:type="dxa"/>
            <w:tcBorders>
              <w:top w:val="nil"/>
              <w:left w:val="nil"/>
              <w:bottom w:val="nil"/>
            </w:tcBorders>
            <w:hideMark/>
          </w:tcPr>
          <w:p w14:paraId="139CA628" w14:textId="77777777" w:rsidR="00A633F9" w:rsidRPr="00C37B54" w:rsidRDefault="00A633F9" w:rsidP="00EA53B9">
            <w:pPr>
              <w:ind w:right="43"/>
              <w:jc w:val="both"/>
              <w:rPr>
                <w:rFonts w:ascii="Arial" w:hAnsi="Arial" w:cs="Arial"/>
              </w:rPr>
            </w:pPr>
            <w:r w:rsidRPr="00B2502A">
              <w:rPr>
                <w:rFonts w:ascii="Arial" w:hAnsi="Arial" w:cs="Arial"/>
              </w:rPr>
              <w:t>Maintains ready cash for the payment of expenses</w:t>
            </w:r>
          </w:p>
        </w:tc>
        <w:tc>
          <w:tcPr>
            <w:tcW w:w="1102" w:type="dxa"/>
            <w:tcBorders>
              <w:top w:val="nil"/>
              <w:bottom w:val="nil"/>
            </w:tcBorders>
            <w:noWrap/>
            <w:hideMark/>
          </w:tcPr>
          <w:p w14:paraId="7B9F180E" w14:textId="77777777" w:rsidR="00A633F9" w:rsidRPr="00C37B54" w:rsidRDefault="00A633F9" w:rsidP="00EA53B9">
            <w:pPr>
              <w:ind w:right="43"/>
              <w:jc w:val="center"/>
              <w:rPr>
                <w:rFonts w:ascii="Arial" w:hAnsi="Arial" w:cs="Arial"/>
              </w:rPr>
            </w:pPr>
            <w:r w:rsidRPr="00C37B54">
              <w:rPr>
                <w:rFonts w:ascii="Arial" w:hAnsi="Arial" w:cs="Arial"/>
              </w:rPr>
              <w:t>4.27</w:t>
            </w:r>
          </w:p>
        </w:tc>
        <w:tc>
          <w:tcPr>
            <w:tcW w:w="1343" w:type="dxa"/>
            <w:tcBorders>
              <w:top w:val="nil"/>
              <w:bottom w:val="nil"/>
            </w:tcBorders>
            <w:noWrap/>
            <w:hideMark/>
          </w:tcPr>
          <w:p w14:paraId="216AD4E3" w14:textId="77777777" w:rsidR="00A633F9" w:rsidRPr="00C37B54" w:rsidRDefault="00A633F9" w:rsidP="00EA53B9">
            <w:pPr>
              <w:ind w:right="43"/>
              <w:jc w:val="center"/>
              <w:rPr>
                <w:rFonts w:ascii="Arial" w:hAnsi="Arial" w:cs="Arial"/>
              </w:rPr>
            </w:pPr>
            <w:r w:rsidRPr="00C37B54">
              <w:rPr>
                <w:rFonts w:ascii="Arial" w:hAnsi="Arial" w:cs="Arial"/>
              </w:rPr>
              <w:t>0.55</w:t>
            </w:r>
          </w:p>
        </w:tc>
        <w:tc>
          <w:tcPr>
            <w:tcW w:w="2065" w:type="dxa"/>
            <w:tcBorders>
              <w:top w:val="nil"/>
              <w:bottom w:val="nil"/>
              <w:right w:val="nil"/>
            </w:tcBorders>
            <w:noWrap/>
            <w:hideMark/>
          </w:tcPr>
          <w:p w14:paraId="1A75CF6D"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1B4E5AF1" w14:textId="77777777" w:rsidTr="00EA53B9">
        <w:trPr>
          <w:trHeight w:val="20"/>
        </w:trPr>
        <w:tc>
          <w:tcPr>
            <w:tcW w:w="3973" w:type="dxa"/>
            <w:tcBorders>
              <w:top w:val="nil"/>
              <w:left w:val="nil"/>
              <w:bottom w:val="nil"/>
            </w:tcBorders>
            <w:hideMark/>
          </w:tcPr>
          <w:p w14:paraId="755895AA" w14:textId="77777777" w:rsidR="00A633F9" w:rsidRPr="00C37B54" w:rsidRDefault="00A633F9" w:rsidP="00EA53B9">
            <w:pPr>
              <w:ind w:right="43"/>
              <w:jc w:val="both"/>
              <w:rPr>
                <w:rFonts w:ascii="Arial" w:hAnsi="Arial" w:cs="Arial"/>
              </w:rPr>
            </w:pPr>
            <w:r w:rsidRPr="00B2502A">
              <w:rPr>
                <w:rFonts w:ascii="Arial" w:hAnsi="Arial" w:cs="Arial"/>
              </w:rPr>
              <w:t>Deposits money in the bank</w:t>
            </w:r>
          </w:p>
        </w:tc>
        <w:tc>
          <w:tcPr>
            <w:tcW w:w="1102" w:type="dxa"/>
            <w:tcBorders>
              <w:top w:val="nil"/>
              <w:bottom w:val="nil"/>
            </w:tcBorders>
            <w:noWrap/>
            <w:hideMark/>
          </w:tcPr>
          <w:p w14:paraId="6272A406" w14:textId="77777777" w:rsidR="00A633F9" w:rsidRPr="00C37B54" w:rsidRDefault="00A633F9" w:rsidP="00EA53B9">
            <w:pPr>
              <w:ind w:right="43"/>
              <w:jc w:val="center"/>
              <w:rPr>
                <w:rFonts w:ascii="Arial" w:hAnsi="Arial" w:cs="Arial"/>
              </w:rPr>
            </w:pPr>
            <w:r w:rsidRPr="00C37B54">
              <w:rPr>
                <w:rFonts w:ascii="Arial" w:hAnsi="Arial" w:cs="Arial"/>
              </w:rPr>
              <w:t>4.33</w:t>
            </w:r>
          </w:p>
        </w:tc>
        <w:tc>
          <w:tcPr>
            <w:tcW w:w="1343" w:type="dxa"/>
            <w:tcBorders>
              <w:top w:val="nil"/>
              <w:bottom w:val="nil"/>
            </w:tcBorders>
            <w:noWrap/>
            <w:hideMark/>
          </w:tcPr>
          <w:p w14:paraId="630B7164" w14:textId="77777777" w:rsidR="00A633F9" w:rsidRPr="00C37B54" w:rsidRDefault="00A633F9" w:rsidP="00EA53B9">
            <w:pPr>
              <w:ind w:right="43"/>
              <w:jc w:val="center"/>
              <w:rPr>
                <w:rFonts w:ascii="Arial" w:hAnsi="Arial" w:cs="Arial"/>
              </w:rPr>
            </w:pPr>
            <w:r w:rsidRPr="00C37B54">
              <w:rPr>
                <w:rFonts w:ascii="Arial" w:hAnsi="Arial" w:cs="Arial"/>
              </w:rPr>
              <w:t>0.57</w:t>
            </w:r>
          </w:p>
        </w:tc>
        <w:tc>
          <w:tcPr>
            <w:tcW w:w="2065" w:type="dxa"/>
            <w:tcBorders>
              <w:top w:val="nil"/>
              <w:bottom w:val="nil"/>
              <w:right w:val="nil"/>
            </w:tcBorders>
            <w:noWrap/>
            <w:hideMark/>
          </w:tcPr>
          <w:p w14:paraId="4909E2CB"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384C66AC" w14:textId="77777777" w:rsidTr="00EA53B9">
        <w:trPr>
          <w:trHeight w:val="20"/>
        </w:trPr>
        <w:tc>
          <w:tcPr>
            <w:tcW w:w="3973" w:type="dxa"/>
            <w:tcBorders>
              <w:top w:val="nil"/>
              <w:left w:val="nil"/>
              <w:bottom w:val="nil"/>
            </w:tcBorders>
            <w:hideMark/>
          </w:tcPr>
          <w:p w14:paraId="2803972F" w14:textId="77777777" w:rsidR="00A633F9" w:rsidRPr="00C37B54" w:rsidRDefault="00A633F9" w:rsidP="00EA53B9">
            <w:pPr>
              <w:ind w:right="43"/>
              <w:jc w:val="both"/>
              <w:rPr>
                <w:rFonts w:ascii="Arial" w:hAnsi="Arial" w:cs="Arial"/>
              </w:rPr>
            </w:pPr>
            <w:r w:rsidRPr="00B2502A">
              <w:rPr>
                <w:rFonts w:ascii="Arial" w:hAnsi="Arial" w:cs="Arial"/>
              </w:rPr>
              <w:lastRenderedPageBreak/>
              <w:t>Set aside cash for future investments</w:t>
            </w:r>
          </w:p>
        </w:tc>
        <w:tc>
          <w:tcPr>
            <w:tcW w:w="1102" w:type="dxa"/>
            <w:tcBorders>
              <w:top w:val="nil"/>
              <w:bottom w:val="nil"/>
            </w:tcBorders>
            <w:noWrap/>
            <w:hideMark/>
          </w:tcPr>
          <w:p w14:paraId="2CCBB26D" w14:textId="77777777" w:rsidR="00A633F9" w:rsidRPr="00C37B54" w:rsidRDefault="00A633F9" w:rsidP="00EA53B9">
            <w:pPr>
              <w:ind w:right="43"/>
              <w:jc w:val="center"/>
              <w:rPr>
                <w:rFonts w:ascii="Arial" w:hAnsi="Arial" w:cs="Arial"/>
              </w:rPr>
            </w:pPr>
            <w:r w:rsidRPr="00C37B54">
              <w:rPr>
                <w:rFonts w:ascii="Arial" w:hAnsi="Arial" w:cs="Arial"/>
              </w:rPr>
              <w:t>4.28</w:t>
            </w:r>
          </w:p>
        </w:tc>
        <w:tc>
          <w:tcPr>
            <w:tcW w:w="1343" w:type="dxa"/>
            <w:tcBorders>
              <w:top w:val="nil"/>
              <w:bottom w:val="nil"/>
            </w:tcBorders>
            <w:noWrap/>
            <w:hideMark/>
          </w:tcPr>
          <w:p w14:paraId="1D88DCF6" w14:textId="77777777" w:rsidR="00A633F9" w:rsidRPr="00C37B54" w:rsidRDefault="00A633F9" w:rsidP="00EA53B9">
            <w:pPr>
              <w:ind w:right="43"/>
              <w:jc w:val="center"/>
              <w:rPr>
                <w:rFonts w:ascii="Arial" w:hAnsi="Arial" w:cs="Arial"/>
              </w:rPr>
            </w:pPr>
            <w:r w:rsidRPr="00C37B54">
              <w:rPr>
                <w:rFonts w:ascii="Arial" w:hAnsi="Arial" w:cs="Arial"/>
              </w:rPr>
              <w:t>0.49</w:t>
            </w:r>
          </w:p>
        </w:tc>
        <w:tc>
          <w:tcPr>
            <w:tcW w:w="2065" w:type="dxa"/>
            <w:tcBorders>
              <w:top w:val="nil"/>
              <w:bottom w:val="nil"/>
              <w:right w:val="nil"/>
            </w:tcBorders>
            <w:noWrap/>
            <w:hideMark/>
          </w:tcPr>
          <w:p w14:paraId="26918948"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712452FA" w14:textId="77777777" w:rsidTr="00EA53B9">
        <w:trPr>
          <w:trHeight w:val="20"/>
        </w:trPr>
        <w:tc>
          <w:tcPr>
            <w:tcW w:w="3973" w:type="dxa"/>
            <w:tcBorders>
              <w:top w:val="nil"/>
              <w:left w:val="nil"/>
              <w:bottom w:val="nil"/>
            </w:tcBorders>
            <w:hideMark/>
          </w:tcPr>
          <w:p w14:paraId="660BB451" w14:textId="77777777" w:rsidR="00A633F9" w:rsidRPr="00C37B54" w:rsidRDefault="00A633F9" w:rsidP="00EA53B9">
            <w:pPr>
              <w:ind w:right="43"/>
              <w:jc w:val="both"/>
              <w:rPr>
                <w:rFonts w:ascii="Arial" w:hAnsi="Arial" w:cs="Arial"/>
              </w:rPr>
            </w:pPr>
            <w:r w:rsidRPr="00B2502A">
              <w:rPr>
                <w:rFonts w:ascii="Arial" w:hAnsi="Arial" w:cs="Arial"/>
              </w:rPr>
              <w:t>Invests in other profit-making ventures</w:t>
            </w:r>
          </w:p>
        </w:tc>
        <w:tc>
          <w:tcPr>
            <w:tcW w:w="1102" w:type="dxa"/>
            <w:tcBorders>
              <w:top w:val="nil"/>
              <w:bottom w:val="nil"/>
            </w:tcBorders>
            <w:noWrap/>
            <w:hideMark/>
          </w:tcPr>
          <w:p w14:paraId="6A116D7A" w14:textId="77777777" w:rsidR="00A633F9" w:rsidRPr="00C37B54" w:rsidRDefault="00A633F9" w:rsidP="00EA53B9">
            <w:pPr>
              <w:ind w:right="43"/>
              <w:jc w:val="center"/>
              <w:rPr>
                <w:rFonts w:ascii="Arial" w:hAnsi="Arial" w:cs="Arial"/>
              </w:rPr>
            </w:pPr>
            <w:r w:rsidRPr="00C37B54">
              <w:rPr>
                <w:rFonts w:ascii="Arial" w:hAnsi="Arial" w:cs="Arial"/>
              </w:rPr>
              <w:t>4.22</w:t>
            </w:r>
          </w:p>
        </w:tc>
        <w:tc>
          <w:tcPr>
            <w:tcW w:w="1343" w:type="dxa"/>
            <w:tcBorders>
              <w:top w:val="nil"/>
              <w:bottom w:val="nil"/>
            </w:tcBorders>
            <w:noWrap/>
            <w:hideMark/>
          </w:tcPr>
          <w:p w14:paraId="39A1CA4C" w14:textId="77777777" w:rsidR="00A633F9" w:rsidRPr="00C37B54" w:rsidRDefault="00A633F9" w:rsidP="00EA53B9">
            <w:pPr>
              <w:ind w:right="43"/>
              <w:jc w:val="center"/>
              <w:rPr>
                <w:rFonts w:ascii="Arial" w:hAnsi="Arial" w:cs="Arial"/>
              </w:rPr>
            </w:pPr>
            <w:r w:rsidRPr="00C37B54">
              <w:rPr>
                <w:rFonts w:ascii="Arial" w:hAnsi="Arial" w:cs="Arial"/>
              </w:rPr>
              <w:t>0.53</w:t>
            </w:r>
          </w:p>
        </w:tc>
        <w:tc>
          <w:tcPr>
            <w:tcW w:w="2065" w:type="dxa"/>
            <w:tcBorders>
              <w:top w:val="nil"/>
              <w:bottom w:val="nil"/>
              <w:right w:val="nil"/>
            </w:tcBorders>
            <w:noWrap/>
            <w:hideMark/>
          </w:tcPr>
          <w:p w14:paraId="0EDA8B72"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636D41A4" w14:textId="77777777" w:rsidTr="00EA53B9">
        <w:trPr>
          <w:trHeight w:val="20"/>
        </w:trPr>
        <w:tc>
          <w:tcPr>
            <w:tcW w:w="3973" w:type="dxa"/>
            <w:tcBorders>
              <w:top w:val="nil"/>
              <w:left w:val="nil"/>
              <w:bottom w:val="nil"/>
            </w:tcBorders>
            <w:hideMark/>
          </w:tcPr>
          <w:p w14:paraId="1990345D" w14:textId="77777777" w:rsidR="00A633F9" w:rsidRPr="00C37B54" w:rsidRDefault="00A633F9" w:rsidP="00EA53B9">
            <w:pPr>
              <w:ind w:right="43"/>
              <w:jc w:val="both"/>
              <w:rPr>
                <w:rFonts w:ascii="Arial" w:hAnsi="Arial" w:cs="Arial"/>
              </w:rPr>
            </w:pPr>
            <w:r w:rsidRPr="00B2502A">
              <w:rPr>
                <w:rFonts w:ascii="Arial" w:hAnsi="Arial" w:cs="Arial"/>
              </w:rPr>
              <w:t>Adopts strict credit extension policy</w:t>
            </w:r>
          </w:p>
        </w:tc>
        <w:tc>
          <w:tcPr>
            <w:tcW w:w="1102" w:type="dxa"/>
            <w:tcBorders>
              <w:top w:val="nil"/>
              <w:bottom w:val="nil"/>
            </w:tcBorders>
            <w:noWrap/>
            <w:hideMark/>
          </w:tcPr>
          <w:p w14:paraId="4C358ADB" w14:textId="77777777" w:rsidR="00A633F9" w:rsidRPr="00C37B54" w:rsidRDefault="00A633F9" w:rsidP="00EA53B9">
            <w:pPr>
              <w:ind w:right="43"/>
              <w:jc w:val="center"/>
              <w:rPr>
                <w:rFonts w:ascii="Arial" w:hAnsi="Arial" w:cs="Arial"/>
              </w:rPr>
            </w:pPr>
            <w:r w:rsidRPr="00C37B54">
              <w:rPr>
                <w:rFonts w:ascii="Arial" w:hAnsi="Arial" w:cs="Arial"/>
              </w:rPr>
              <w:t>4.22</w:t>
            </w:r>
          </w:p>
        </w:tc>
        <w:tc>
          <w:tcPr>
            <w:tcW w:w="1343" w:type="dxa"/>
            <w:tcBorders>
              <w:top w:val="nil"/>
              <w:bottom w:val="nil"/>
            </w:tcBorders>
            <w:noWrap/>
            <w:hideMark/>
          </w:tcPr>
          <w:p w14:paraId="3D1CE0CE" w14:textId="77777777" w:rsidR="00A633F9" w:rsidRPr="00C37B54" w:rsidRDefault="00A633F9" w:rsidP="00EA53B9">
            <w:pPr>
              <w:ind w:right="43"/>
              <w:jc w:val="center"/>
              <w:rPr>
                <w:rFonts w:ascii="Arial" w:hAnsi="Arial" w:cs="Arial"/>
              </w:rPr>
            </w:pPr>
            <w:r w:rsidRPr="00C37B54">
              <w:rPr>
                <w:rFonts w:ascii="Arial" w:hAnsi="Arial" w:cs="Arial"/>
              </w:rPr>
              <w:t>0.50</w:t>
            </w:r>
          </w:p>
        </w:tc>
        <w:tc>
          <w:tcPr>
            <w:tcW w:w="2065" w:type="dxa"/>
            <w:tcBorders>
              <w:top w:val="nil"/>
              <w:bottom w:val="nil"/>
              <w:right w:val="nil"/>
            </w:tcBorders>
            <w:noWrap/>
            <w:hideMark/>
          </w:tcPr>
          <w:p w14:paraId="17E9123C"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171847A4" w14:textId="77777777" w:rsidTr="00EA53B9">
        <w:trPr>
          <w:trHeight w:val="20"/>
        </w:trPr>
        <w:tc>
          <w:tcPr>
            <w:tcW w:w="3973" w:type="dxa"/>
            <w:tcBorders>
              <w:top w:val="nil"/>
              <w:left w:val="nil"/>
              <w:bottom w:val="nil"/>
            </w:tcBorders>
            <w:hideMark/>
          </w:tcPr>
          <w:p w14:paraId="717C131B" w14:textId="77777777" w:rsidR="00A633F9" w:rsidRPr="00C37B54" w:rsidRDefault="00A633F9" w:rsidP="00EA53B9">
            <w:pPr>
              <w:ind w:right="43"/>
              <w:jc w:val="both"/>
              <w:rPr>
                <w:rFonts w:ascii="Arial" w:hAnsi="Arial" w:cs="Arial"/>
              </w:rPr>
            </w:pPr>
            <w:r w:rsidRPr="00B2502A">
              <w:rPr>
                <w:rFonts w:ascii="Arial" w:hAnsi="Arial" w:cs="Arial"/>
              </w:rPr>
              <w:t>Adopts strict credit collection policy</w:t>
            </w:r>
          </w:p>
        </w:tc>
        <w:tc>
          <w:tcPr>
            <w:tcW w:w="1102" w:type="dxa"/>
            <w:tcBorders>
              <w:top w:val="nil"/>
              <w:bottom w:val="nil"/>
            </w:tcBorders>
            <w:noWrap/>
            <w:hideMark/>
          </w:tcPr>
          <w:p w14:paraId="3FF5ED8B" w14:textId="77777777" w:rsidR="00A633F9" w:rsidRPr="00C37B54" w:rsidRDefault="00A633F9" w:rsidP="00EA53B9">
            <w:pPr>
              <w:ind w:right="43"/>
              <w:jc w:val="center"/>
              <w:rPr>
                <w:rFonts w:ascii="Arial" w:hAnsi="Arial" w:cs="Arial"/>
              </w:rPr>
            </w:pPr>
            <w:r w:rsidRPr="00C37B54">
              <w:rPr>
                <w:rFonts w:ascii="Arial" w:hAnsi="Arial" w:cs="Arial"/>
              </w:rPr>
              <w:t>4.16</w:t>
            </w:r>
          </w:p>
        </w:tc>
        <w:tc>
          <w:tcPr>
            <w:tcW w:w="1343" w:type="dxa"/>
            <w:tcBorders>
              <w:top w:val="nil"/>
              <w:bottom w:val="nil"/>
            </w:tcBorders>
            <w:noWrap/>
            <w:hideMark/>
          </w:tcPr>
          <w:p w14:paraId="58A6B55A" w14:textId="77777777" w:rsidR="00A633F9" w:rsidRPr="00C37B54" w:rsidRDefault="00A633F9" w:rsidP="00EA53B9">
            <w:pPr>
              <w:ind w:right="43"/>
              <w:jc w:val="center"/>
              <w:rPr>
                <w:rFonts w:ascii="Arial" w:hAnsi="Arial" w:cs="Arial"/>
              </w:rPr>
            </w:pPr>
            <w:r w:rsidRPr="00C37B54">
              <w:rPr>
                <w:rFonts w:ascii="Arial" w:hAnsi="Arial" w:cs="Arial"/>
              </w:rPr>
              <w:t>0.53</w:t>
            </w:r>
          </w:p>
        </w:tc>
        <w:tc>
          <w:tcPr>
            <w:tcW w:w="2065" w:type="dxa"/>
            <w:tcBorders>
              <w:top w:val="nil"/>
              <w:bottom w:val="nil"/>
              <w:right w:val="nil"/>
            </w:tcBorders>
            <w:noWrap/>
            <w:hideMark/>
          </w:tcPr>
          <w:p w14:paraId="0E881EF5" w14:textId="77777777" w:rsidR="00A633F9" w:rsidRPr="00C37B54" w:rsidRDefault="00A633F9" w:rsidP="00EA53B9">
            <w:pPr>
              <w:ind w:right="43"/>
              <w:jc w:val="center"/>
              <w:rPr>
                <w:rFonts w:ascii="Arial" w:hAnsi="Arial" w:cs="Arial"/>
              </w:rPr>
            </w:pPr>
            <w:r w:rsidRPr="004277EE">
              <w:rPr>
                <w:rFonts w:ascii="Arial" w:hAnsi="Arial" w:cs="Arial"/>
              </w:rPr>
              <w:t>High</w:t>
            </w:r>
          </w:p>
        </w:tc>
      </w:tr>
      <w:tr w:rsidR="00A633F9" w:rsidRPr="00C37B54" w14:paraId="296FF3EB" w14:textId="77777777" w:rsidTr="00EA53B9">
        <w:trPr>
          <w:trHeight w:val="20"/>
        </w:trPr>
        <w:tc>
          <w:tcPr>
            <w:tcW w:w="3973" w:type="dxa"/>
            <w:tcBorders>
              <w:top w:val="nil"/>
              <w:left w:val="nil"/>
              <w:bottom w:val="nil"/>
            </w:tcBorders>
          </w:tcPr>
          <w:p w14:paraId="19811F9E" w14:textId="77777777" w:rsidR="00A633F9" w:rsidRPr="00B2502A" w:rsidRDefault="00A633F9" w:rsidP="00EA53B9">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09A6BD5A" w14:textId="77777777" w:rsidR="00A633F9" w:rsidRPr="00B01ACB" w:rsidRDefault="00A633F9" w:rsidP="00EA53B9">
            <w:pPr>
              <w:ind w:right="43"/>
              <w:jc w:val="center"/>
              <w:rPr>
                <w:rFonts w:ascii="Arial" w:hAnsi="Arial" w:cs="Arial"/>
                <w:b/>
                <w:bCs/>
              </w:rPr>
            </w:pPr>
            <w:r w:rsidRPr="00B01ACB">
              <w:rPr>
                <w:rFonts w:ascii="Arial" w:hAnsi="Arial" w:cs="Arial"/>
                <w:b/>
                <w:bCs/>
              </w:rPr>
              <w:t>4.25</w:t>
            </w:r>
          </w:p>
        </w:tc>
        <w:tc>
          <w:tcPr>
            <w:tcW w:w="1343" w:type="dxa"/>
            <w:tcBorders>
              <w:top w:val="nil"/>
              <w:bottom w:val="nil"/>
            </w:tcBorders>
            <w:noWrap/>
          </w:tcPr>
          <w:p w14:paraId="5CBAEE13" w14:textId="77777777" w:rsidR="00A633F9" w:rsidRPr="00B01ACB" w:rsidRDefault="00A633F9" w:rsidP="00EA53B9">
            <w:pPr>
              <w:ind w:right="43"/>
              <w:jc w:val="center"/>
              <w:rPr>
                <w:rFonts w:ascii="Arial" w:hAnsi="Arial" w:cs="Arial"/>
                <w:b/>
                <w:bCs/>
              </w:rPr>
            </w:pPr>
            <w:r w:rsidRPr="00B01ACB">
              <w:rPr>
                <w:rFonts w:ascii="Arial" w:hAnsi="Arial" w:cs="Arial"/>
                <w:b/>
                <w:bCs/>
              </w:rPr>
              <w:t>0.36</w:t>
            </w:r>
          </w:p>
        </w:tc>
        <w:tc>
          <w:tcPr>
            <w:tcW w:w="2065" w:type="dxa"/>
            <w:tcBorders>
              <w:top w:val="nil"/>
              <w:bottom w:val="nil"/>
              <w:right w:val="nil"/>
            </w:tcBorders>
            <w:noWrap/>
          </w:tcPr>
          <w:p w14:paraId="0A4C3A94" w14:textId="77777777" w:rsidR="00A633F9" w:rsidRPr="00B01ACB" w:rsidRDefault="00A633F9" w:rsidP="00EA53B9">
            <w:pPr>
              <w:ind w:right="43"/>
              <w:jc w:val="center"/>
              <w:rPr>
                <w:rFonts w:ascii="Arial" w:hAnsi="Arial" w:cs="Arial"/>
                <w:b/>
                <w:bCs/>
              </w:rPr>
            </w:pPr>
            <w:r w:rsidRPr="00B01ACB">
              <w:rPr>
                <w:rFonts w:ascii="Arial" w:hAnsi="Arial" w:cs="Arial"/>
                <w:b/>
                <w:bCs/>
              </w:rPr>
              <w:t>Very High</w:t>
            </w:r>
          </w:p>
        </w:tc>
      </w:tr>
      <w:tr w:rsidR="00A633F9" w:rsidRPr="00C37B54" w14:paraId="0E5E0790" w14:textId="77777777" w:rsidTr="00EA53B9">
        <w:trPr>
          <w:trHeight w:val="20"/>
        </w:trPr>
        <w:tc>
          <w:tcPr>
            <w:tcW w:w="3973" w:type="dxa"/>
            <w:tcBorders>
              <w:top w:val="nil"/>
              <w:left w:val="nil"/>
              <w:bottom w:val="nil"/>
            </w:tcBorders>
            <w:hideMark/>
          </w:tcPr>
          <w:p w14:paraId="46ED4208" w14:textId="77777777" w:rsidR="00A633F9" w:rsidRPr="00C52A7A" w:rsidRDefault="00A633F9" w:rsidP="00EA53B9">
            <w:pPr>
              <w:ind w:right="43"/>
              <w:jc w:val="both"/>
              <w:rPr>
                <w:rFonts w:ascii="Arial" w:hAnsi="Arial" w:cs="Arial"/>
                <w:b/>
                <w:bCs/>
              </w:rPr>
            </w:pPr>
            <w:r w:rsidRPr="00C52A7A">
              <w:rPr>
                <w:rFonts w:ascii="Arial" w:hAnsi="Arial" w:cs="Arial"/>
                <w:b/>
                <w:bCs/>
              </w:rPr>
              <w:t>D. Capital Budgeting</w:t>
            </w:r>
          </w:p>
        </w:tc>
        <w:tc>
          <w:tcPr>
            <w:tcW w:w="1102" w:type="dxa"/>
            <w:tcBorders>
              <w:top w:val="nil"/>
              <w:bottom w:val="nil"/>
            </w:tcBorders>
            <w:noWrap/>
            <w:hideMark/>
          </w:tcPr>
          <w:p w14:paraId="170B0793" w14:textId="77777777" w:rsidR="00A633F9" w:rsidRPr="00C37B54" w:rsidRDefault="00A633F9" w:rsidP="00EA53B9">
            <w:pPr>
              <w:ind w:right="43"/>
              <w:jc w:val="center"/>
              <w:rPr>
                <w:rFonts w:ascii="Arial" w:hAnsi="Arial" w:cs="Arial"/>
              </w:rPr>
            </w:pPr>
          </w:p>
        </w:tc>
        <w:tc>
          <w:tcPr>
            <w:tcW w:w="1343" w:type="dxa"/>
            <w:tcBorders>
              <w:top w:val="nil"/>
              <w:bottom w:val="nil"/>
            </w:tcBorders>
            <w:noWrap/>
            <w:hideMark/>
          </w:tcPr>
          <w:p w14:paraId="1D2E3DA3" w14:textId="77777777" w:rsidR="00A633F9" w:rsidRPr="00C37B54" w:rsidRDefault="00A633F9" w:rsidP="00EA53B9">
            <w:pPr>
              <w:ind w:right="43"/>
              <w:jc w:val="center"/>
              <w:rPr>
                <w:rFonts w:ascii="Arial" w:hAnsi="Arial" w:cs="Arial"/>
              </w:rPr>
            </w:pPr>
          </w:p>
        </w:tc>
        <w:tc>
          <w:tcPr>
            <w:tcW w:w="2065" w:type="dxa"/>
            <w:tcBorders>
              <w:top w:val="nil"/>
              <w:bottom w:val="nil"/>
              <w:right w:val="nil"/>
            </w:tcBorders>
            <w:noWrap/>
            <w:hideMark/>
          </w:tcPr>
          <w:p w14:paraId="11FF68A4" w14:textId="77777777" w:rsidR="00A633F9" w:rsidRPr="00C37B54" w:rsidRDefault="00A633F9" w:rsidP="00EA53B9">
            <w:pPr>
              <w:ind w:right="43"/>
              <w:jc w:val="center"/>
              <w:rPr>
                <w:rFonts w:ascii="Arial" w:hAnsi="Arial" w:cs="Arial"/>
              </w:rPr>
            </w:pPr>
          </w:p>
        </w:tc>
      </w:tr>
      <w:tr w:rsidR="00A633F9" w:rsidRPr="00C37B54" w14:paraId="3F100A52" w14:textId="77777777" w:rsidTr="00EA53B9">
        <w:trPr>
          <w:trHeight w:val="20"/>
        </w:trPr>
        <w:tc>
          <w:tcPr>
            <w:tcW w:w="3973" w:type="dxa"/>
            <w:tcBorders>
              <w:top w:val="nil"/>
              <w:left w:val="nil"/>
              <w:bottom w:val="nil"/>
            </w:tcBorders>
            <w:hideMark/>
          </w:tcPr>
          <w:p w14:paraId="4854EAB1" w14:textId="77777777" w:rsidR="00A633F9" w:rsidRPr="00C37B54" w:rsidRDefault="00A633F9" w:rsidP="00EA53B9">
            <w:pPr>
              <w:ind w:right="43"/>
              <w:jc w:val="both"/>
              <w:rPr>
                <w:rFonts w:ascii="Arial" w:hAnsi="Arial" w:cs="Arial"/>
              </w:rPr>
            </w:pPr>
            <w:r w:rsidRPr="00B2502A">
              <w:rPr>
                <w:rFonts w:ascii="Arial" w:hAnsi="Arial" w:cs="Arial"/>
              </w:rPr>
              <w:t>Buys equipment and furniture for use in the business</w:t>
            </w:r>
          </w:p>
        </w:tc>
        <w:tc>
          <w:tcPr>
            <w:tcW w:w="1102" w:type="dxa"/>
            <w:tcBorders>
              <w:top w:val="nil"/>
              <w:bottom w:val="nil"/>
            </w:tcBorders>
            <w:noWrap/>
            <w:hideMark/>
          </w:tcPr>
          <w:p w14:paraId="7CBC57CC" w14:textId="77777777" w:rsidR="00A633F9" w:rsidRPr="00C37B54" w:rsidRDefault="00A633F9" w:rsidP="00EA53B9">
            <w:pPr>
              <w:ind w:right="43"/>
              <w:jc w:val="center"/>
              <w:rPr>
                <w:rFonts w:ascii="Arial" w:hAnsi="Arial" w:cs="Arial"/>
              </w:rPr>
            </w:pPr>
            <w:r w:rsidRPr="00C37B54">
              <w:rPr>
                <w:rFonts w:ascii="Arial" w:hAnsi="Arial" w:cs="Arial"/>
              </w:rPr>
              <w:t>4.27</w:t>
            </w:r>
          </w:p>
        </w:tc>
        <w:tc>
          <w:tcPr>
            <w:tcW w:w="1343" w:type="dxa"/>
            <w:tcBorders>
              <w:top w:val="nil"/>
              <w:bottom w:val="nil"/>
            </w:tcBorders>
            <w:noWrap/>
            <w:hideMark/>
          </w:tcPr>
          <w:p w14:paraId="60812298" w14:textId="77777777" w:rsidR="00A633F9" w:rsidRPr="00C37B54" w:rsidRDefault="00A633F9" w:rsidP="00EA53B9">
            <w:pPr>
              <w:ind w:right="43"/>
              <w:jc w:val="center"/>
              <w:rPr>
                <w:rFonts w:ascii="Arial" w:hAnsi="Arial" w:cs="Arial"/>
              </w:rPr>
            </w:pPr>
            <w:r w:rsidRPr="00C37B54">
              <w:rPr>
                <w:rFonts w:ascii="Arial" w:hAnsi="Arial" w:cs="Arial"/>
              </w:rPr>
              <w:t>0.59</w:t>
            </w:r>
          </w:p>
        </w:tc>
        <w:tc>
          <w:tcPr>
            <w:tcW w:w="2065" w:type="dxa"/>
            <w:tcBorders>
              <w:top w:val="nil"/>
              <w:bottom w:val="nil"/>
              <w:right w:val="nil"/>
            </w:tcBorders>
            <w:noWrap/>
            <w:hideMark/>
          </w:tcPr>
          <w:p w14:paraId="55191A3A"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2BC3086E" w14:textId="77777777" w:rsidTr="00EA53B9">
        <w:trPr>
          <w:trHeight w:val="20"/>
        </w:trPr>
        <w:tc>
          <w:tcPr>
            <w:tcW w:w="3973" w:type="dxa"/>
            <w:tcBorders>
              <w:top w:val="nil"/>
              <w:left w:val="nil"/>
              <w:bottom w:val="nil"/>
            </w:tcBorders>
            <w:hideMark/>
          </w:tcPr>
          <w:p w14:paraId="6568D12A" w14:textId="77777777" w:rsidR="00A633F9" w:rsidRPr="00C37B54" w:rsidRDefault="00A633F9" w:rsidP="00EA53B9">
            <w:pPr>
              <w:ind w:right="43"/>
              <w:jc w:val="both"/>
              <w:rPr>
                <w:rFonts w:ascii="Arial" w:hAnsi="Arial" w:cs="Arial"/>
              </w:rPr>
            </w:pPr>
            <w:r w:rsidRPr="00B2502A">
              <w:rPr>
                <w:rFonts w:ascii="Arial" w:hAnsi="Arial" w:cs="Arial"/>
              </w:rPr>
              <w:t>Leases equipment for use in the business</w:t>
            </w:r>
          </w:p>
        </w:tc>
        <w:tc>
          <w:tcPr>
            <w:tcW w:w="1102" w:type="dxa"/>
            <w:tcBorders>
              <w:top w:val="nil"/>
              <w:bottom w:val="nil"/>
            </w:tcBorders>
            <w:noWrap/>
            <w:hideMark/>
          </w:tcPr>
          <w:p w14:paraId="012D2F40" w14:textId="77777777" w:rsidR="00A633F9" w:rsidRPr="00C37B54" w:rsidRDefault="00A633F9" w:rsidP="00EA53B9">
            <w:pPr>
              <w:ind w:right="43"/>
              <w:jc w:val="center"/>
              <w:rPr>
                <w:rFonts w:ascii="Arial" w:hAnsi="Arial" w:cs="Arial"/>
              </w:rPr>
            </w:pPr>
            <w:r w:rsidRPr="00C37B54">
              <w:rPr>
                <w:rFonts w:ascii="Arial" w:hAnsi="Arial" w:cs="Arial"/>
              </w:rPr>
              <w:t>4.16</w:t>
            </w:r>
          </w:p>
        </w:tc>
        <w:tc>
          <w:tcPr>
            <w:tcW w:w="1343" w:type="dxa"/>
            <w:tcBorders>
              <w:top w:val="nil"/>
              <w:bottom w:val="nil"/>
            </w:tcBorders>
            <w:noWrap/>
            <w:hideMark/>
          </w:tcPr>
          <w:p w14:paraId="3D7A4872" w14:textId="77777777" w:rsidR="00A633F9" w:rsidRPr="00C37B54" w:rsidRDefault="00A633F9" w:rsidP="00EA53B9">
            <w:pPr>
              <w:ind w:right="43"/>
              <w:jc w:val="center"/>
              <w:rPr>
                <w:rFonts w:ascii="Arial" w:hAnsi="Arial" w:cs="Arial"/>
              </w:rPr>
            </w:pPr>
            <w:r w:rsidRPr="00C37B54">
              <w:rPr>
                <w:rFonts w:ascii="Arial" w:hAnsi="Arial" w:cs="Arial"/>
              </w:rPr>
              <w:t>0.50</w:t>
            </w:r>
          </w:p>
        </w:tc>
        <w:tc>
          <w:tcPr>
            <w:tcW w:w="2065" w:type="dxa"/>
            <w:tcBorders>
              <w:top w:val="nil"/>
              <w:bottom w:val="nil"/>
              <w:right w:val="nil"/>
            </w:tcBorders>
            <w:noWrap/>
            <w:hideMark/>
          </w:tcPr>
          <w:p w14:paraId="173A1EFA" w14:textId="77777777" w:rsidR="00A633F9" w:rsidRPr="00C37B54" w:rsidRDefault="00A633F9" w:rsidP="00EA53B9">
            <w:pPr>
              <w:ind w:right="43"/>
              <w:jc w:val="center"/>
              <w:rPr>
                <w:rFonts w:ascii="Arial" w:hAnsi="Arial" w:cs="Arial"/>
              </w:rPr>
            </w:pPr>
            <w:r w:rsidRPr="004277EE">
              <w:rPr>
                <w:rFonts w:ascii="Arial" w:hAnsi="Arial" w:cs="Arial"/>
              </w:rPr>
              <w:t>High</w:t>
            </w:r>
          </w:p>
        </w:tc>
      </w:tr>
      <w:tr w:rsidR="00A633F9" w:rsidRPr="00C37B54" w14:paraId="4EA06A30" w14:textId="77777777" w:rsidTr="00EA53B9">
        <w:trPr>
          <w:trHeight w:val="20"/>
        </w:trPr>
        <w:tc>
          <w:tcPr>
            <w:tcW w:w="3973" w:type="dxa"/>
            <w:tcBorders>
              <w:top w:val="nil"/>
              <w:left w:val="nil"/>
              <w:bottom w:val="nil"/>
            </w:tcBorders>
            <w:hideMark/>
          </w:tcPr>
          <w:p w14:paraId="742732DC" w14:textId="77777777" w:rsidR="00A633F9" w:rsidRPr="00C37B54" w:rsidRDefault="00A633F9" w:rsidP="00EA53B9">
            <w:pPr>
              <w:ind w:right="43"/>
              <w:jc w:val="both"/>
              <w:rPr>
                <w:rFonts w:ascii="Arial" w:hAnsi="Arial" w:cs="Arial"/>
              </w:rPr>
            </w:pPr>
            <w:r w:rsidRPr="00B2502A">
              <w:rPr>
                <w:rFonts w:ascii="Arial" w:hAnsi="Arial" w:cs="Arial"/>
              </w:rPr>
              <w:t>Prepares alternative courses of action relative to capital investment decision</w:t>
            </w:r>
          </w:p>
        </w:tc>
        <w:tc>
          <w:tcPr>
            <w:tcW w:w="1102" w:type="dxa"/>
            <w:tcBorders>
              <w:top w:val="nil"/>
              <w:bottom w:val="nil"/>
            </w:tcBorders>
            <w:noWrap/>
            <w:hideMark/>
          </w:tcPr>
          <w:p w14:paraId="1ED70607" w14:textId="77777777" w:rsidR="00A633F9" w:rsidRPr="00C37B54" w:rsidRDefault="00A633F9" w:rsidP="00EA53B9">
            <w:pPr>
              <w:ind w:right="43"/>
              <w:jc w:val="center"/>
              <w:rPr>
                <w:rFonts w:ascii="Arial" w:hAnsi="Arial" w:cs="Arial"/>
              </w:rPr>
            </w:pPr>
            <w:r w:rsidRPr="00C37B54">
              <w:rPr>
                <w:rFonts w:ascii="Arial" w:hAnsi="Arial" w:cs="Arial"/>
              </w:rPr>
              <w:t>4.20</w:t>
            </w:r>
          </w:p>
        </w:tc>
        <w:tc>
          <w:tcPr>
            <w:tcW w:w="1343" w:type="dxa"/>
            <w:tcBorders>
              <w:top w:val="nil"/>
              <w:bottom w:val="nil"/>
            </w:tcBorders>
            <w:noWrap/>
            <w:hideMark/>
          </w:tcPr>
          <w:p w14:paraId="3A0F07CB" w14:textId="77777777" w:rsidR="00A633F9" w:rsidRPr="00C37B54" w:rsidRDefault="00A633F9" w:rsidP="00EA53B9">
            <w:pPr>
              <w:ind w:right="43"/>
              <w:jc w:val="center"/>
              <w:rPr>
                <w:rFonts w:ascii="Arial" w:hAnsi="Arial" w:cs="Arial"/>
              </w:rPr>
            </w:pPr>
            <w:r w:rsidRPr="00C37B54">
              <w:rPr>
                <w:rFonts w:ascii="Arial" w:hAnsi="Arial" w:cs="Arial"/>
              </w:rPr>
              <w:t>0.48</w:t>
            </w:r>
          </w:p>
        </w:tc>
        <w:tc>
          <w:tcPr>
            <w:tcW w:w="2065" w:type="dxa"/>
            <w:tcBorders>
              <w:top w:val="nil"/>
              <w:bottom w:val="nil"/>
              <w:right w:val="nil"/>
            </w:tcBorders>
            <w:noWrap/>
            <w:hideMark/>
          </w:tcPr>
          <w:p w14:paraId="6DAADAFF" w14:textId="77777777" w:rsidR="00A633F9" w:rsidRPr="00C37B54" w:rsidRDefault="00A633F9" w:rsidP="00EA53B9">
            <w:pPr>
              <w:ind w:right="43"/>
              <w:jc w:val="center"/>
              <w:rPr>
                <w:rFonts w:ascii="Arial" w:hAnsi="Arial" w:cs="Arial"/>
              </w:rPr>
            </w:pPr>
            <w:r w:rsidRPr="004277EE">
              <w:rPr>
                <w:rFonts w:ascii="Arial" w:hAnsi="Arial" w:cs="Arial"/>
              </w:rPr>
              <w:t>Very High</w:t>
            </w:r>
          </w:p>
        </w:tc>
      </w:tr>
      <w:tr w:rsidR="00A633F9" w:rsidRPr="00C37B54" w14:paraId="6BCE73BB" w14:textId="77777777" w:rsidTr="00EA53B9">
        <w:trPr>
          <w:trHeight w:val="20"/>
        </w:trPr>
        <w:tc>
          <w:tcPr>
            <w:tcW w:w="3973" w:type="dxa"/>
            <w:tcBorders>
              <w:top w:val="nil"/>
              <w:left w:val="nil"/>
              <w:bottom w:val="nil"/>
            </w:tcBorders>
          </w:tcPr>
          <w:p w14:paraId="7B168F85" w14:textId="77777777" w:rsidR="00A633F9" w:rsidRPr="00B2502A" w:rsidRDefault="00A633F9" w:rsidP="00EA53B9">
            <w:pPr>
              <w:ind w:right="43"/>
              <w:jc w:val="center"/>
              <w:rPr>
                <w:rFonts w:ascii="Arial" w:hAnsi="Arial" w:cs="Arial"/>
              </w:rPr>
            </w:pPr>
            <w:r>
              <w:rPr>
                <w:rFonts w:ascii="Arial" w:hAnsi="Arial" w:cs="Arial"/>
                <w:b/>
                <w:bCs/>
              </w:rPr>
              <w:t>Average</w:t>
            </w:r>
          </w:p>
        </w:tc>
        <w:tc>
          <w:tcPr>
            <w:tcW w:w="1102" w:type="dxa"/>
            <w:tcBorders>
              <w:top w:val="nil"/>
              <w:bottom w:val="nil"/>
            </w:tcBorders>
            <w:noWrap/>
          </w:tcPr>
          <w:p w14:paraId="2B8CEA96" w14:textId="77777777" w:rsidR="00A633F9" w:rsidRPr="00B01ACB" w:rsidRDefault="00A633F9" w:rsidP="00EA53B9">
            <w:pPr>
              <w:ind w:right="43"/>
              <w:jc w:val="center"/>
              <w:rPr>
                <w:rFonts w:ascii="Arial" w:hAnsi="Arial" w:cs="Arial"/>
                <w:b/>
                <w:bCs/>
              </w:rPr>
            </w:pPr>
            <w:r w:rsidRPr="00B01ACB">
              <w:rPr>
                <w:rFonts w:ascii="Arial" w:hAnsi="Arial" w:cs="Arial"/>
                <w:b/>
                <w:bCs/>
              </w:rPr>
              <w:t>4.21</w:t>
            </w:r>
          </w:p>
        </w:tc>
        <w:tc>
          <w:tcPr>
            <w:tcW w:w="1343" w:type="dxa"/>
            <w:tcBorders>
              <w:top w:val="nil"/>
              <w:bottom w:val="nil"/>
            </w:tcBorders>
            <w:noWrap/>
          </w:tcPr>
          <w:p w14:paraId="58104D57" w14:textId="77777777" w:rsidR="00A633F9" w:rsidRPr="00B01ACB" w:rsidRDefault="00A633F9" w:rsidP="00EA53B9">
            <w:pPr>
              <w:ind w:right="43"/>
              <w:jc w:val="center"/>
              <w:rPr>
                <w:rFonts w:ascii="Arial" w:hAnsi="Arial" w:cs="Arial"/>
                <w:b/>
                <w:bCs/>
              </w:rPr>
            </w:pPr>
            <w:r w:rsidRPr="00B01ACB">
              <w:rPr>
                <w:rFonts w:ascii="Arial" w:hAnsi="Arial" w:cs="Arial"/>
                <w:b/>
                <w:bCs/>
              </w:rPr>
              <w:t>0.40</w:t>
            </w:r>
          </w:p>
        </w:tc>
        <w:tc>
          <w:tcPr>
            <w:tcW w:w="2065" w:type="dxa"/>
            <w:tcBorders>
              <w:top w:val="nil"/>
              <w:bottom w:val="nil"/>
              <w:right w:val="nil"/>
            </w:tcBorders>
            <w:noWrap/>
          </w:tcPr>
          <w:p w14:paraId="0473DC13" w14:textId="77777777" w:rsidR="00A633F9" w:rsidRPr="00B01ACB" w:rsidRDefault="00A633F9" w:rsidP="00EA53B9">
            <w:pPr>
              <w:ind w:right="43"/>
              <w:jc w:val="center"/>
              <w:rPr>
                <w:rFonts w:ascii="Arial" w:hAnsi="Arial" w:cs="Arial"/>
                <w:b/>
                <w:bCs/>
              </w:rPr>
            </w:pPr>
            <w:r w:rsidRPr="00B01ACB">
              <w:rPr>
                <w:rFonts w:ascii="Arial" w:hAnsi="Arial" w:cs="Arial"/>
                <w:b/>
                <w:bCs/>
              </w:rPr>
              <w:t>Very High</w:t>
            </w:r>
          </w:p>
        </w:tc>
      </w:tr>
      <w:tr w:rsidR="00A633F9" w:rsidRPr="00C37B54" w14:paraId="36126E9B" w14:textId="77777777" w:rsidTr="00EA53B9">
        <w:trPr>
          <w:trHeight w:val="20"/>
        </w:trPr>
        <w:tc>
          <w:tcPr>
            <w:tcW w:w="3973" w:type="dxa"/>
            <w:tcBorders>
              <w:top w:val="nil"/>
              <w:left w:val="nil"/>
              <w:bottom w:val="single" w:sz="4" w:space="0" w:color="auto"/>
            </w:tcBorders>
            <w:hideMark/>
          </w:tcPr>
          <w:p w14:paraId="6A3ABAED" w14:textId="77777777" w:rsidR="00A633F9" w:rsidRPr="00B01ACB" w:rsidRDefault="00A633F9" w:rsidP="00EA53B9">
            <w:pPr>
              <w:ind w:right="43"/>
              <w:jc w:val="center"/>
              <w:rPr>
                <w:rFonts w:ascii="Arial" w:hAnsi="Arial" w:cs="Arial"/>
                <w:b/>
                <w:bCs/>
              </w:rPr>
            </w:pPr>
            <w:r w:rsidRPr="00B01ACB">
              <w:rPr>
                <w:rFonts w:ascii="Arial" w:hAnsi="Arial" w:cs="Arial"/>
                <w:b/>
                <w:bCs/>
                <w:color w:val="000000"/>
                <w:lang w:eastAsia="en-PH"/>
              </w:rPr>
              <w:t>Overall Financial Management</w:t>
            </w:r>
          </w:p>
        </w:tc>
        <w:tc>
          <w:tcPr>
            <w:tcW w:w="1102" w:type="dxa"/>
            <w:tcBorders>
              <w:top w:val="nil"/>
              <w:bottom w:val="single" w:sz="4" w:space="0" w:color="auto"/>
            </w:tcBorders>
            <w:noWrap/>
            <w:hideMark/>
          </w:tcPr>
          <w:p w14:paraId="6A2208D0" w14:textId="77777777" w:rsidR="00A633F9" w:rsidRPr="00915FAE" w:rsidRDefault="00A633F9" w:rsidP="00EA53B9">
            <w:pPr>
              <w:ind w:right="43"/>
              <w:jc w:val="center"/>
              <w:rPr>
                <w:rFonts w:ascii="Arial" w:hAnsi="Arial" w:cs="Arial"/>
                <w:b/>
                <w:bCs/>
              </w:rPr>
            </w:pPr>
            <w:r w:rsidRPr="00915FAE">
              <w:rPr>
                <w:rFonts w:ascii="Arial" w:hAnsi="Arial" w:cs="Arial"/>
                <w:b/>
                <w:bCs/>
              </w:rPr>
              <w:t>4.23</w:t>
            </w:r>
          </w:p>
        </w:tc>
        <w:tc>
          <w:tcPr>
            <w:tcW w:w="1343" w:type="dxa"/>
            <w:tcBorders>
              <w:top w:val="nil"/>
              <w:bottom w:val="single" w:sz="4" w:space="0" w:color="auto"/>
            </w:tcBorders>
            <w:noWrap/>
            <w:hideMark/>
          </w:tcPr>
          <w:p w14:paraId="36B8F0ED" w14:textId="77777777" w:rsidR="00A633F9" w:rsidRPr="00915FAE" w:rsidRDefault="00A633F9" w:rsidP="00EA53B9">
            <w:pPr>
              <w:ind w:right="43"/>
              <w:jc w:val="center"/>
              <w:rPr>
                <w:rFonts w:ascii="Arial" w:hAnsi="Arial" w:cs="Arial"/>
                <w:b/>
                <w:bCs/>
              </w:rPr>
            </w:pPr>
            <w:r w:rsidRPr="00915FAE">
              <w:rPr>
                <w:rFonts w:ascii="Arial" w:hAnsi="Arial" w:cs="Arial"/>
                <w:b/>
                <w:bCs/>
              </w:rPr>
              <w:t>0.26</w:t>
            </w:r>
          </w:p>
        </w:tc>
        <w:tc>
          <w:tcPr>
            <w:tcW w:w="2065" w:type="dxa"/>
            <w:tcBorders>
              <w:top w:val="nil"/>
              <w:bottom w:val="single" w:sz="4" w:space="0" w:color="auto"/>
              <w:right w:val="nil"/>
            </w:tcBorders>
            <w:noWrap/>
            <w:hideMark/>
          </w:tcPr>
          <w:p w14:paraId="6FFF7402" w14:textId="77777777" w:rsidR="00A633F9" w:rsidRPr="00915FAE" w:rsidRDefault="00A633F9" w:rsidP="00EA53B9">
            <w:pPr>
              <w:ind w:right="43"/>
              <w:jc w:val="center"/>
              <w:rPr>
                <w:rFonts w:ascii="Arial" w:hAnsi="Arial" w:cs="Arial"/>
                <w:b/>
                <w:bCs/>
              </w:rPr>
            </w:pPr>
            <w:r w:rsidRPr="00915FAE">
              <w:rPr>
                <w:rFonts w:ascii="Arial" w:hAnsi="Arial" w:cs="Arial"/>
                <w:b/>
                <w:bCs/>
              </w:rPr>
              <w:t>Very High</w:t>
            </w:r>
          </w:p>
        </w:tc>
      </w:tr>
    </w:tbl>
    <w:p w14:paraId="48C0674D" w14:textId="6AB682F6" w:rsidR="00183EE3" w:rsidRDefault="00183EE3" w:rsidP="00851412">
      <w:pPr>
        <w:pStyle w:val="Body"/>
        <w:spacing w:after="0"/>
        <w:rPr>
          <w:rFonts w:ascii="Arial" w:hAnsi="Arial" w:cs="Arial"/>
          <w:b/>
          <w:sz w:val="22"/>
        </w:rPr>
      </w:pPr>
    </w:p>
    <w:p w14:paraId="6ACC6338" w14:textId="4C0E48C3" w:rsidR="00851412" w:rsidRDefault="00E253E0" w:rsidP="00851412">
      <w:pPr>
        <w:pStyle w:val="Body"/>
        <w:spacing w:after="0"/>
        <w:rPr>
          <w:rFonts w:ascii="Arial" w:hAnsi="Arial" w:cs="Arial"/>
          <w:b/>
          <w:sz w:val="22"/>
        </w:rPr>
      </w:pPr>
      <w:r>
        <w:rPr>
          <w:rFonts w:ascii="Arial" w:hAnsi="Arial" w:cs="Arial"/>
          <w:b/>
          <w:sz w:val="22"/>
        </w:rPr>
        <w:t>3</w:t>
      </w:r>
      <w:r w:rsidR="00851412">
        <w:rPr>
          <w:rFonts w:ascii="Arial" w:hAnsi="Arial" w:cs="Arial"/>
          <w:b/>
          <w:sz w:val="22"/>
        </w:rPr>
        <w:t xml:space="preserve">.4 </w:t>
      </w:r>
      <w:r w:rsidR="00A633F9">
        <w:rPr>
          <w:rFonts w:ascii="Arial" w:hAnsi="Arial" w:cs="Arial"/>
          <w:b/>
          <w:sz w:val="22"/>
        </w:rPr>
        <w:t>Level of Management Practices of Financial Institutions in terms of Marketing</w:t>
      </w:r>
    </w:p>
    <w:p w14:paraId="0C33C0AF" w14:textId="77777777" w:rsidR="004208F9" w:rsidRDefault="004208F9" w:rsidP="00851412">
      <w:pPr>
        <w:pStyle w:val="Body"/>
        <w:spacing w:after="0"/>
        <w:rPr>
          <w:rFonts w:ascii="Arial" w:hAnsi="Arial" w:cs="Arial"/>
          <w:b/>
          <w:sz w:val="22"/>
        </w:rPr>
      </w:pPr>
    </w:p>
    <w:p w14:paraId="7E405FAD" w14:textId="51C85ECC" w:rsidR="00E07C43" w:rsidRDefault="00A633F9" w:rsidP="00A633F9">
      <w:pPr>
        <w:spacing w:after="240"/>
        <w:ind w:right="43"/>
        <w:jc w:val="both"/>
        <w:rPr>
          <w:rFonts w:ascii="Arial" w:hAnsi="Arial" w:cs="Arial"/>
        </w:rPr>
      </w:pPr>
      <w:r>
        <w:rPr>
          <w:rFonts w:ascii="Arial" w:hAnsi="Arial" w:cs="Arial"/>
        </w:rPr>
        <w:t>Table 4</w:t>
      </w:r>
      <w:r w:rsidRPr="00231448">
        <w:rPr>
          <w:rFonts w:ascii="Arial" w:hAnsi="Arial" w:cs="Arial"/>
        </w:rPr>
        <w:t xml:space="preserve"> showed that the overall mean of marketing management practices among financial institutions in </w:t>
      </w:r>
      <w:proofErr w:type="spellStart"/>
      <w:r w:rsidRPr="00231448">
        <w:rPr>
          <w:rFonts w:ascii="Arial" w:hAnsi="Arial" w:cs="Arial"/>
        </w:rPr>
        <w:t>Cateel</w:t>
      </w:r>
      <w:proofErr w:type="spellEnd"/>
      <w:r w:rsidRPr="00231448">
        <w:rPr>
          <w:rFonts w:ascii="Arial" w:hAnsi="Arial" w:cs="Arial"/>
        </w:rPr>
        <w:t>, Davao Oriental was</w:t>
      </w:r>
      <w:r w:rsidRPr="00231448">
        <w:rPr>
          <w:rFonts w:ascii="Arial" w:hAnsi="Arial" w:cs="Arial"/>
          <w:b/>
          <w:bCs/>
        </w:rPr>
        <w:t xml:space="preserve"> </w:t>
      </w:r>
      <w:r w:rsidRPr="00231448">
        <w:rPr>
          <w:rFonts w:ascii="Arial" w:hAnsi="Arial" w:cs="Arial"/>
        </w:rPr>
        <w:t>evident, with a computed mean of 4.18. This indicated that institutions actively engaged in efforts to promote their services, maintain customer relationships, and strengthen their public image. The results implied that marketing activities were consistently implemented, though with slightly more variability compared to human resource and financial practices. This confirmed that while marketing was a priority, there remained areas for improvement in strategy development and customer outreach. These findings supported the conclusions of Al Aina and Atan (2020), who emphasized that effective marketing is essential for organizational competitiveness and customer retention.</w:t>
      </w:r>
    </w:p>
    <w:p w14:paraId="55271C6B" w14:textId="77777777" w:rsidR="00A633F9" w:rsidRPr="00231448" w:rsidRDefault="00A633F9" w:rsidP="00A633F9">
      <w:pPr>
        <w:spacing w:after="240"/>
        <w:ind w:right="43"/>
        <w:jc w:val="both"/>
        <w:rPr>
          <w:rFonts w:ascii="Arial" w:hAnsi="Arial" w:cs="Arial"/>
        </w:rPr>
      </w:pPr>
      <w:r w:rsidRPr="00231448">
        <w:rPr>
          <w:rFonts w:ascii="Arial" w:hAnsi="Arial" w:cs="Arial"/>
        </w:rPr>
        <w:t xml:space="preserve">The highest-rated statement was “Asks for feedback from regular customers,” which received a mean of 4.23 and was interpreted as highly evident. This implied that financial institutions placed great value on maintaining strong communication with their existing clients. By actively seeking feedback, institutions demonstrated responsiveness and a commitment to continuous service improvement. This was consistent with </w:t>
      </w:r>
      <w:proofErr w:type="spellStart"/>
      <w:r w:rsidRPr="00231448">
        <w:rPr>
          <w:rFonts w:ascii="Arial" w:hAnsi="Arial" w:cs="Arial"/>
        </w:rPr>
        <w:t>Mogaji</w:t>
      </w:r>
      <w:proofErr w:type="spellEnd"/>
      <w:r w:rsidRPr="00231448">
        <w:rPr>
          <w:rFonts w:ascii="Arial" w:hAnsi="Arial" w:cs="Arial"/>
        </w:rPr>
        <w:t xml:space="preserve"> et al. (2020), who noted that customer-driven feedback loops enhance trust, satisfaction, and long-term loyalty. The finding indicated that client input was being used to guide marketing adjustments and service delivery.</w:t>
      </w:r>
    </w:p>
    <w:p w14:paraId="4249885E" w14:textId="0AE541F5" w:rsidR="00A633F9" w:rsidRDefault="00A633F9" w:rsidP="00A633F9">
      <w:pPr>
        <w:ind w:right="43"/>
        <w:jc w:val="both"/>
        <w:rPr>
          <w:rFonts w:ascii="Arial" w:hAnsi="Arial" w:cs="Arial"/>
        </w:rPr>
      </w:pPr>
      <w:r w:rsidRPr="00231448">
        <w:rPr>
          <w:rFonts w:ascii="Arial" w:hAnsi="Arial" w:cs="Arial"/>
        </w:rPr>
        <w:t>The lowest-rated statement was “Conducts surveys from target market,” which recorded a mean of 4.13 and was classified as evident. While still indicating the presence of such efforts, the slightly lower score implied that institutions were less consistent in reaching out to potential clients beyond their current customer base. This may have limited their ability to fully understand emerging market demands or refine their marketing strategies. This result aligned with Conte and Siano (2023), who highlighted that regular engagement with untapped markets is critical for sustainable marketing growth. Improving this area could help institutions enhance their outreach and increase visibility among prospective clients.</w:t>
      </w:r>
    </w:p>
    <w:p w14:paraId="0DDA832D" w14:textId="77777777" w:rsidR="00A633F9" w:rsidRPr="00A633F9" w:rsidRDefault="00A633F9" w:rsidP="00A633F9">
      <w:pPr>
        <w:ind w:right="43"/>
        <w:jc w:val="both"/>
        <w:rPr>
          <w:rFonts w:ascii="Arial" w:hAnsi="Arial" w:cs="Arial"/>
        </w:rPr>
      </w:pPr>
    </w:p>
    <w:p w14:paraId="7C335B43" w14:textId="2948BF80" w:rsidR="00E4187D" w:rsidRPr="005A652D" w:rsidRDefault="005A652D" w:rsidP="00851412">
      <w:pPr>
        <w:pStyle w:val="Body"/>
        <w:spacing w:after="0"/>
        <w:rPr>
          <w:rFonts w:ascii="Arial" w:hAnsi="Arial" w:cs="Arial"/>
          <w:b/>
          <w:color w:val="000000" w:themeColor="text1"/>
        </w:rPr>
      </w:pPr>
      <w:r w:rsidRPr="005A652D">
        <w:rPr>
          <w:rFonts w:ascii="Arial" w:hAnsi="Arial" w:cs="Arial"/>
          <w:b/>
          <w:color w:val="000000" w:themeColor="text1"/>
        </w:rPr>
        <w:t>Table 4</w:t>
      </w:r>
      <w:r w:rsidR="00E4187D" w:rsidRPr="005A652D">
        <w:rPr>
          <w:rFonts w:ascii="Arial" w:hAnsi="Arial" w:cs="Arial"/>
          <w:b/>
          <w:color w:val="000000" w:themeColor="text1"/>
        </w:rPr>
        <w:t>.</w:t>
      </w:r>
      <w:r w:rsidR="00E4187D" w:rsidRPr="005A652D">
        <w:rPr>
          <w:rFonts w:ascii="Arial" w:hAnsi="Arial" w:cs="Arial"/>
          <w:b/>
          <w:color w:val="000000" w:themeColor="text1"/>
        </w:rPr>
        <w:tab/>
      </w:r>
      <w:r>
        <w:rPr>
          <w:rFonts w:ascii="Arial" w:hAnsi="Arial" w:cs="Arial"/>
          <w:b/>
          <w:color w:val="000000" w:themeColor="text1"/>
        </w:rPr>
        <w:t xml:space="preserve">Level of management </w:t>
      </w:r>
      <w:r>
        <w:rPr>
          <w:rFonts w:ascii="Arial" w:hAnsi="Arial"/>
          <w:b/>
          <w:color w:val="000000" w:themeColor="text1"/>
        </w:rPr>
        <w:t>practices of financial institutions in terms of marketing</w:t>
      </w:r>
    </w:p>
    <w:p w14:paraId="1726CDDE" w14:textId="77777777" w:rsidR="00384677" w:rsidRDefault="00384677" w:rsidP="00851412">
      <w:pPr>
        <w:pStyle w:val="Body"/>
        <w:spacing w:after="0"/>
        <w:rPr>
          <w:rFonts w:ascii="Arial" w:hAnsi="Arial" w:cs="Arial"/>
          <w:b/>
          <w:color w:val="00B050"/>
          <w:sz w:val="22"/>
        </w:rPr>
      </w:pPr>
    </w:p>
    <w:tbl>
      <w:tblPr>
        <w:tblW w:w="8454"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848"/>
        <w:gridCol w:w="1142"/>
        <w:gridCol w:w="1323"/>
        <w:gridCol w:w="2141"/>
      </w:tblGrid>
      <w:tr w:rsidR="005A652D" w:rsidRPr="00C37B54" w14:paraId="0DF60807" w14:textId="77777777" w:rsidTr="00EA53B9">
        <w:trPr>
          <w:trHeight w:val="20"/>
        </w:trPr>
        <w:tc>
          <w:tcPr>
            <w:tcW w:w="3848" w:type="dxa"/>
            <w:tcBorders>
              <w:top w:val="single" w:sz="4" w:space="0" w:color="auto"/>
              <w:left w:val="nil"/>
              <w:bottom w:val="nil"/>
            </w:tcBorders>
            <w:vAlign w:val="center"/>
            <w:hideMark/>
          </w:tcPr>
          <w:p w14:paraId="568DD58E" w14:textId="77777777" w:rsidR="005A652D" w:rsidRPr="00C52A7A" w:rsidRDefault="005A652D" w:rsidP="00EA53B9">
            <w:pPr>
              <w:ind w:right="43"/>
              <w:jc w:val="center"/>
              <w:rPr>
                <w:rFonts w:ascii="Arial" w:hAnsi="Arial" w:cs="Arial"/>
                <w:b/>
                <w:bCs/>
              </w:rPr>
            </w:pPr>
            <w:r w:rsidRPr="00C52A7A">
              <w:rPr>
                <w:rFonts w:ascii="Arial" w:hAnsi="Arial" w:cs="Arial"/>
                <w:b/>
                <w:bCs/>
              </w:rPr>
              <w:t>Indicator</w:t>
            </w:r>
          </w:p>
        </w:tc>
        <w:tc>
          <w:tcPr>
            <w:tcW w:w="1142" w:type="dxa"/>
            <w:vMerge w:val="restart"/>
            <w:tcBorders>
              <w:top w:val="single" w:sz="4" w:space="0" w:color="auto"/>
              <w:bottom w:val="nil"/>
            </w:tcBorders>
            <w:vAlign w:val="center"/>
            <w:hideMark/>
          </w:tcPr>
          <w:p w14:paraId="1A467F95" w14:textId="77777777" w:rsidR="005A652D" w:rsidRPr="00C52A7A" w:rsidRDefault="005A652D" w:rsidP="00EA53B9">
            <w:pPr>
              <w:ind w:right="43"/>
              <w:jc w:val="center"/>
              <w:rPr>
                <w:rFonts w:ascii="Arial" w:hAnsi="Arial" w:cs="Arial"/>
                <w:b/>
                <w:bCs/>
              </w:rPr>
            </w:pPr>
            <w:r w:rsidRPr="00C52A7A">
              <w:rPr>
                <w:rFonts w:ascii="Arial" w:hAnsi="Arial" w:cs="Arial"/>
                <w:b/>
                <w:bCs/>
              </w:rPr>
              <w:t>Mean</w:t>
            </w:r>
          </w:p>
        </w:tc>
        <w:tc>
          <w:tcPr>
            <w:tcW w:w="1323" w:type="dxa"/>
            <w:vMerge w:val="restart"/>
            <w:tcBorders>
              <w:top w:val="single" w:sz="4" w:space="0" w:color="auto"/>
              <w:bottom w:val="nil"/>
            </w:tcBorders>
            <w:vAlign w:val="center"/>
            <w:hideMark/>
          </w:tcPr>
          <w:p w14:paraId="1D992630" w14:textId="77777777" w:rsidR="005A652D" w:rsidRPr="00C52A7A" w:rsidRDefault="005A652D" w:rsidP="00EA53B9">
            <w:pPr>
              <w:ind w:right="43"/>
              <w:jc w:val="center"/>
              <w:rPr>
                <w:rFonts w:ascii="Arial" w:hAnsi="Arial" w:cs="Arial"/>
                <w:b/>
                <w:bCs/>
              </w:rPr>
            </w:pPr>
            <w:r w:rsidRPr="00C52A7A">
              <w:rPr>
                <w:rFonts w:ascii="Arial" w:hAnsi="Arial" w:cs="Arial"/>
                <w:b/>
                <w:bCs/>
              </w:rPr>
              <w:t>Std. Deviation</w:t>
            </w:r>
          </w:p>
        </w:tc>
        <w:tc>
          <w:tcPr>
            <w:tcW w:w="2141" w:type="dxa"/>
            <w:vMerge w:val="restart"/>
            <w:tcBorders>
              <w:top w:val="single" w:sz="4" w:space="0" w:color="auto"/>
              <w:bottom w:val="nil"/>
              <w:right w:val="nil"/>
            </w:tcBorders>
            <w:noWrap/>
            <w:vAlign w:val="center"/>
            <w:hideMark/>
          </w:tcPr>
          <w:p w14:paraId="175AB59D" w14:textId="77777777" w:rsidR="005A652D" w:rsidRPr="00C52A7A" w:rsidRDefault="005A652D" w:rsidP="00EA53B9">
            <w:pPr>
              <w:ind w:right="43"/>
              <w:jc w:val="center"/>
              <w:rPr>
                <w:rFonts w:ascii="Arial" w:hAnsi="Arial" w:cs="Arial"/>
                <w:b/>
                <w:bCs/>
              </w:rPr>
            </w:pPr>
            <w:r w:rsidRPr="00C52A7A">
              <w:rPr>
                <w:rFonts w:ascii="Arial" w:hAnsi="Arial" w:cs="Arial"/>
                <w:b/>
                <w:bCs/>
              </w:rPr>
              <w:t>Interpretation</w:t>
            </w:r>
          </w:p>
        </w:tc>
      </w:tr>
      <w:tr w:rsidR="005A652D" w:rsidRPr="00C37B54" w14:paraId="5F89A6A8" w14:textId="77777777" w:rsidTr="00EA53B9">
        <w:trPr>
          <w:trHeight w:val="20"/>
        </w:trPr>
        <w:tc>
          <w:tcPr>
            <w:tcW w:w="3848" w:type="dxa"/>
            <w:tcBorders>
              <w:top w:val="nil"/>
              <w:left w:val="nil"/>
              <w:bottom w:val="single" w:sz="4" w:space="0" w:color="auto"/>
            </w:tcBorders>
            <w:vAlign w:val="center"/>
          </w:tcPr>
          <w:p w14:paraId="329EACAA" w14:textId="77777777" w:rsidR="005A652D" w:rsidRPr="00C52A7A" w:rsidRDefault="005A652D" w:rsidP="00EA53B9">
            <w:pPr>
              <w:ind w:right="43"/>
              <w:jc w:val="center"/>
              <w:rPr>
                <w:rFonts w:ascii="Arial" w:hAnsi="Arial" w:cs="Arial"/>
                <w:b/>
                <w:bCs/>
              </w:rPr>
            </w:pPr>
            <w:r>
              <w:rPr>
                <w:rFonts w:ascii="Arial" w:hAnsi="Arial" w:cs="Arial"/>
                <w:b/>
                <w:bCs/>
              </w:rPr>
              <w:t>Marketing</w:t>
            </w:r>
          </w:p>
        </w:tc>
        <w:tc>
          <w:tcPr>
            <w:tcW w:w="1142" w:type="dxa"/>
            <w:vMerge/>
            <w:tcBorders>
              <w:top w:val="nil"/>
              <w:bottom w:val="single" w:sz="4" w:space="0" w:color="auto"/>
            </w:tcBorders>
          </w:tcPr>
          <w:p w14:paraId="0C52D179" w14:textId="77777777" w:rsidR="005A652D" w:rsidRPr="00C52A7A" w:rsidRDefault="005A652D" w:rsidP="00EA53B9">
            <w:pPr>
              <w:ind w:right="43"/>
              <w:jc w:val="center"/>
              <w:rPr>
                <w:rFonts w:ascii="Arial" w:hAnsi="Arial" w:cs="Arial"/>
                <w:b/>
                <w:bCs/>
              </w:rPr>
            </w:pPr>
          </w:p>
        </w:tc>
        <w:tc>
          <w:tcPr>
            <w:tcW w:w="1323" w:type="dxa"/>
            <w:vMerge/>
            <w:tcBorders>
              <w:top w:val="nil"/>
              <w:bottom w:val="single" w:sz="4" w:space="0" w:color="auto"/>
            </w:tcBorders>
          </w:tcPr>
          <w:p w14:paraId="603ACF05" w14:textId="77777777" w:rsidR="005A652D" w:rsidRPr="00C52A7A" w:rsidRDefault="005A652D" w:rsidP="00EA53B9">
            <w:pPr>
              <w:ind w:right="43"/>
              <w:jc w:val="center"/>
              <w:rPr>
                <w:rFonts w:ascii="Arial" w:hAnsi="Arial" w:cs="Arial"/>
                <w:b/>
                <w:bCs/>
              </w:rPr>
            </w:pPr>
          </w:p>
        </w:tc>
        <w:tc>
          <w:tcPr>
            <w:tcW w:w="2141" w:type="dxa"/>
            <w:vMerge/>
            <w:tcBorders>
              <w:top w:val="nil"/>
              <w:bottom w:val="single" w:sz="4" w:space="0" w:color="auto"/>
              <w:right w:val="nil"/>
            </w:tcBorders>
            <w:noWrap/>
          </w:tcPr>
          <w:p w14:paraId="4B24D845" w14:textId="77777777" w:rsidR="005A652D" w:rsidRPr="00C52A7A" w:rsidRDefault="005A652D" w:rsidP="00EA53B9">
            <w:pPr>
              <w:ind w:right="43"/>
              <w:jc w:val="center"/>
              <w:rPr>
                <w:rFonts w:ascii="Arial" w:hAnsi="Arial" w:cs="Arial"/>
                <w:b/>
                <w:bCs/>
              </w:rPr>
            </w:pPr>
          </w:p>
        </w:tc>
      </w:tr>
      <w:tr w:rsidR="005A652D" w:rsidRPr="00C37B54" w14:paraId="218BDCAB" w14:textId="77777777" w:rsidTr="00EA53B9">
        <w:trPr>
          <w:trHeight w:val="20"/>
        </w:trPr>
        <w:tc>
          <w:tcPr>
            <w:tcW w:w="3848" w:type="dxa"/>
            <w:tcBorders>
              <w:top w:val="single" w:sz="4" w:space="0" w:color="auto"/>
              <w:left w:val="nil"/>
            </w:tcBorders>
            <w:hideMark/>
          </w:tcPr>
          <w:p w14:paraId="3ECB61D5" w14:textId="77777777" w:rsidR="005A652D" w:rsidRPr="00C37B54" w:rsidRDefault="005A652D" w:rsidP="00EA53B9">
            <w:pPr>
              <w:ind w:right="43"/>
              <w:jc w:val="both"/>
              <w:rPr>
                <w:rFonts w:ascii="Arial" w:hAnsi="Arial" w:cs="Arial"/>
              </w:rPr>
            </w:pPr>
            <w:r w:rsidRPr="00B2502A">
              <w:rPr>
                <w:rFonts w:ascii="Arial" w:hAnsi="Arial" w:cs="Arial"/>
              </w:rPr>
              <w:t>Observes changing needs of the customers</w:t>
            </w:r>
          </w:p>
        </w:tc>
        <w:tc>
          <w:tcPr>
            <w:tcW w:w="1142" w:type="dxa"/>
            <w:tcBorders>
              <w:top w:val="single" w:sz="4" w:space="0" w:color="auto"/>
            </w:tcBorders>
            <w:noWrap/>
            <w:hideMark/>
          </w:tcPr>
          <w:p w14:paraId="1B750A50" w14:textId="77777777" w:rsidR="005A652D" w:rsidRPr="00C37B54" w:rsidRDefault="005A652D" w:rsidP="00EA53B9">
            <w:pPr>
              <w:ind w:right="43"/>
              <w:jc w:val="center"/>
              <w:rPr>
                <w:rFonts w:ascii="Arial" w:hAnsi="Arial" w:cs="Arial"/>
              </w:rPr>
            </w:pPr>
            <w:r w:rsidRPr="00C37B54">
              <w:rPr>
                <w:rFonts w:ascii="Arial" w:hAnsi="Arial" w:cs="Arial"/>
              </w:rPr>
              <w:t>4.17</w:t>
            </w:r>
          </w:p>
        </w:tc>
        <w:tc>
          <w:tcPr>
            <w:tcW w:w="1323" w:type="dxa"/>
            <w:tcBorders>
              <w:top w:val="single" w:sz="4" w:space="0" w:color="auto"/>
            </w:tcBorders>
            <w:noWrap/>
            <w:hideMark/>
          </w:tcPr>
          <w:p w14:paraId="7419620C" w14:textId="77777777" w:rsidR="005A652D" w:rsidRPr="00C37B54" w:rsidRDefault="005A652D" w:rsidP="00EA53B9">
            <w:pPr>
              <w:ind w:right="43"/>
              <w:jc w:val="center"/>
              <w:rPr>
                <w:rFonts w:ascii="Arial" w:hAnsi="Arial" w:cs="Arial"/>
              </w:rPr>
            </w:pPr>
            <w:r w:rsidRPr="00C37B54">
              <w:rPr>
                <w:rFonts w:ascii="Arial" w:hAnsi="Arial" w:cs="Arial"/>
              </w:rPr>
              <w:t>0.52</w:t>
            </w:r>
          </w:p>
        </w:tc>
        <w:tc>
          <w:tcPr>
            <w:tcW w:w="2141" w:type="dxa"/>
            <w:tcBorders>
              <w:top w:val="single" w:sz="4" w:space="0" w:color="auto"/>
              <w:right w:val="nil"/>
            </w:tcBorders>
            <w:noWrap/>
            <w:hideMark/>
          </w:tcPr>
          <w:p w14:paraId="0CD34F0A" w14:textId="77777777" w:rsidR="005A652D" w:rsidRPr="00C37B54" w:rsidRDefault="005A652D" w:rsidP="00EA53B9">
            <w:pPr>
              <w:ind w:right="43"/>
              <w:jc w:val="center"/>
              <w:rPr>
                <w:rFonts w:ascii="Arial" w:hAnsi="Arial" w:cs="Arial"/>
              </w:rPr>
            </w:pPr>
            <w:r w:rsidRPr="004277EE">
              <w:rPr>
                <w:rFonts w:ascii="Arial" w:hAnsi="Arial" w:cs="Arial"/>
              </w:rPr>
              <w:t>High</w:t>
            </w:r>
          </w:p>
        </w:tc>
      </w:tr>
      <w:tr w:rsidR="005A652D" w:rsidRPr="00C37B54" w14:paraId="098F9EB8" w14:textId="77777777" w:rsidTr="00EA53B9">
        <w:trPr>
          <w:trHeight w:val="20"/>
        </w:trPr>
        <w:tc>
          <w:tcPr>
            <w:tcW w:w="3848" w:type="dxa"/>
            <w:tcBorders>
              <w:left w:val="nil"/>
            </w:tcBorders>
            <w:hideMark/>
          </w:tcPr>
          <w:p w14:paraId="0D9D6224" w14:textId="77777777" w:rsidR="005A652D" w:rsidRPr="00C37B54" w:rsidRDefault="005A652D" w:rsidP="00EA53B9">
            <w:pPr>
              <w:ind w:right="43"/>
              <w:jc w:val="both"/>
              <w:rPr>
                <w:rFonts w:ascii="Arial" w:hAnsi="Arial" w:cs="Arial"/>
              </w:rPr>
            </w:pPr>
            <w:r w:rsidRPr="00B2502A">
              <w:rPr>
                <w:rFonts w:ascii="Arial" w:hAnsi="Arial" w:cs="Arial"/>
              </w:rPr>
              <w:lastRenderedPageBreak/>
              <w:t>Determines future demand from the target market</w:t>
            </w:r>
          </w:p>
        </w:tc>
        <w:tc>
          <w:tcPr>
            <w:tcW w:w="1142" w:type="dxa"/>
            <w:noWrap/>
            <w:hideMark/>
          </w:tcPr>
          <w:p w14:paraId="69CAC6A2" w14:textId="77777777" w:rsidR="005A652D" w:rsidRPr="00C37B54" w:rsidRDefault="005A652D" w:rsidP="00EA53B9">
            <w:pPr>
              <w:ind w:right="43"/>
              <w:jc w:val="center"/>
              <w:rPr>
                <w:rFonts w:ascii="Arial" w:hAnsi="Arial" w:cs="Arial"/>
              </w:rPr>
            </w:pPr>
            <w:r w:rsidRPr="00C37B54">
              <w:rPr>
                <w:rFonts w:ascii="Arial" w:hAnsi="Arial" w:cs="Arial"/>
              </w:rPr>
              <w:t>4.17</w:t>
            </w:r>
          </w:p>
        </w:tc>
        <w:tc>
          <w:tcPr>
            <w:tcW w:w="1323" w:type="dxa"/>
            <w:noWrap/>
            <w:hideMark/>
          </w:tcPr>
          <w:p w14:paraId="2333209A" w14:textId="77777777" w:rsidR="005A652D" w:rsidRPr="00C37B54" w:rsidRDefault="005A652D" w:rsidP="00EA53B9">
            <w:pPr>
              <w:ind w:right="43"/>
              <w:jc w:val="center"/>
              <w:rPr>
                <w:rFonts w:ascii="Arial" w:hAnsi="Arial" w:cs="Arial"/>
              </w:rPr>
            </w:pPr>
            <w:r w:rsidRPr="00C37B54">
              <w:rPr>
                <w:rFonts w:ascii="Arial" w:hAnsi="Arial" w:cs="Arial"/>
              </w:rPr>
              <w:t>0.57</w:t>
            </w:r>
          </w:p>
        </w:tc>
        <w:tc>
          <w:tcPr>
            <w:tcW w:w="2141" w:type="dxa"/>
            <w:tcBorders>
              <w:right w:val="nil"/>
            </w:tcBorders>
            <w:noWrap/>
            <w:hideMark/>
          </w:tcPr>
          <w:p w14:paraId="7B766F0F" w14:textId="77777777" w:rsidR="005A652D" w:rsidRPr="00C37B54" w:rsidRDefault="005A652D" w:rsidP="00EA53B9">
            <w:pPr>
              <w:ind w:right="43"/>
              <w:jc w:val="center"/>
              <w:rPr>
                <w:rFonts w:ascii="Arial" w:hAnsi="Arial" w:cs="Arial"/>
              </w:rPr>
            </w:pPr>
            <w:r w:rsidRPr="004277EE">
              <w:rPr>
                <w:rFonts w:ascii="Arial" w:hAnsi="Arial" w:cs="Arial"/>
              </w:rPr>
              <w:t>High</w:t>
            </w:r>
          </w:p>
        </w:tc>
      </w:tr>
      <w:tr w:rsidR="005A652D" w:rsidRPr="00C37B54" w14:paraId="43CB718C" w14:textId="77777777" w:rsidTr="00EA53B9">
        <w:trPr>
          <w:trHeight w:val="20"/>
        </w:trPr>
        <w:tc>
          <w:tcPr>
            <w:tcW w:w="3848" w:type="dxa"/>
            <w:tcBorders>
              <w:left w:val="nil"/>
            </w:tcBorders>
            <w:hideMark/>
          </w:tcPr>
          <w:p w14:paraId="65C8AD84" w14:textId="77777777" w:rsidR="005A652D" w:rsidRPr="00C37B54" w:rsidRDefault="005A652D" w:rsidP="00EA53B9">
            <w:pPr>
              <w:ind w:right="43"/>
              <w:jc w:val="both"/>
              <w:rPr>
                <w:rFonts w:ascii="Arial" w:hAnsi="Arial" w:cs="Arial"/>
              </w:rPr>
            </w:pPr>
            <w:r w:rsidRPr="00B2502A">
              <w:rPr>
                <w:rFonts w:ascii="Arial" w:hAnsi="Arial" w:cs="Arial"/>
              </w:rPr>
              <w:t>Conducts surveys from target market</w:t>
            </w:r>
          </w:p>
        </w:tc>
        <w:tc>
          <w:tcPr>
            <w:tcW w:w="1142" w:type="dxa"/>
            <w:noWrap/>
            <w:hideMark/>
          </w:tcPr>
          <w:p w14:paraId="5EB59564" w14:textId="77777777" w:rsidR="005A652D" w:rsidRPr="00C37B54" w:rsidRDefault="005A652D" w:rsidP="00EA53B9">
            <w:pPr>
              <w:ind w:right="43"/>
              <w:jc w:val="center"/>
              <w:rPr>
                <w:rFonts w:ascii="Arial" w:hAnsi="Arial" w:cs="Arial"/>
              </w:rPr>
            </w:pPr>
            <w:r w:rsidRPr="00C37B54">
              <w:rPr>
                <w:rFonts w:ascii="Arial" w:hAnsi="Arial" w:cs="Arial"/>
              </w:rPr>
              <w:t>4.13</w:t>
            </w:r>
          </w:p>
        </w:tc>
        <w:tc>
          <w:tcPr>
            <w:tcW w:w="1323" w:type="dxa"/>
            <w:noWrap/>
            <w:hideMark/>
          </w:tcPr>
          <w:p w14:paraId="77310181" w14:textId="77777777" w:rsidR="005A652D" w:rsidRPr="00C37B54" w:rsidRDefault="005A652D" w:rsidP="00EA53B9">
            <w:pPr>
              <w:ind w:right="43"/>
              <w:jc w:val="center"/>
              <w:rPr>
                <w:rFonts w:ascii="Arial" w:hAnsi="Arial" w:cs="Arial"/>
              </w:rPr>
            </w:pPr>
            <w:r w:rsidRPr="00C37B54">
              <w:rPr>
                <w:rFonts w:ascii="Arial" w:hAnsi="Arial" w:cs="Arial"/>
              </w:rPr>
              <w:t>0.51</w:t>
            </w:r>
          </w:p>
        </w:tc>
        <w:tc>
          <w:tcPr>
            <w:tcW w:w="2141" w:type="dxa"/>
            <w:tcBorders>
              <w:right w:val="nil"/>
            </w:tcBorders>
            <w:noWrap/>
            <w:hideMark/>
          </w:tcPr>
          <w:p w14:paraId="2E13AC73" w14:textId="77777777" w:rsidR="005A652D" w:rsidRPr="00C37B54" w:rsidRDefault="005A652D" w:rsidP="00EA53B9">
            <w:pPr>
              <w:ind w:right="43"/>
              <w:jc w:val="center"/>
              <w:rPr>
                <w:rFonts w:ascii="Arial" w:hAnsi="Arial" w:cs="Arial"/>
              </w:rPr>
            </w:pPr>
            <w:r w:rsidRPr="004277EE">
              <w:rPr>
                <w:rFonts w:ascii="Arial" w:hAnsi="Arial" w:cs="Arial"/>
              </w:rPr>
              <w:t>High</w:t>
            </w:r>
          </w:p>
        </w:tc>
      </w:tr>
      <w:tr w:rsidR="005A652D" w:rsidRPr="00C37B54" w14:paraId="1A745A37" w14:textId="77777777" w:rsidTr="00EA53B9">
        <w:trPr>
          <w:trHeight w:val="20"/>
        </w:trPr>
        <w:tc>
          <w:tcPr>
            <w:tcW w:w="3848" w:type="dxa"/>
            <w:tcBorders>
              <w:left w:val="nil"/>
              <w:bottom w:val="single" w:sz="4" w:space="0" w:color="auto"/>
            </w:tcBorders>
            <w:hideMark/>
          </w:tcPr>
          <w:p w14:paraId="6ECFE36B" w14:textId="77777777" w:rsidR="005A652D" w:rsidRPr="00C37B54" w:rsidRDefault="005A652D" w:rsidP="00EA53B9">
            <w:pPr>
              <w:ind w:right="43"/>
              <w:jc w:val="both"/>
              <w:rPr>
                <w:rFonts w:ascii="Arial" w:hAnsi="Arial" w:cs="Arial"/>
              </w:rPr>
            </w:pPr>
            <w:r w:rsidRPr="00B2502A">
              <w:rPr>
                <w:rFonts w:ascii="Arial" w:hAnsi="Arial" w:cs="Arial"/>
              </w:rPr>
              <w:t>Asks for feedback from regular customers</w:t>
            </w:r>
          </w:p>
        </w:tc>
        <w:tc>
          <w:tcPr>
            <w:tcW w:w="1142" w:type="dxa"/>
            <w:tcBorders>
              <w:bottom w:val="single" w:sz="4" w:space="0" w:color="auto"/>
            </w:tcBorders>
            <w:noWrap/>
            <w:hideMark/>
          </w:tcPr>
          <w:p w14:paraId="38547EBA" w14:textId="77777777" w:rsidR="005A652D" w:rsidRPr="00C37B54" w:rsidRDefault="005A652D" w:rsidP="00EA53B9">
            <w:pPr>
              <w:ind w:right="43"/>
              <w:jc w:val="center"/>
              <w:rPr>
                <w:rFonts w:ascii="Arial" w:hAnsi="Arial" w:cs="Arial"/>
              </w:rPr>
            </w:pPr>
            <w:r w:rsidRPr="00C37B54">
              <w:rPr>
                <w:rFonts w:ascii="Arial" w:hAnsi="Arial" w:cs="Arial"/>
              </w:rPr>
              <w:t>4.23</w:t>
            </w:r>
          </w:p>
        </w:tc>
        <w:tc>
          <w:tcPr>
            <w:tcW w:w="1323" w:type="dxa"/>
            <w:tcBorders>
              <w:bottom w:val="single" w:sz="4" w:space="0" w:color="auto"/>
            </w:tcBorders>
            <w:noWrap/>
            <w:hideMark/>
          </w:tcPr>
          <w:p w14:paraId="1C8E6CFB" w14:textId="77777777" w:rsidR="005A652D" w:rsidRPr="00C37B54" w:rsidRDefault="005A652D" w:rsidP="00EA53B9">
            <w:pPr>
              <w:ind w:right="43"/>
              <w:jc w:val="center"/>
              <w:rPr>
                <w:rFonts w:ascii="Arial" w:hAnsi="Arial" w:cs="Arial"/>
              </w:rPr>
            </w:pPr>
            <w:r w:rsidRPr="00C37B54">
              <w:rPr>
                <w:rFonts w:ascii="Arial" w:hAnsi="Arial" w:cs="Arial"/>
              </w:rPr>
              <w:t>0.53</w:t>
            </w:r>
          </w:p>
        </w:tc>
        <w:tc>
          <w:tcPr>
            <w:tcW w:w="2141" w:type="dxa"/>
            <w:tcBorders>
              <w:bottom w:val="single" w:sz="4" w:space="0" w:color="auto"/>
              <w:right w:val="nil"/>
            </w:tcBorders>
            <w:noWrap/>
            <w:hideMark/>
          </w:tcPr>
          <w:p w14:paraId="1EF790A2" w14:textId="77777777" w:rsidR="005A652D" w:rsidRPr="00C37B54" w:rsidRDefault="005A652D" w:rsidP="00EA53B9">
            <w:pPr>
              <w:ind w:right="43"/>
              <w:jc w:val="center"/>
              <w:rPr>
                <w:rFonts w:ascii="Arial" w:hAnsi="Arial" w:cs="Arial"/>
              </w:rPr>
            </w:pPr>
            <w:r w:rsidRPr="004277EE">
              <w:rPr>
                <w:rFonts w:ascii="Arial" w:hAnsi="Arial" w:cs="Arial"/>
              </w:rPr>
              <w:t>Very High</w:t>
            </w:r>
          </w:p>
        </w:tc>
      </w:tr>
      <w:tr w:rsidR="005A652D" w:rsidRPr="00C37B54" w14:paraId="7DA846D3" w14:textId="77777777" w:rsidTr="00EA53B9">
        <w:trPr>
          <w:trHeight w:val="20"/>
        </w:trPr>
        <w:tc>
          <w:tcPr>
            <w:tcW w:w="3848" w:type="dxa"/>
            <w:tcBorders>
              <w:top w:val="single" w:sz="4" w:space="0" w:color="auto"/>
              <w:left w:val="nil"/>
              <w:bottom w:val="single" w:sz="4" w:space="0" w:color="auto"/>
            </w:tcBorders>
            <w:hideMark/>
          </w:tcPr>
          <w:p w14:paraId="7CB5AEC4" w14:textId="77777777" w:rsidR="005A652D" w:rsidRPr="0097132E" w:rsidRDefault="005A652D" w:rsidP="00EA53B9">
            <w:pPr>
              <w:ind w:right="43"/>
              <w:jc w:val="center"/>
              <w:rPr>
                <w:rFonts w:ascii="Arial" w:hAnsi="Arial" w:cs="Arial"/>
                <w:b/>
                <w:bCs/>
              </w:rPr>
            </w:pPr>
            <w:r w:rsidRPr="0097132E">
              <w:rPr>
                <w:rFonts w:ascii="Arial" w:hAnsi="Arial" w:cs="Arial"/>
                <w:b/>
                <w:bCs/>
                <w:color w:val="000000"/>
                <w:lang w:eastAsia="en-PH"/>
              </w:rPr>
              <w:t>Overall Marketing Management</w:t>
            </w:r>
          </w:p>
        </w:tc>
        <w:tc>
          <w:tcPr>
            <w:tcW w:w="1142" w:type="dxa"/>
            <w:tcBorders>
              <w:top w:val="single" w:sz="4" w:space="0" w:color="auto"/>
              <w:bottom w:val="single" w:sz="4" w:space="0" w:color="auto"/>
            </w:tcBorders>
            <w:noWrap/>
            <w:hideMark/>
          </w:tcPr>
          <w:p w14:paraId="60FE9DA5" w14:textId="77777777" w:rsidR="005A652D" w:rsidRPr="00915FAE" w:rsidRDefault="005A652D" w:rsidP="00EA53B9">
            <w:pPr>
              <w:ind w:right="43"/>
              <w:jc w:val="center"/>
              <w:rPr>
                <w:rFonts w:ascii="Arial" w:hAnsi="Arial" w:cs="Arial"/>
                <w:b/>
                <w:bCs/>
              </w:rPr>
            </w:pPr>
            <w:r w:rsidRPr="00915FAE">
              <w:rPr>
                <w:rFonts w:ascii="Arial" w:hAnsi="Arial" w:cs="Arial"/>
                <w:b/>
                <w:bCs/>
              </w:rPr>
              <w:t>4.18</w:t>
            </w:r>
          </w:p>
        </w:tc>
        <w:tc>
          <w:tcPr>
            <w:tcW w:w="1323" w:type="dxa"/>
            <w:tcBorders>
              <w:top w:val="single" w:sz="4" w:space="0" w:color="auto"/>
              <w:bottom w:val="single" w:sz="4" w:space="0" w:color="auto"/>
            </w:tcBorders>
            <w:noWrap/>
            <w:hideMark/>
          </w:tcPr>
          <w:p w14:paraId="22F2BA4E" w14:textId="77777777" w:rsidR="005A652D" w:rsidRPr="00915FAE" w:rsidRDefault="005A652D" w:rsidP="00EA53B9">
            <w:pPr>
              <w:ind w:right="43"/>
              <w:jc w:val="center"/>
              <w:rPr>
                <w:rFonts w:ascii="Arial" w:hAnsi="Arial" w:cs="Arial"/>
                <w:b/>
                <w:bCs/>
              </w:rPr>
            </w:pPr>
            <w:r w:rsidRPr="00915FAE">
              <w:rPr>
                <w:rFonts w:ascii="Arial" w:hAnsi="Arial" w:cs="Arial"/>
                <w:b/>
                <w:bCs/>
              </w:rPr>
              <w:t>0.34</w:t>
            </w:r>
          </w:p>
        </w:tc>
        <w:tc>
          <w:tcPr>
            <w:tcW w:w="2141" w:type="dxa"/>
            <w:tcBorders>
              <w:top w:val="single" w:sz="4" w:space="0" w:color="auto"/>
              <w:bottom w:val="single" w:sz="4" w:space="0" w:color="auto"/>
              <w:right w:val="nil"/>
            </w:tcBorders>
            <w:noWrap/>
            <w:hideMark/>
          </w:tcPr>
          <w:p w14:paraId="54E2035F" w14:textId="77777777" w:rsidR="005A652D" w:rsidRPr="00915FAE" w:rsidRDefault="005A652D" w:rsidP="00EA53B9">
            <w:pPr>
              <w:ind w:right="43"/>
              <w:jc w:val="center"/>
              <w:rPr>
                <w:rFonts w:ascii="Arial" w:hAnsi="Arial" w:cs="Arial"/>
                <w:b/>
                <w:bCs/>
              </w:rPr>
            </w:pPr>
            <w:r w:rsidRPr="00915FAE">
              <w:rPr>
                <w:rFonts w:ascii="Arial" w:hAnsi="Arial" w:cs="Arial"/>
                <w:b/>
                <w:bCs/>
              </w:rPr>
              <w:t>High</w:t>
            </w:r>
          </w:p>
        </w:tc>
      </w:tr>
    </w:tbl>
    <w:p w14:paraId="2D18B759" w14:textId="77777777" w:rsidR="00E4187D" w:rsidRDefault="00E4187D" w:rsidP="00851412">
      <w:pPr>
        <w:pStyle w:val="Body"/>
        <w:spacing w:after="0"/>
        <w:rPr>
          <w:rFonts w:ascii="Arial" w:hAnsi="Arial" w:cs="Arial"/>
          <w:b/>
          <w:sz w:val="22"/>
        </w:rPr>
      </w:pPr>
    </w:p>
    <w:p w14:paraId="414B1D1C" w14:textId="1E5DF0BF" w:rsidR="005A652D" w:rsidRDefault="005A652D" w:rsidP="005A652D">
      <w:pPr>
        <w:pStyle w:val="Body"/>
        <w:spacing w:after="0"/>
        <w:rPr>
          <w:rFonts w:ascii="Arial" w:hAnsi="Arial" w:cs="Arial"/>
          <w:b/>
          <w:sz w:val="22"/>
        </w:rPr>
      </w:pPr>
      <w:r>
        <w:rPr>
          <w:rFonts w:ascii="Arial" w:hAnsi="Arial" w:cs="Arial"/>
          <w:b/>
          <w:sz w:val="22"/>
        </w:rPr>
        <w:t>3.5 Level of Management Practices of Financial Institutions in terms of Overall Management Practices</w:t>
      </w:r>
    </w:p>
    <w:p w14:paraId="5953E660" w14:textId="797FFEB5" w:rsidR="00AD53E0" w:rsidRDefault="00AD53E0" w:rsidP="00851412">
      <w:pPr>
        <w:pStyle w:val="Body"/>
        <w:spacing w:after="0"/>
        <w:rPr>
          <w:rFonts w:ascii="Arial" w:hAnsi="Arial" w:cs="Arial"/>
          <w:bCs/>
          <w:sz w:val="22"/>
        </w:rPr>
      </w:pPr>
    </w:p>
    <w:p w14:paraId="481E0F90" w14:textId="34CB5694" w:rsidR="005A652D" w:rsidRPr="00231448" w:rsidRDefault="005A652D" w:rsidP="005A652D">
      <w:pPr>
        <w:spacing w:after="240"/>
        <w:ind w:right="43"/>
        <w:jc w:val="both"/>
        <w:rPr>
          <w:rFonts w:ascii="Arial" w:hAnsi="Arial" w:cs="Arial"/>
        </w:rPr>
      </w:pPr>
      <w:r>
        <w:rPr>
          <w:rFonts w:ascii="Arial" w:hAnsi="Arial" w:cs="Arial"/>
        </w:rPr>
        <w:t>Table 5</w:t>
      </w:r>
      <w:r w:rsidRPr="00231448">
        <w:rPr>
          <w:rFonts w:ascii="Arial" w:hAnsi="Arial" w:cs="Arial"/>
        </w:rPr>
        <w:t xml:space="preserve"> revealed that the overall mean of management practices among financial institutions in </w:t>
      </w:r>
      <w:proofErr w:type="spellStart"/>
      <w:r w:rsidRPr="00231448">
        <w:rPr>
          <w:rFonts w:ascii="Arial" w:hAnsi="Arial" w:cs="Arial"/>
        </w:rPr>
        <w:t>Cateel</w:t>
      </w:r>
      <w:proofErr w:type="spellEnd"/>
      <w:r w:rsidRPr="00231448">
        <w:rPr>
          <w:rFonts w:ascii="Arial" w:hAnsi="Arial" w:cs="Arial"/>
        </w:rPr>
        <w:t>, Davao Oriental was highly evident, with a mean score of 4.22. This indicated that the institutions had well-established systems in place across the areas of human resources, finance, and marketing. The consistently high mean scores implied that management practices were not only structured but also regularly implemented to support institutional performance. These findings aligned with the study of Guo et al. (2020), who asserted that well-managed institutions exhibit uniformity in service delivery, internal policies, and workforce engagement. The overall result reflected a stable and organized institutional environment that prioritized professionalism and accountability.</w:t>
      </w:r>
    </w:p>
    <w:p w14:paraId="4447EF50" w14:textId="77777777" w:rsidR="005A652D" w:rsidRPr="00231448" w:rsidRDefault="005A652D" w:rsidP="005A652D">
      <w:pPr>
        <w:spacing w:before="240" w:after="240"/>
        <w:ind w:right="43"/>
        <w:jc w:val="both"/>
        <w:rPr>
          <w:rFonts w:ascii="Arial" w:hAnsi="Arial" w:cs="Arial"/>
        </w:rPr>
      </w:pPr>
      <w:r w:rsidRPr="00231448">
        <w:rPr>
          <w:rFonts w:ascii="Arial" w:hAnsi="Arial" w:cs="Arial"/>
        </w:rPr>
        <w:t>Among the three areas, Human Resource Management was rated the highest, with a mean of 4.26, and was interpreted as highly evident. This indicated that institutions placed strong emphasis on developing, supporting, and managing their workforce. The high score implied that HR practices such as orientation, working conditions, and motivation were being prioritized to enhance employee well-being and institutional efficiency. This supported the findings of Otoo (2019), who emphasized that strategic human resource management improves staff retention, organizational productivity, and service consistency. The result affirmed that human capital remained central to the institutions’ operational success.</w:t>
      </w:r>
    </w:p>
    <w:p w14:paraId="16B4AE66" w14:textId="77777777" w:rsidR="005A652D" w:rsidRPr="00231448" w:rsidRDefault="005A652D" w:rsidP="005A652D">
      <w:pPr>
        <w:ind w:right="43"/>
        <w:jc w:val="both"/>
        <w:rPr>
          <w:rFonts w:ascii="Arial" w:hAnsi="Arial" w:cs="Arial"/>
        </w:rPr>
      </w:pPr>
      <w:r w:rsidRPr="00231448">
        <w:rPr>
          <w:rFonts w:ascii="Arial" w:hAnsi="Arial" w:cs="Arial"/>
        </w:rPr>
        <w:t>In contrast, Marketing Management received the lowest mean score of 4.18, though still considered evident. This implied that while institutions had functioning marketing practices, they were relatively less emphasized or less consistently applied compared to HR and finance. The lower rating pointed to potential gaps in outreach strategies, market engagement, or customer acquisition techniques. This aligned with the insights of Al Aina and Atan (2020), who stated that financial institutions must continuously refine their marketing approaches to maintain competitiveness in evolving markets. Addressing these limitations could help improve institutional visibility and client base expansion.</w:t>
      </w:r>
    </w:p>
    <w:p w14:paraId="14E993E0" w14:textId="77777777" w:rsidR="005A652D" w:rsidRDefault="005A652D" w:rsidP="00851412">
      <w:pPr>
        <w:pStyle w:val="Body"/>
        <w:spacing w:after="0"/>
        <w:rPr>
          <w:rFonts w:ascii="Arial" w:hAnsi="Arial" w:cs="Arial"/>
          <w:bCs/>
          <w:sz w:val="22"/>
        </w:rPr>
      </w:pPr>
    </w:p>
    <w:p w14:paraId="04F0E81E" w14:textId="5994B0D6" w:rsidR="00945BCC" w:rsidRDefault="005A652D" w:rsidP="00851412">
      <w:pPr>
        <w:pStyle w:val="Body"/>
        <w:spacing w:after="0"/>
        <w:rPr>
          <w:rFonts w:ascii="Arial" w:hAnsi="Arial"/>
          <w:b/>
          <w:color w:val="000000" w:themeColor="text1"/>
        </w:rPr>
      </w:pPr>
      <w:r>
        <w:rPr>
          <w:rFonts w:ascii="Arial" w:hAnsi="Arial" w:cs="Arial"/>
          <w:b/>
          <w:color w:val="000000" w:themeColor="text1"/>
        </w:rPr>
        <w:t>Table 5</w:t>
      </w:r>
      <w:r w:rsidR="00AD53E0" w:rsidRPr="005A652D">
        <w:rPr>
          <w:rFonts w:ascii="Arial" w:hAnsi="Arial" w:cs="Arial"/>
          <w:b/>
          <w:color w:val="000000" w:themeColor="text1"/>
        </w:rPr>
        <w:t>.</w:t>
      </w:r>
      <w:r w:rsidR="00AD53E0" w:rsidRPr="005A652D">
        <w:rPr>
          <w:rFonts w:ascii="Arial" w:hAnsi="Arial" w:cs="Arial"/>
          <w:b/>
          <w:color w:val="000000" w:themeColor="text1"/>
        </w:rPr>
        <w:tab/>
      </w:r>
      <w:r w:rsidR="00817CAF">
        <w:rPr>
          <w:rFonts w:ascii="Arial" w:hAnsi="Arial" w:cs="Arial"/>
          <w:b/>
          <w:color w:val="000000" w:themeColor="text1"/>
        </w:rPr>
        <w:t xml:space="preserve">Level of management </w:t>
      </w:r>
      <w:r w:rsidR="00817CAF">
        <w:rPr>
          <w:rFonts w:ascii="Arial" w:hAnsi="Arial"/>
          <w:b/>
          <w:color w:val="000000" w:themeColor="text1"/>
        </w:rPr>
        <w:t>practices of financial institutions in terms of overall management practices</w:t>
      </w:r>
    </w:p>
    <w:p w14:paraId="43308031" w14:textId="77777777" w:rsidR="00817CAF" w:rsidRPr="00817CAF" w:rsidRDefault="00817CAF" w:rsidP="00851412">
      <w:pPr>
        <w:pStyle w:val="Body"/>
        <w:spacing w:after="0"/>
        <w:rPr>
          <w:rFonts w:ascii="Arial" w:hAnsi="Arial" w:cs="Arial"/>
          <w:b/>
          <w:color w:val="000000" w:themeColor="text1"/>
        </w:rPr>
      </w:pPr>
    </w:p>
    <w:tbl>
      <w:tblPr>
        <w:tblW w:w="853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82"/>
        <w:gridCol w:w="1110"/>
        <w:gridCol w:w="1166"/>
        <w:gridCol w:w="2077"/>
      </w:tblGrid>
      <w:tr w:rsidR="00817CAF" w:rsidRPr="0046687C" w14:paraId="3DAD77A1" w14:textId="77777777" w:rsidTr="00EA53B9">
        <w:trPr>
          <w:trHeight w:val="20"/>
        </w:trPr>
        <w:tc>
          <w:tcPr>
            <w:tcW w:w="4182" w:type="dxa"/>
            <w:tcBorders>
              <w:top w:val="single" w:sz="4" w:space="0" w:color="auto"/>
              <w:left w:val="nil"/>
              <w:bottom w:val="single" w:sz="4" w:space="0" w:color="auto"/>
            </w:tcBorders>
            <w:vAlign w:val="center"/>
            <w:hideMark/>
          </w:tcPr>
          <w:p w14:paraId="122C580D" w14:textId="77777777" w:rsidR="00817CAF" w:rsidRPr="0097132E" w:rsidRDefault="00817CAF" w:rsidP="00EA53B9">
            <w:pPr>
              <w:jc w:val="center"/>
              <w:rPr>
                <w:rFonts w:ascii="Arial" w:hAnsi="Arial" w:cs="Arial"/>
                <w:b/>
                <w:bCs/>
                <w:color w:val="000000"/>
                <w:lang w:eastAsia="en-PH"/>
              </w:rPr>
            </w:pPr>
            <w:r w:rsidRPr="0097132E">
              <w:rPr>
                <w:rFonts w:ascii="Arial" w:hAnsi="Arial" w:cs="Arial"/>
                <w:b/>
                <w:bCs/>
                <w:color w:val="000000"/>
                <w:lang w:eastAsia="en-PH"/>
              </w:rPr>
              <w:t>Factors of Management</w:t>
            </w:r>
          </w:p>
        </w:tc>
        <w:tc>
          <w:tcPr>
            <w:tcW w:w="1110" w:type="dxa"/>
            <w:tcBorders>
              <w:top w:val="single" w:sz="4" w:space="0" w:color="auto"/>
              <w:bottom w:val="single" w:sz="4" w:space="0" w:color="auto"/>
            </w:tcBorders>
            <w:hideMark/>
          </w:tcPr>
          <w:p w14:paraId="4A3AB4C0" w14:textId="77777777" w:rsidR="00817CAF" w:rsidRPr="0097132E" w:rsidRDefault="00817CAF" w:rsidP="00EA53B9">
            <w:pPr>
              <w:jc w:val="center"/>
              <w:rPr>
                <w:rFonts w:ascii="Arial" w:hAnsi="Arial" w:cs="Arial"/>
                <w:b/>
                <w:bCs/>
                <w:color w:val="000000"/>
                <w:lang w:eastAsia="en-PH"/>
              </w:rPr>
            </w:pPr>
            <w:r w:rsidRPr="0097132E">
              <w:rPr>
                <w:rFonts w:ascii="Arial" w:hAnsi="Arial" w:cs="Arial"/>
                <w:b/>
                <w:bCs/>
                <w:color w:val="000000"/>
                <w:lang w:eastAsia="en-PH"/>
              </w:rPr>
              <w:t>Mean</w:t>
            </w:r>
          </w:p>
        </w:tc>
        <w:tc>
          <w:tcPr>
            <w:tcW w:w="1166" w:type="dxa"/>
            <w:tcBorders>
              <w:top w:val="single" w:sz="4" w:space="0" w:color="auto"/>
              <w:bottom w:val="single" w:sz="4" w:space="0" w:color="auto"/>
            </w:tcBorders>
            <w:hideMark/>
          </w:tcPr>
          <w:p w14:paraId="49351546" w14:textId="77777777" w:rsidR="00817CAF" w:rsidRPr="0097132E" w:rsidRDefault="00817CAF" w:rsidP="00EA53B9">
            <w:pPr>
              <w:jc w:val="center"/>
              <w:rPr>
                <w:rFonts w:ascii="Arial" w:hAnsi="Arial" w:cs="Arial"/>
                <w:b/>
                <w:bCs/>
                <w:color w:val="000000"/>
                <w:lang w:eastAsia="en-PH"/>
              </w:rPr>
            </w:pPr>
            <w:r w:rsidRPr="0097132E">
              <w:rPr>
                <w:rFonts w:ascii="Arial" w:hAnsi="Arial" w:cs="Arial"/>
                <w:b/>
                <w:bCs/>
                <w:color w:val="000000"/>
                <w:lang w:eastAsia="en-PH"/>
              </w:rPr>
              <w:t>Std. Deviation</w:t>
            </w:r>
          </w:p>
        </w:tc>
        <w:tc>
          <w:tcPr>
            <w:tcW w:w="2077" w:type="dxa"/>
            <w:tcBorders>
              <w:top w:val="single" w:sz="4" w:space="0" w:color="auto"/>
              <w:bottom w:val="single" w:sz="4" w:space="0" w:color="auto"/>
              <w:right w:val="nil"/>
            </w:tcBorders>
            <w:noWrap/>
            <w:hideMark/>
          </w:tcPr>
          <w:p w14:paraId="147DEB02" w14:textId="77777777" w:rsidR="00817CAF" w:rsidRPr="0097132E" w:rsidRDefault="00817CAF" w:rsidP="00EA53B9">
            <w:pPr>
              <w:jc w:val="center"/>
              <w:rPr>
                <w:rFonts w:ascii="Arial" w:hAnsi="Arial" w:cs="Arial"/>
                <w:b/>
                <w:bCs/>
                <w:lang w:eastAsia="en-PH"/>
              </w:rPr>
            </w:pPr>
            <w:r w:rsidRPr="0097132E">
              <w:rPr>
                <w:rFonts w:ascii="Arial" w:hAnsi="Arial" w:cs="Arial"/>
                <w:b/>
                <w:bCs/>
                <w:lang w:eastAsia="en-PH"/>
              </w:rPr>
              <w:t>Interpretation</w:t>
            </w:r>
          </w:p>
        </w:tc>
      </w:tr>
      <w:tr w:rsidR="00817CAF" w:rsidRPr="0046687C" w14:paraId="64587BA5" w14:textId="77777777" w:rsidTr="00EA53B9">
        <w:trPr>
          <w:trHeight w:val="20"/>
        </w:trPr>
        <w:tc>
          <w:tcPr>
            <w:tcW w:w="4182" w:type="dxa"/>
            <w:tcBorders>
              <w:top w:val="single" w:sz="4" w:space="0" w:color="auto"/>
              <w:left w:val="nil"/>
            </w:tcBorders>
            <w:hideMark/>
          </w:tcPr>
          <w:p w14:paraId="42D33567" w14:textId="77777777" w:rsidR="00817CAF" w:rsidRPr="0046687C" w:rsidRDefault="00817CAF" w:rsidP="00EA53B9">
            <w:pPr>
              <w:rPr>
                <w:rFonts w:ascii="Arial" w:hAnsi="Arial" w:cs="Arial"/>
                <w:color w:val="000000"/>
                <w:lang w:eastAsia="en-PH"/>
              </w:rPr>
            </w:pPr>
            <w:r w:rsidRPr="0046687C">
              <w:rPr>
                <w:rFonts w:ascii="Arial" w:hAnsi="Arial" w:cs="Arial"/>
                <w:color w:val="000000"/>
                <w:lang w:eastAsia="en-PH"/>
              </w:rPr>
              <w:t>Marketing Management</w:t>
            </w:r>
          </w:p>
        </w:tc>
        <w:tc>
          <w:tcPr>
            <w:tcW w:w="1110" w:type="dxa"/>
            <w:tcBorders>
              <w:top w:val="single" w:sz="4" w:space="0" w:color="auto"/>
            </w:tcBorders>
            <w:noWrap/>
            <w:hideMark/>
          </w:tcPr>
          <w:p w14:paraId="3BB4890F" w14:textId="77777777" w:rsidR="00817CAF" w:rsidRPr="0046687C" w:rsidRDefault="00817CAF" w:rsidP="00EA53B9">
            <w:pPr>
              <w:jc w:val="center"/>
              <w:rPr>
                <w:rFonts w:ascii="Arial" w:hAnsi="Arial" w:cs="Arial"/>
                <w:color w:val="000000"/>
                <w:lang w:eastAsia="en-PH"/>
              </w:rPr>
            </w:pPr>
            <w:r w:rsidRPr="0046687C">
              <w:rPr>
                <w:rFonts w:ascii="Arial" w:hAnsi="Arial" w:cs="Arial"/>
                <w:color w:val="000000"/>
                <w:lang w:eastAsia="en-PH"/>
              </w:rPr>
              <w:t>4.18</w:t>
            </w:r>
          </w:p>
        </w:tc>
        <w:tc>
          <w:tcPr>
            <w:tcW w:w="1166" w:type="dxa"/>
            <w:tcBorders>
              <w:top w:val="single" w:sz="4" w:space="0" w:color="auto"/>
            </w:tcBorders>
            <w:noWrap/>
            <w:hideMark/>
          </w:tcPr>
          <w:p w14:paraId="17FAD9B8" w14:textId="77777777" w:rsidR="00817CAF" w:rsidRPr="0046687C" w:rsidRDefault="00817CAF" w:rsidP="00EA53B9">
            <w:pPr>
              <w:jc w:val="center"/>
              <w:rPr>
                <w:rFonts w:ascii="Arial" w:hAnsi="Arial" w:cs="Arial"/>
                <w:color w:val="000000"/>
                <w:lang w:eastAsia="en-PH"/>
              </w:rPr>
            </w:pPr>
            <w:r w:rsidRPr="0046687C">
              <w:rPr>
                <w:rFonts w:ascii="Arial" w:hAnsi="Arial" w:cs="Arial"/>
                <w:color w:val="000000"/>
                <w:lang w:eastAsia="en-PH"/>
              </w:rPr>
              <w:t>0.34</w:t>
            </w:r>
          </w:p>
        </w:tc>
        <w:tc>
          <w:tcPr>
            <w:tcW w:w="2077" w:type="dxa"/>
            <w:tcBorders>
              <w:top w:val="single" w:sz="4" w:space="0" w:color="auto"/>
              <w:right w:val="nil"/>
            </w:tcBorders>
            <w:noWrap/>
            <w:hideMark/>
          </w:tcPr>
          <w:p w14:paraId="0D7F3672" w14:textId="77777777" w:rsidR="00817CAF" w:rsidRPr="0046687C" w:rsidRDefault="00817CAF" w:rsidP="00EA53B9">
            <w:pPr>
              <w:jc w:val="center"/>
              <w:rPr>
                <w:rFonts w:ascii="Arial" w:hAnsi="Arial" w:cs="Arial"/>
                <w:lang w:eastAsia="en-PH"/>
              </w:rPr>
            </w:pPr>
            <w:r>
              <w:rPr>
                <w:rFonts w:ascii="Arial" w:hAnsi="Arial" w:cs="Arial"/>
                <w:lang w:eastAsia="en-PH"/>
              </w:rPr>
              <w:t>High</w:t>
            </w:r>
          </w:p>
        </w:tc>
      </w:tr>
      <w:tr w:rsidR="00817CAF" w:rsidRPr="0046687C" w14:paraId="5863EB1C" w14:textId="77777777" w:rsidTr="00EA53B9">
        <w:trPr>
          <w:trHeight w:val="20"/>
        </w:trPr>
        <w:tc>
          <w:tcPr>
            <w:tcW w:w="4182" w:type="dxa"/>
            <w:tcBorders>
              <w:left w:val="nil"/>
              <w:bottom w:val="nil"/>
            </w:tcBorders>
            <w:hideMark/>
          </w:tcPr>
          <w:p w14:paraId="318C46AE" w14:textId="77777777" w:rsidR="00817CAF" w:rsidRPr="0046687C" w:rsidRDefault="00817CAF" w:rsidP="00EA53B9">
            <w:pPr>
              <w:rPr>
                <w:rFonts w:ascii="Arial" w:hAnsi="Arial" w:cs="Arial"/>
                <w:color w:val="000000"/>
                <w:lang w:eastAsia="en-PH"/>
              </w:rPr>
            </w:pPr>
            <w:r w:rsidRPr="0046687C">
              <w:rPr>
                <w:rFonts w:ascii="Arial" w:hAnsi="Arial" w:cs="Arial"/>
                <w:color w:val="000000"/>
                <w:lang w:eastAsia="en-PH"/>
              </w:rPr>
              <w:t>Human Resources Management</w:t>
            </w:r>
          </w:p>
        </w:tc>
        <w:tc>
          <w:tcPr>
            <w:tcW w:w="1110" w:type="dxa"/>
            <w:tcBorders>
              <w:bottom w:val="nil"/>
            </w:tcBorders>
            <w:noWrap/>
            <w:hideMark/>
          </w:tcPr>
          <w:p w14:paraId="6D803D9A" w14:textId="77777777" w:rsidR="00817CAF" w:rsidRPr="0046687C" w:rsidRDefault="00817CAF" w:rsidP="00EA53B9">
            <w:pPr>
              <w:jc w:val="center"/>
              <w:rPr>
                <w:rFonts w:ascii="Arial" w:hAnsi="Arial" w:cs="Arial"/>
                <w:color w:val="000000"/>
                <w:lang w:eastAsia="en-PH"/>
              </w:rPr>
            </w:pPr>
            <w:r w:rsidRPr="0046687C">
              <w:rPr>
                <w:rFonts w:ascii="Arial" w:hAnsi="Arial" w:cs="Arial"/>
                <w:color w:val="000000"/>
                <w:lang w:eastAsia="en-PH"/>
              </w:rPr>
              <w:t>4.26</w:t>
            </w:r>
          </w:p>
        </w:tc>
        <w:tc>
          <w:tcPr>
            <w:tcW w:w="1166" w:type="dxa"/>
            <w:tcBorders>
              <w:bottom w:val="nil"/>
            </w:tcBorders>
            <w:noWrap/>
            <w:hideMark/>
          </w:tcPr>
          <w:p w14:paraId="6BC82638" w14:textId="77777777" w:rsidR="00817CAF" w:rsidRPr="0046687C" w:rsidRDefault="00817CAF" w:rsidP="00EA53B9">
            <w:pPr>
              <w:jc w:val="center"/>
              <w:rPr>
                <w:rFonts w:ascii="Arial" w:hAnsi="Arial" w:cs="Arial"/>
                <w:color w:val="000000"/>
                <w:lang w:eastAsia="en-PH"/>
              </w:rPr>
            </w:pPr>
            <w:r w:rsidRPr="0046687C">
              <w:rPr>
                <w:rFonts w:ascii="Arial" w:hAnsi="Arial" w:cs="Arial"/>
                <w:color w:val="000000"/>
                <w:lang w:eastAsia="en-PH"/>
              </w:rPr>
              <w:t>0.30</w:t>
            </w:r>
          </w:p>
        </w:tc>
        <w:tc>
          <w:tcPr>
            <w:tcW w:w="2077" w:type="dxa"/>
            <w:tcBorders>
              <w:bottom w:val="nil"/>
              <w:right w:val="nil"/>
            </w:tcBorders>
            <w:noWrap/>
            <w:hideMark/>
          </w:tcPr>
          <w:p w14:paraId="786F141F" w14:textId="77777777" w:rsidR="00817CAF" w:rsidRPr="0046687C" w:rsidRDefault="00817CAF" w:rsidP="00EA53B9">
            <w:pPr>
              <w:jc w:val="center"/>
              <w:rPr>
                <w:rFonts w:ascii="Arial" w:hAnsi="Arial" w:cs="Arial"/>
                <w:lang w:eastAsia="en-PH"/>
              </w:rPr>
            </w:pPr>
            <w:r>
              <w:rPr>
                <w:rFonts w:ascii="Arial" w:hAnsi="Arial" w:cs="Arial"/>
                <w:lang w:eastAsia="en-PH"/>
              </w:rPr>
              <w:t>Very High</w:t>
            </w:r>
          </w:p>
        </w:tc>
      </w:tr>
      <w:tr w:rsidR="00817CAF" w:rsidRPr="0046687C" w14:paraId="369DF35B" w14:textId="77777777" w:rsidTr="00EA53B9">
        <w:trPr>
          <w:trHeight w:val="20"/>
        </w:trPr>
        <w:tc>
          <w:tcPr>
            <w:tcW w:w="4182" w:type="dxa"/>
            <w:tcBorders>
              <w:top w:val="nil"/>
              <w:left w:val="nil"/>
              <w:bottom w:val="nil"/>
            </w:tcBorders>
            <w:hideMark/>
          </w:tcPr>
          <w:p w14:paraId="0C3F8923" w14:textId="77777777" w:rsidR="00817CAF" w:rsidRPr="0046687C" w:rsidRDefault="00817CAF" w:rsidP="00EA53B9">
            <w:pPr>
              <w:rPr>
                <w:rFonts w:ascii="Arial" w:hAnsi="Arial" w:cs="Arial"/>
                <w:color w:val="000000"/>
                <w:lang w:eastAsia="en-PH"/>
              </w:rPr>
            </w:pPr>
            <w:r w:rsidRPr="0046687C">
              <w:rPr>
                <w:rFonts w:ascii="Arial" w:hAnsi="Arial" w:cs="Arial"/>
                <w:color w:val="000000"/>
                <w:lang w:eastAsia="en-PH"/>
              </w:rPr>
              <w:t>Financial Management</w:t>
            </w:r>
          </w:p>
        </w:tc>
        <w:tc>
          <w:tcPr>
            <w:tcW w:w="1110" w:type="dxa"/>
            <w:tcBorders>
              <w:top w:val="nil"/>
              <w:bottom w:val="nil"/>
            </w:tcBorders>
            <w:noWrap/>
            <w:hideMark/>
          </w:tcPr>
          <w:p w14:paraId="7C7CAFC5" w14:textId="77777777" w:rsidR="00817CAF" w:rsidRPr="0046687C" w:rsidRDefault="00817CAF" w:rsidP="00EA53B9">
            <w:pPr>
              <w:jc w:val="center"/>
              <w:rPr>
                <w:rFonts w:ascii="Arial" w:hAnsi="Arial" w:cs="Arial"/>
                <w:color w:val="000000"/>
                <w:lang w:eastAsia="en-PH"/>
              </w:rPr>
            </w:pPr>
            <w:r w:rsidRPr="0046687C">
              <w:rPr>
                <w:rFonts w:ascii="Arial" w:hAnsi="Arial" w:cs="Arial"/>
                <w:color w:val="000000"/>
                <w:lang w:eastAsia="en-PH"/>
              </w:rPr>
              <w:t>4.23</w:t>
            </w:r>
          </w:p>
        </w:tc>
        <w:tc>
          <w:tcPr>
            <w:tcW w:w="1166" w:type="dxa"/>
            <w:tcBorders>
              <w:top w:val="nil"/>
              <w:bottom w:val="nil"/>
            </w:tcBorders>
            <w:noWrap/>
            <w:hideMark/>
          </w:tcPr>
          <w:p w14:paraId="56701146" w14:textId="77777777" w:rsidR="00817CAF" w:rsidRPr="0046687C" w:rsidRDefault="00817CAF" w:rsidP="00EA53B9">
            <w:pPr>
              <w:jc w:val="center"/>
              <w:rPr>
                <w:rFonts w:ascii="Arial" w:hAnsi="Arial" w:cs="Arial"/>
                <w:color w:val="000000"/>
                <w:lang w:eastAsia="en-PH"/>
              </w:rPr>
            </w:pPr>
            <w:r w:rsidRPr="0046687C">
              <w:rPr>
                <w:rFonts w:ascii="Arial" w:hAnsi="Arial" w:cs="Arial"/>
                <w:color w:val="000000"/>
                <w:lang w:eastAsia="en-PH"/>
              </w:rPr>
              <w:t>0.26</w:t>
            </w:r>
          </w:p>
        </w:tc>
        <w:tc>
          <w:tcPr>
            <w:tcW w:w="2077" w:type="dxa"/>
            <w:tcBorders>
              <w:top w:val="nil"/>
              <w:bottom w:val="nil"/>
              <w:right w:val="nil"/>
            </w:tcBorders>
            <w:noWrap/>
            <w:hideMark/>
          </w:tcPr>
          <w:p w14:paraId="24539C3F" w14:textId="77777777" w:rsidR="00817CAF" w:rsidRPr="0046687C" w:rsidRDefault="00817CAF" w:rsidP="00EA53B9">
            <w:pPr>
              <w:jc w:val="center"/>
              <w:rPr>
                <w:rFonts w:ascii="Arial" w:hAnsi="Arial" w:cs="Arial"/>
                <w:lang w:eastAsia="en-PH"/>
              </w:rPr>
            </w:pPr>
            <w:r>
              <w:rPr>
                <w:rFonts w:ascii="Arial" w:hAnsi="Arial" w:cs="Arial"/>
                <w:lang w:eastAsia="en-PH"/>
              </w:rPr>
              <w:t>Very High</w:t>
            </w:r>
          </w:p>
        </w:tc>
      </w:tr>
      <w:tr w:rsidR="00817CAF" w:rsidRPr="0046687C" w14:paraId="213C346A" w14:textId="77777777" w:rsidTr="00EA53B9">
        <w:trPr>
          <w:trHeight w:val="20"/>
        </w:trPr>
        <w:tc>
          <w:tcPr>
            <w:tcW w:w="4182" w:type="dxa"/>
            <w:tcBorders>
              <w:top w:val="nil"/>
              <w:left w:val="nil"/>
              <w:bottom w:val="single" w:sz="4" w:space="0" w:color="auto"/>
            </w:tcBorders>
            <w:hideMark/>
          </w:tcPr>
          <w:p w14:paraId="648DB50F" w14:textId="77777777" w:rsidR="00817CAF" w:rsidRPr="0097132E" w:rsidRDefault="00817CAF" w:rsidP="00EA53B9">
            <w:pPr>
              <w:jc w:val="center"/>
              <w:rPr>
                <w:rFonts w:ascii="Arial" w:hAnsi="Arial" w:cs="Arial"/>
                <w:b/>
                <w:bCs/>
                <w:color w:val="000000"/>
                <w:lang w:eastAsia="en-PH"/>
              </w:rPr>
            </w:pPr>
            <w:r w:rsidRPr="0097132E">
              <w:rPr>
                <w:rFonts w:ascii="Arial" w:hAnsi="Arial" w:cs="Arial"/>
                <w:b/>
                <w:bCs/>
                <w:color w:val="000000"/>
                <w:lang w:eastAsia="en-PH"/>
              </w:rPr>
              <w:t>Overall Management Practices</w:t>
            </w:r>
          </w:p>
        </w:tc>
        <w:tc>
          <w:tcPr>
            <w:tcW w:w="1110" w:type="dxa"/>
            <w:tcBorders>
              <w:top w:val="nil"/>
              <w:bottom w:val="single" w:sz="4" w:space="0" w:color="auto"/>
            </w:tcBorders>
            <w:noWrap/>
            <w:hideMark/>
          </w:tcPr>
          <w:p w14:paraId="2B67F9D6" w14:textId="77777777" w:rsidR="00817CAF" w:rsidRPr="0097132E" w:rsidRDefault="00817CAF" w:rsidP="00EA53B9">
            <w:pPr>
              <w:jc w:val="center"/>
              <w:rPr>
                <w:rFonts w:ascii="Arial" w:hAnsi="Arial" w:cs="Arial"/>
                <w:b/>
                <w:bCs/>
                <w:color w:val="000000"/>
                <w:lang w:eastAsia="en-PH"/>
              </w:rPr>
            </w:pPr>
            <w:r w:rsidRPr="0097132E">
              <w:rPr>
                <w:rFonts w:ascii="Arial" w:hAnsi="Arial" w:cs="Arial"/>
                <w:b/>
                <w:bCs/>
                <w:color w:val="000000"/>
                <w:lang w:eastAsia="en-PH"/>
              </w:rPr>
              <w:t>4.22</w:t>
            </w:r>
          </w:p>
        </w:tc>
        <w:tc>
          <w:tcPr>
            <w:tcW w:w="1166" w:type="dxa"/>
            <w:tcBorders>
              <w:top w:val="nil"/>
              <w:bottom w:val="single" w:sz="4" w:space="0" w:color="auto"/>
            </w:tcBorders>
            <w:noWrap/>
            <w:hideMark/>
          </w:tcPr>
          <w:p w14:paraId="4EE8441C" w14:textId="77777777" w:rsidR="00817CAF" w:rsidRPr="0097132E" w:rsidRDefault="00817CAF" w:rsidP="00EA53B9">
            <w:pPr>
              <w:jc w:val="center"/>
              <w:rPr>
                <w:rFonts w:ascii="Arial" w:hAnsi="Arial" w:cs="Arial"/>
                <w:b/>
                <w:bCs/>
                <w:color w:val="000000"/>
                <w:lang w:eastAsia="en-PH"/>
              </w:rPr>
            </w:pPr>
            <w:r w:rsidRPr="0097132E">
              <w:rPr>
                <w:rFonts w:ascii="Arial" w:hAnsi="Arial" w:cs="Arial"/>
                <w:b/>
                <w:bCs/>
                <w:color w:val="000000"/>
                <w:lang w:eastAsia="en-PH"/>
              </w:rPr>
              <w:t>0.23</w:t>
            </w:r>
          </w:p>
        </w:tc>
        <w:tc>
          <w:tcPr>
            <w:tcW w:w="2077" w:type="dxa"/>
            <w:tcBorders>
              <w:top w:val="nil"/>
              <w:bottom w:val="single" w:sz="4" w:space="0" w:color="auto"/>
              <w:right w:val="nil"/>
            </w:tcBorders>
            <w:noWrap/>
            <w:hideMark/>
          </w:tcPr>
          <w:p w14:paraId="3F89B6F2" w14:textId="77777777" w:rsidR="00817CAF" w:rsidRPr="0097132E" w:rsidRDefault="00817CAF" w:rsidP="00EA53B9">
            <w:pPr>
              <w:jc w:val="center"/>
              <w:rPr>
                <w:rFonts w:ascii="Arial" w:hAnsi="Arial" w:cs="Arial"/>
                <w:b/>
                <w:bCs/>
                <w:lang w:eastAsia="en-PH"/>
              </w:rPr>
            </w:pPr>
            <w:r w:rsidRPr="0097132E">
              <w:rPr>
                <w:rFonts w:ascii="Arial" w:hAnsi="Arial" w:cs="Arial"/>
                <w:b/>
                <w:bCs/>
                <w:lang w:eastAsia="en-PH"/>
              </w:rPr>
              <w:t>Very High</w:t>
            </w:r>
          </w:p>
        </w:tc>
      </w:tr>
    </w:tbl>
    <w:p w14:paraId="4E74A34D" w14:textId="77777777" w:rsidR="00945BCC" w:rsidRDefault="00945BCC" w:rsidP="00851412">
      <w:pPr>
        <w:pStyle w:val="Body"/>
        <w:spacing w:after="0"/>
        <w:rPr>
          <w:rFonts w:ascii="Arial" w:hAnsi="Arial" w:cs="Arial"/>
          <w:b/>
          <w:color w:val="00B050"/>
          <w:sz w:val="22"/>
        </w:rPr>
      </w:pPr>
    </w:p>
    <w:p w14:paraId="3843BB27" w14:textId="4BEEAE3F" w:rsidR="00817CAF" w:rsidRDefault="00817CAF" w:rsidP="00817CAF">
      <w:pPr>
        <w:pStyle w:val="Body"/>
        <w:spacing w:after="0"/>
        <w:rPr>
          <w:rFonts w:ascii="Arial" w:hAnsi="Arial" w:cs="Arial"/>
          <w:b/>
          <w:sz w:val="22"/>
        </w:rPr>
      </w:pPr>
      <w:r>
        <w:rPr>
          <w:rFonts w:ascii="Arial" w:hAnsi="Arial" w:cs="Arial"/>
          <w:b/>
          <w:sz w:val="22"/>
        </w:rPr>
        <w:t>3.6 Significant difference in the Level of Management Practices of Financial Institutions when respondents are grouped according to Profile</w:t>
      </w:r>
    </w:p>
    <w:p w14:paraId="6AE2B79A" w14:textId="77777777" w:rsidR="00817CAF" w:rsidRDefault="00817CAF" w:rsidP="00851412">
      <w:pPr>
        <w:pStyle w:val="Body"/>
        <w:spacing w:after="0"/>
        <w:rPr>
          <w:rFonts w:ascii="Arial" w:hAnsi="Arial" w:cs="Arial"/>
          <w:b/>
          <w:color w:val="00B050"/>
          <w:sz w:val="22"/>
        </w:rPr>
      </w:pPr>
    </w:p>
    <w:p w14:paraId="7F3A7038" w14:textId="1EFA1838" w:rsidR="00817CAF" w:rsidRPr="00231448" w:rsidRDefault="00174D4F" w:rsidP="00817CAF">
      <w:pPr>
        <w:spacing w:after="240"/>
        <w:ind w:right="43"/>
        <w:jc w:val="both"/>
        <w:rPr>
          <w:rFonts w:ascii="Arial" w:hAnsi="Arial" w:cs="Arial"/>
        </w:rPr>
      </w:pPr>
      <w:r>
        <w:rPr>
          <w:rFonts w:ascii="Arial" w:hAnsi="Arial" w:cs="Arial"/>
        </w:rPr>
        <w:lastRenderedPageBreak/>
        <w:t>Table 6</w:t>
      </w:r>
      <w:r w:rsidR="00817CAF" w:rsidRPr="00231448">
        <w:rPr>
          <w:rFonts w:ascii="Arial" w:hAnsi="Arial" w:cs="Arial"/>
        </w:rPr>
        <w:t xml:space="preserve"> presented the results of an analysis of variance (ANOVA) comparing the level of management practices when grouped according to age. The computed p-value of 0.531 was greater than the standard 0.05 level of significance, indicating that there was no statistically significant difference in how respondents across different age groups perceived management practices. Regardless of whether respondents were aged 18–35, 36–45, or 46 and above, their evaluations remained consistent. This implied that institutional policies were applied uniformly, contributing to equal treatment and shared experiences among all employees. The result confirmed Guo et al. (2020), who emphasized the role of inclusive and standardized HR systems in maintaining consistent employee experiences across age demographics.</w:t>
      </w:r>
    </w:p>
    <w:p w14:paraId="09E26005" w14:textId="129FDCEA" w:rsidR="00817CAF" w:rsidRDefault="00817CAF" w:rsidP="00817CAF">
      <w:pPr>
        <w:spacing w:after="240"/>
        <w:ind w:right="43"/>
        <w:jc w:val="both"/>
        <w:rPr>
          <w:rFonts w:ascii="Arial" w:hAnsi="Arial" w:cs="Arial"/>
        </w:rPr>
      </w:pPr>
      <w:r w:rsidRPr="00231448">
        <w:rPr>
          <w:rFonts w:ascii="Arial" w:hAnsi="Arial" w:cs="Arial"/>
        </w:rPr>
        <w:t xml:space="preserve">The consistency in responses also implied that financial institutions in </w:t>
      </w:r>
      <w:proofErr w:type="spellStart"/>
      <w:r w:rsidRPr="00231448">
        <w:rPr>
          <w:rFonts w:ascii="Arial" w:hAnsi="Arial" w:cs="Arial"/>
        </w:rPr>
        <w:t>Cateel</w:t>
      </w:r>
      <w:proofErr w:type="spellEnd"/>
      <w:r w:rsidRPr="00231448">
        <w:rPr>
          <w:rFonts w:ascii="Arial" w:hAnsi="Arial" w:cs="Arial"/>
        </w:rPr>
        <w:t xml:space="preserve"> had well-defined policies and communication systems that reached all age groups equally. The result supported Otoo (2019), who noted that effective human resource management systems that accommodated generational diversity fostered engagement and reduced conflict. It further affirmed the view of Mahapatro (2021), who highlighted that equitable workplace systems should address the needs of all demographic segments, including age. The findings implied that policies in these institutions supported access to professional development, leadership opportunities, and workplace benefits for all employees. Therefore, the study affirmed that age did not significantly influence how management practices were perceived, indicating a well-managed, inclusive institutional environment in </w:t>
      </w:r>
      <w:proofErr w:type="spellStart"/>
      <w:r w:rsidRPr="00231448">
        <w:rPr>
          <w:rFonts w:ascii="Arial" w:hAnsi="Arial" w:cs="Arial"/>
        </w:rPr>
        <w:t>Cateel</w:t>
      </w:r>
      <w:proofErr w:type="spellEnd"/>
      <w:r w:rsidRPr="00231448">
        <w:rPr>
          <w:rFonts w:ascii="Arial" w:hAnsi="Arial" w:cs="Arial"/>
        </w:rPr>
        <w:t>.</w:t>
      </w:r>
    </w:p>
    <w:p w14:paraId="54699284" w14:textId="72DBA4F3" w:rsidR="00EA53B9" w:rsidRPr="00817CAF" w:rsidRDefault="00EA53B9" w:rsidP="00817CAF">
      <w:pPr>
        <w:spacing w:after="240"/>
        <w:ind w:right="43"/>
        <w:jc w:val="both"/>
        <w:rPr>
          <w:rFonts w:ascii="Arial" w:hAnsi="Arial" w:cs="Arial"/>
        </w:rPr>
      </w:pPr>
      <w:r w:rsidRPr="00EA53B9">
        <w:rPr>
          <w:rFonts w:ascii="Arial" w:hAnsi="Arial" w:cs="Arial"/>
        </w:rPr>
        <w:t xml:space="preserve">To deepen the interpretation of the ANOVA results, it is important to note that the computed effect size (η² = 0.010) was very small, suggesting that age explained only about 1% of the variance in management practice perceptions. This reinforces the practical insignificance of the observed differences, even though the p-value (0.531) already indicated non-significance. In practical terms, such a negligible effect size implies that institutional policies and practices are indeed perceived consistently across age groups, supporting the idea of inclusivity in HR systems. However, this finding contrasts with studies such as Lyons and </w:t>
      </w:r>
      <w:proofErr w:type="spellStart"/>
      <w:r w:rsidRPr="00EA53B9">
        <w:rPr>
          <w:rFonts w:ascii="Arial" w:hAnsi="Arial" w:cs="Arial"/>
        </w:rPr>
        <w:t>Kuron</w:t>
      </w:r>
      <w:proofErr w:type="spellEnd"/>
      <w:r w:rsidRPr="00EA53B9">
        <w:rPr>
          <w:rFonts w:ascii="Arial" w:hAnsi="Arial" w:cs="Arial"/>
        </w:rPr>
        <w:t xml:space="preserve"> (2014), who argued that generational cohorts often differ in workplace expectations and values, which can influence perceptions of management practices. The divergence highlights that while </w:t>
      </w:r>
      <w:proofErr w:type="spellStart"/>
      <w:r w:rsidRPr="00EA53B9">
        <w:rPr>
          <w:rFonts w:ascii="Arial" w:hAnsi="Arial" w:cs="Arial"/>
        </w:rPr>
        <w:t>Cateel’s</w:t>
      </w:r>
      <w:proofErr w:type="spellEnd"/>
      <w:r w:rsidRPr="00EA53B9">
        <w:rPr>
          <w:rFonts w:ascii="Arial" w:hAnsi="Arial" w:cs="Arial"/>
        </w:rPr>
        <w:t xml:space="preserve"> financial institutions may have successfully standardized policies to minimize generational differences, other contexts demonstrate that age-related workplace perceptions can still emerge, underscoring the importance of situating results within broader organizational and cultural environments.</w:t>
      </w:r>
    </w:p>
    <w:p w14:paraId="054A9FEA" w14:textId="744F2489" w:rsidR="00812951" w:rsidRPr="00817CAF" w:rsidRDefault="00174D4F" w:rsidP="00851412">
      <w:pPr>
        <w:pStyle w:val="Body"/>
        <w:spacing w:after="0"/>
        <w:rPr>
          <w:rFonts w:ascii="Arial" w:hAnsi="Arial" w:cs="Arial"/>
          <w:b/>
          <w:color w:val="000000" w:themeColor="text1"/>
        </w:rPr>
      </w:pPr>
      <w:r>
        <w:rPr>
          <w:rFonts w:ascii="Arial" w:hAnsi="Arial" w:cs="Arial"/>
          <w:b/>
          <w:color w:val="000000" w:themeColor="text1"/>
        </w:rPr>
        <w:t>Table 6</w:t>
      </w:r>
      <w:r w:rsidR="00812951" w:rsidRPr="00817CAF">
        <w:rPr>
          <w:rFonts w:ascii="Arial" w:hAnsi="Arial" w:cs="Arial"/>
          <w:b/>
          <w:color w:val="000000" w:themeColor="text1"/>
        </w:rPr>
        <w:t>.</w:t>
      </w:r>
      <w:r w:rsidR="00812951" w:rsidRPr="00817CAF">
        <w:rPr>
          <w:rFonts w:ascii="Arial" w:hAnsi="Arial" w:cs="Arial"/>
          <w:b/>
          <w:color w:val="000000" w:themeColor="text1"/>
        </w:rPr>
        <w:tab/>
      </w:r>
      <w:r>
        <w:rPr>
          <w:rFonts w:ascii="Arial" w:hAnsi="Arial" w:cs="Arial"/>
          <w:b/>
          <w:color w:val="000000" w:themeColor="text1"/>
        </w:rPr>
        <w:t>Significant difference in the level of management practices of financial institutions in terms of age</w:t>
      </w:r>
      <w:r w:rsidR="00817CAF" w:rsidRPr="00817CAF">
        <w:rPr>
          <w:rFonts w:ascii="Arial" w:hAnsi="Arial" w:cs="Arial"/>
          <w:b/>
          <w:color w:val="000000" w:themeColor="text1"/>
        </w:rPr>
        <w:t xml:space="preserve"> </w:t>
      </w:r>
    </w:p>
    <w:p w14:paraId="57FEA4A0" w14:textId="77777777" w:rsidR="00945BCC" w:rsidRPr="00817CAF" w:rsidRDefault="00945BCC" w:rsidP="00851412">
      <w:pPr>
        <w:pStyle w:val="Body"/>
        <w:spacing w:after="0"/>
        <w:rPr>
          <w:rFonts w:ascii="Arial" w:hAnsi="Arial" w:cs="Arial"/>
          <w:b/>
          <w:color w:val="00B050"/>
        </w:rPr>
      </w:pPr>
    </w:p>
    <w:tbl>
      <w:tblPr>
        <w:tblW w:w="8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
        <w:gridCol w:w="1890"/>
        <w:gridCol w:w="1634"/>
        <w:gridCol w:w="1141"/>
        <w:gridCol w:w="1568"/>
        <w:gridCol w:w="1141"/>
        <w:gridCol w:w="1123"/>
        <w:gridCol w:w="18"/>
      </w:tblGrid>
      <w:tr w:rsidR="00174D4F" w:rsidRPr="0046687C" w14:paraId="3BAFEF6C" w14:textId="77777777" w:rsidTr="00EA53B9">
        <w:trPr>
          <w:gridAfter w:val="1"/>
          <w:wAfter w:w="18" w:type="dxa"/>
          <w:cantSplit/>
          <w:trHeight w:val="20"/>
        </w:trPr>
        <w:tc>
          <w:tcPr>
            <w:tcW w:w="8519" w:type="dxa"/>
            <w:gridSpan w:val="7"/>
            <w:tcBorders>
              <w:top w:val="nil"/>
              <w:left w:val="nil"/>
              <w:bottom w:val="nil"/>
              <w:right w:val="nil"/>
            </w:tcBorders>
            <w:shd w:val="clear" w:color="auto" w:fill="FFFFFF"/>
            <w:vAlign w:val="center"/>
          </w:tcPr>
          <w:p w14:paraId="46898859" w14:textId="77777777" w:rsidR="00174D4F" w:rsidRDefault="00174D4F" w:rsidP="00EA53B9">
            <w:pPr>
              <w:autoSpaceDE w:val="0"/>
              <w:autoSpaceDN w:val="0"/>
              <w:adjustRightInd w:val="0"/>
              <w:spacing w:line="320" w:lineRule="atLeast"/>
              <w:ind w:left="60" w:right="60"/>
              <w:jc w:val="center"/>
              <w:rPr>
                <w:rFonts w:ascii="Arial" w:eastAsiaTheme="minorHAnsi" w:hAnsi="Arial" w:cs="Arial"/>
                <w:b/>
                <w:bCs/>
                <w:color w:val="000000"/>
              </w:rPr>
            </w:pPr>
            <w:r w:rsidRPr="0046687C">
              <w:rPr>
                <w:rFonts w:ascii="Arial" w:eastAsiaTheme="minorHAnsi" w:hAnsi="Arial" w:cs="Arial"/>
                <w:b/>
                <w:bCs/>
                <w:color w:val="000000"/>
              </w:rPr>
              <w:t>ANOVA</w:t>
            </w:r>
          </w:p>
          <w:p w14:paraId="2540A2BD" w14:textId="77777777" w:rsidR="00174D4F" w:rsidRPr="0046687C" w:rsidRDefault="00174D4F" w:rsidP="00EA53B9">
            <w:pPr>
              <w:autoSpaceDE w:val="0"/>
              <w:autoSpaceDN w:val="0"/>
              <w:adjustRightInd w:val="0"/>
              <w:spacing w:line="320" w:lineRule="atLeast"/>
              <w:ind w:left="60" w:right="60"/>
              <w:rPr>
                <w:rFonts w:ascii="Arial" w:eastAsiaTheme="minorHAnsi" w:hAnsi="Arial" w:cs="Arial"/>
                <w:color w:val="000000"/>
              </w:rPr>
            </w:pPr>
            <w:r w:rsidRPr="0046687C">
              <w:rPr>
                <w:rFonts w:ascii="Arial" w:eastAsiaTheme="minorHAnsi" w:hAnsi="Arial" w:cs="Arial"/>
                <w:color w:val="000000"/>
                <w:shd w:val="clear" w:color="auto" w:fill="FFFFFF"/>
              </w:rPr>
              <w:t xml:space="preserve">Overall Management Practices  </w:t>
            </w:r>
          </w:p>
        </w:tc>
      </w:tr>
      <w:tr w:rsidR="00174D4F" w:rsidRPr="0046687C" w14:paraId="02862998" w14:textId="77777777" w:rsidTr="00EA53B9">
        <w:trPr>
          <w:gridBefore w:val="1"/>
          <w:wBefore w:w="22" w:type="dxa"/>
          <w:cantSplit/>
          <w:trHeight w:val="20"/>
        </w:trPr>
        <w:tc>
          <w:tcPr>
            <w:tcW w:w="1890" w:type="dxa"/>
            <w:tcBorders>
              <w:top w:val="single" w:sz="8" w:space="0" w:color="auto"/>
              <w:left w:val="nil"/>
              <w:bottom w:val="single" w:sz="8" w:space="0" w:color="auto"/>
              <w:right w:val="nil"/>
            </w:tcBorders>
            <w:shd w:val="clear" w:color="auto" w:fill="FFFFFF"/>
            <w:vAlign w:val="center"/>
          </w:tcPr>
          <w:p w14:paraId="6780D601" w14:textId="77777777" w:rsidR="00174D4F" w:rsidRPr="0046687C" w:rsidRDefault="00174D4F" w:rsidP="00EA53B9">
            <w:pPr>
              <w:autoSpaceDE w:val="0"/>
              <w:autoSpaceDN w:val="0"/>
              <w:adjustRightInd w:val="0"/>
              <w:jc w:val="center"/>
              <w:rPr>
                <w:rFonts w:ascii="Times New Roman" w:eastAsiaTheme="minorHAnsi" w:hAnsi="Times New Roman"/>
              </w:rPr>
            </w:pPr>
          </w:p>
        </w:tc>
        <w:tc>
          <w:tcPr>
            <w:tcW w:w="1634" w:type="dxa"/>
            <w:tcBorders>
              <w:top w:val="single" w:sz="8" w:space="0" w:color="auto"/>
              <w:left w:val="nil"/>
              <w:bottom w:val="single" w:sz="8" w:space="0" w:color="auto"/>
              <w:right w:val="nil"/>
            </w:tcBorders>
            <w:shd w:val="clear" w:color="auto" w:fill="FFFFFF"/>
            <w:vAlign w:val="center"/>
          </w:tcPr>
          <w:p w14:paraId="549EC10C"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Sum of Squares</w:t>
            </w:r>
          </w:p>
        </w:tc>
        <w:tc>
          <w:tcPr>
            <w:tcW w:w="1141" w:type="dxa"/>
            <w:tcBorders>
              <w:top w:val="single" w:sz="8" w:space="0" w:color="auto"/>
              <w:left w:val="nil"/>
              <w:bottom w:val="single" w:sz="8" w:space="0" w:color="auto"/>
              <w:right w:val="nil"/>
            </w:tcBorders>
            <w:shd w:val="clear" w:color="auto" w:fill="FFFFFF"/>
            <w:vAlign w:val="center"/>
          </w:tcPr>
          <w:p w14:paraId="6960DDA5"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df</w:t>
            </w:r>
          </w:p>
        </w:tc>
        <w:tc>
          <w:tcPr>
            <w:tcW w:w="1568" w:type="dxa"/>
            <w:tcBorders>
              <w:top w:val="single" w:sz="8" w:space="0" w:color="auto"/>
              <w:left w:val="nil"/>
              <w:bottom w:val="single" w:sz="8" w:space="0" w:color="auto"/>
              <w:right w:val="nil"/>
            </w:tcBorders>
            <w:shd w:val="clear" w:color="auto" w:fill="FFFFFF"/>
            <w:vAlign w:val="center"/>
          </w:tcPr>
          <w:p w14:paraId="4423FF8C"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Mean Square</w:t>
            </w:r>
          </w:p>
        </w:tc>
        <w:tc>
          <w:tcPr>
            <w:tcW w:w="1141" w:type="dxa"/>
            <w:tcBorders>
              <w:top w:val="single" w:sz="8" w:space="0" w:color="auto"/>
              <w:left w:val="nil"/>
              <w:bottom w:val="single" w:sz="8" w:space="0" w:color="auto"/>
              <w:right w:val="nil"/>
            </w:tcBorders>
            <w:shd w:val="clear" w:color="auto" w:fill="FFFFFF"/>
            <w:vAlign w:val="center"/>
          </w:tcPr>
          <w:p w14:paraId="340F7A52"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F</w:t>
            </w:r>
          </w:p>
        </w:tc>
        <w:tc>
          <w:tcPr>
            <w:tcW w:w="1141" w:type="dxa"/>
            <w:gridSpan w:val="2"/>
            <w:tcBorders>
              <w:top w:val="single" w:sz="8" w:space="0" w:color="auto"/>
              <w:left w:val="nil"/>
              <w:bottom w:val="single" w:sz="8" w:space="0" w:color="auto"/>
              <w:right w:val="nil"/>
            </w:tcBorders>
            <w:shd w:val="clear" w:color="auto" w:fill="FFFFFF"/>
            <w:vAlign w:val="center"/>
          </w:tcPr>
          <w:p w14:paraId="50D47B2C"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Sig.</w:t>
            </w:r>
          </w:p>
        </w:tc>
      </w:tr>
      <w:tr w:rsidR="00174D4F" w:rsidRPr="0046687C" w14:paraId="6F42013C" w14:textId="77777777" w:rsidTr="00EA53B9">
        <w:trPr>
          <w:gridBefore w:val="1"/>
          <w:wBefore w:w="22" w:type="dxa"/>
          <w:cantSplit/>
          <w:trHeight w:val="20"/>
        </w:trPr>
        <w:tc>
          <w:tcPr>
            <w:tcW w:w="1890" w:type="dxa"/>
            <w:tcBorders>
              <w:top w:val="single" w:sz="8" w:space="0" w:color="auto"/>
              <w:left w:val="nil"/>
              <w:bottom w:val="nil"/>
              <w:right w:val="nil"/>
            </w:tcBorders>
            <w:shd w:val="clear" w:color="auto" w:fill="FFFFFF"/>
            <w:vAlign w:val="center"/>
          </w:tcPr>
          <w:p w14:paraId="6FF66131"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Between Groups</w:t>
            </w:r>
          </w:p>
        </w:tc>
        <w:tc>
          <w:tcPr>
            <w:tcW w:w="1634" w:type="dxa"/>
            <w:tcBorders>
              <w:top w:val="single" w:sz="8" w:space="0" w:color="auto"/>
              <w:left w:val="nil"/>
              <w:bottom w:val="nil"/>
              <w:right w:val="nil"/>
            </w:tcBorders>
            <w:shd w:val="clear" w:color="auto" w:fill="FFFFFF"/>
            <w:vAlign w:val="center"/>
          </w:tcPr>
          <w:p w14:paraId="59FB7EC0"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.066</w:t>
            </w:r>
          </w:p>
        </w:tc>
        <w:tc>
          <w:tcPr>
            <w:tcW w:w="1141" w:type="dxa"/>
            <w:tcBorders>
              <w:top w:val="single" w:sz="8" w:space="0" w:color="auto"/>
              <w:left w:val="nil"/>
              <w:bottom w:val="nil"/>
              <w:right w:val="nil"/>
            </w:tcBorders>
            <w:shd w:val="clear" w:color="auto" w:fill="FFFFFF"/>
            <w:vAlign w:val="center"/>
          </w:tcPr>
          <w:p w14:paraId="203A7686"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2</w:t>
            </w:r>
          </w:p>
        </w:tc>
        <w:tc>
          <w:tcPr>
            <w:tcW w:w="1568" w:type="dxa"/>
            <w:tcBorders>
              <w:top w:val="single" w:sz="8" w:space="0" w:color="auto"/>
              <w:left w:val="nil"/>
              <w:bottom w:val="nil"/>
              <w:right w:val="nil"/>
            </w:tcBorders>
            <w:shd w:val="clear" w:color="auto" w:fill="FFFFFF"/>
            <w:vAlign w:val="center"/>
          </w:tcPr>
          <w:p w14:paraId="7DE1C64C"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.033</w:t>
            </w:r>
          </w:p>
        </w:tc>
        <w:tc>
          <w:tcPr>
            <w:tcW w:w="1141" w:type="dxa"/>
            <w:tcBorders>
              <w:top w:val="single" w:sz="8" w:space="0" w:color="auto"/>
              <w:left w:val="nil"/>
              <w:bottom w:val="nil"/>
              <w:right w:val="nil"/>
            </w:tcBorders>
            <w:shd w:val="clear" w:color="auto" w:fill="FFFFFF"/>
            <w:vAlign w:val="center"/>
          </w:tcPr>
          <w:p w14:paraId="598146B9"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.636</w:t>
            </w:r>
          </w:p>
        </w:tc>
        <w:tc>
          <w:tcPr>
            <w:tcW w:w="1141" w:type="dxa"/>
            <w:gridSpan w:val="2"/>
            <w:tcBorders>
              <w:top w:val="single" w:sz="8" w:space="0" w:color="auto"/>
              <w:left w:val="nil"/>
              <w:bottom w:val="nil"/>
              <w:right w:val="nil"/>
            </w:tcBorders>
            <w:shd w:val="clear" w:color="auto" w:fill="FFFFFF"/>
            <w:vAlign w:val="center"/>
          </w:tcPr>
          <w:p w14:paraId="4F82FD73"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.531</w:t>
            </w:r>
          </w:p>
        </w:tc>
      </w:tr>
      <w:tr w:rsidR="00174D4F" w:rsidRPr="0046687C" w14:paraId="0077B9A9" w14:textId="77777777" w:rsidTr="00EA53B9">
        <w:trPr>
          <w:gridBefore w:val="1"/>
          <w:wBefore w:w="22" w:type="dxa"/>
          <w:cantSplit/>
          <w:trHeight w:val="20"/>
        </w:trPr>
        <w:tc>
          <w:tcPr>
            <w:tcW w:w="1890" w:type="dxa"/>
            <w:tcBorders>
              <w:top w:val="nil"/>
              <w:left w:val="nil"/>
              <w:bottom w:val="nil"/>
              <w:right w:val="nil"/>
            </w:tcBorders>
            <w:shd w:val="clear" w:color="auto" w:fill="FFFFFF"/>
            <w:vAlign w:val="center"/>
          </w:tcPr>
          <w:p w14:paraId="5236608B"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Within Groups</w:t>
            </w:r>
          </w:p>
        </w:tc>
        <w:tc>
          <w:tcPr>
            <w:tcW w:w="1634" w:type="dxa"/>
            <w:tcBorders>
              <w:top w:val="nil"/>
              <w:left w:val="nil"/>
              <w:bottom w:val="nil"/>
              <w:right w:val="nil"/>
            </w:tcBorders>
            <w:shd w:val="clear" w:color="auto" w:fill="FFFFFF"/>
            <w:vAlign w:val="center"/>
          </w:tcPr>
          <w:p w14:paraId="0B22972E"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6.305</w:t>
            </w:r>
          </w:p>
        </w:tc>
        <w:tc>
          <w:tcPr>
            <w:tcW w:w="1141" w:type="dxa"/>
            <w:tcBorders>
              <w:top w:val="nil"/>
              <w:left w:val="nil"/>
              <w:bottom w:val="nil"/>
              <w:right w:val="nil"/>
            </w:tcBorders>
            <w:shd w:val="clear" w:color="auto" w:fill="FFFFFF"/>
            <w:vAlign w:val="center"/>
          </w:tcPr>
          <w:p w14:paraId="490E7BA7"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121</w:t>
            </w:r>
          </w:p>
        </w:tc>
        <w:tc>
          <w:tcPr>
            <w:tcW w:w="1568" w:type="dxa"/>
            <w:tcBorders>
              <w:top w:val="nil"/>
              <w:left w:val="nil"/>
              <w:bottom w:val="nil"/>
              <w:right w:val="nil"/>
            </w:tcBorders>
            <w:shd w:val="clear" w:color="auto" w:fill="FFFFFF"/>
            <w:vAlign w:val="center"/>
          </w:tcPr>
          <w:p w14:paraId="4BAA9B7F"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Pr>
                <w:rFonts w:ascii="Arial" w:eastAsiaTheme="minorHAnsi" w:hAnsi="Arial" w:cs="Arial"/>
                <w:color w:val="000000"/>
              </w:rPr>
              <w:t>0</w:t>
            </w:r>
            <w:r w:rsidRPr="0046687C">
              <w:rPr>
                <w:rFonts w:ascii="Arial" w:eastAsiaTheme="minorHAnsi" w:hAnsi="Arial" w:cs="Arial"/>
                <w:color w:val="000000"/>
              </w:rPr>
              <w:t>.052</w:t>
            </w:r>
          </w:p>
        </w:tc>
        <w:tc>
          <w:tcPr>
            <w:tcW w:w="1141" w:type="dxa"/>
            <w:tcBorders>
              <w:top w:val="nil"/>
              <w:left w:val="nil"/>
              <w:bottom w:val="nil"/>
              <w:right w:val="nil"/>
            </w:tcBorders>
            <w:shd w:val="clear" w:color="auto" w:fill="FFFFFF"/>
            <w:vAlign w:val="center"/>
          </w:tcPr>
          <w:p w14:paraId="6B1C2B34" w14:textId="77777777" w:rsidR="00174D4F" w:rsidRPr="0046687C" w:rsidRDefault="00174D4F" w:rsidP="00EA53B9">
            <w:pPr>
              <w:autoSpaceDE w:val="0"/>
              <w:autoSpaceDN w:val="0"/>
              <w:adjustRightInd w:val="0"/>
              <w:jc w:val="center"/>
              <w:rPr>
                <w:rFonts w:ascii="Times New Roman" w:eastAsiaTheme="minorHAnsi" w:hAnsi="Times New Roman"/>
              </w:rPr>
            </w:pPr>
          </w:p>
        </w:tc>
        <w:tc>
          <w:tcPr>
            <w:tcW w:w="1141" w:type="dxa"/>
            <w:gridSpan w:val="2"/>
            <w:tcBorders>
              <w:top w:val="nil"/>
              <w:left w:val="nil"/>
              <w:bottom w:val="nil"/>
              <w:right w:val="nil"/>
            </w:tcBorders>
            <w:shd w:val="clear" w:color="auto" w:fill="FFFFFF"/>
            <w:vAlign w:val="center"/>
          </w:tcPr>
          <w:p w14:paraId="32B26274" w14:textId="77777777" w:rsidR="00174D4F" w:rsidRPr="0046687C" w:rsidRDefault="00174D4F" w:rsidP="00EA53B9">
            <w:pPr>
              <w:autoSpaceDE w:val="0"/>
              <w:autoSpaceDN w:val="0"/>
              <w:adjustRightInd w:val="0"/>
              <w:jc w:val="center"/>
              <w:rPr>
                <w:rFonts w:ascii="Times New Roman" w:eastAsiaTheme="minorHAnsi" w:hAnsi="Times New Roman"/>
              </w:rPr>
            </w:pPr>
          </w:p>
        </w:tc>
      </w:tr>
      <w:tr w:rsidR="00174D4F" w:rsidRPr="0046687C" w14:paraId="71F2D619" w14:textId="77777777" w:rsidTr="00EA53B9">
        <w:trPr>
          <w:gridBefore w:val="1"/>
          <w:wBefore w:w="22" w:type="dxa"/>
          <w:cantSplit/>
          <w:trHeight w:val="20"/>
        </w:trPr>
        <w:tc>
          <w:tcPr>
            <w:tcW w:w="1890" w:type="dxa"/>
            <w:tcBorders>
              <w:top w:val="nil"/>
              <w:left w:val="nil"/>
              <w:bottom w:val="single" w:sz="8" w:space="0" w:color="auto"/>
              <w:right w:val="nil"/>
            </w:tcBorders>
            <w:shd w:val="clear" w:color="auto" w:fill="FFFFFF"/>
            <w:vAlign w:val="center"/>
          </w:tcPr>
          <w:p w14:paraId="0C1A40BE"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Total</w:t>
            </w:r>
          </w:p>
        </w:tc>
        <w:tc>
          <w:tcPr>
            <w:tcW w:w="1634" w:type="dxa"/>
            <w:tcBorders>
              <w:top w:val="nil"/>
              <w:left w:val="nil"/>
              <w:bottom w:val="single" w:sz="8" w:space="0" w:color="auto"/>
              <w:right w:val="nil"/>
            </w:tcBorders>
            <w:shd w:val="clear" w:color="auto" w:fill="FFFFFF"/>
            <w:vAlign w:val="center"/>
          </w:tcPr>
          <w:p w14:paraId="66328347"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6.371</w:t>
            </w:r>
          </w:p>
        </w:tc>
        <w:tc>
          <w:tcPr>
            <w:tcW w:w="1141" w:type="dxa"/>
            <w:tcBorders>
              <w:top w:val="nil"/>
              <w:left w:val="nil"/>
              <w:bottom w:val="single" w:sz="8" w:space="0" w:color="auto"/>
              <w:right w:val="nil"/>
            </w:tcBorders>
            <w:shd w:val="clear" w:color="auto" w:fill="FFFFFF"/>
            <w:vAlign w:val="center"/>
          </w:tcPr>
          <w:p w14:paraId="3AE3205C" w14:textId="77777777" w:rsidR="00174D4F" w:rsidRPr="0046687C" w:rsidRDefault="00174D4F" w:rsidP="00EA53B9">
            <w:pPr>
              <w:autoSpaceDE w:val="0"/>
              <w:autoSpaceDN w:val="0"/>
              <w:adjustRightInd w:val="0"/>
              <w:spacing w:line="320" w:lineRule="atLeast"/>
              <w:ind w:left="60" w:right="60"/>
              <w:jc w:val="center"/>
              <w:rPr>
                <w:rFonts w:ascii="Arial" w:eastAsiaTheme="minorHAnsi" w:hAnsi="Arial" w:cs="Arial"/>
                <w:color w:val="000000"/>
              </w:rPr>
            </w:pPr>
            <w:r w:rsidRPr="0046687C">
              <w:rPr>
                <w:rFonts w:ascii="Arial" w:eastAsiaTheme="minorHAnsi" w:hAnsi="Arial" w:cs="Arial"/>
                <w:color w:val="000000"/>
              </w:rPr>
              <w:t>123</w:t>
            </w:r>
          </w:p>
        </w:tc>
        <w:tc>
          <w:tcPr>
            <w:tcW w:w="1568" w:type="dxa"/>
            <w:tcBorders>
              <w:top w:val="nil"/>
              <w:left w:val="nil"/>
              <w:bottom w:val="single" w:sz="8" w:space="0" w:color="auto"/>
              <w:right w:val="nil"/>
            </w:tcBorders>
            <w:shd w:val="clear" w:color="auto" w:fill="FFFFFF"/>
            <w:vAlign w:val="center"/>
          </w:tcPr>
          <w:p w14:paraId="365D383F" w14:textId="77777777" w:rsidR="00174D4F" w:rsidRPr="0046687C" w:rsidRDefault="00174D4F" w:rsidP="00EA53B9">
            <w:pPr>
              <w:autoSpaceDE w:val="0"/>
              <w:autoSpaceDN w:val="0"/>
              <w:adjustRightInd w:val="0"/>
              <w:jc w:val="center"/>
              <w:rPr>
                <w:rFonts w:ascii="Times New Roman" w:eastAsiaTheme="minorHAnsi" w:hAnsi="Times New Roman"/>
              </w:rPr>
            </w:pPr>
          </w:p>
        </w:tc>
        <w:tc>
          <w:tcPr>
            <w:tcW w:w="1141" w:type="dxa"/>
            <w:tcBorders>
              <w:top w:val="nil"/>
              <w:left w:val="nil"/>
              <w:bottom w:val="single" w:sz="8" w:space="0" w:color="auto"/>
              <w:right w:val="nil"/>
            </w:tcBorders>
            <w:shd w:val="clear" w:color="auto" w:fill="FFFFFF"/>
            <w:vAlign w:val="center"/>
          </w:tcPr>
          <w:p w14:paraId="3143A606" w14:textId="77777777" w:rsidR="00174D4F" w:rsidRPr="0046687C" w:rsidRDefault="00174D4F" w:rsidP="00EA53B9">
            <w:pPr>
              <w:autoSpaceDE w:val="0"/>
              <w:autoSpaceDN w:val="0"/>
              <w:adjustRightInd w:val="0"/>
              <w:jc w:val="center"/>
              <w:rPr>
                <w:rFonts w:ascii="Times New Roman" w:eastAsiaTheme="minorHAnsi" w:hAnsi="Times New Roman"/>
              </w:rPr>
            </w:pPr>
          </w:p>
        </w:tc>
        <w:tc>
          <w:tcPr>
            <w:tcW w:w="1141" w:type="dxa"/>
            <w:gridSpan w:val="2"/>
            <w:tcBorders>
              <w:top w:val="nil"/>
              <w:left w:val="nil"/>
              <w:bottom w:val="single" w:sz="8" w:space="0" w:color="auto"/>
              <w:right w:val="nil"/>
            </w:tcBorders>
            <w:shd w:val="clear" w:color="auto" w:fill="FFFFFF"/>
            <w:vAlign w:val="center"/>
          </w:tcPr>
          <w:p w14:paraId="0B45058E" w14:textId="77777777" w:rsidR="00174D4F" w:rsidRPr="0046687C" w:rsidRDefault="00174D4F" w:rsidP="00EA53B9">
            <w:pPr>
              <w:autoSpaceDE w:val="0"/>
              <w:autoSpaceDN w:val="0"/>
              <w:adjustRightInd w:val="0"/>
              <w:jc w:val="center"/>
              <w:rPr>
                <w:rFonts w:ascii="Times New Roman" w:eastAsiaTheme="minorHAnsi" w:hAnsi="Times New Roman"/>
              </w:rPr>
            </w:pPr>
          </w:p>
        </w:tc>
      </w:tr>
    </w:tbl>
    <w:p w14:paraId="0C2BB2DB" w14:textId="77777777" w:rsidR="00812951" w:rsidRPr="00812951" w:rsidRDefault="00812951" w:rsidP="00851412">
      <w:pPr>
        <w:pStyle w:val="Body"/>
        <w:spacing w:after="0"/>
        <w:rPr>
          <w:rFonts w:ascii="Arial" w:hAnsi="Arial" w:cs="Arial"/>
          <w:bCs/>
          <w:sz w:val="22"/>
        </w:rPr>
      </w:pPr>
    </w:p>
    <w:p w14:paraId="6D96FA7A" w14:textId="0A97FF8B" w:rsidR="003B4A7A" w:rsidRPr="00231448" w:rsidRDefault="00B2026A" w:rsidP="003B4A7A">
      <w:pPr>
        <w:spacing w:after="240"/>
        <w:ind w:right="43"/>
        <w:jc w:val="both"/>
        <w:rPr>
          <w:rFonts w:ascii="Arial" w:hAnsi="Arial" w:cs="Arial"/>
        </w:rPr>
      </w:pPr>
      <w:r>
        <w:rPr>
          <w:rFonts w:ascii="Arial" w:hAnsi="Arial" w:cs="Arial"/>
        </w:rPr>
        <w:t>Table 7</w:t>
      </w:r>
      <w:r w:rsidR="003B4A7A" w:rsidRPr="00231448">
        <w:rPr>
          <w:rFonts w:ascii="Arial" w:hAnsi="Arial" w:cs="Arial"/>
        </w:rPr>
        <w:t xml:space="preserve"> presented the results of the independent samples t-test comparing the level of management practices when grouped according to sex. The computed p-value was 0.507, which was greater than the 0.05 level of significance, indicating that there was no statistically significant difference between male and female respondents. This meant that both groups shared a relatively equal perception of their institutions’ practices in human </w:t>
      </w:r>
      <w:r w:rsidR="003B4A7A" w:rsidRPr="00231448">
        <w:rPr>
          <w:rFonts w:ascii="Arial" w:hAnsi="Arial" w:cs="Arial"/>
        </w:rPr>
        <w:lastRenderedPageBreak/>
        <w:t xml:space="preserve">resources, finance, and marketing. The result confirmed that sex did not influence how employees evaluated the quality, fairness, or consistency of management efforts in financial institutions within </w:t>
      </w:r>
      <w:proofErr w:type="spellStart"/>
      <w:r w:rsidR="003B4A7A" w:rsidRPr="00231448">
        <w:rPr>
          <w:rFonts w:ascii="Arial" w:hAnsi="Arial" w:cs="Arial"/>
        </w:rPr>
        <w:t>Cateel</w:t>
      </w:r>
      <w:proofErr w:type="spellEnd"/>
      <w:r w:rsidR="003B4A7A" w:rsidRPr="00231448">
        <w:rPr>
          <w:rFonts w:ascii="Arial" w:hAnsi="Arial" w:cs="Arial"/>
        </w:rPr>
        <w:t>, Davao Oriental. This finding implied the presence of inclusive and gender-neutral management strategies.</w:t>
      </w:r>
    </w:p>
    <w:p w14:paraId="50E75CB1" w14:textId="10418D51" w:rsidR="00174D4F" w:rsidRDefault="003B4A7A" w:rsidP="00851412">
      <w:pPr>
        <w:pStyle w:val="Body"/>
        <w:spacing w:after="0"/>
        <w:rPr>
          <w:rFonts w:ascii="Arial" w:hAnsi="Arial" w:cs="Arial"/>
        </w:rPr>
      </w:pPr>
      <w:r w:rsidRPr="004E4B86">
        <w:rPr>
          <w:rFonts w:ascii="Arial" w:hAnsi="Arial" w:cs="Arial"/>
        </w:rPr>
        <w:t xml:space="preserve">The uniformity in perceptions also implied that both male and female employees likely received similar access to information, training, and opportunities. The result confirmed </w:t>
      </w:r>
      <w:proofErr w:type="spellStart"/>
      <w:r w:rsidRPr="004E4B86">
        <w:rPr>
          <w:rFonts w:ascii="Arial" w:hAnsi="Arial" w:cs="Arial"/>
        </w:rPr>
        <w:t>Ashikali</w:t>
      </w:r>
      <w:proofErr w:type="spellEnd"/>
      <w:r w:rsidRPr="004E4B86">
        <w:rPr>
          <w:rFonts w:ascii="Arial" w:hAnsi="Arial" w:cs="Arial"/>
        </w:rPr>
        <w:t xml:space="preserve"> et al. (2021), who stated that equitable workplace practices enhance performance and promote mutual respect. It also supported the findings of Jonsen et al. (2021), who emphasized that gender parity is not only about representation, but also about equal treatment and experience. The results indicated that institutions in </w:t>
      </w:r>
      <w:proofErr w:type="spellStart"/>
      <w:r w:rsidRPr="004E4B86">
        <w:rPr>
          <w:rFonts w:ascii="Arial" w:hAnsi="Arial" w:cs="Arial"/>
        </w:rPr>
        <w:t>Cateel</w:t>
      </w:r>
      <w:proofErr w:type="spellEnd"/>
      <w:r w:rsidRPr="004E4B86">
        <w:rPr>
          <w:rFonts w:ascii="Arial" w:hAnsi="Arial" w:cs="Arial"/>
        </w:rPr>
        <w:t xml:space="preserve"> upheld fairness in workplace culture, leading to improved morale and minimized gender disparities.</w:t>
      </w:r>
      <w:r>
        <w:rPr>
          <w:rFonts w:ascii="Arial" w:hAnsi="Arial" w:cs="Arial"/>
        </w:rPr>
        <w:t xml:space="preserve"> </w:t>
      </w:r>
      <w:r w:rsidRPr="004E4B86">
        <w:rPr>
          <w:rFonts w:ascii="Arial" w:hAnsi="Arial" w:cs="Arial"/>
        </w:rPr>
        <w:t xml:space="preserve">Furthermore, the findings affirmed </w:t>
      </w:r>
      <w:proofErr w:type="spellStart"/>
      <w:r w:rsidRPr="004E4B86">
        <w:rPr>
          <w:rFonts w:ascii="Arial" w:hAnsi="Arial" w:cs="Arial"/>
        </w:rPr>
        <w:t>Ediagbonya</w:t>
      </w:r>
      <w:proofErr w:type="spellEnd"/>
      <w:r w:rsidRPr="004E4B86">
        <w:rPr>
          <w:rFonts w:ascii="Arial" w:hAnsi="Arial" w:cs="Arial"/>
        </w:rPr>
        <w:t xml:space="preserve"> and </w:t>
      </w:r>
      <w:proofErr w:type="spellStart"/>
      <w:r w:rsidRPr="004E4B86">
        <w:rPr>
          <w:rFonts w:ascii="Arial" w:hAnsi="Arial" w:cs="Arial"/>
        </w:rPr>
        <w:t>Tioluwani</w:t>
      </w:r>
      <w:proofErr w:type="spellEnd"/>
      <w:r w:rsidRPr="004E4B86">
        <w:rPr>
          <w:rFonts w:ascii="Arial" w:hAnsi="Arial" w:cs="Arial"/>
        </w:rPr>
        <w:t xml:space="preserve"> (2023), who emphasized the importance of embedding gender responsiveness in</w:t>
      </w:r>
      <w:r>
        <w:rPr>
          <w:rFonts w:ascii="Arial" w:hAnsi="Arial" w:cs="Arial"/>
        </w:rPr>
        <w:t xml:space="preserve"> leadership and organizational operations, reinforcing a positive and inclusive institutional environment. </w:t>
      </w:r>
    </w:p>
    <w:p w14:paraId="55CA0A7B" w14:textId="77777777" w:rsidR="00EA53B9" w:rsidRDefault="00EA53B9" w:rsidP="00851412">
      <w:pPr>
        <w:pStyle w:val="Body"/>
        <w:spacing w:after="0"/>
        <w:rPr>
          <w:rFonts w:ascii="Arial" w:hAnsi="Arial" w:cs="Arial"/>
        </w:rPr>
      </w:pPr>
    </w:p>
    <w:p w14:paraId="4300ECC5" w14:textId="22EC06CF" w:rsidR="00EA53B9" w:rsidRPr="00EA53B9" w:rsidRDefault="00EA53B9" w:rsidP="00851412">
      <w:pPr>
        <w:pStyle w:val="Body"/>
        <w:spacing w:after="0"/>
        <w:rPr>
          <w:rFonts w:ascii="Arial" w:hAnsi="Arial" w:cs="Arial"/>
          <w:bCs/>
          <w:color w:val="000000" w:themeColor="text1"/>
        </w:rPr>
      </w:pPr>
      <w:r w:rsidRPr="00EA53B9">
        <w:rPr>
          <w:rFonts w:ascii="Arial" w:hAnsi="Arial" w:cs="Arial"/>
          <w:bCs/>
          <w:color w:val="000000" w:themeColor="text1"/>
        </w:rPr>
        <w:t xml:space="preserve">The independent samples t-test revealed no significant difference in management practice perceptions between male and female respondents (p = 0.507), with a very small Cohen’s d of -0.13, indicating a trivial effect size. This suggests that gender accounted for little to no practical variation in how employees evaluated human resources, finance, and marketing practices. From a practical standpoint, the negligible mean difference (-0.027) reinforces the idea that management systems in </w:t>
      </w:r>
      <w:proofErr w:type="spellStart"/>
      <w:r w:rsidRPr="00EA53B9">
        <w:rPr>
          <w:rFonts w:ascii="Arial" w:hAnsi="Arial" w:cs="Arial"/>
          <w:bCs/>
          <w:color w:val="000000" w:themeColor="text1"/>
        </w:rPr>
        <w:t>Cateel’s</w:t>
      </w:r>
      <w:proofErr w:type="spellEnd"/>
      <w:r w:rsidRPr="00EA53B9">
        <w:rPr>
          <w:rFonts w:ascii="Arial" w:hAnsi="Arial" w:cs="Arial"/>
          <w:bCs/>
          <w:color w:val="000000" w:themeColor="text1"/>
        </w:rPr>
        <w:t xml:space="preserve"> financial institutions are broadly inclusive and gender-neutral. However, this finding contrasts with research by </w:t>
      </w:r>
      <w:proofErr w:type="spellStart"/>
      <w:r w:rsidRPr="00EA53B9">
        <w:rPr>
          <w:rFonts w:ascii="Arial" w:hAnsi="Arial" w:cs="Arial"/>
          <w:bCs/>
          <w:color w:val="000000" w:themeColor="text1"/>
        </w:rPr>
        <w:t>Hoobler</w:t>
      </w:r>
      <w:proofErr w:type="spellEnd"/>
      <w:r w:rsidRPr="00EA53B9">
        <w:rPr>
          <w:rFonts w:ascii="Arial" w:hAnsi="Arial" w:cs="Arial"/>
          <w:bCs/>
          <w:color w:val="000000" w:themeColor="text1"/>
        </w:rPr>
        <w:t xml:space="preserve"> et al. (2018), who found that gender dynamics can influence perceptions of leadership and fairness, particularly in organizations with less formalized HR structures. The divergence underscores that while </w:t>
      </w:r>
      <w:proofErr w:type="spellStart"/>
      <w:r w:rsidRPr="00EA53B9">
        <w:rPr>
          <w:rFonts w:ascii="Arial" w:hAnsi="Arial" w:cs="Arial"/>
          <w:bCs/>
          <w:color w:val="000000" w:themeColor="text1"/>
        </w:rPr>
        <w:t>Cateel</w:t>
      </w:r>
      <w:proofErr w:type="spellEnd"/>
      <w:r w:rsidRPr="00EA53B9">
        <w:rPr>
          <w:rFonts w:ascii="Arial" w:hAnsi="Arial" w:cs="Arial"/>
          <w:bCs/>
          <w:color w:val="000000" w:themeColor="text1"/>
        </w:rPr>
        <w:t xml:space="preserve"> institutions appear to have successfully minimized gender-based disparities, other contexts demonstrate that gender can meaningfully shape workplace experiences, highlighting the importance of situating results within broader organizational and cultural frameworks.</w:t>
      </w:r>
    </w:p>
    <w:p w14:paraId="0D781DF8" w14:textId="77777777" w:rsidR="003B4A7A" w:rsidRDefault="003B4A7A" w:rsidP="00851412">
      <w:pPr>
        <w:pStyle w:val="Body"/>
        <w:spacing w:after="0"/>
        <w:rPr>
          <w:rFonts w:ascii="Arial" w:hAnsi="Arial" w:cs="Arial"/>
          <w:b/>
          <w:color w:val="000000" w:themeColor="text1"/>
        </w:rPr>
      </w:pPr>
    </w:p>
    <w:p w14:paraId="6A1FF6F8" w14:textId="584E0270" w:rsidR="00945BCC" w:rsidRDefault="007B535D" w:rsidP="00851412">
      <w:pPr>
        <w:pStyle w:val="Body"/>
        <w:spacing w:after="0"/>
        <w:rPr>
          <w:rFonts w:ascii="Arial" w:hAnsi="Arial" w:cs="Arial"/>
          <w:b/>
          <w:color w:val="00B050"/>
          <w:sz w:val="22"/>
        </w:rPr>
      </w:pPr>
      <w:r w:rsidRPr="00174D4F">
        <w:rPr>
          <w:rFonts w:ascii="Arial" w:hAnsi="Arial" w:cs="Arial"/>
          <w:b/>
          <w:color w:val="000000" w:themeColor="text1"/>
        </w:rPr>
        <w:t>Table</w:t>
      </w:r>
      <w:r w:rsidR="00174D4F">
        <w:rPr>
          <w:rFonts w:ascii="Arial" w:hAnsi="Arial" w:cs="Arial"/>
          <w:b/>
          <w:color w:val="000000" w:themeColor="text1"/>
        </w:rPr>
        <w:t xml:space="preserve"> 7</w:t>
      </w:r>
      <w:r w:rsidRPr="00174D4F">
        <w:rPr>
          <w:rFonts w:ascii="Arial" w:hAnsi="Arial" w:cs="Arial"/>
          <w:b/>
          <w:color w:val="000000" w:themeColor="text1"/>
        </w:rPr>
        <w:t>.</w:t>
      </w:r>
      <w:r w:rsidRPr="00174D4F">
        <w:rPr>
          <w:rFonts w:ascii="Arial" w:hAnsi="Arial" w:cs="Arial"/>
          <w:b/>
          <w:color w:val="000000" w:themeColor="text1"/>
        </w:rPr>
        <w:tab/>
      </w:r>
      <w:r w:rsidR="00174D4F">
        <w:rPr>
          <w:rFonts w:ascii="Arial" w:hAnsi="Arial" w:cs="Arial"/>
          <w:b/>
          <w:color w:val="000000" w:themeColor="text1"/>
        </w:rPr>
        <w:t>Significant difference in the level of management practices of financial institutions in terms of sex</w:t>
      </w:r>
    </w:p>
    <w:p w14:paraId="3C8E203A" w14:textId="77777777" w:rsidR="00C521A3" w:rsidRDefault="00C521A3" w:rsidP="00851412">
      <w:pPr>
        <w:pStyle w:val="Body"/>
        <w:spacing w:after="0"/>
        <w:rPr>
          <w:rFonts w:ascii="Arial" w:hAnsi="Arial" w:cs="Arial"/>
          <w:b/>
          <w:color w:val="00B050"/>
          <w:sz w:val="22"/>
        </w:rPr>
      </w:pPr>
    </w:p>
    <w:tbl>
      <w:tblPr>
        <w:tblW w:w="8517" w:type="dxa"/>
        <w:tblInd w:w="93" w:type="dxa"/>
        <w:tblBorders>
          <w:insideH w:val="single" w:sz="8" w:space="0" w:color="auto"/>
        </w:tblBorders>
        <w:tblLook w:val="04A0" w:firstRow="1" w:lastRow="0" w:firstColumn="1" w:lastColumn="0" w:noHBand="0" w:noVBand="1"/>
      </w:tblPr>
      <w:tblGrid>
        <w:gridCol w:w="1426"/>
        <w:gridCol w:w="954"/>
        <w:gridCol w:w="954"/>
        <w:gridCol w:w="954"/>
        <w:gridCol w:w="1158"/>
        <w:gridCol w:w="1158"/>
        <w:gridCol w:w="954"/>
        <w:gridCol w:w="959"/>
      </w:tblGrid>
      <w:tr w:rsidR="00B2026A" w:rsidRPr="0046687C" w14:paraId="184034A2" w14:textId="77777777" w:rsidTr="00EA53B9">
        <w:trPr>
          <w:trHeight w:val="20"/>
        </w:trPr>
        <w:tc>
          <w:tcPr>
            <w:tcW w:w="8517" w:type="dxa"/>
            <w:gridSpan w:val="8"/>
            <w:tcBorders>
              <w:bottom w:val="single" w:sz="8" w:space="0" w:color="auto"/>
            </w:tcBorders>
            <w:vAlign w:val="center"/>
            <w:hideMark/>
          </w:tcPr>
          <w:p w14:paraId="1960238A"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Independent Samples Test</w:t>
            </w:r>
          </w:p>
        </w:tc>
      </w:tr>
      <w:tr w:rsidR="00B2026A" w:rsidRPr="0046687C" w14:paraId="4CB8C28E" w14:textId="77777777" w:rsidTr="00EA53B9">
        <w:trPr>
          <w:trHeight w:val="20"/>
        </w:trPr>
        <w:tc>
          <w:tcPr>
            <w:tcW w:w="1426" w:type="dxa"/>
            <w:vMerge w:val="restart"/>
            <w:tcBorders>
              <w:top w:val="single" w:sz="8" w:space="0" w:color="auto"/>
              <w:bottom w:val="nil"/>
              <w:right w:val="nil"/>
            </w:tcBorders>
            <w:vAlign w:val="bottom"/>
            <w:hideMark/>
          </w:tcPr>
          <w:p w14:paraId="722FF9F9" w14:textId="77777777" w:rsidR="00B2026A" w:rsidRPr="0046687C" w:rsidRDefault="00B2026A" w:rsidP="00EA53B9">
            <w:pPr>
              <w:rPr>
                <w:rFonts w:ascii="Arial" w:hAnsi="Arial" w:cs="Arial"/>
                <w:color w:val="000000"/>
                <w:lang w:eastAsia="en-PH"/>
              </w:rPr>
            </w:pPr>
            <w:r w:rsidRPr="0046687C">
              <w:rPr>
                <w:rFonts w:ascii="Arial" w:hAnsi="Arial" w:cs="Arial"/>
                <w:color w:val="000000"/>
                <w:lang w:eastAsia="en-PH"/>
              </w:rPr>
              <w:t> </w:t>
            </w:r>
          </w:p>
        </w:tc>
        <w:tc>
          <w:tcPr>
            <w:tcW w:w="7091" w:type="dxa"/>
            <w:gridSpan w:val="7"/>
            <w:tcBorders>
              <w:top w:val="single" w:sz="8" w:space="0" w:color="auto"/>
              <w:left w:val="nil"/>
              <w:bottom w:val="nil"/>
            </w:tcBorders>
            <w:vAlign w:val="bottom"/>
            <w:hideMark/>
          </w:tcPr>
          <w:p w14:paraId="3595BE78"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t-test for Equality of Means</w:t>
            </w:r>
          </w:p>
        </w:tc>
      </w:tr>
      <w:tr w:rsidR="00B2026A" w:rsidRPr="0046687C" w14:paraId="498F685A" w14:textId="77777777" w:rsidTr="00EA53B9">
        <w:trPr>
          <w:trHeight w:val="20"/>
        </w:trPr>
        <w:tc>
          <w:tcPr>
            <w:tcW w:w="1426" w:type="dxa"/>
            <w:vMerge/>
            <w:tcBorders>
              <w:top w:val="nil"/>
              <w:bottom w:val="nil"/>
              <w:right w:val="nil"/>
            </w:tcBorders>
            <w:vAlign w:val="center"/>
            <w:hideMark/>
          </w:tcPr>
          <w:p w14:paraId="670CADEE" w14:textId="77777777" w:rsidR="00B2026A" w:rsidRPr="0046687C" w:rsidRDefault="00B2026A" w:rsidP="00EA53B9">
            <w:pPr>
              <w:rPr>
                <w:rFonts w:ascii="Arial" w:hAnsi="Arial" w:cs="Arial"/>
                <w:color w:val="000000"/>
                <w:lang w:eastAsia="en-PH"/>
              </w:rPr>
            </w:pPr>
          </w:p>
        </w:tc>
        <w:tc>
          <w:tcPr>
            <w:tcW w:w="954" w:type="dxa"/>
            <w:vMerge w:val="restart"/>
            <w:tcBorders>
              <w:top w:val="nil"/>
              <w:left w:val="nil"/>
              <w:bottom w:val="nil"/>
              <w:right w:val="nil"/>
            </w:tcBorders>
            <w:vAlign w:val="center"/>
            <w:hideMark/>
          </w:tcPr>
          <w:p w14:paraId="6C797653"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t</w:t>
            </w:r>
          </w:p>
        </w:tc>
        <w:tc>
          <w:tcPr>
            <w:tcW w:w="954" w:type="dxa"/>
            <w:vMerge w:val="restart"/>
            <w:tcBorders>
              <w:top w:val="nil"/>
              <w:left w:val="nil"/>
              <w:bottom w:val="nil"/>
              <w:right w:val="nil"/>
            </w:tcBorders>
            <w:vAlign w:val="center"/>
            <w:hideMark/>
          </w:tcPr>
          <w:p w14:paraId="0ABD3974"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df</w:t>
            </w:r>
          </w:p>
        </w:tc>
        <w:tc>
          <w:tcPr>
            <w:tcW w:w="954" w:type="dxa"/>
            <w:vMerge w:val="restart"/>
            <w:tcBorders>
              <w:top w:val="nil"/>
              <w:left w:val="nil"/>
              <w:bottom w:val="nil"/>
              <w:right w:val="nil"/>
            </w:tcBorders>
            <w:vAlign w:val="center"/>
            <w:hideMark/>
          </w:tcPr>
          <w:p w14:paraId="1851CED1"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Sig. (2-tailed)</w:t>
            </w:r>
          </w:p>
        </w:tc>
        <w:tc>
          <w:tcPr>
            <w:tcW w:w="1158" w:type="dxa"/>
            <w:vMerge w:val="restart"/>
            <w:tcBorders>
              <w:top w:val="nil"/>
              <w:left w:val="nil"/>
              <w:bottom w:val="nil"/>
              <w:right w:val="nil"/>
            </w:tcBorders>
            <w:vAlign w:val="center"/>
            <w:hideMark/>
          </w:tcPr>
          <w:p w14:paraId="1577D9D5"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Mean Difference</w:t>
            </w:r>
          </w:p>
        </w:tc>
        <w:tc>
          <w:tcPr>
            <w:tcW w:w="1158" w:type="dxa"/>
            <w:vMerge w:val="restart"/>
            <w:tcBorders>
              <w:top w:val="nil"/>
              <w:left w:val="nil"/>
              <w:bottom w:val="nil"/>
              <w:right w:val="nil"/>
            </w:tcBorders>
            <w:vAlign w:val="center"/>
            <w:hideMark/>
          </w:tcPr>
          <w:p w14:paraId="31EC72CF"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Std. Error Difference</w:t>
            </w:r>
          </w:p>
        </w:tc>
        <w:tc>
          <w:tcPr>
            <w:tcW w:w="1909" w:type="dxa"/>
            <w:gridSpan w:val="2"/>
            <w:tcBorders>
              <w:top w:val="nil"/>
              <w:left w:val="nil"/>
              <w:bottom w:val="nil"/>
            </w:tcBorders>
            <w:vAlign w:val="center"/>
            <w:hideMark/>
          </w:tcPr>
          <w:p w14:paraId="56FD2C0A"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95% Confidence Interval of the Difference</w:t>
            </w:r>
          </w:p>
        </w:tc>
      </w:tr>
      <w:tr w:rsidR="00B2026A" w:rsidRPr="0046687C" w14:paraId="382B3090" w14:textId="77777777" w:rsidTr="00EA53B9">
        <w:trPr>
          <w:trHeight w:val="20"/>
        </w:trPr>
        <w:tc>
          <w:tcPr>
            <w:tcW w:w="1426" w:type="dxa"/>
            <w:vMerge/>
            <w:tcBorders>
              <w:top w:val="nil"/>
              <w:bottom w:val="single" w:sz="8" w:space="0" w:color="auto"/>
              <w:right w:val="nil"/>
            </w:tcBorders>
            <w:vAlign w:val="center"/>
            <w:hideMark/>
          </w:tcPr>
          <w:p w14:paraId="1DA3340B" w14:textId="77777777" w:rsidR="00B2026A" w:rsidRPr="0046687C" w:rsidRDefault="00B2026A" w:rsidP="00EA53B9">
            <w:pPr>
              <w:rPr>
                <w:rFonts w:ascii="Arial" w:hAnsi="Arial" w:cs="Arial"/>
                <w:color w:val="000000"/>
                <w:lang w:eastAsia="en-PH"/>
              </w:rPr>
            </w:pPr>
          </w:p>
        </w:tc>
        <w:tc>
          <w:tcPr>
            <w:tcW w:w="954" w:type="dxa"/>
            <w:vMerge/>
            <w:tcBorders>
              <w:top w:val="nil"/>
              <w:left w:val="nil"/>
              <w:bottom w:val="single" w:sz="8" w:space="0" w:color="auto"/>
              <w:right w:val="nil"/>
            </w:tcBorders>
            <w:vAlign w:val="center"/>
            <w:hideMark/>
          </w:tcPr>
          <w:p w14:paraId="19103A54" w14:textId="77777777" w:rsidR="00B2026A" w:rsidRPr="0046687C" w:rsidRDefault="00B2026A" w:rsidP="00EA53B9">
            <w:pPr>
              <w:jc w:val="center"/>
              <w:rPr>
                <w:rFonts w:ascii="Arial" w:hAnsi="Arial" w:cs="Arial"/>
                <w:color w:val="000000"/>
                <w:lang w:eastAsia="en-PH"/>
              </w:rPr>
            </w:pPr>
          </w:p>
        </w:tc>
        <w:tc>
          <w:tcPr>
            <w:tcW w:w="954" w:type="dxa"/>
            <w:vMerge/>
            <w:tcBorders>
              <w:top w:val="nil"/>
              <w:left w:val="nil"/>
              <w:bottom w:val="single" w:sz="8" w:space="0" w:color="auto"/>
              <w:right w:val="nil"/>
            </w:tcBorders>
            <w:vAlign w:val="center"/>
            <w:hideMark/>
          </w:tcPr>
          <w:p w14:paraId="1E9A6210" w14:textId="77777777" w:rsidR="00B2026A" w:rsidRPr="0046687C" w:rsidRDefault="00B2026A" w:rsidP="00EA53B9">
            <w:pPr>
              <w:jc w:val="center"/>
              <w:rPr>
                <w:rFonts w:ascii="Arial" w:hAnsi="Arial" w:cs="Arial"/>
                <w:color w:val="000000"/>
                <w:lang w:eastAsia="en-PH"/>
              </w:rPr>
            </w:pPr>
          </w:p>
        </w:tc>
        <w:tc>
          <w:tcPr>
            <w:tcW w:w="954" w:type="dxa"/>
            <w:vMerge/>
            <w:tcBorders>
              <w:top w:val="nil"/>
              <w:left w:val="nil"/>
              <w:bottom w:val="single" w:sz="8" w:space="0" w:color="auto"/>
              <w:right w:val="nil"/>
            </w:tcBorders>
            <w:vAlign w:val="center"/>
            <w:hideMark/>
          </w:tcPr>
          <w:p w14:paraId="23B0C679" w14:textId="77777777" w:rsidR="00B2026A" w:rsidRPr="0046687C" w:rsidRDefault="00B2026A" w:rsidP="00EA53B9">
            <w:pPr>
              <w:jc w:val="center"/>
              <w:rPr>
                <w:rFonts w:ascii="Arial" w:hAnsi="Arial" w:cs="Arial"/>
                <w:color w:val="000000"/>
                <w:lang w:eastAsia="en-PH"/>
              </w:rPr>
            </w:pPr>
          </w:p>
        </w:tc>
        <w:tc>
          <w:tcPr>
            <w:tcW w:w="1158" w:type="dxa"/>
            <w:vMerge/>
            <w:tcBorders>
              <w:top w:val="nil"/>
              <w:left w:val="nil"/>
              <w:bottom w:val="single" w:sz="8" w:space="0" w:color="auto"/>
              <w:right w:val="nil"/>
            </w:tcBorders>
            <w:vAlign w:val="center"/>
            <w:hideMark/>
          </w:tcPr>
          <w:p w14:paraId="4FBACE72" w14:textId="77777777" w:rsidR="00B2026A" w:rsidRPr="0046687C" w:rsidRDefault="00B2026A" w:rsidP="00EA53B9">
            <w:pPr>
              <w:jc w:val="center"/>
              <w:rPr>
                <w:rFonts w:ascii="Arial" w:hAnsi="Arial" w:cs="Arial"/>
                <w:color w:val="000000"/>
                <w:lang w:eastAsia="en-PH"/>
              </w:rPr>
            </w:pPr>
          </w:p>
        </w:tc>
        <w:tc>
          <w:tcPr>
            <w:tcW w:w="1158" w:type="dxa"/>
            <w:vMerge/>
            <w:tcBorders>
              <w:top w:val="nil"/>
              <w:left w:val="nil"/>
              <w:bottom w:val="single" w:sz="8" w:space="0" w:color="auto"/>
              <w:right w:val="nil"/>
            </w:tcBorders>
            <w:vAlign w:val="center"/>
            <w:hideMark/>
          </w:tcPr>
          <w:p w14:paraId="4C8ED7FC" w14:textId="77777777" w:rsidR="00B2026A" w:rsidRPr="0046687C" w:rsidRDefault="00B2026A" w:rsidP="00EA53B9">
            <w:pPr>
              <w:jc w:val="center"/>
              <w:rPr>
                <w:rFonts w:ascii="Arial" w:hAnsi="Arial" w:cs="Arial"/>
                <w:color w:val="000000"/>
                <w:lang w:eastAsia="en-PH"/>
              </w:rPr>
            </w:pPr>
          </w:p>
        </w:tc>
        <w:tc>
          <w:tcPr>
            <w:tcW w:w="954" w:type="dxa"/>
            <w:tcBorders>
              <w:top w:val="nil"/>
              <w:left w:val="nil"/>
              <w:bottom w:val="single" w:sz="8" w:space="0" w:color="auto"/>
              <w:right w:val="nil"/>
            </w:tcBorders>
            <w:vAlign w:val="center"/>
            <w:hideMark/>
          </w:tcPr>
          <w:p w14:paraId="1F00BFF5"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Lower</w:t>
            </w:r>
          </w:p>
        </w:tc>
        <w:tc>
          <w:tcPr>
            <w:tcW w:w="954" w:type="dxa"/>
            <w:tcBorders>
              <w:top w:val="nil"/>
              <w:left w:val="nil"/>
              <w:bottom w:val="single" w:sz="8" w:space="0" w:color="auto"/>
            </w:tcBorders>
            <w:vAlign w:val="center"/>
            <w:hideMark/>
          </w:tcPr>
          <w:p w14:paraId="7AD0D292"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Upper</w:t>
            </w:r>
          </w:p>
        </w:tc>
      </w:tr>
      <w:tr w:rsidR="00B2026A" w:rsidRPr="0046687C" w14:paraId="7B23F258" w14:textId="77777777" w:rsidTr="00EA53B9">
        <w:trPr>
          <w:trHeight w:val="20"/>
        </w:trPr>
        <w:tc>
          <w:tcPr>
            <w:tcW w:w="1426" w:type="dxa"/>
            <w:tcBorders>
              <w:top w:val="single" w:sz="8" w:space="0" w:color="auto"/>
              <w:bottom w:val="single" w:sz="8" w:space="0" w:color="auto"/>
            </w:tcBorders>
            <w:hideMark/>
          </w:tcPr>
          <w:p w14:paraId="6BF2D229" w14:textId="77777777" w:rsidR="00B2026A" w:rsidRPr="0046687C" w:rsidRDefault="00B2026A" w:rsidP="00EA53B9">
            <w:pPr>
              <w:rPr>
                <w:rFonts w:ascii="Arial" w:hAnsi="Arial" w:cs="Arial"/>
                <w:color w:val="000000"/>
                <w:lang w:eastAsia="en-PH"/>
              </w:rPr>
            </w:pPr>
            <w:r w:rsidRPr="0046687C">
              <w:rPr>
                <w:rFonts w:ascii="Arial" w:hAnsi="Arial" w:cs="Arial"/>
                <w:color w:val="000000"/>
                <w:lang w:eastAsia="en-PH"/>
              </w:rPr>
              <w:t>Overall Management Practices</w:t>
            </w:r>
          </w:p>
        </w:tc>
        <w:tc>
          <w:tcPr>
            <w:tcW w:w="954" w:type="dxa"/>
            <w:tcBorders>
              <w:top w:val="single" w:sz="8" w:space="0" w:color="auto"/>
              <w:bottom w:val="single" w:sz="8" w:space="0" w:color="auto"/>
            </w:tcBorders>
            <w:noWrap/>
            <w:vAlign w:val="center"/>
            <w:hideMark/>
          </w:tcPr>
          <w:p w14:paraId="5D756488"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-0.665</w:t>
            </w:r>
          </w:p>
        </w:tc>
        <w:tc>
          <w:tcPr>
            <w:tcW w:w="954" w:type="dxa"/>
            <w:tcBorders>
              <w:top w:val="single" w:sz="8" w:space="0" w:color="auto"/>
              <w:bottom w:val="single" w:sz="8" w:space="0" w:color="auto"/>
            </w:tcBorders>
            <w:noWrap/>
            <w:vAlign w:val="center"/>
            <w:hideMark/>
          </w:tcPr>
          <w:p w14:paraId="7B9E9623"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122</w:t>
            </w:r>
          </w:p>
        </w:tc>
        <w:tc>
          <w:tcPr>
            <w:tcW w:w="954" w:type="dxa"/>
            <w:tcBorders>
              <w:top w:val="single" w:sz="8" w:space="0" w:color="auto"/>
              <w:bottom w:val="single" w:sz="8" w:space="0" w:color="auto"/>
            </w:tcBorders>
            <w:noWrap/>
            <w:vAlign w:val="center"/>
            <w:hideMark/>
          </w:tcPr>
          <w:p w14:paraId="0DF2A9AA"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0.507</w:t>
            </w:r>
          </w:p>
        </w:tc>
        <w:tc>
          <w:tcPr>
            <w:tcW w:w="1158" w:type="dxa"/>
            <w:tcBorders>
              <w:top w:val="single" w:sz="8" w:space="0" w:color="auto"/>
              <w:bottom w:val="single" w:sz="8" w:space="0" w:color="auto"/>
            </w:tcBorders>
            <w:noWrap/>
            <w:vAlign w:val="center"/>
            <w:hideMark/>
          </w:tcPr>
          <w:p w14:paraId="3163966E"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-0.027</w:t>
            </w:r>
          </w:p>
        </w:tc>
        <w:tc>
          <w:tcPr>
            <w:tcW w:w="1158" w:type="dxa"/>
            <w:tcBorders>
              <w:top w:val="single" w:sz="8" w:space="0" w:color="auto"/>
              <w:bottom w:val="single" w:sz="8" w:space="0" w:color="auto"/>
            </w:tcBorders>
            <w:noWrap/>
            <w:vAlign w:val="center"/>
            <w:hideMark/>
          </w:tcPr>
          <w:p w14:paraId="548ED23A"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0.041</w:t>
            </w:r>
          </w:p>
        </w:tc>
        <w:tc>
          <w:tcPr>
            <w:tcW w:w="954" w:type="dxa"/>
            <w:tcBorders>
              <w:top w:val="single" w:sz="8" w:space="0" w:color="auto"/>
              <w:bottom w:val="single" w:sz="8" w:space="0" w:color="auto"/>
            </w:tcBorders>
            <w:noWrap/>
            <w:vAlign w:val="center"/>
            <w:hideMark/>
          </w:tcPr>
          <w:p w14:paraId="0623D3DD"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-0.109</w:t>
            </w:r>
          </w:p>
        </w:tc>
        <w:tc>
          <w:tcPr>
            <w:tcW w:w="954" w:type="dxa"/>
            <w:tcBorders>
              <w:top w:val="single" w:sz="8" w:space="0" w:color="auto"/>
              <w:bottom w:val="single" w:sz="8" w:space="0" w:color="auto"/>
            </w:tcBorders>
            <w:noWrap/>
            <w:vAlign w:val="center"/>
            <w:hideMark/>
          </w:tcPr>
          <w:p w14:paraId="27838221" w14:textId="77777777" w:rsidR="00B2026A" w:rsidRPr="0046687C" w:rsidRDefault="00B2026A" w:rsidP="00EA53B9">
            <w:pPr>
              <w:jc w:val="center"/>
              <w:rPr>
                <w:rFonts w:ascii="Arial" w:hAnsi="Arial" w:cs="Arial"/>
                <w:color w:val="000000"/>
                <w:lang w:eastAsia="en-PH"/>
              </w:rPr>
            </w:pPr>
            <w:r w:rsidRPr="0046687C">
              <w:rPr>
                <w:rFonts w:ascii="Arial" w:hAnsi="Arial" w:cs="Arial"/>
                <w:color w:val="000000"/>
                <w:lang w:eastAsia="en-PH"/>
              </w:rPr>
              <w:t>0.054</w:t>
            </w:r>
          </w:p>
        </w:tc>
      </w:tr>
    </w:tbl>
    <w:p w14:paraId="09063778" w14:textId="77777777" w:rsidR="00790ADA" w:rsidRPr="00417724" w:rsidRDefault="00790ADA" w:rsidP="00441B6F">
      <w:pPr>
        <w:pStyle w:val="Body"/>
        <w:spacing w:after="0"/>
        <w:rPr>
          <w:rFonts w:ascii="Arial" w:hAnsi="Arial" w:cs="Arial"/>
          <w:color w:val="EE0000"/>
        </w:rPr>
      </w:pPr>
    </w:p>
    <w:p w14:paraId="2D4EB7D0" w14:textId="5D93D385" w:rsidR="00B01FCD" w:rsidRDefault="00000F8F" w:rsidP="00441B6F">
      <w:pPr>
        <w:pStyle w:val="ConcHead"/>
        <w:spacing w:after="0"/>
        <w:jc w:val="both"/>
        <w:rPr>
          <w:rFonts w:ascii="Arial" w:hAnsi="Arial" w:cs="Arial"/>
        </w:rPr>
      </w:pPr>
      <w:r>
        <w:rPr>
          <w:rFonts w:ascii="Arial" w:hAnsi="Arial" w:cs="Arial"/>
        </w:rPr>
        <w:t xml:space="preserve">4. </w:t>
      </w:r>
      <w:r w:rsidR="00A802A4" w:rsidRPr="00A802A4">
        <w:rPr>
          <w:rFonts w:ascii="Arial" w:hAnsi="Arial" w:cs="Arial"/>
        </w:rPr>
        <w:t>CONCLUSION</w:t>
      </w:r>
      <w:r w:rsidR="00D90F61">
        <w:rPr>
          <w:rFonts w:ascii="Arial" w:hAnsi="Arial" w:cs="Arial"/>
        </w:rPr>
        <w:t>S</w:t>
      </w:r>
      <w:r w:rsidR="00A802A4" w:rsidRPr="00A802A4">
        <w:rPr>
          <w:rFonts w:ascii="Arial" w:hAnsi="Arial" w:cs="Arial"/>
        </w:rPr>
        <w:t xml:space="preserve"> </w:t>
      </w:r>
    </w:p>
    <w:p w14:paraId="7BCAF046" w14:textId="77777777" w:rsidR="009D4DFF" w:rsidRDefault="009D4DFF" w:rsidP="00441B6F">
      <w:pPr>
        <w:pStyle w:val="ConcHead"/>
        <w:spacing w:after="0"/>
        <w:jc w:val="both"/>
        <w:rPr>
          <w:rFonts w:ascii="Arial" w:hAnsi="Arial" w:cs="Arial"/>
        </w:rPr>
      </w:pPr>
    </w:p>
    <w:p w14:paraId="3FEE8280" w14:textId="77777777" w:rsidR="00790ADA" w:rsidRPr="00FB3A86" w:rsidRDefault="00790ADA" w:rsidP="00441B6F">
      <w:pPr>
        <w:pStyle w:val="ConcHead"/>
        <w:spacing w:after="0"/>
        <w:jc w:val="both"/>
        <w:rPr>
          <w:rFonts w:ascii="Arial" w:hAnsi="Arial" w:cs="Arial"/>
        </w:rPr>
      </w:pPr>
    </w:p>
    <w:p w14:paraId="2A6DAA02" w14:textId="77777777" w:rsidR="003B0832" w:rsidRDefault="003B0832" w:rsidP="003B0832">
      <w:pPr>
        <w:spacing w:after="240"/>
        <w:ind w:right="48"/>
        <w:jc w:val="both"/>
        <w:rPr>
          <w:rFonts w:ascii="Arial" w:hAnsi="Arial" w:cs="Arial"/>
          <w:color w:val="000000" w:themeColor="text1"/>
        </w:rPr>
      </w:pPr>
      <w:r w:rsidRPr="001C0542">
        <w:rPr>
          <w:rFonts w:ascii="Arial" w:hAnsi="Arial" w:cs="Arial"/>
        </w:rPr>
        <w:t xml:space="preserve">Based on the findings of the study, </w:t>
      </w:r>
      <w:r w:rsidRPr="001C0542">
        <w:rPr>
          <w:rFonts w:ascii="Arial" w:hAnsi="Arial" w:cs="Arial"/>
          <w:color w:val="000000" w:themeColor="text1"/>
        </w:rPr>
        <w:t>the researcher concluded:</w:t>
      </w:r>
    </w:p>
    <w:p w14:paraId="7308C6D3" w14:textId="77777777" w:rsidR="00737A24" w:rsidRPr="00737A24" w:rsidRDefault="00737A24" w:rsidP="006F6CF2">
      <w:pPr>
        <w:pStyle w:val="ListParagraph"/>
        <w:numPr>
          <w:ilvl w:val="0"/>
          <w:numId w:val="9"/>
        </w:numPr>
        <w:spacing w:after="240"/>
        <w:ind w:right="43"/>
        <w:contextualSpacing w:val="0"/>
        <w:jc w:val="both"/>
        <w:rPr>
          <w:rFonts w:ascii="Arial" w:hAnsi="Arial" w:cs="Arial"/>
        </w:rPr>
      </w:pPr>
      <w:r w:rsidRPr="00737A24">
        <w:rPr>
          <w:rFonts w:ascii="Arial" w:hAnsi="Arial" w:cs="Arial"/>
        </w:rPr>
        <w:t xml:space="preserve">Based on the results, the researchers concluded that the profile of financial institution employees in </w:t>
      </w:r>
      <w:proofErr w:type="spellStart"/>
      <w:r w:rsidRPr="00737A24">
        <w:rPr>
          <w:rFonts w:ascii="Arial" w:hAnsi="Arial" w:cs="Arial"/>
        </w:rPr>
        <w:t>Cateel</w:t>
      </w:r>
      <w:proofErr w:type="spellEnd"/>
      <w:r w:rsidRPr="00737A24">
        <w:rPr>
          <w:rFonts w:ascii="Arial" w:hAnsi="Arial" w:cs="Arial"/>
        </w:rPr>
        <w:t xml:space="preserve">, Davao Oriental shows that most respondents were aged 18–35, with equal male and female distribution, and all were college graduates. This indicates a young, educated, and gender-balanced workforce in </w:t>
      </w:r>
      <w:proofErr w:type="spellStart"/>
      <w:r w:rsidRPr="00737A24">
        <w:rPr>
          <w:rFonts w:ascii="Arial" w:hAnsi="Arial" w:cs="Arial"/>
        </w:rPr>
        <w:t>Cateel’s</w:t>
      </w:r>
      <w:proofErr w:type="spellEnd"/>
      <w:r w:rsidRPr="00737A24">
        <w:rPr>
          <w:rFonts w:ascii="Arial" w:hAnsi="Arial" w:cs="Arial"/>
        </w:rPr>
        <w:t xml:space="preserve"> financial institutions.</w:t>
      </w:r>
    </w:p>
    <w:p w14:paraId="32C07361" w14:textId="77777777" w:rsidR="00737A24" w:rsidRPr="00737A24" w:rsidRDefault="00737A24" w:rsidP="006F6CF2">
      <w:pPr>
        <w:pStyle w:val="ListParagraph"/>
        <w:numPr>
          <w:ilvl w:val="0"/>
          <w:numId w:val="9"/>
        </w:numPr>
        <w:spacing w:after="240"/>
        <w:ind w:right="43"/>
        <w:contextualSpacing w:val="0"/>
        <w:jc w:val="both"/>
        <w:rPr>
          <w:rFonts w:ascii="Arial" w:hAnsi="Arial" w:cs="Arial"/>
        </w:rPr>
      </w:pPr>
      <w:r w:rsidRPr="00737A24">
        <w:rPr>
          <w:rFonts w:ascii="Arial" w:hAnsi="Arial" w:cs="Arial"/>
        </w:rPr>
        <w:lastRenderedPageBreak/>
        <w:t>The overall level of management practices was rated highly evident in human resources and finance, and evident in marketing. This reflects a strong institutional structure, though enhancements in marketing strategies are still needed.</w:t>
      </w:r>
    </w:p>
    <w:p w14:paraId="79A1B25F" w14:textId="198EEEA5" w:rsidR="00737A24" w:rsidRDefault="00737A24" w:rsidP="00974D0B">
      <w:pPr>
        <w:pStyle w:val="ListParagraph"/>
        <w:numPr>
          <w:ilvl w:val="0"/>
          <w:numId w:val="9"/>
        </w:numPr>
        <w:spacing w:after="240"/>
        <w:ind w:right="43"/>
        <w:contextualSpacing w:val="0"/>
        <w:jc w:val="both"/>
        <w:rPr>
          <w:rFonts w:ascii="Arial" w:hAnsi="Arial" w:cs="Arial"/>
        </w:rPr>
      </w:pPr>
      <w:r w:rsidRPr="00737A24">
        <w:rPr>
          <w:rFonts w:ascii="Arial" w:hAnsi="Arial" w:cs="Arial"/>
        </w:rPr>
        <w:t>There were no significant differences in the perception of management practices when grouped by age and sex, indicating consistent experiences across these groups. Since all respondents were college graduates, no statistical comparison was made for educational attainment, but their uniform academic background may have contributed to shared perspectives.</w:t>
      </w:r>
    </w:p>
    <w:p w14:paraId="1B65E405" w14:textId="433C2999" w:rsidR="00873A2A" w:rsidRDefault="00CD1D08" w:rsidP="00974D0B">
      <w:pPr>
        <w:spacing w:after="240"/>
        <w:ind w:right="43"/>
        <w:jc w:val="both"/>
        <w:rPr>
          <w:rFonts w:ascii="Arial" w:hAnsi="Arial" w:cs="Arial"/>
        </w:rPr>
      </w:pPr>
      <w:r w:rsidRPr="00CD1D08">
        <w:rPr>
          <w:rFonts w:ascii="Arial" w:hAnsi="Arial" w:cs="Arial"/>
        </w:rPr>
        <w:t>The findings of this study show that management practices in rural financial institutions are applied consistently across demographic groups, underscoring the effectiveness of standardized and inclusive systems in human resources, finance, and marketing. Theoretically, this contributes to organizational management literature by demonstrating that demographic variables such as age and sex exert minimal influence when equity-based policies are in place. Practically, the results guide managers in rural financial institutions to focus on strengthening functional areas, particularly marketing, while maintaining inclusive practices that ensure fairness and engagement across the workforce. This balance of theoretical insight and practical application highlights how well-structured management systems can enhance institutional resilience and competitiveness in rural contexts.</w:t>
      </w:r>
    </w:p>
    <w:p w14:paraId="76149FC1" w14:textId="1041B2C4" w:rsidR="00B77208" w:rsidRDefault="00B77208" w:rsidP="00974D0B">
      <w:pPr>
        <w:spacing w:after="240"/>
        <w:ind w:right="43"/>
        <w:jc w:val="both"/>
        <w:rPr>
          <w:rFonts w:ascii="Arial" w:hAnsi="Arial" w:cs="Arial"/>
        </w:rPr>
      </w:pPr>
    </w:p>
    <w:p w14:paraId="08A80394" w14:textId="77777777" w:rsidR="004849BD" w:rsidRPr="004849BD" w:rsidRDefault="004849BD" w:rsidP="004849BD">
      <w:pPr>
        <w:spacing w:after="240"/>
        <w:ind w:right="43"/>
        <w:jc w:val="both"/>
        <w:rPr>
          <w:rFonts w:ascii="Arial" w:hAnsi="Arial" w:cs="Arial"/>
        </w:rPr>
      </w:pPr>
      <w:r w:rsidRPr="004849BD">
        <w:rPr>
          <w:rFonts w:ascii="Arial" w:hAnsi="Arial" w:cs="Arial"/>
        </w:rPr>
        <w:t xml:space="preserve">Consent </w:t>
      </w:r>
    </w:p>
    <w:p w14:paraId="4373C239" w14:textId="309DE74F" w:rsidR="00B77208" w:rsidRDefault="004849BD" w:rsidP="004849BD">
      <w:pPr>
        <w:spacing w:after="240"/>
        <w:ind w:right="43"/>
        <w:jc w:val="both"/>
        <w:rPr>
          <w:rFonts w:ascii="Arial" w:hAnsi="Arial" w:cs="Arial"/>
        </w:rPr>
      </w:pPr>
      <w:r w:rsidRPr="004849BD">
        <w:rPr>
          <w:rFonts w:ascii="Arial" w:hAnsi="Arial" w:cs="Arial"/>
        </w:rPr>
        <w:t>As per international standards or university standards, respondents’ written consent has been collected and preserved by the author(s).</w:t>
      </w:r>
      <w:bookmarkStart w:id="0" w:name="_GoBack"/>
      <w:bookmarkEnd w:id="0"/>
    </w:p>
    <w:p w14:paraId="38EDFBAA" w14:textId="77777777" w:rsidR="00CD1D08" w:rsidRDefault="00CD1D08" w:rsidP="00873A2A">
      <w:pPr>
        <w:spacing w:after="240"/>
        <w:ind w:right="43"/>
        <w:jc w:val="both"/>
        <w:rPr>
          <w:rFonts w:ascii="Arial" w:hAnsi="Arial" w:cs="Arial"/>
        </w:rPr>
      </w:pPr>
    </w:p>
    <w:p w14:paraId="08263846" w14:textId="77777777" w:rsidR="00873A2A" w:rsidRPr="00CD1D08" w:rsidRDefault="00873A2A" w:rsidP="00873A2A">
      <w:pPr>
        <w:keepNext/>
        <w:keepLines/>
        <w:spacing w:before="120" w:after="120" w:line="360" w:lineRule="auto"/>
        <w:jc w:val="both"/>
        <w:outlineLvl w:val="1"/>
        <w:rPr>
          <w:rFonts w:ascii="Times New Roman" w:hAnsi="Times New Roman"/>
          <w:bCs/>
          <w:sz w:val="24"/>
          <w:szCs w:val="24"/>
          <w:lang w:val="en-GB" w:eastAsia="en-IN"/>
        </w:rPr>
      </w:pPr>
      <w:bookmarkStart w:id="1" w:name="_Hlk218867759"/>
      <w:r w:rsidRPr="00CD1D08">
        <w:rPr>
          <w:rFonts w:ascii="Times New Roman" w:hAnsi="Times New Roman"/>
          <w:bCs/>
          <w:sz w:val="24"/>
          <w:szCs w:val="24"/>
          <w:lang w:val="en-GB" w:eastAsia="en-IN"/>
        </w:rPr>
        <w:t>Disclaimer (Artificial intelligence)</w:t>
      </w:r>
    </w:p>
    <w:p w14:paraId="3D499D10" w14:textId="77777777" w:rsidR="00873A2A" w:rsidRPr="00873A2A" w:rsidRDefault="00873A2A" w:rsidP="00873A2A">
      <w:pPr>
        <w:keepNext/>
        <w:keepLines/>
        <w:spacing w:before="120" w:after="120" w:line="360" w:lineRule="auto"/>
        <w:jc w:val="both"/>
        <w:outlineLvl w:val="1"/>
        <w:rPr>
          <w:rFonts w:ascii="Times New Roman" w:hAnsi="Times New Roman"/>
          <w:bCs/>
          <w:sz w:val="24"/>
          <w:szCs w:val="24"/>
          <w:lang w:val="en-GB" w:eastAsia="en-IN"/>
        </w:rPr>
      </w:pPr>
      <w:r w:rsidRPr="00CD1D08">
        <w:rPr>
          <w:rFonts w:ascii="Times New Roman" w:hAnsi="Times New Roman"/>
          <w:bCs/>
          <w:sz w:val="24"/>
          <w:szCs w:val="24"/>
          <w:lang w:val="en-GB" w:eastAsia="en-IN"/>
        </w:rPr>
        <w:t>Author(s) hereby declare that NO generative AI technologies such as Large Language Models (</w:t>
      </w:r>
      <w:proofErr w:type="spellStart"/>
      <w:r w:rsidRPr="00CD1D08">
        <w:rPr>
          <w:rFonts w:ascii="Times New Roman" w:hAnsi="Times New Roman"/>
          <w:bCs/>
          <w:sz w:val="24"/>
          <w:szCs w:val="24"/>
          <w:lang w:val="en-GB" w:eastAsia="en-IN"/>
        </w:rPr>
        <w:t>ChatGPT</w:t>
      </w:r>
      <w:proofErr w:type="spellEnd"/>
      <w:r w:rsidRPr="00CD1D08">
        <w:rPr>
          <w:rFonts w:ascii="Times New Roman" w:hAnsi="Times New Roman"/>
          <w:bCs/>
          <w:sz w:val="24"/>
          <w:szCs w:val="24"/>
          <w:lang w:val="en-GB" w:eastAsia="en-IN"/>
        </w:rPr>
        <w:t>, COPILOT, etc.) and text-to-image generators have been used during the writing or editing of this manuscript.</w:t>
      </w:r>
      <w:r w:rsidRPr="00873A2A">
        <w:rPr>
          <w:rFonts w:ascii="Times New Roman" w:hAnsi="Times New Roman"/>
          <w:bCs/>
          <w:sz w:val="24"/>
          <w:szCs w:val="24"/>
          <w:lang w:val="en-GB" w:eastAsia="en-IN"/>
        </w:rPr>
        <w:t xml:space="preserve"> </w:t>
      </w:r>
    </w:p>
    <w:bookmarkEnd w:id="1"/>
    <w:p w14:paraId="05C77D3A" w14:textId="77777777" w:rsidR="00D077DD" w:rsidRDefault="00D077DD" w:rsidP="00441B6F">
      <w:pPr>
        <w:pStyle w:val="ReferHead"/>
        <w:spacing w:after="0"/>
        <w:jc w:val="both"/>
        <w:rPr>
          <w:rFonts w:ascii="Arial" w:hAnsi="Arial" w:cs="Arial"/>
        </w:rPr>
      </w:pPr>
    </w:p>
    <w:p w14:paraId="1BB8CC7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7AA73" w14:textId="77777777" w:rsidR="00790ADA" w:rsidRPr="00FB3A86" w:rsidRDefault="00790ADA" w:rsidP="00441B6F">
      <w:pPr>
        <w:pStyle w:val="ReferHead"/>
        <w:spacing w:after="0"/>
        <w:jc w:val="both"/>
        <w:rPr>
          <w:rFonts w:ascii="Arial" w:hAnsi="Arial" w:cs="Arial"/>
        </w:rPr>
      </w:pPr>
    </w:p>
    <w:p w14:paraId="24226D74" w14:textId="265B8908" w:rsidR="003308E3" w:rsidRDefault="00424B1A" w:rsidP="00424B1A">
      <w:pPr>
        <w:spacing w:after="240"/>
        <w:ind w:left="720" w:hanging="720"/>
        <w:jc w:val="both"/>
        <w:rPr>
          <w:rFonts w:ascii="Arial" w:hAnsi="Arial" w:cs="Arial"/>
        </w:rPr>
      </w:pPr>
      <w:r w:rsidRPr="00AB0C3B">
        <w:rPr>
          <w:rFonts w:ascii="Arial" w:hAnsi="Arial" w:cs="Arial"/>
        </w:rPr>
        <w:t xml:space="preserve">Adegbite, O. O., &amp; </w:t>
      </w:r>
      <w:proofErr w:type="spellStart"/>
      <w:r w:rsidRPr="00AB0C3B">
        <w:rPr>
          <w:rFonts w:ascii="Arial" w:hAnsi="Arial" w:cs="Arial"/>
        </w:rPr>
        <w:t>Machethe</w:t>
      </w:r>
      <w:proofErr w:type="spellEnd"/>
      <w:r w:rsidRPr="00AB0C3B">
        <w:rPr>
          <w:rFonts w:ascii="Arial" w:hAnsi="Arial" w:cs="Arial"/>
        </w:rPr>
        <w:t>, C. L. (2020). Bridging the financial inclusion gender gap in smallholder agriculture in Nigeria: An untapped potential for sustainable development. </w:t>
      </w:r>
      <w:r w:rsidRPr="00AB0C3B">
        <w:rPr>
          <w:rFonts w:ascii="Arial" w:hAnsi="Arial" w:cs="Arial"/>
          <w:i/>
          <w:iCs/>
        </w:rPr>
        <w:t>World Development</w:t>
      </w:r>
      <w:r w:rsidRPr="00AB0C3B">
        <w:rPr>
          <w:rFonts w:ascii="Arial" w:hAnsi="Arial" w:cs="Arial"/>
        </w:rPr>
        <w:t>, </w:t>
      </w:r>
      <w:r w:rsidRPr="00AB0C3B">
        <w:rPr>
          <w:rFonts w:ascii="Arial" w:hAnsi="Arial" w:cs="Arial"/>
          <w:i/>
          <w:iCs/>
        </w:rPr>
        <w:t>127</w:t>
      </w:r>
      <w:r w:rsidRPr="00AB0C3B">
        <w:rPr>
          <w:rFonts w:ascii="Arial" w:hAnsi="Arial" w:cs="Arial"/>
        </w:rPr>
        <w:t>, 104755.</w:t>
      </w:r>
    </w:p>
    <w:p w14:paraId="705DE766"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Ahmad, S., Wasim, S., Irfan, S., Gogoi, S., Srivastava, A., &amp; Farheen, Z. (2019). Qualitative v/s. quantitative research-a summarized review. </w:t>
      </w:r>
      <w:r w:rsidRPr="00AB0C3B">
        <w:rPr>
          <w:rFonts w:ascii="Arial" w:hAnsi="Arial" w:cs="Arial"/>
          <w:i/>
          <w:iCs/>
        </w:rPr>
        <w:t>population</w:t>
      </w:r>
      <w:r w:rsidRPr="00AB0C3B">
        <w:rPr>
          <w:rFonts w:ascii="Arial" w:hAnsi="Arial" w:cs="Arial"/>
        </w:rPr>
        <w:t>, </w:t>
      </w:r>
      <w:r w:rsidRPr="00AB0C3B">
        <w:rPr>
          <w:rFonts w:ascii="Arial" w:hAnsi="Arial" w:cs="Arial"/>
          <w:i/>
          <w:iCs/>
        </w:rPr>
        <w:t>1</w:t>
      </w:r>
      <w:r w:rsidRPr="00AB0C3B">
        <w:rPr>
          <w:rFonts w:ascii="Arial" w:hAnsi="Arial" w:cs="Arial"/>
        </w:rPr>
        <w:t>(2), 2828-2832.</w:t>
      </w:r>
    </w:p>
    <w:p w14:paraId="5D8320A0"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Al Aina, R., &amp; Atan, T. (2020). The impact of implementing talent management practices on sustainable organizational performance. </w:t>
      </w:r>
      <w:r w:rsidRPr="00AB0C3B">
        <w:rPr>
          <w:rFonts w:ascii="Arial" w:hAnsi="Arial" w:cs="Arial"/>
          <w:i/>
          <w:iCs/>
        </w:rPr>
        <w:t>Sustainability</w:t>
      </w:r>
      <w:r w:rsidRPr="00AB0C3B">
        <w:rPr>
          <w:rFonts w:ascii="Arial" w:hAnsi="Arial" w:cs="Arial"/>
        </w:rPr>
        <w:t>, </w:t>
      </w:r>
      <w:r w:rsidRPr="00AB0C3B">
        <w:rPr>
          <w:rFonts w:ascii="Arial" w:hAnsi="Arial" w:cs="Arial"/>
          <w:i/>
          <w:iCs/>
        </w:rPr>
        <w:t>12</w:t>
      </w:r>
      <w:r w:rsidRPr="00AB0C3B">
        <w:rPr>
          <w:rFonts w:ascii="Arial" w:hAnsi="Arial" w:cs="Arial"/>
        </w:rPr>
        <w:t>(20), 8372.</w:t>
      </w:r>
    </w:p>
    <w:p w14:paraId="0A877B9C"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lastRenderedPageBreak/>
        <w:t>Alzamel</w:t>
      </w:r>
      <w:proofErr w:type="spellEnd"/>
      <w:r w:rsidRPr="00AB0C3B">
        <w:rPr>
          <w:rFonts w:ascii="Arial" w:hAnsi="Arial" w:cs="Arial"/>
        </w:rPr>
        <w:t>, S. (2024). Building a Resilient Digital Entrepreneurship Landscape: The Importance of Ecosystems, Decent Work, and Socioeconomic Dynamics. </w:t>
      </w:r>
      <w:r w:rsidRPr="00AB0C3B">
        <w:rPr>
          <w:rFonts w:ascii="Arial" w:hAnsi="Arial" w:cs="Arial"/>
          <w:i/>
          <w:iCs/>
        </w:rPr>
        <w:t>Sustainability</w:t>
      </w:r>
      <w:r w:rsidRPr="00AB0C3B">
        <w:rPr>
          <w:rFonts w:ascii="Arial" w:hAnsi="Arial" w:cs="Arial"/>
        </w:rPr>
        <w:t>, </w:t>
      </w:r>
      <w:r w:rsidRPr="00AB0C3B">
        <w:rPr>
          <w:rFonts w:ascii="Arial" w:hAnsi="Arial" w:cs="Arial"/>
          <w:i/>
          <w:iCs/>
        </w:rPr>
        <w:t>16</w:t>
      </w:r>
      <w:r w:rsidRPr="00AB0C3B">
        <w:rPr>
          <w:rFonts w:ascii="Arial" w:hAnsi="Arial" w:cs="Arial"/>
        </w:rPr>
        <w:t>(17), 7605.</w:t>
      </w:r>
    </w:p>
    <w:p w14:paraId="0A9DCF37"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Anwar, G., &amp; Abdullah, N. N. (2021). The impact of Human resource management practice on Organizational performance. </w:t>
      </w:r>
      <w:r w:rsidRPr="00AB0C3B">
        <w:rPr>
          <w:rFonts w:ascii="Arial" w:hAnsi="Arial" w:cs="Arial"/>
          <w:i/>
          <w:iCs/>
        </w:rPr>
        <w:t>International journal of Engineering, Business and Management (IJEBM)</w:t>
      </w:r>
      <w:r w:rsidRPr="00AB0C3B">
        <w:rPr>
          <w:rFonts w:ascii="Arial" w:hAnsi="Arial" w:cs="Arial"/>
        </w:rPr>
        <w:t>, </w:t>
      </w:r>
      <w:r w:rsidRPr="00AB0C3B">
        <w:rPr>
          <w:rFonts w:ascii="Arial" w:hAnsi="Arial" w:cs="Arial"/>
          <w:i/>
          <w:iCs/>
        </w:rPr>
        <w:t>5</w:t>
      </w:r>
      <w:r w:rsidRPr="00AB0C3B">
        <w:rPr>
          <w:rFonts w:ascii="Arial" w:hAnsi="Arial" w:cs="Arial"/>
        </w:rPr>
        <w:t>.</w:t>
      </w:r>
    </w:p>
    <w:p w14:paraId="63899366" w14:textId="0840E9E9" w:rsidR="00424B1A" w:rsidRPr="00D3229C" w:rsidRDefault="00424B1A" w:rsidP="00424B1A">
      <w:pPr>
        <w:spacing w:after="240"/>
        <w:ind w:left="720" w:hanging="720"/>
        <w:jc w:val="both"/>
        <w:rPr>
          <w:rFonts w:ascii="Arial" w:hAnsi="Arial" w:cs="Arial"/>
        </w:rPr>
      </w:pPr>
      <w:proofErr w:type="spellStart"/>
      <w:r w:rsidRPr="00D00E26">
        <w:rPr>
          <w:rFonts w:ascii="Arial" w:hAnsi="Arial" w:cs="Arial"/>
        </w:rPr>
        <w:t>Ashikali</w:t>
      </w:r>
      <w:proofErr w:type="spellEnd"/>
      <w:r w:rsidRPr="00D00E26">
        <w:rPr>
          <w:rFonts w:ascii="Arial" w:hAnsi="Arial" w:cs="Arial"/>
        </w:rPr>
        <w:t>, T., Groeneveld, S., &amp; Kuipers, B. (2</w:t>
      </w:r>
      <w:r w:rsidRPr="00AB0C3B">
        <w:rPr>
          <w:rFonts w:ascii="Arial" w:hAnsi="Arial" w:cs="Arial"/>
        </w:rPr>
        <w:t>021). The role of inclusive leadership in supporting an inclusive climate in diverse public sector teams. </w:t>
      </w:r>
      <w:r w:rsidRPr="00AB0C3B">
        <w:rPr>
          <w:rFonts w:ascii="Arial" w:hAnsi="Arial" w:cs="Arial"/>
          <w:i/>
          <w:iCs/>
        </w:rPr>
        <w:t>Review of Public Personnel Administration</w:t>
      </w:r>
      <w:r w:rsidRPr="00AB0C3B">
        <w:rPr>
          <w:rFonts w:ascii="Arial" w:hAnsi="Arial" w:cs="Arial"/>
        </w:rPr>
        <w:t>, </w:t>
      </w:r>
      <w:r w:rsidRPr="00AB0C3B">
        <w:rPr>
          <w:rFonts w:ascii="Arial" w:hAnsi="Arial" w:cs="Arial"/>
          <w:i/>
          <w:iCs/>
        </w:rPr>
        <w:t>41</w:t>
      </w:r>
      <w:r w:rsidRPr="00AB0C3B">
        <w:rPr>
          <w:rFonts w:ascii="Arial" w:hAnsi="Arial" w:cs="Arial"/>
        </w:rPr>
        <w:t>(3), 497-519.</w:t>
      </w:r>
    </w:p>
    <w:p w14:paraId="3B389ED1"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Bains, A., </w:t>
      </w:r>
      <w:proofErr w:type="spellStart"/>
      <w:r w:rsidRPr="00AB0C3B">
        <w:rPr>
          <w:rFonts w:ascii="Arial" w:hAnsi="Arial" w:cs="Arial"/>
        </w:rPr>
        <w:t>Osathanugrah</w:t>
      </w:r>
      <w:proofErr w:type="spellEnd"/>
      <w:r w:rsidRPr="00AB0C3B">
        <w:rPr>
          <w:rFonts w:ascii="Arial" w:hAnsi="Arial" w:cs="Arial"/>
        </w:rPr>
        <w:t>, P., Sanjiv, N., Chiu, C., Fiorello, M. G., Siegel, N. H., ... &amp; Subramanian, M. L. (2023). Diverse research teams and underrepresented groups in clinical studies. </w:t>
      </w:r>
      <w:r w:rsidRPr="00AB0C3B">
        <w:rPr>
          <w:rFonts w:ascii="Arial" w:hAnsi="Arial" w:cs="Arial"/>
          <w:i/>
          <w:iCs/>
        </w:rPr>
        <w:t>JAMA ophthalmology</w:t>
      </w:r>
      <w:r w:rsidRPr="00AB0C3B">
        <w:rPr>
          <w:rFonts w:ascii="Arial" w:hAnsi="Arial" w:cs="Arial"/>
        </w:rPr>
        <w:t>, </w:t>
      </w:r>
      <w:r w:rsidRPr="00AB0C3B">
        <w:rPr>
          <w:rFonts w:ascii="Arial" w:hAnsi="Arial" w:cs="Arial"/>
          <w:i/>
          <w:iCs/>
        </w:rPr>
        <w:t>141</w:t>
      </w:r>
      <w:r w:rsidRPr="00AB0C3B">
        <w:rPr>
          <w:rFonts w:ascii="Arial" w:hAnsi="Arial" w:cs="Arial"/>
        </w:rPr>
        <w:t>(11), 1037-1044.</w:t>
      </w:r>
    </w:p>
    <w:p w14:paraId="063185B5"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Bolarinwa, O. A. (2020). Sample size estimation for health and social science researchers: The principles and considerations for different study designs. </w:t>
      </w:r>
      <w:r w:rsidRPr="00AB0C3B">
        <w:rPr>
          <w:rFonts w:ascii="Arial" w:hAnsi="Arial" w:cs="Arial"/>
          <w:i/>
          <w:iCs/>
        </w:rPr>
        <w:t>Nigerian Postgraduate Medical Journal</w:t>
      </w:r>
      <w:r w:rsidRPr="00AB0C3B">
        <w:rPr>
          <w:rFonts w:ascii="Arial" w:hAnsi="Arial" w:cs="Arial"/>
        </w:rPr>
        <w:t>, </w:t>
      </w:r>
      <w:r w:rsidRPr="00AB0C3B">
        <w:rPr>
          <w:rFonts w:ascii="Arial" w:hAnsi="Arial" w:cs="Arial"/>
          <w:i/>
          <w:iCs/>
        </w:rPr>
        <w:t>27</w:t>
      </w:r>
      <w:r w:rsidRPr="00AB0C3B">
        <w:rPr>
          <w:rFonts w:ascii="Arial" w:hAnsi="Arial" w:cs="Arial"/>
        </w:rPr>
        <w:t>(2), 67-75.</w:t>
      </w:r>
    </w:p>
    <w:p w14:paraId="34E312B3"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Cabeza-García, L., Del Brio, E. B., &amp; Oscanoa-Victorio, M. L. (2019, November). Female financial inclusion and its impacts on inclusive economic development. In </w:t>
      </w:r>
      <w:r w:rsidRPr="00AB0C3B">
        <w:rPr>
          <w:rFonts w:ascii="Arial" w:hAnsi="Arial" w:cs="Arial"/>
          <w:i/>
          <w:iCs/>
        </w:rPr>
        <w:t>Women's Studies International Forum</w:t>
      </w:r>
      <w:r w:rsidRPr="00AB0C3B">
        <w:rPr>
          <w:rFonts w:ascii="Arial" w:hAnsi="Arial" w:cs="Arial"/>
        </w:rPr>
        <w:t> (Vol. 77, p. 102300). Pergamon.</w:t>
      </w:r>
    </w:p>
    <w:p w14:paraId="06511B5F"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Casteel, A., &amp; </w:t>
      </w:r>
      <w:proofErr w:type="spellStart"/>
      <w:r w:rsidRPr="00AB0C3B">
        <w:rPr>
          <w:rFonts w:ascii="Arial" w:hAnsi="Arial" w:cs="Arial"/>
        </w:rPr>
        <w:t>Bridier</w:t>
      </w:r>
      <w:proofErr w:type="spellEnd"/>
      <w:r w:rsidRPr="00AB0C3B">
        <w:rPr>
          <w:rFonts w:ascii="Arial" w:hAnsi="Arial" w:cs="Arial"/>
        </w:rPr>
        <w:t>, N. L. (2021). DESCRIBING POPULATIONS AND SAMPLES IN DOCTORAL STUDENT RESEARCH. </w:t>
      </w:r>
      <w:r w:rsidRPr="00AB0C3B">
        <w:rPr>
          <w:rFonts w:ascii="Arial" w:hAnsi="Arial" w:cs="Arial"/>
          <w:i/>
          <w:iCs/>
        </w:rPr>
        <w:t>International Journal of Doctoral Studies</w:t>
      </w:r>
      <w:r w:rsidRPr="00AB0C3B">
        <w:rPr>
          <w:rFonts w:ascii="Arial" w:hAnsi="Arial" w:cs="Arial"/>
        </w:rPr>
        <w:t>, </w:t>
      </w:r>
      <w:r w:rsidRPr="00AB0C3B">
        <w:rPr>
          <w:rFonts w:ascii="Arial" w:hAnsi="Arial" w:cs="Arial"/>
          <w:i/>
          <w:iCs/>
        </w:rPr>
        <w:t>16</w:t>
      </w:r>
      <w:r w:rsidRPr="00AB0C3B">
        <w:rPr>
          <w:rFonts w:ascii="Arial" w:hAnsi="Arial" w:cs="Arial"/>
        </w:rPr>
        <w:t xml:space="preserve">(1). </w:t>
      </w:r>
    </w:p>
    <w:p w14:paraId="7093C3C8"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Conte, F., &amp; Siano, A. (2023). Data-driven human resource and data-driven talent management in internal and recruitment communication strategies: an empirical survey on Italian firms and insights for European context. </w:t>
      </w:r>
      <w:r w:rsidRPr="00AB0C3B">
        <w:rPr>
          <w:rFonts w:ascii="Arial" w:hAnsi="Arial" w:cs="Arial"/>
          <w:i/>
          <w:iCs/>
        </w:rPr>
        <w:t>Corporate Communications: An International Journal</w:t>
      </w:r>
      <w:r w:rsidRPr="00AB0C3B">
        <w:rPr>
          <w:rFonts w:ascii="Arial" w:hAnsi="Arial" w:cs="Arial"/>
        </w:rPr>
        <w:t>, </w:t>
      </w:r>
      <w:r w:rsidRPr="00AB0C3B">
        <w:rPr>
          <w:rFonts w:ascii="Arial" w:hAnsi="Arial" w:cs="Arial"/>
          <w:i/>
          <w:iCs/>
        </w:rPr>
        <w:t>28</w:t>
      </w:r>
      <w:r w:rsidRPr="00AB0C3B">
        <w:rPr>
          <w:rFonts w:ascii="Arial" w:hAnsi="Arial" w:cs="Arial"/>
        </w:rPr>
        <w:t>(4), 618-637.</w:t>
      </w:r>
    </w:p>
    <w:p w14:paraId="6FCAB94D"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Degtiar</w:t>
      </w:r>
      <w:proofErr w:type="spellEnd"/>
      <w:r w:rsidRPr="00AB0C3B">
        <w:rPr>
          <w:rFonts w:ascii="Arial" w:hAnsi="Arial" w:cs="Arial"/>
        </w:rPr>
        <w:t>, I., &amp; Rose, S. (2023). A review of generalizability and transportability. </w:t>
      </w:r>
      <w:r w:rsidRPr="00AB0C3B">
        <w:rPr>
          <w:rFonts w:ascii="Arial" w:hAnsi="Arial" w:cs="Arial"/>
          <w:i/>
          <w:iCs/>
        </w:rPr>
        <w:t>Annual Review of Statistics and Its Application</w:t>
      </w:r>
      <w:r w:rsidRPr="00AB0C3B">
        <w:rPr>
          <w:rFonts w:ascii="Arial" w:hAnsi="Arial" w:cs="Arial"/>
        </w:rPr>
        <w:t>, </w:t>
      </w:r>
      <w:r w:rsidRPr="00AB0C3B">
        <w:rPr>
          <w:rFonts w:ascii="Arial" w:hAnsi="Arial" w:cs="Arial"/>
          <w:i/>
          <w:iCs/>
        </w:rPr>
        <w:t>10</w:t>
      </w:r>
      <w:r w:rsidRPr="00AB0C3B">
        <w:rPr>
          <w:rFonts w:ascii="Arial" w:hAnsi="Arial" w:cs="Arial"/>
        </w:rPr>
        <w:t>(1), 501-524.</w:t>
      </w:r>
    </w:p>
    <w:p w14:paraId="4F33C3A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Devi, B. (2023). Application of cross-national comparative research design in medical and nursing education. </w:t>
      </w:r>
      <w:r w:rsidRPr="00AB0C3B">
        <w:rPr>
          <w:rFonts w:ascii="Arial" w:hAnsi="Arial" w:cs="Arial"/>
          <w:i/>
          <w:iCs/>
        </w:rPr>
        <w:t>Journal of Health and Allied Sciences NU</w:t>
      </w:r>
      <w:r w:rsidRPr="00AB0C3B">
        <w:rPr>
          <w:rFonts w:ascii="Arial" w:hAnsi="Arial" w:cs="Arial"/>
        </w:rPr>
        <w:t>, </w:t>
      </w:r>
      <w:r w:rsidRPr="00AB0C3B">
        <w:rPr>
          <w:rFonts w:ascii="Arial" w:hAnsi="Arial" w:cs="Arial"/>
          <w:i/>
          <w:iCs/>
        </w:rPr>
        <w:t>13</w:t>
      </w:r>
      <w:r w:rsidRPr="00AB0C3B">
        <w:rPr>
          <w:rFonts w:ascii="Arial" w:hAnsi="Arial" w:cs="Arial"/>
        </w:rPr>
        <w:t>(03), 306-312.</w:t>
      </w:r>
    </w:p>
    <w:p w14:paraId="0FE66B57" w14:textId="77777777" w:rsidR="00424B1A" w:rsidRPr="00AB0C3B" w:rsidRDefault="00424B1A" w:rsidP="00424B1A">
      <w:pPr>
        <w:spacing w:after="240"/>
        <w:ind w:left="720" w:hanging="720"/>
        <w:jc w:val="both"/>
        <w:rPr>
          <w:rFonts w:ascii="Arial" w:hAnsi="Arial" w:cs="Arial"/>
          <w:color w:val="222222"/>
          <w:shd w:val="clear" w:color="auto" w:fill="FFFFFF"/>
        </w:rPr>
      </w:pPr>
      <w:r w:rsidRPr="00AB0C3B">
        <w:rPr>
          <w:rFonts w:ascii="Arial" w:hAnsi="Arial" w:cs="Arial"/>
        </w:rPr>
        <w:t>Dinçer, H., Yüksel, S., &amp; Martinez, L. (2019). Balanced scorecard-based Analysis about European Energy Investment Policies: A hybrid hesitant fuzzy decision-making approach with Quality Function Deployment. </w:t>
      </w:r>
      <w:r w:rsidRPr="00AB0C3B">
        <w:rPr>
          <w:rFonts w:ascii="Arial" w:hAnsi="Arial" w:cs="Arial"/>
          <w:i/>
          <w:iCs/>
        </w:rPr>
        <w:t>Expert Systems with Applications</w:t>
      </w:r>
      <w:r w:rsidRPr="00AB0C3B">
        <w:rPr>
          <w:rFonts w:ascii="Arial" w:hAnsi="Arial" w:cs="Arial"/>
        </w:rPr>
        <w:t>, </w:t>
      </w:r>
      <w:r w:rsidRPr="00AB0C3B">
        <w:rPr>
          <w:rFonts w:ascii="Arial" w:hAnsi="Arial" w:cs="Arial"/>
          <w:i/>
          <w:iCs/>
        </w:rPr>
        <w:t>115</w:t>
      </w:r>
      <w:r w:rsidRPr="00AB0C3B">
        <w:rPr>
          <w:rFonts w:ascii="Arial" w:hAnsi="Arial" w:cs="Arial"/>
        </w:rPr>
        <w:t>, 152-171.</w:t>
      </w:r>
      <w:r w:rsidRPr="00AB0C3B">
        <w:rPr>
          <w:rFonts w:ascii="Arial" w:hAnsi="Arial" w:cs="Arial"/>
          <w:color w:val="222222"/>
          <w:shd w:val="clear" w:color="auto" w:fill="FFFFFF"/>
        </w:rPr>
        <w:t xml:space="preserve"> </w:t>
      </w:r>
    </w:p>
    <w:p w14:paraId="0031253D"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Ediagbonya</w:t>
      </w:r>
      <w:proofErr w:type="spellEnd"/>
      <w:r w:rsidRPr="00AB0C3B">
        <w:rPr>
          <w:rFonts w:ascii="Arial" w:hAnsi="Arial" w:cs="Arial"/>
        </w:rPr>
        <w:t>, V., &amp; Tioluwani, C. (2023). The role of fintech in driving financial inclusion in developing and emerging markets: issues, challenges and prospects. </w:t>
      </w:r>
      <w:r w:rsidRPr="00AB0C3B">
        <w:rPr>
          <w:rFonts w:ascii="Arial" w:hAnsi="Arial" w:cs="Arial"/>
          <w:i/>
          <w:iCs/>
        </w:rPr>
        <w:t>Technological Sustainability</w:t>
      </w:r>
      <w:r w:rsidRPr="00AB0C3B">
        <w:rPr>
          <w:rFonts w:ascii="Arial" w:hAnsi="Arial" w:cs="Arial"/>
        </w:rPr>
        <w:t>, </w:t>
      </w:r>
      <w:r w:rsidRPr="00AB0C3B">
        <w:rPr>
          <w:rFonts w:ascii="Arial" w:hAnsi="Arial" w:cs="Arial"/>
          <w:i/>
          <w:iCs/>
        </w:rPr>
        <w:t>2</w:t>
      </w:r>
      <w:r w:rsidRPr="00AB0C3B">
        <w:rPr>
          <w:rFonts w:ascii="Arial" w:hAnsi="Arial" w:cs="Arial"/>
        </w:rPr>
        <w:t>(1), 100-119.</w:t>
      </w:r>
    </w:p>
    <w:p w14:paraId="786E4E1A"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Franco, I. B., &amp; Tracey, J. (2019). Community capacity-building for sustainable development: Effectively striving towards achieving local community sustainability targets. </w:t>
      </w:r>
      <w:r w:rsidRPr="00AB0C3B">
        <w:rPr>
          <w:rFonts w:ascii="Arial" w:hAnsi="Arial" w:cs="Arial"/>
          <w:i/>
          <w:iCs/>
        </w:rPr>
        <w:t>International Journal of Sustainability in Higher Education</w:t>
      </w:r>
      <w:r w:rsidRPr="00AB0C3B">
        <w:rPr>
          <w:rFonts w:ascii="Arial" w:hAnsi="Arial" w:cs="Arial"/>
        </w:rPr>
        <w:t>, </w:t>
      </w:r>
      <w:r w:rsidRPr="00AB0C3B">
        <w:rPr>
          <w:rFonts w:ascii="Arial" w:hAnsi="Arial" w:cs="Arial"/>
          <w:i/>
          <w:iCs/>
        </w:rPr>
        <w:t>20</w:t>
      </w:r>
      <w:r w:rsidRPr="00AB0C3B">
        <w:rPr>
          <w:rFonts w:ascii="Arial" w:hAnsi="Arial" w:cs="Arial"/>
        </w:rPr>
        <w:t>(4), 691-725.</w:t>
      </w:r>
    </w:p>
    <w:p w14:paraId="3AB73D73" w14:textId="77777777" w:rsidR="00424B1A" w:rsidRPr="00AB0C3B" w:rsidRDefault="00424B1A" w:rsidP="00424B1A">
      <w:pPr>
        <w:spacing w:after="240"/>
        <w:ind w:left="720" w:hanging="720"/>
        <w:jc w:val="both"/>
        <w:rPr>
          <w:rFonts w:ascii="Arial" w:hAnsi="Arial" w:cs="Arial"/>
        </w:rPr>
      </w:pPr>
      <w:r w:rsidRPr="00D00E26">
        <w:rPr>
          <w:rFonts w:ascii="Arial" w:hAnsi="Arial" w:cs="Arial"/>
        </w:rPr>
        <w:lastRenderedPageBreak/>
        <w:t xml:space="preserve">Guo, Y., </w:t>
      </w:r>
      <w:proofErr w:type="spellStart"/>
      <w:r w:rsidRPr="00D00E26">
        <w:rPr>
          <w:rFonts w:ascii="Arial" w:hAnsi="Arial" w:cs="Arial"/>
        </w:rPr>
        <w:t>Jasovska</w:t>
      </w:r>
      <w:proofErr w:type="spellEnd"/>
      <w:r w:rsidRPr="00AB0C3B">
        <w:rPr>
          <w:rFonts w:ascii="Arial" w:hAnsi="Arial" w:cs="Arial"/>
        </w:rPr>
        <w:t>, P., Rammal, H. G., &amp; Rose, E. L. (2020). Global mobility of professionals and the transfer of tacit knowledge in multinational service firms. </w:t>
      </w:r>
      <w:r w:rsidRPr="00AB0C3B">
        <w:rPr>
          <w:rFonts w:ascii="Arial" w:hAnsi="Arial" w:cs="Arial"/>
          <w:i/>
          <w:iCs/>
        </w:rPr>
        <w:t>Journal of Knowledge Management</w:t>
      </w:r>
      <w:r w:rsidRPr="00AB0C3B">
        <w:rPr>
          <w:rFonts w:ascii="Arial" w:hAnsi="Arial" w:cs="Arial"/>
        </w:rPr>
        <w:t>, </w:t>
      </w:r>
      <w:r w:rsidRPr="00AB0C3B">
        <w:rPr>
          <w:rFonts w:ascii="Arial" w:hAnsi="Arial" w:cs="Arial"/>
          <w:i/>
          <w:iCs/>
        </w:rPr>
        <w:t>24</w:t>
      </w:r>
      <w:r w:rsidRPr="00AB0C3B">
        <w:rPr>
          <w:rFonts w:ascii="Arial" w:hAnsi="Arial" w:cs="Arial"/>
        </w:rPr>
        <w:t>(3), 553-567.</w:t>
      </w:r>
    </w:p>
    <w:p w14:paraId="22BD2C56" w14:textId="77777777" w:rsidR="00424B1A" w:rsidRPr="00AB0C3B" w:rsidRDefault="00424B1A" w:rsidP="00424B1A">
      <w:pPr>
        <w:tabs>
          <w:tab w:val="left" w:pos="6876"/>
        </w:tabs>
        <w:spacing w:after="240"/>
        <w:ind w:left="720" w:hanging="720"/>
        <w:jc w:val="both"/>
        <w:rPr>
          <w:rFonts w:ascii="Arial" w:hAnsi="Arial" w:cs="Arial"/>
        </w:rPr>
      </w:pPr>
      <w:r w:rsidRPr="00AB0C3B">
        <w:rPr>
          <w:rFonts w:ascii="Arial" w:hAnsi="Arial" w:cs="Arial"/>
        </w:rPr>
        <w:t xml:space="preserve">Harrison, F. N., &amp; </w:t>
      </w:r>
      <w:proofErr w:type="spellStart"/>
      <w:r w:rsidRPr="00AB0C3B">
        <w:rPr>
          <w:rFonts w:ascii="Arial" w:hAnsi="Arial" w:cs="Arial"/>
        </w:rPr>
        <w:t>Muiru</w:t>
      </w:r>
      <w:proofErr w:type="spellEnd"/>
      <w:r w:rsidRPr="00AB0C3B">
        <w:rPr>
          <w:rFonts w:ascii="Arial" w:hAnsi="Arial" w:cs="Arial"/>
        </w:rPr>
        <w:t>, D. M. (2021). Effects of selected financial management practices on financial performance of commercial banks in Kenya. </w:t>
      </w:r>
      <w:r w:rsidRPr="00AB0C3B">
        <w:rPr>
          <w:rFonts w:ascii="Arial" w:hAnsi="Arial" w:cs="Arial"/>
          <w:i/>
          <w:iCs/>
        </w:rPr>
        <w:t>International Journal of Finance</w:t>
      </w:r>
      <w:r w:rsidRPr="00AB0C3B">
        <w:rPr>
          <w:rFonts w:ascii="Arial" w:hAnsi="Arial" w:cs="Arial"/>
        </w:rPr>
        <w:t>, </w:t>
      </w:r>
      <w:r w:rsidRPr="00AB0C3B">
        <w:rPr>
          <w:rFonts w:ascii="Arial" w:hAnsi="Arial" w:cs="Arial"/>
          <w:i/>
          <w:iCs/>
        </w:rPr>
        <w:t>6</w:t>
      </w:r>
      <w:r w:rsidRPr="00AB0C3B">
        <w:rPr>
          <w:rFonts w:ascii="Arial" w:hAnsi="Arial" w:cs="Arial"/>
        </w:rPr>
        <w:t>(1), 17-38.</w:t>
      </w:r>
    </w:p>
    <w:p w14:paraId="4E5AA4A0"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Hasan, R., Chy, M. A. R., </w:t>
      </w:r>
      <w:proofErr w:type="spellStart"/>
      <w:r w:rsidRPr="00AB0C3B">
        <w:rPr>
          <w:rFonts w:ascii="Arial" w:hAnsi="Arial" w:cs="Arial"/>
        </w:rPr>
        <w:t>Johora</w:t>
      </w:r>
      <w:proofErr w:type="spellEnd"/>
      <w:r w:rsidRPr="00AB0C3B">
        <w:rPr>
          <w:rFonts w:ascii="Arial" w:hAnsi="Arial" w:cs="Arial"/>
        </w:rPr>
        <w:t>, F. T., Ullah, M. W., &amp; Saju, M. A. B. (2024). Driving Growth: The Integral Role of Small Businesses in the US Economic Landscape. </w:t>
      </w:r>
      <w:r w:rsidRPr="00AB0C3B">
        <w:rPr>
          <w:rFonts w:ascii="Arial" w:hAnsi="Arial" w:cs="Arial"/>
          <w:i/>
          <w:iCs/>
        </w:rPr>
        <w:t>American Journal of Industrial and Business Management</w:t>
      </w:r>
      <w:r w:rsidRPr="00AB0C3B">
        <w:rPr>
          <w:rFonts w:ascii="Arial" w:hAnsi="Arial" w:cs="Arial"/>
        </w:rPr>
        <w:t>, </w:t>
      </w:r>
      <w:r w:rsidRPr="00AB0C3B">
        <w:rPr>
          <w:rFonts w:ascii="Arial" w:hAnsi="Arial" w:cs="Arial"/>
          <w:i/>
          <w:iCs/>
        </w:rPr>
        <w:t>14</w:t>
      </w:r>
      <w:r w:rsidRPr="00AB0C3B">
        <w:rPr>
          <w:rFonts w:ascii="Arial" w:hAnsi="Arial" w:cs="Arial"/>
        </w:rPr>
        <w:t>(6), 852-868.</w:t>
      </w:r>
    </w:p>
    <w:p w14:paraId="066A6F9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Hota, P. K., Mitra, S., &amp; Qureshi, I. (2019). Adopting bricolage to overcome resource constraints: The case of social enterprises in rural India. </w:t>
      </w:r>
      <w:r w:rsidRPr="00AB0C3B">
        <w:rPr>
          <w:rFonts w:ascii="Arial" w:hAnsi="Arial" w:cs="Arial"/>
          <w:i/>
          <w:iCs/>
        </w:rPr>
        <w:t>Management and Organization Review</w:t>
      </w:r>
      <w:r w:rsidRPr="00AB0C3B">
        <w:rPr>
          <w:rFonts w:ascii="Arial" w:hAnsi="Arial" w:cs="Arial"/>
        </w:rPr>
        <w:t>, </w:t>
      </w:r>
      <w:r w:rsidRPr="00AB0C3B">
        <w:rPr>
          <w:rFonts w:ascii="Arial" w:hAnsi="Arial" w:cs="Arial"/>
          <w:i/>
          <w:iCs/>
        </w:rPr>
        <w:t>15</w:t>
      </w:r>
      <w:r w:rsidRPr="00AB0C3B">
        <w:rPr>
          <w:rFonts w:ascii="Arial" w:hAnsi="Arial" w:cs="Arial"/>
        </w:rPr>
        <w:t>(2), 371-402.</w:t>
      </w:r>
    </w:p>
    <w:p w14:paraId="3C487336"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Jagtap, S. (2019). Key guidelines for designing integrated solutions to support development of </w:t>
      </w:r>
      <w:proofErr w:type="spellStart"/>
      <w:r w:rsidRPr="00AB0C3B">
        <w:rPr>
          <w:rFonts w:ascii="Arial" w:hAnsi="Arial" w:cs="Arial"/>
        </w:rPr>
        <w:t>marginalised</w:t>
      </w:r>
      <w:proofErr w:type="spellEnd"/>
      <w:r w:rsidRPr="00AB0C3B">
        <w:rPr>
          <w:rFonts w:ascii="Arial" w:hAnsi="Arial" w:cs="Arial"/>
        </w:rPr>
        <w:t xml:space="preserve"> societies. </w:t>
      </w:r>
      <w:r w:rsidRPr="00AB0C3B">
        <w:rPr>
          <w:rFonts w:ascii="Arial" w:hAnsi="Arial" w:cs="Arial"/>
          <w:i/>
          <w:iCs/>
        </w:rPr>
        <w:t>Journal of Cleaner Production</w:t>
      </w:r>
      <w:r w:rsidRPr="00AB0C3B">
        <w:rPr>
          <w:rFonts w:ascii="Arial" w:hAnsi="Arial" w:cs="Arial"/>
        </w:rPr>
        <w:t>, </w:t>
      </w:r>
      <w:r w:rsidRPr="00AB0C3B">
        <w:rPr>
          <w:rFonts w:ascii="Arial" w:hAnsi="Arial" w:cs="Arial"/>
          <w:i/>
          <w:iCs/>
        </w:rPr>
        <w:t>219</w:t>
      </w:r>
      <w:r w:rsidRPr="00AB0C3B">
        <w:rPr>
          <w:rFonts w:ascii="Arial" w:hAnsi="Arial" w:cs="Arial"/>
        </w:rPr>
        <w:t>, 148-165.</w:t>
      </w:r>
    </w:p>
    <w:p w14:paraId="4278B9A8"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Jameaba</w:t>
      </w:r>
      <w:proofErr w:type="spellEnd"/>
      <w:r w:rsidRPr="00AB0C3B">
        <w:rPr>
          <w:rFonts w:ascii="Arial" w:hAnsi="Arial" w:cs="Arial"/>
        </w:rPr>
        <w:t>, M. S. (2020). Digitization revolution, FinTech disruption, and financial stability: Using the case of Indonesian banking ecosystem to highlight wide-ranging digitization opportunities and major challenges. </w:t>
      </w:r>
      <w:r w:rsidRPr="00AB0C3B">
        <w:rPr>
          <w:rFonts w:ascii="Arial" w:hAnsi="Arial" w:cs="Arial"/>
          <w:i/>
          <w:iCs/>
        </w:rPr>
        <w:t>FinTech Disruption, and Financial stability: Using the Case of Indonesian Banking Ecosystem to highlight wide-ranging digitization opportunities and major challenges (July 16 2, 2020)</w:t>
      </w:r>
      <w:r w:rsidRPr="00AB0C3B">
        <w:rPr>
          <w:rFonts w:ascii="Arial" w:hAnsi="Arial" w:cs="Arial"/>
        </w:rPr>
        <w:t>.</w:t>
      </w:r>
    </w:p>
    <w:p w14:paraId="2C77301C" w14:textId="77777777" w:rsidR="00424B1A" w:rsidRPr="00AB0C3B" w:rsidRDefault="00424B1A" w:rsidP="00424B1A">
      <w:pPr>
        <w:spacing w:after="240"/>
        <w:ind w:left="720" w:hanging="720"/>
        <w:jc w:val="both"/>
        <w:rPr>
          <w:rFonts w:ascii="Arial" w:hAnsi="Arial" w:cs="Arial"/>
        </w:rPr>
      </w:pPr>
      <w:r w:rsidRPr="00D00E26">
        <w:rPr>
          <w:rFonts w:ascii="Arial" w:hAnsi="Arial" w:cs="Arial"/>
        </w:rPr>
        <w:t>Jonsen, K., Point, S., Kelan,</w:t>
      </w:r>
      <w:r w:rsidRPr="00AB0C3B">
        <w:rPr>
          <w:rFonts w:ascii="Arial" w:hAnsi="Arial" w:cs="Arial"/>
        </w:rPr>
        <w:t xml:space="preserve"> E. K., &amp; </w:t>
      </w:r>
      <w:proofErr w:type="spellStart"/>
      <w:r w:rsidRPr="00AB0C3B">
        <w:rPr>
          <w:rFonts w:ascii="Arial" w:hAnsi="Arial" w:cs="Arial"/>
        </w:rPr>
        <w:t>Grieble</w:t>
      </w:r>
      <w:proofErr w:type="spellEnd"/>
      <w:r w:rsidRPr="00AB0C3B">
        <w:rPr>
          <w:rFonts w:ascii="Arial" w:hAnsi="Arial" w:cs="Arial"/>
        </w:rPr>
        <w:t>, A. (2021). Diversity and inclusion branding: a five-country comparison of corporate websites. </w:t>
      </w:r>
      <w:r w:rsidRPr="00AB0C3B">
        <w:rPr>
          <w:rFonts w:ascii="Arial" w:hAnsi="Arial" w:cs="Arial"/>
          <w:i/>
          <w:iCs/>
        </w:rPr>
        <w:t>The International Journal of Human Resource Management</w:t>
      </w:r>
      <w:r w:rsidRPr="00AB0C3B">
        <w:rPr>
          <w:rFonts w:ascii="Arial" w:hAnsi="Arial" w:cs="Arial"/>
        </w:rPr>
        <w:t>, </w:t>
      </w:r>
      <w:r w:rsidRPr="00AB0C3B">
        <w:rPr>
          <w:rFonts w:ascii="Arial" w:hAnsi="Arial" w:cs="Arial"/>
          <w:i/>
          <w:iCs/>
        </w:rPr>
        <w:t>32</w:t>
      </w:r>
      <w:r w:rsidRPr="00AB0C3B">
        <w:rPr>
          <w:rFonts w:ascii="Arial" w:hAnsi="Arial" w:cs="Arial"/>
        </w:rPr>
        <w:t>(3), 616-649.</w:t>
      </w:r>
    </w:p>
    <w:p w14:paraId="737D5FFC"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Kaswa</w:t>
      </w:r>
      <w:proofErr w:type="spellEnd"/>
      <w:r w:rsidRPr="00AB0C3B">
        <w:rPr>
          <w:rFonts w:ascii="Arial" w:hAnsi="Arial" w:cs="Arial"/>
        </w:rPr>
        <w:t>, T. K. (2021). </w:t>
      </w:r>
      <w:r w:rsidRPr="00AB0C3B">
        <w:rPr>
          <w:rFonts w:ascii="Arial" w:hAnsi="Arial" w:cs="Arial"/>
          <w:i/>
          <w:iCs/>
        </w:rPr>
        <w:t xml:space="preserve">Resource </w:t>
      </w:r>
      <w:proofErr w:type="spellStart"/>
      <w:r w:rsidRPr="00AB0C3B">
        <w:rPr>
          <w:rFonts w:ascii="Arial" w:hAnsi="Arial" w:cs="Arial"/>
          <w:i/>
          <w:iCs/>
        </w:rPr>
        <w:t>mobilisation</w:t>
      </w:r>
      <w:proofErr w:type="spellEnd"/>
      <w:r w:rsidRPr="00AB0C3B">
        <w:rPr>
          <w:rFonts w:ascii="Arial" w:hAnsi="Arial" w:cs="Arial"/>
          <w:i/>
          <w:iCs/>
        </w:rPr>
        <w:t xml:space="preserve"> and pricing for Social Enterprises: The impact of </w:t>
      </w:r>
      <w:proofErr w:type="spellStart"/>
      <w:r w:rsidRPr="00AB0C3B">
        <w:rPr>
          <w:rFonts w:ascii="Arial" w:hAnsi="Arial" w:cs="Arial"/>
          <w:i/>
          <w:iCs/>
        </w:rPr>
        <w:t>marginalised</w:t>
      </w:r>
      <w:proofErr w:type="spellEnd"/>
      <w:r w:rsidRPr="00AB0C3B">
        <w:rPr>
          <w:rFonts w:ascii="Arial" w:hAnsi="Arial" w:cs="Arial"/>
          <w:i/>
          <w:iCs/>
        </w:rPr>
        <w:t xml:space="preserve"> versus better-resourced locations</w:t>
      </w:r>
      <w:r w:rsidRPr="00AB0C3B">
        <w:rPr>
          <w:rFonts w:ascii="Arial" w:hAnsi="Arial" w:cs="Arial"/>
        </w:rPr>
        <w:t> (Master's thesis, University of Pretoria (South Africa)).</w:t>
      </w:r>
    </w:p>
    <w:p w14:paraId="2BD84122"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Lohr, S. L. (2021). </w:t>
      </w:r>
      <w:r w:rsidRPr="00AB0C3B">
        <w:rPr>
          <w:rFonts w:ascii="Arial" w:hAnsi="Arial" w:cs="Arial"/>
          <w:i/>
          <w:iCs/>
        </w:rPr>
        <w:t>Sampling: design and analysis</w:t>
      </w:r>
      <w:r w:rsidRPr="00AB0C3B">
        <w:rPr>
          <w:rFonts w:ascii="Arial" w:hAnsi="Arial" w:cs="Arial"/>
        </w:rPr>
        <w:t>. Chapman and Hall/CRC.</w:t>
      </w:r>
    </w:p>
    <w:p w14:paraId="22476F20" w14:textId="77777777" w:rsidR="00424B1A" w:rsidRPr="00AB0C3B" w:rsidRDefault="00424B1A" w:rsidP="00424B1A">
      <w:pPr>
        <w:spacing w:after="240"/>
        <w:ind w:left="720" w:hanging="720"/>
        <w:jc w:val="both"/>
        <w:rPr>
          <w:rFonts w:ascii="Arial" w:hAnsi="Arial" w:cs="Arial"/>
        </w:rPr>
      </w:pPr>
      <w:r w:rsidRPr="00D00E26">
        <w:rPr>
          <w:rFonts w:ascii="Arial" w:hAnsi="Arial" w:cs="Arial"/>
        </w:rPr>
        <w:t>Mahapatro, B. (</w:t>
      </w:r>
      <w:r w:rsidRPr="00AB0C3B">
        <w:rPr>
          <w:rFonts w:ascii="Arial" w:hAnsi="Arial" w:cs="Arial"/>
        </w:rPr>
        <w:t xml:space="preserve">2021). </w:t>
      </w:r>
      <w:r w:rsidRPr="00AB0C3B">
        <w:rPr>
          <w:rFonts w:ascii="Arial" w:hAnsi="Arial" w:cs="Arial"/>
          <w:i/>
          <w:iCs/>
        </w:rPr>
        <w:t>Human resource management</w:t>
      </w:r>
      <w:r w:rsidRPr="00AB0C3B">
        <w:rPr>
          <w:rFonts w:ascii="Arial" w:hAnsi="Arial" w:cs="Arial"/>
        </w:rPr>
        <w:t>. New Age International (P) ltd.</w:t>
      </w:r>
    </w:p>
    <w:p w14:paraId="297ED3D3" w14:textId="77777777" w:rsidR="00424B1A" w:rsidRPr="00AB0C3B" w:rsidRDefault="00424B1A" w:rsidP="00424B1A">
      <w:pPr>
        <w:spacing w:after="240"/>
        <w:ind w:left="720" w:hanging="720"/>
        <w:jc w:val="both"/>
        <w:rPr>
          <w:rFonts w:ascii="Arial" w:hAnsi="Arial" w:cs="Arial"/>
          <w:b/>
          <w:bCs/>
        </w:rPr>
      </w:pPr>
      <w:bookmarkStart w:id="2" w:name="_Toc188540013"/>
      <w:proofErr w:type="spellStart"/>
      <w:r w:rsidRPr="00873A2A">
        <w:rPr>
          <w:rFonts w:ascii="Arial" w:hAnsi="Arial" w:cs="Arial"/>
          <w:lang w:val="fr-FR"/>
        </w:rPr>
        <w:t>Mikalef</w:t>
      </w:r>
      <w:proofErr w:type="spellEnd"/>
      <w:r w:rsidRPr="00873A2A">
        <w:rPr>
          <w:rFonts w:ascii="Arial" w:hAnsi="Arial" w:cs="Arial"/>
          <w:lang w:val="fr-FR"/>
        </w:rPr>
        <w:t xml:space="preserve">, P., </w:t>
      </w:r>
      <w:proofErr w:type="spellStart"/>
      <w:r w:rsidRPr="00873A2A">
        <w:rPr>
          <w:rFonts w:ascii="Arial" w:hAnsi="Arial" w:cs="Arial"/>
          <w:lang w:val="fr-FR"/>
        </w:rPr>
        <w:t>Krogstie</w:t>
      </w:r>
      <w:proofErr w:type="spellEnd"/>
      <w:r w:rsidRPr="00873A2A">
        <w:rPr>
          <w:rFonts w:ascii="Arial" w:hAnsi="Arial" w:cs="Arial"/>
          <w:lang w:val="fr-FR"/>
        </w:rPr>
        <w:t xml:space="preserve">, J., </w:t>
      </w:r>
      <w:proofErr w:type="spellStart"/>
      <w:r w:rsidRPr="00873A2A">
        <w:rPr>
          <w:rFonts w:ascii="Arial" w:hAnsi="Arial" w:cs="Arial"/>
          <w:lang w:val="fr-FR"/>
        </w:rPr>
        <w:t>Pappas</w:t>
      </w:r>
      <w:proofErr w:type="spellEnd"/>
      <w:r w:rsidRPr="00873A2A">
        <w:rPr>
          <w:rFonts w:ascii="Arial" w:hAnsi="Arial" w:cs="Arial"/>
          <w:lang w:val="fr-FR"/>
        </w:rPr>
        <w:t xml:space="preserve">, I. O., &amp; </w:t>
      </w:r>
      <w:proofErr w:type="spellStart"/>
      <w:r w:rsidRPr="00873A2A">
        <w:rPr>
          <w:rFonts w:ascii="Arial" w:hAnsi="Arial" w:cs="Arial"/>
          <w:lang w:val="fr-FR"/>
        </w:rPr>
        <w:t>Pavlou</w:t>
      </w:r>
      <w:proofErr w:type="spellEnd"/>
      <w:r w:rsidRPr="00873A2A">
        <w:rPr>
          <w:rFonts w:ascii="Arial" w:hAnsi="Arial" w:cs="Arial"/>
          <w:lang w:val="fr-FR"/>
        </w:rPr>
        <w:t xml:space="preserve">, P. (2020). </w:t>
      </w:r>
      <w:r w:rsidRPr="00AB0C3B">
        <w:rPr>
          <w:rFonts w:ascii="Arial" w:hAnsi="Arial" w:cs="Arial"/>
        </w:rPr>
        <w:t>Exploring the relationship between big data analytics capability and competitive performance: The mediating roles of dynamic and operational capabilities. </w:t>
      </w:r>
      <w:r w:rsidRPr="00AB0C3B">
        <w:rPr>
          <w:rFonts w:ascii="Arial" w:hAnsi="Arial" w:cs="Arial"/>
          <w:i/>
          <w:iCs/>
        </w:rPr>
        <w:t>Information &amp; Management</w:t>
      </w:r>
      <w:r w:rsidRPr="00AB0C3B">
        <w:rPr>
          <w:rFonts w:ascii="Arial" w:hAnsi="Arial" w:cs="Arial"/>
        </w:rPr>
        <w:t>, </w:t>
      </w:r>
      <w:r w:rsidRPr="00AB0C3B">
        <w:rPr>
          <w:rFonts w:ascii="Arial" w:hAnsi="Arial" w:cs="Arial"/>
          <w:i/>
          <w:iCs/>
        </w:rPr>
        <w:t>57</w:t>
      </w:r>
      <w:r w:rsidRPr="00AB0C3B">
        <w:rPr>
          <w:rFonts w:ascii="Arial" w:hAnsi="Arial" w:cs="Arial"/>
        </w:rPr>
        <w:t>(2), 103169.</w:t>
      </w:r>
      <w:bookmarkEnd w:id="2"/>
      <w:r w:rsidRPr="00AB0C3B">
        <w:rPr>
          <w:rFonts w:ascii="Arial" w:hAnsi="Arial" w:cs="Arial"/>
          <w:b/>
          <w:bCs/>
        </w:rPr>
        <w:t xml:space="preserve"> </w:t>
      </w:r>
    </w:p>
    <w:p w14:paraId="62F3F01A"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Minimo</w:t>
      </w:r>
      <w:proofErr w:type="spellEnd"/>
      <w:r w:rsidRPr="00AB0C3B">
        <w:rPr>
          <w:rFonts w:ascii="Arial" w:hAnsi="Arial" w:cs="Arial"/>
        </w:rPr>
        <w:t>, L. G. (2021). Spatiotemporal analysis of the interaction of decentralization, development and disaster cascades in Mindanao, Philippines.</w:t>
      </w:r>
    </w:p>
    <w:p w14:paraId="434F0F34" w14:textId="77777777" w:rsidR="00424B1A" w:rsidRPr="00AB0C3B" w:rsidRDefault="00424B1A" w:rsidP="00424B1A">
      <w:pPr>
        <w:tabs>
          <w:tab w:val="left" w:pos="6876"/>
        </w:tabs>
        <w:spacing w:after="240"/>
        <w:ind w:left="720" w:hanging="720"/>
        <w:jc w:val="both"/>
        <w:rPr>
          <w:rFonts w:ascii="Arial" w:hAnsi="Arial" w:cs="Arial"/>
        </w:rPr>
      </w:pPr>
      <w:proofErr w:type="spellStart"/>
      <w:r w:rsidRPr="00873A2A">
        <w:rPr>
          <w:rFonts w:ascii="Arial" w:hAnsi="Arial" w:cs="Arial"/>
          <w:lang w:val="fr-FR"/>
        </w:rPr>
        <w:t>Mogaji</w:t>
      </w:r>
      <w:proofErr w:type="spellEnd"/>
      <w:r w:rsidRPr="00873A2A">
        <w:rPr>
          <w:rFonts w:ascii="Arial" w:hAnsi="Arial" w:cs="Arial"/>
          <w:lang w:val="fr-FR"/>
        </w:rPr>
        <w:t xml:space="preserve">, E., </w:t>
      </w:r>
      <w:proofErr w:type="spellStart"/>
      <w:r w:rsidRPr="00873A2A">
        <w:rPr>
          <w:rFonts w:ascii="Arial" w:hAnsi="Arial" w:cs="Arial"/>
          <w:lang w:val="fr-FR"/>
        </w:rPr>
        <w:t>Soetan</w:t>
      </w:r>
      <w:proofErr w:type="spellEnd"/>
      <w:r w:rsidRPr="00873A2A">
        <w:rPr>
          <w:rFonts w:ascii="Arial" w:hAnsi="Arial" w:cs="Arial"/>
          <w:lang w:val="fr-FR"/>
        </w:rPr>
        <w:t xml:space="preserve">, T. O., &amp; </w:t>
      </w:r>
      <w:proofErr w:type="spellStart"/>
      <w:r w:rsidRPr="00873A2A">
        <w:rPr>
          <w:rFonts w:ascii="Arial" w:hAnsi="Arial" w:cs="Arial"/>
          <w:lang w:val="fr-FR"/>
        </w:rPr>
        <w:t>Kieu</w:t>
      </w:r>
      <w:proofErr w:type="spellEnd"/>
      <w:r w:rsidRPr="00873A2A">
        <w:rPr>
          <w:rFonts w:ascii="Arial" w:hAnsi="Arial" w:cs="Arial"/>
          <w:lang w:val="fr-FR"/>
        </w:rPr>
        <w:t xml:space="preserve">, T. A. (2020). </w:t>
      </w:r>
      <w:r w:rsidRPr="00AB0C3B">
        <w:rPr>
          <w:rFonts w:ascii="Arial" w:hAnsi="Arial" w:cs="Arial"/>
        </w:rPr>
        <w:t>The implications of artificial intelligence on the digital marketing of financial services to vulnerable customers. </w:t>
      </w:r>
      <w:r w:rsidRPr="00AB0C3B">
        <w:rPr>
          <w:rFonts w:ascii="Arial" w:hAnsi="Arial" w:cs="Arial"/>
          <w:i/>
          <w:iCs/>
        </w:rPr>
        <w:t>Australasian Marketing Journal</w:t>
      </w:r>
      <w:r w:rsidRPr="00AB0C3B">
        <w:rPr>
          <w:rFonts w:ascii="Arial" w:hAnsi="Arial" w:cs="Arial"/>
        </w:rPr>
        <w:t>, j-</w:t>
      </w:r>
      <w:proofErr w:type="spellStart"/>
      <w:r w:rsidRPr="00AB0C3B">
        <w:rPr>
          <w:rFonts w:ascii="Arial" w:hAnsi="Arial" w:cs="Arial"/>
        </w:rPr>
        <w:t>ausmj</w:t>
      </w:r>
      <w:proofErr w:type="spellEnd"/>
      <w:r w:rsidRPr="00AB0C3B">
        <w:rPr>
          <w:rFonts w:ascii="Arial" w:hAnsi="Arial" w:cs="Arial"/>
        </w:rPr>
        <w:t>.</w:t>
      </w:r>
    </w:p>
    <w:p w14:paraId="4B071E19"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Nizam, E., Ng, A., </w:t>
      </w:r>
      <w:proofErr w:type="spellStart"/>
      <w:r w:rsidRPr="00AB0C3B">
        <w:rPr>
          <w:rFonts w:ascii="Arial" w:hAnsi="Arial" w:cs="Arial"/>
        </w:rPr>
        <w:t>Dewandaru</w:t>
      </w:r>
      <w:proofErr w:type="spellEnd"/>
      <w:r w:rsidRPr="00AB0C3B">
        <w:rPr>
          <w:rFonts w:ascii="Arial" w:hAnsi="Arial" w:cs="Arial"/>
        </w:rPr>
        <w:t xml:space="preserve">, G., Nagayev, R., &amp; </w:t>
      </w:r>
      <w:proofErr w:type="spellStart"/>
      <w:r w:rsidRPr="00AB0C3B">
        <w:rPr>
          <w:rFonts w:ascii="Arial" w:hAnsi="Arial" w:cs="Arial"/>
        </w:rPr>
        <w:t>Nkoba</w:t>
      </w:r>
      <w:proofErr w:type="spellEnd"/>
      <w:r w:rsidRPr="00AB0C3B">
        <w:rPr>
          <w:rFonts w:ascii="Arial" w:hAnsi="Arial" w:cs="Arial"/>
        </w:rPr>
        <w:t>, M. A. (2019). The impact of social and environmental sustainability on financial performance: A global analysis of the banking sector. </w:t>
      </w:r>
      <w:r w:rsidRPr="00AB0C3B">
        <w:rPr>
          <w:rFonts w:ascii="Arial" w:hAnsi="Arial" w:cs="Arial"/>
          <w:i/>
          <w:iCs/>
        </w:rPr>
        <w:t>Journal of Multinational Financial Management</w:t>
      </w:r>
      <w:r w:rsidRPr="00AB0C3B">
        <w:rPr>
          <w:rFonts w:ascii="Arial" w:hAnsi="Arial" w:cs="Arial"/>
        </w:rPr>
        <w:t>, </w:t>
      </w:r>
      <w:r w:rsidRPr="00AB0C3B">
        <w:rPr>
          <w:rFonts w:ascii="Arial" w:hAnsi="Arial" w:cs="Arial"/>
          <w:i/>
          <w:iCs/>
        </w:rPr>
        <w:t>49</w:t>
      </w:r>
      <w:r w:rsidRPr="00AB0C3B">
        <w:rPr>
          <w:rFonts w:ascii="Arial" w:hAnsi="Arial" w:cs="Arial"/>
        </w:rPr>
        <w:t>, 35-53.</w:t>
      </w:r>
    </w:p>
    <w:p w14:paraId="6B1A879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lastRenderedPageBreak/>
        <w:t xml:space="preserve">Olaniyi, O. O., Olabanji, S. O., &amp; </w:t>
      </w:r>
      <w:proofErr w:type="spellStart"/>
      <w:r w:rsidRPr="00AB0C3B">
        <w:rPr>
          <w:rFonts w:ascii="Arial" w:hAnsi="Arial" w:cs="Arial"/>
        </w:rPr>
        <w:t>Abalaka</w:t>
      </w:r>
      <w:proofErr w:type="spellEnd"/>
      <w:r w:rsidRPr="00AB0C3B">
        <w:rPr>
          <w:rFonts w:ascii="Arial" w:hAnsi="Arial" w:cs="Arial"/>
        </w:rPr>
        <w:t>, A. (2023). Navigating risk in the modern business landscape: Strategies and insights for enterprise risk management implementation. </w:t>
      </w:r>
      <w:r w:rsidRPr="00AB0C3B">
        <w:rPr>
          <w:rFonts w:ascii="Arial" w:hAnsi="Arial" w:cs="Arial"/>
          <w:i/>
          <w:iCs/>
        </w:rPr>
        <w:t>Journal of Scientific Research and Reports</w:t>
      </w:r>
      <w:r w:rsidRPr="00AB0C3B">
        <w:rPr>
          <w:rFonts w:ascii="Arial" w:hAnsi="Arial" w:cs="Arial"/>
        </w:rPr>
        <w:t>, </w:t>
      </w:r>
      <w:r w:rsidRPr="00AB0C3B">
        <w:rPr>
          <w:rFonts w:ascii="Arial" w:hAnsi="Arial" w:cs="Arial"/>
          <w:i/>
          <w:iCs/>
        </w:rPr>
        <w:t>29</w:t>
      </w:r>
      <w:r w:rsidRPr="00AB0C3B">
        <w:rPr>
          <w:rFonts w:ascii="Arial" w:hAnsi="Arial" w:cs="Arial"/>
        </w:rPr>
        <w:t>(9), 103-109.</w:t>
      </w:r>
    </w:p>
    <w:p w14:paraId="73D16667" w14:textId="77777777" w:rsidR="00424B1A" w:rsidRPr="00AB0C3B" w:rsidRDefault="00424B1A" w:rsidP="00424B1A">
      <w:pPr>
        <w:tabs>
          <w:tab w:val="left" w:pos="6876"/>
        </w:tabs>
        <w:spacing w:after="240"/>
        <w:ind w:left="720" w:hanging="720"/>
        <w:jc w:val="both"/>
        <w:rPr>
          <w:rFonts w:ascii="Arial" w:hAnsi="Arial" w:cs="Arial"/>
        </w:rPr>
      </w:pPr>
      <w:r w:rsidRPr="00D00E26">
        <w:rPr>
          <w:rFonts w:ascii="Arial" w:hAnsi="Arial" w:cs="Arial"/>
        </w:rPr>
        <w:t>Otoo, F. N. K. (2019).</w:t>
      </w:r>
      <w:r w:rsidRPr="00AB0C3B">
        <w:rPr>
          <w:rFonts w:ascii="Arial" w:hAnsi="Arial" w:cs="Arial"/>
        </w:rPr>
        <w:t xml:space="preserve"> Human resource management (HRM) practices and organizational performance: The mediating role of employee competencies. </w:t>
      </w:r>
      <w:r w:rsidRPr="00AB0C3B">
        <w:rPr>
          <w:rFonts w:ascii="Arial" w:hAnsi="Arial" w:cs="Arial"/>
          <w:i/>
          <w:iCs/>
        </w:rPr>
        <w:t>Employee Relations: The International Journal</w:t>
      </w:r>
      <w:r w:rsidRPr="00AB0C3B">
        <w:rPr>
          <w:rFonts w:ascii="Arial" w:hAnsi="Arial" w:cs="Arial"/>
        </w:rPr>
        <w:t>, </w:t>
      </w:r>
      <w:r w:rsidRPr="00AB0C3B">
        <w:rPr>
          <w:rFonts w:ascii="Arial" w:hAnsi="Arial" w:cs="Arial"/>
          <w:i/>
          <w:iCs/>
        </w:rPr>
        <w:t>41</w:t>
      </w:r>
      <w:r w:rsidRPr="00AB0C3B">
        <w:rPr>
          <w:rFonts w:ascii="Arial" w:hAnsi="Arial" w:cs="Arial"/>
        </w:rPr>
        <w:t>(5), 949-970.</w:t>
      </w:r>
    </w:p>
    <w:p w14:paraId="43526BA3"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Ozili</w:t>
      </w:r>
      <w:proofErr w:type="spellEnd"/>
      <w:r w:rsidRPr="00AB0C3B">
        <w:rPr>
          <w:rFonts w:ascii="Arial" w:hAnsi="Arial" w:cs="Arial"/>
        </w:rPr>
        <w:t>, P. K. (2020). Theories of financial inclusion. In </w:t>
      </w:r>
      <w:r w:rsidRPr="00AB0C3B">
        <w:rPr>
          <w:rFonts w:ascii="Arial" w:hAnsi="Arial" w:cs="Arial"/>
          <w:i/>
          <w:iCs/>
        </w:rPr>
        <w:t xml:space="preserve">Uncertainty and challenges in contemporary economic </w:t>
      </w:r>
      <w:proofErr w:type="spellStart"/>
      <w:r w:rsidRPr="00AB0C3B">
        <w:rPr>
          <w:rFonts w:ascii="Arial" w:hAnsi="Arial" w:cs="Arial"/>
          <w:i/>
          <w:iCs/>
        </w:rPr>
        <w:t>behaviour</w:t>
      </w:r>
      <w:proofErr w:type="spellEnd"/>
      <w:r w:rsidRPr="00AB0C3B">
        <w:rPr>
          <w:rFonts w:ascii="Arial" w:hAnsi="Arial" w:cs="Arial"/>
        </w:rPr>
        <w:t> (pp. 89-115). Emerald Publishing Limited.</w:t>
      </w:r>
    </w:p>
    <w:p w14:paraId="4BF82D8C"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 xml:space="preserve">Resch, K., &amp; </w:t>
      </w:r>
      <w:proofErr w:type="spellStart"/>
      <w:r w:rsidRPr="00AB0C3B">
        <w:rPr>
          <w:rFonts w:ascii="Arial" w:hAnsi="Arial" w:cs="Arial"/>
        </w:rPr>
        <w:t>Schrittesser</w:t>
      </w:r>
      <w:proofErr w:type="spellEnd"/>
      <w:r w:rsidRPr="00AB0C3B">
        <w:rPr>
          <w:rFonts w:ascii="Arial" w:hAnsi="Arial" w:cs="Arial"/>
        </w:rPr>
        <w:t>, I. (2023). Using the Service-Learning approach to bridge the gap between theory and practice in teacher education. </w:t>
      </w:r>
      <w:r w:rsidRPr="00AB0C3B">
        <w:rPr>
          <w:rFonts w:ascii="Arial" w:hAnsi="Arial" w:cs="Arial"/>
          <w:i/>
          <w:iCs/>
        </w:rPr>
        <w:t>International Journal of Inclusive Education</w:t>
      </w:r>
      <w:r w:rsidRPr="00AB0C3B">
        <w:rPr>
          <w:rFonts w:ascii="Arial" w:hAnsi="Arial" w:cs="Arial"/>
        </w:rPr>
        <w:t>, </w:t>
      </w:r>
      <w:r w:rsidRPr="00AB0C3B">
        <w:rPr>
          <w:rFonts w:ascii="Arial" w:hAnsi="Arial" w:cs="Arial"/>
          <w:i/>
          <w:iCs/>
        </w:rPr>
        <w:t>27</w:t>
      </w:r>
      <w:r w:rsidRPr="00AB0C3B">
        <w:rPr>
          <w:rFonts w:ascii="Arial" w:hAnsi="Arial" w:cs="Arial"/>
        </w:rPr>
        <w:t>(10), 1118-1132.</w:t>
      </w:r>
    </w:p>
    <w:p w14:paraId="0AF82BD4" w14:textId="77777777" w:rsidR="00424B1A" w:rsidRDefault="00424B1A" w:rsidP="00424B1A">
      <w:pPr>
        <w:spacing w:after="240"/>
        <w:ind w:left="720" w:hanging="720"/>
        <w:jc w:val="both"/>
        <w:rPr>
          <w:rFonts w:ascii="Arial" w:hAnsi="Arial" w:cs="Arial"/>
        </w:rPr>
      </w:pPr>
      <w:proofErr w:type="spellStart"/>
      <w:r w:rsidRPr="00AB0C3B">
        <w:rPr>
          <w:rFonts w:ascii="Arial" w:hAnsi="Arial" w:cs="Arial"/>
        </w:rPr>
        <w:t>Somanje</w:t>
      </w:r>
      <w:proofErr w:type="spellEnd"/>
      <w:r w:rsidRPr="00AB0C3B">
        <w:rPr>
          <w:rFonts w:ascii="Arial" w:hAnsi="Arial" w:cs="Arial"/>
        </w:rPr>
        <w:t>, A. N., Mohan, G., Lopes, J., Mensah, A., Gordon, C., Zhou, X., ... &amp; Takeuchi, K. (2020). Challenges and potential solutions for sustainable urban-rural linkages in a Ghanaian context. </w:t>
      </w:r>
      <w:r w:rsidRPr="00AB0C3B">
        <w:rPr>
          <w:rFonts w:ascii="Arial" w:hAnsi="Arial" w:cs="Arial"/>
          <w:i/>
          <w:iCs/>
        </w:rPr>
        <w:t>Sustainability</w:t>
      </w:r>
      <w:r w:rsidRPr="00AB0C3B">
        <w:rPr>
          <w:rFonts w:ascii="Arial" w:hAnsi="Arial" w:cs="Arial"/>
        </w:rPr>
        <w:t>, </w:t>
      </w:r>
      <w:r w:rsidRPr="00AB0C3B">
        <w:rPr>
          <w:rFonts w:ascii="Arial" w:hAnsi="Arial" w:cs="Arial"/>
          <w:i/>
          <w:iCs/>
        </w:rPr>
        <w:t>12</w:t>
      </w:r>
      <w:r w:rsidRPr="00AB0C3B">
        <w:rPr>
          <w:rFonts w:ascii="Arial" w:hAnsi="Arial" w:cs="Arial"/>
        </w:rPr>
        <w:t>(2), 507.</w:t>
      </w:r>
    </w:p>
    <w:p w14:paraId="5123A96B" w14:textId="605B273E" w:rsidR="00CD1D08" w:rsidRDefault="00CD1D08" w:rsidP="00CD1D08">
      <w:pPr>
        <w:ind w:left="720" w:hanging="720"/>
        <w:jc w:val="both"/>
        <w:rPr>
          <w:lang w:val="en-GB"/>
        </w:rPr>
      </w:pPr>
      <w:proofErr w:type="spellStart"/>
      <w:r w:rsidRPr="00EA05A2">
        <w:rPr>
          <w:lang w:val="en-GB"/>
        </w:rPr>
        <w:t>Terlizzi</w:t>
      </w:r>
      <w:proofErr w:type="spellEnd"/>
      <w:r w:rsidRPr="00EA05A2">
        <w:rPr>
          <w:lang w:val="en-GB"/>
        </w:rPr>
        <w:t xml:space="preserve">, M. A., &amp; </w:t>
      </w:r>
      <w:proofErr w:type="spellStart"/>
      <w:r w:rsidRPr="00EA05A2">
        <w:rPr>
          <w:lang w:val="en-GB"/>
        </w:rPr>
        <w:t>Albertin</w:t>
      </w:r>
      <w:proofErr w:type="spellEnd"/>
      <w:r w:rsidRPr="00EA05A2">
        <w:rPr>
          <w:lang w:val="en-GB"/>
        </w:rPr>
        <w:t>, A. L. (2017). IT benefits management in financial institutions: Practices and barriers. International Journal of Project Management, 35(5), 763-782.</w:t>
      </w:r>
    </w:p>
    <w:p w14:paraId="23FD537C" w14:textId="77777777" w:rsidR="00CD1D08" w:rsidRPr="00CD1D08" w:rsidRDefault="00CD1D08" w:rsidP="00CD1D08">
      <w:pPr>
        <w:ind w:left="720" w:hanging="720"/>
        <w:jc w:val="both"/>
        <w:rPr>
          <w:lang w:val="en-GB"/>
        </w:rPr>
      </w:pPr>
    </w:p>
    <w:p w14:paraId="6DB620EE" w14:textId="77777777" w:rsidR="00424B1A" w:rsidRPr="00AB0C3B" w:rsidRDefault="00424B1A" w:rsidP="00424B1A">
      <w:pPr>
        <w:spacing w:after="240"/>
        <w:ind w:left="720" w:hanging="720"/>
        <w:jc w:val="both"/>
        <w:rPr>
          <w:rFonts w:ascii="Arial" w:hAnsi="Arial" w:cs="Arial"/>
        </w:rPr>
      </w:pPr>
      <w:proofErr w:type="spellStart"/>
      <w:r w:rsidRPr="00AB0C3B">
        <w:rPr>
          <w:rFonts w:ascii="Arial" w:hAnsi="Arial" w:cs="Arial"/>
        </w:rPr>
        <w:t>Volberda</w:t>
      </w:r>
      <w:proofErr w:type="spellEnd"/>
      <w:r w:rsidRPr="00AB0C3B">
        <w:rPr>
          <w:rFonts w:ascii="Arial" w:hAnsi="Arial" w:cs="Arial"/>
        </w:rPr>
        <w:t xml:space="preserve">, H. W., </w:t>
      </w:r>
      <w:proofErr w:type="spellStart"/>
      <w:r w:rsidRPr="00AB0C3B">
        <w:rPr>
          <w:rFonts w:ascii="Arial" w:hAnsi="Arial" w:cs="Arial"/>
        </w:rPr>
        <w:t>Khanagha</w:t>
      </w:r>
      <w:proofErr w:type="spellEnd"/>
      <w:r w:rsidRPr="00AB0C3B">
        <w:rPr>
          <w:rFonts w:ascii="Arial" w:hAnsi="Arial" w:cs="Arial"/>
        </w:rPr>
        <w:t>, S., Baden-Fuller, C., Mihalache, O. R., &amp; Birkinshaw, J. (2021). Strategizing in a digital world: Overcoming cognitive barriers, reconfiguring routines and introducing new organizational forms. </w:t>
      </w:r>
      <w:r w:rsidRPr="00AB0C3B">
        <w:rPr>
          <w:rFonts w:ascii="Arial" w:hAnsi="Arial" w:cs="Arial"/>
          <w:i/>
          <w:iCs/>
        </w:rPr>
        <w:t>Long Range Planning</w:t>
      </w:r>
      <w:r w:rsidRPr="00AB0C3B">
        <w:rPr>
          <w:rFonts w:ascii="Arial" w:hAnsi="Arial" w:cs="Arial"/>
        </w:rPr>
        <w:t>, </w:t>
      </w:r>
      <w:r w:rsidRPr="00AB0C3B">
        <w:rPr>
          <w:rFonts w:ascii="Arial" w:hAnsi="Arial" w:cs="Arial"/>
          <w:i/>
          <w:iCs/>
        </w:rPr>
        <w:t>54</w:t>
      </w:r>
      <w:r w:rsidRPr="00AB0C3B">
        <w:rPr>
          <w:rFonts w:ascii="Arial" w:hAnsi="Arial" w:cs="Arial"/>
        </w:rPr>
        <w:t>(5), 102110.</w:t>
      </w:r>
    </w:p>
    <w:p w14:paraId="7F1A3E26" w14:textId="77777777" w:rsidR="00424B1A" w:rsidRPr="00AB0C3B" w:rsidRDefault="00424B1A" w:rsidP="00424B1A">
      <w:pPr>
        <w:spacing w:after="240"/>
        <w:ind w:left="720" w:hanging="720"/>
        <w:jc w:val="both"/>
        <w:rPr>
          <w:rFonts w:ascii="Arial" w:hAnsi="Arial" w:cs="Arial"/>
        </w:rPr>
      </w:pPr>
      <w:r w:rsidRPr="00AB0C3B">
        <w:rPr>
          <w:rFonts w:ascii="Arial" w:hAnsi="Arial" w:cs="Arial"/>
        </w:rPr>
        <w:t>Zhong, Y., Li, Y., Ding, J., &amp; Liao, Y. (2021). Risk management: Exploring emerging human resource issues during the COVID-19 pandemic. </w:t>
      </w:r>
      <w:r w:rsidRPr="00AB0C3B">
        <w:rPr>
          <w:rFonts w:ascii="Arial" w:hAnsi="Arial" w:cs="Arial"/>
          <w:i/>
          <w:iCs/>
        </w:rPr>
        <w:t>Journal of Risk and Financial Management</w:t>
      </w:r>
      <w:r w:rsidRPr="00AB0C3B">
        <w:rPr>
          <w:rFonts w:ascii="Arial" w:hAnsi="Arial" w:cs="Arial"/>
        </w:rPr>
        <w:t>, </w:t>
      </w:r>
      <w:r w:rsidRPr="00AB0C3B">
        <w:rPr>
          <w:rFonts w:ascii="Arial" w:hAnsi="Arial" w:cs="Arial"/>
          <w:i/>
          <w:iCs/>
        </w:rPr>
        <w:t>14</w:t>
      </w:r>
      <w:r w:rsidRPr="00AB0C3B">
        <w:rPr>
          <w:rFonts w:ascii="Arial" w:hAnsi="Arial" w:cs="Arial"/>
        </w:rPr>
        <w:t>(5), 228.</w:t>
      </w:r>
    </w:p>
    <w:p w14:paraId="795D611D" w14:textId="77777777" w:rsidR="00441B6F" w:rsidRDefault="00441B6F" w:rsidP="00441B6F">
      <w:pPr>
        <w:pStyle w:val="Body"/>
        <w:spacing w:after="0"/>
        <w:jc w:val="left"/>
        <w:rPr>
          <w:rFonts w:ascii="Arial" w:hAnsi="Arial" w:cs="Arial"/>
        </w:rPr>
      </w:pPr>
    </w:p>
    <w:p w14:paraId="2905D7F1" w14:textId="77777777" w:rsidR="00790ADA" w:rsidRPr="00FB3A86" w:rsidRDefault="00790ADA" w:rsidP="00441B6F">
      <w:pPr>
        <w:pStyle w:val="Body"/>
        <w:spacing w:after="0"/>
        <w:rPr>
          <w:rFonts w:ascii="Arial" w:hAnsi="Arial" w:cs="Arial"/>
        </w:rPr>
      </w:pPr>
    </w:p>
    <w:p w14:paraId="6039FB4F" w14:textId="0EB97E67" w:rsidR="004D4277" w:rsidRPr="00FB3A86" w:rsidRDefault="004D4277" w:rsidP="00441B6F">
      <w:pPr>
        <w:pStyle w:val="Appendix"/>
        <w:spacing w:after="0"/>
        <w:jc w:val="both"/>
        <w:rPr>
          <w:rFonts w:ascii="Arial" w:hAnsi="Arial" w:cs="Arial"/>
          <w:b w:val="0"/>
        </w:rPr>
        <w:sectPr w:rsidR="004D4277" w:rsidRPr="00FB3A86" w:rsidSect="005B382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B6AFFD5" w14:textId="77777777" w:rsidR="00B01FCD" w:rsidRPr="00FB3A86" w:rsidRDefault="00B01FCD" w:rsidP="00441B6F">
      <w:pPr>
        <w:pStyle w:val="Appendix"/>
        <w:spacing w:after="0"/>
        <w:jc w:val="both"/>
        <w:rPr>
          <w:rFonts w:ascii="Arial" w:hAnsi="Arial" w:cs="Arial"/>
          <w:b w:val="0"/>
        </w:rPr>
      </w:pPr>
    </w:p>
    <w:sectPr w:rsidR="00B01FCD" w:rsidRPr="00FB3A86" w:rsidSect="005B382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74C2E" w14:textId="77777777" w:rsidR="00C47CD6" w:rsidRDefault="00C47CD6" w:rsidP="00C37E61">
      <w:r>
        <w:separator/>
      </w:r>
    </w:p>
  </w:endnote>
  <w:endnote w:type="continuationSeparator" w:id="0">
    <w:p w14:paraId="007F934F" w14:textId="77777777" w:rsidR="00C47CD6" w:rsidRDefault="00C47C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61F92" w14:textId="77777777" w:rsidR="00EA53B9" w:rsidRDefault="00EA53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46E6" w14:textId="77777777" w:rsidR="00EA53B9" w:rsidRDefault="00EA5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08C1B" w14:textId="77777777" w:rsidR="00EA53B9" w:rsidRDefault="00EA53B9">
    <w:pPr>
      <w:pStyle w:val="Footer"/>
      <w:rPr>
        <w:rFonts w:ascii="Arial" w:hAnsi="Arial" w:cs="Arial"/>
        <w:sz w:val="16"/>
      </w:rPr>
    </w:pPr>
  </w:p>
  <w:p w14:paraId="6EDBC4F1" w14:textId="77777777" w:rsidR="00EA53B9" w:rsidRDefault="00EA53B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1F494A" w14:textId="77777777" w:rsidR="00EA53B9" w:rsidRDefault="00EA53B9">
    <w:pPr>
      <w:pStyle w:val="Footer"/>
      <w:rPr>
        <w:rFonts w:ascii="Arial" w:hAnsi="Arial" w:cs="Arial"/>
        <w:sz w:val="16"/>
      </w:rPr>
    </w:pPr>
  </w:p>
  <w:p w14:paraId="4B4B598C" w14:textId="13C2B70D" w:rsidR="00EA53B9" w:rsidRPr="009E048A" w:rsidRDefault="00EA53B9">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917A0" w14:textId="77777777" w:rsidR="00EA53B9" w:rsidRPr="00C37E61" w:rsidRDefault="00EA53B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A03F2" w14:textId="77777777" w:rsidR="00C47CD6" w:rsidRDefault="00C47CD6" w:rsidP="00C37E61">
      <w:r>
        <w:separator/>
      </w:r>
    </w:p>
  </w:footnote>
  <w:footnote w:type="continuationSeparator" w:id="0">
    <w:p w14:paraId="240E2145" w14:textId="77777777" w:rsidR="00C47CD6" w:rsidRDefault="00C47C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D5F32" w14:textId="02CD5301" w:rsidR="00EA53B9" w:rsidRDefault="00C47CD6">
    <w:pPr>
      <w:pStyle w:val="Header"/>
    </w:pPr>
    <w:r>
      <w:rPr>
        <w:noProof/>
      </w:rPr>
      <w:pict w14:anchorId="50B67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142D4" w14:textId="533F21DC" w:rsidR="00EA53B9" w:rsidRDefault="00C47CD6">
    <w:pPr>
      <w:pStyle w:val="Header"/>
    </w:pPr>
    <w:r>
      <w:rPr>
        <w:noProof/>
      </w:rPr>
      <w:pict w14:anchorId="2F07A4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6B49" w14:textId="186444FC" w:rsidR="00EA53B9" w:rsidRPr="00296529" w:rsidRDefault="00C47CD6" w:rsidP="00296529">
    <w:pPr>
      <w:ind w:left="2160"/>
      <w:jc w:val="center"/>
      <w:rPr>
        <w:rFonts w:ascii="Times New Roman" w:eastAsia="Calibri" w:hAnsi="Times New Roman"/>
        <w:i/>
        <w:sz w:val="18"/>
        <w:szCs w:val="22"/>
      </w:rPr>
    </w:pPr>
    <w:r>
      <w:rPr>
        <w:noProof/>
      </w:rPr>
      <w:pict w14:anchorId="24C7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EEA744" w14:textId="77777777" w:rsidR="00EA53B9" w:rsidRPr="00296529" w:rsidRDefault="00EA53B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B9383B8" w14:textId="77777777" w:rsidR="00EA53B9" w:rsidRPr="00296529" w:rsidRDefault="00EA53B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30DD2C" w14:textId="77777777" w:rsidR="00EA53B9" w:rsidRPr="00296529" w:rsidRDefault="00EA53B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A1A4B9" w14:textId="77777777" w:rsidR="00EA53B9" w:rsidRDefault="00EA53B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A39087B" w14:textId="77777777" w:rsidR="00EA53B9" w:rsidRDefault="00EA53B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906FDCC" w14:textId="77777777" w:rsidR="00EA53B9" w:rsidRDefault="00EA53B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E8677" w14:textId="70703E04" w:rsidR="00EA53B9" w:rsidRDefault="00C47CD6">
    <w:pPr>
      <w:pStyle w:val="Header"/>
    </w:pPr>
    <w:r>
      <w:rPr>
        <w:noProof/>
      </w:rPr>
      <w:pict w14:anchorId="549EF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A6C54" w14:textId="0847A2CC" w:rsidR="00EA53B9" w:rsidRDefault="00C47CD6">
    <w:pPr>
      <w:pStyle w:val="Header"/>
    </w:pPr>
    <w:r>
      <w:rPr>
        <w:noProof/>
      </w:rPr>
      <w:pict w14:anchorId="44FF1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86A14" w14:textId="54842465" w:rsidR="00EA53B9" w:rsidRDefault="00C47CD6">
    <w:pPr>
      <w:pStyle w:val="Header"/>
    </w:pPr>
    <w:r>
      <w:rPr>
        <w:noProof/>
      </w:rPr>
      <w:pict w14:anchorId="17FCB3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1811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E7AD8"/>
    <w:multiLevelType w:val="hybridMultilevel"/>
    <w:tmpl w:val="F168A2F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BDB677B"/>
    <w:multiLevelType w:val="hybridMultilevel"/>
    <w:tmpl w:val="708645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BF10183"/>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01600E"/>
    <w:multiLevelType w:val="hybridMultilevel"/>
    <w:tmpl w:val="79CAA41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38195929"/>
    <w:multiLevelType w:val="hybridMultilevel"/>
    <w:tmpl w:val="708645F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C6B21A3"/>
    <w:multiLevelType w:val="hybridMultilevel"/>
    <w:tmpl w:val="582E690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58F158F0"/>
    <w:multiLevelType w:val="hybridMultilevel"/>
    <w:tmpl w:val="C73CF9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D56668B"/>
    <w:multiLevelType w:val="hybridMultilevel"/>
    <w:tmpl w:val="79CAA4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FE0D25"/>
    <w:multiLevelType w:val="hybridMultilevel"/>
    <w:tmpl w:val="81E21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0" w15:restartNumberingAfterBreak="0">
    <w:nsid w:val="721274BC"/>
    <w:multiLevelType w:val="hybridMultilevel"/>
    <w:tmpl w:val="2D5C9E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0"/>
  </w:num>
  <w:num w:numId="5">
    <w:abstractNumId w:val="7"/>
  </w:num>
  <w:num w:numId="6">
    <w:abstractNumId w:val="1"/>
  </w:num>
  <w:num w:numId="7">
    <w:abstractNumId w:val="2"/>
  </w:num>
  <w:num w:numId="8">
    <w:abstractNumId w:val="6"/>
  </w:num>
  <w:num w:numId="9">
    <w:abstractNumId w:val="5"/>
  </w:num>
  <w:num w:numId="10">
    <w:abstractNumId w:val="10"/>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5F8B"/>
    <w:rsid w:val="000172A3"/>
    <w:rsid w:val="00030174"/>
    <w:rsid w:val="0004579C"/>
    <w:rsid w:val="00097315"/>
    <w:rsid w:val="000A47FA"/>
    <w:rsid w:val="000A65D3"/>
    <w:rsid w:val="000B1E33"/>
    <w:rsid w:val="000C53F7"/>
    <w:rsid w:val="000D689F"/>
    <w:rsid w:val="000E7B7B"/>
    <w:rsid w:val="000E7D62"/>
    <w:rsid w:val="000F363C"/>
    <w:rsid w:val="000F419E"/>
    <w:rsid w:val="00103357"/>
    <w:rsid w:val="00103862"/>
    <w:rsid w:val="00123C9F"/>
    <w:rsid w:val="00126190"/>
    <w:rsid w:val="00130F17"/>
    <w:rsid w:val="001320BF"/>
    <w:rsid w:val="0015634C"/>
    <w:rsid w:val="00163BC4"/>
    <w:rsid w:val="00174751"/>
    <w:rsid w:val="00174D4F"/>
    <w:rsid w:val="001751F4"/>
    <w:rsid w:val="00183EE3"/>
    <w:rsid w:val="00191062"/>
    <w:rsid w:val="00192B72"/>
    <w:rsid w:val="00192C02"/>
    <w:rsid w:val="001A29D8"/>
    <w:rsid w:val="001A5CAA"/>
    <w:rsid w:val="001B0427"/>
    <w:rsid w:val="001B2A82"/>
    <w:rsid w:val="001C70F4"/>
    <w:rsid w:val="001D3A51"/>
    <w:rsid w:val="001D48CA"/>
    <w:rsid w:val="001E10D2"/>
    <w:rsid w:val="001E25B4"/>
    <w:rsid w:val="001E3517"/>
    <w:rsid w:val="001E3C93"/>
    <w:rsid w:val="001E44FE"/>
    <w:rsid w:val="001E6931"/>
    <w:rsid w:val="00200595"/>
    <w:rsid w:val="002007C6"/>
    <w:rsid w:val="00204835"/>
    <w:rsid w:val="00204C4A"/>
    <w:rsid w:val="0022554F"/>
    <w:rsid w:val="00231920"/>
    <w:rsid w:val="0023195C"/>
    <w:rsid w:val="00235D89"/>
    <w:rsid w:val="00235D8C"/>
    <w:rsid w:val="0024282C"/>
    <w:rsid w:val="00244021"/>
    <w:rsid w:val="002460DC"/>
    <w:rsid w:val="00250985"/>
    <w:rsid w:val="00253D62"/>
    <w:rsid w:val="002556F6"/>
    <w:rsid w:val="00262B92"/>
    <w:rsid w:val="00271202"/>
    <w:rsid w:val="00282DC4"/>
    <w:rsid w:val="00283105"/>
    <w:rsid w:val="00284C4C"/>
    <w:rsid w:val="00287E68"/>
    <w:rsid w:val="00296529"/>
    <w:rsid w:val="002A1033"/>
    <w:rsid w:val="002B27FB"/>
    <w:rsid w:val="002B685A"/>
    <w:rsid w:val="002C2357"/>
    <w:rsid w:val="002C57D2"/>
    <w:rsid w:val="002D0589"/>
    <w:rsid w:val="002E0D56"/>
    <w:rsid w:val="002F0B26"/>
    <w:rsid w:val="002F64E3"/>
    <w:rsid w:val="003101A5"/>
    <w:rsid w:val="00315186"/>
    <w:rsid w:val="00323E82"/>
    <w:rsid w:val="003308E3"/>
    <w:rsid w:val="0033343E"/>
    <w:rsid w:val="00344803"/>
    <w:rsid w:val="003512C2"/>
    <w:rsid w:val="00357687"/>
    <w:rsid w:val="00364C17"/>
    <w:rsid w:val="0036557D"/>
    <w:rsid w:val="00365D42"/>
    <w:rsid w:val="00371FB6"/>
    <w:rsid w:val="003745CD"/>
    <w:rsid w:val="003763C1"/>
    <w:rsid w:val="00376BBE"/>
    <w:rsid w:val="00384677"/>
    <w:rsid w:val="0039224F"/>
    <w:rsid w:val="00394DAE"/>
    <w:rsid w:val="003A43A4"/>
    <w:rsid w:val="003A4A75"/>
    <w:rsid w:val="003A7E18"/>
    <w:rsid w:val="003B0832"/>
    <w:rsid w:val="003B4A7A"/>
    <w:rsid w:val="003C4C86"/>
    <w:rsid w:val="003C6258"/>
    <w:rsid w:val="003D2900"/>
    <w:rsid w:val="003E2904"/>
    <w:rsid w:val="00401927"/>
    <w:rsid w:val="0041027F"/>
    <w:rsid w:val="00412475"/>
    <w:rsid w:val="00417724"/>
    <w:rsid w:val="004208F9"/>
    <w:rsid w:val="00421CC7"/>
    <w:rsid w:val="00423789"/>
    <w:rsid w:val="00424B1A"/>
    <w:rsid w:val="00440F43"/>
    <w:rsid w:val="00441B6F"/>
    <w:rsid w:val="00446221"/>
    <w:rsid w:val="00450E62"/>
    <w:rsid w:val="00450EB1"/>
    <w:rsid w:val="004539DB"/>
    <w:rsid w:val="00471A80"/>
    <w:rsid w:val="00472FB9"/>
    <w:rsid w:val="00474A64"/>
    <w:rsid w:val="00477893"/>
    <w:rsid w:val="004849BD"/>
    <w:rsid w:val="00485AB3"/>
    <w:rsid w:val="00494B66"/>
    <w:rsid w:val="004B3EC9"/>
    <w:rsid w:val="004C01A7"/>
    <w:rsid w:val="004D2947"/>
    <w:rsid w:val="004D305E"/>
    <w:rsid w:val="004D4277"/>
    <w:rsid w:val="004F02E5"/>
    <w:rsid w:val="004F241A"/>
    <w:rsid w:val="004F28BA"/>
    <w:rsid w:val="00502516"/>
    <w:rsid w:val="00505F06"/>
    <w:rsid w:val="00506828"/>
    <w:rsid w:val="00510840"/>
    <w:rsid w:val="00514701"/>
    <w:rsid w:val="00522FCE"/>
    <w:rsid w:val="0053056E"/>
    <w:rsid w:val="00532E90"/>
    <w:rsid w:val="00542919"/>
    <w:rsid w:val="00550972"/>
    <w:rsid w:val="00551EBA"/>
    <w:rsid w:val="00554FDA"/>
    <w:rsid w:val="00555105"/>
    <w:rsid w:val="0057535D"/>
    <w:rsid w:val="00581549"/>
    <w:rsid w:val="005A066A"/>
    <w:rsid w:val="005A652D"/>
    <w:rsid w:val="005A7976"/>
    <w:rsid w:val="005B0B28"/>
    <w:rsid w:val="005B2F8B"/>
    <w:rsid w:val="005B3820"/>
    <w:rsid w:val="005C0B25"/>
    <w:rsid w:val="005C784C"/>
    <w:rsid w:val="005D17F6"/>
    <w:rsid w:val="005E5539"/>
    <w:rsid w:val="005F15A6"/>
    <w:rsid w:val="00602BF5"/>
    <w:rsid w:val="00614AA8"/>
    <w:rsid w:val="00617FDD"/>
    <w:rsid w:val="00625717"/>
    <w:rsid w:val="00633614"/>
    <w:rsid w:val="00633F68"/>
    <w:rsid w:val="00636EB2"/>
    <w:rsid w:val="006375B8"/>
    <w:rsid w:val="00644DF2"/>
    <w:rsid w:val="0066510A"/>
    <w:rsid w:val="00673F9F"/>
    <w:rsid w:val="00686190"/>
    <w:rsid w:val="00686547"/>
    <w:rsid w:val="00686953"/>
    <w:rsid w:val="00687DEA"/>
    <w:rsid w:val="00687E67"/>
    <w:rsid w:val="006967F7"/>
    <w:rsid w:val="006A250C"/>
    <w:rsid w:val="006A3873"/>
    <w:rsid w:val="006B21D3"/>
    <w:rsid w:val="006B57D0"/>
    <w:rsid w:val="006C06FF"/>
    <w:rsid w:val="006D30FF"/>
    <w:rsid w:val="006D64C5"/>
    <w:rsid w:val="006D6940"/>
    <w:rsid w:val="006D7AEE"/>
    <w:rsid w:val="006F11EC"/>
    <w:rsid w:val="006F6CF2"/>
    <w:rsid w:val="0070082C"/>
    <w:rsid w:val="00704ADA"/>
    <w:rsid w:val="007225B9"/>
    <w:rsid w:val="00723EFD"/>
    <w:rsid w:val="007310CE"/>
    <w:rsid w:val="00733986"/>
    <w:rsid w:val="007369E6"/>
    <w:rsid w:val="00737A24"/>
    <w:rsid w:val="00746E59"/>
    <w:rsid w:val="00754C9A"/>
    <w:rsid w:val="00755212"/>
    <w:rsid w:val="0075599A"/>
    <w:rsid w:val="00761D52"/>
    <w:rsid w:val="0077749E"/>
    <w:rsid w:val="00790ADA"/>
    <w:rsid w:val="00790B5C"/>
    <w:rsid w:val="007A6922"/>
    <w:rsid w:val="007B21FC"/>
    <w:rsid w:val="007B4FDE"/>
    <w:rsid w:val="007B535D"/>
    <w:rsid w:val="007D11F2"/>
    <w:rsid w:val="007D19C3"/>
    <w:rsid w:val="007D2288"/>
    <w:rsid w:val="007E088F"/>
    <w:rsid w:val="007E6D8F"/>
    <w:rsid w:val="007F7B32"/>
    <w:rsid w:val="00804BC2"/>
    <w:rsid w:val="00812951"/>
    <w:rsid w:val="0081431A"/>
    <w:rsid w:val="00817CAF"/>
    <w:rsid w:val="0083216F"/>
    <w:rsid w:val="00843C44"/>
    <w:rsid w:val="00851412"/>
    <w:rsid w:val="00854971"/>
    <w:rsid w:val="00856264"/>
    <w:rsid w:val="00860000"/>
    <w:rsid w:val="00863BD3"/>
    <w:rsid w:val="008641ED"/>
    <w:rsid w:val="00866D66"/>
    <w:rsid w:val="008671C6"/>
    <w:rsid w:val="00867871"/>
    <w:rsid w:val="00873A2A"/>
    <w:rsid w:val="00875803"/>
    <w:rsid w:val="00895E56"/>
    <w:rsid w:val="008969EA"/>
    <w:rsid w:val="008B459E"/>
    <w:rsid w:val="008C6C97"/>
    <w:rsid w:val="008E13AE"/>
    <w:rsid w:val="008E1506"/>
    <w:rsid w:val="008E710C"/>
    <w:rsid w:val="008F0713"/>
    <w:rsid w:val="008F69D6"/>
    <w:rsid w:val="00902823"/>
    <w:rsid w:val="009052F2"/>
    <w:rsid w:val="00915CA6"/>
    <w:rsid w:val="0091723A"/>
    <w:rsid w:val="00927834"/>
    <w:rsid w:val="00936460"/>
    <w:rsid w:val="00945BCC"/>
    <w:rsid w:val="009500A6"/>
    <w:rsid w:val="0095330A"/>
    <w:rsid w:val="00957C18"/>
    <w:rsid w:val="0096385D"/>
    <w:rsid w:val="009659BA"/>
    <w:rsid w:val="00971077"/>
    <w:rsid w:val="00974D0B"/>
    <w:rsid w:val="00983040"/>
    <w:rsid w:val="00986217"/>
    <w:rsid w:val="009B3FB9"/>
    <w:rsid w:val="009C1614"/>
    <w:rsid w:val="009C2465"/>
    <w:rsid w:val="009D28D9"/>
    <w:rsid w:val="009D35A0"/>
    <w:rsid w:val="009D4DFF"/>
    <w:rsid w:val="009D7EB7"/>
    <w:rsid w:val="009E048A"/>
    <w:rsid w:val="009E08E9"/>
    <w:rsid w:val="009E3DB9"/>
    <w:rsid w:val="009E44C6"/>
    <w:rsid w:val="009E6E35"/>
    <w:rsid w:val="009F0EDA"/>
    <w:rsid w:val="00A03B96"/>
    <w:rsid w:val="00A0571C"/>
    <w:rsid w:val="00A05B19"/>
    <w:rsid w:val="00A10D07"/>
    <w:rsid w:val="00A1134E"/>
    <w:rsid w:val="00A17051"/>
    <w:rsid w:val="00A22CA3"/>
    <w:rsid w:val="00A24E7E"/>
    <w:rsid w:val="00A258C3"/>
    <w:rsid w:val="00A27DAA"/>
    <w:rsid w:val="00A30060"/>
    <w:rsid w:val="00A347C0"/>
    <w:rsid w:val="00A4790D"/>
    <w:rsid w:val="00A51431"/>
    <w:rsid w:val="00A539AD"/>
    <w:rsid w:val="00A55194"/>
    <w:rsid w:val="00A55EE2"/>
    <w:rsid w:val="00A62DA2"/>
    <w:rsid w:val="00A633F9"/>
    <w:rsid w:val="00A802A4"/>
    <w:rsid w:val="00A86158"/>
    <w:rsid w:val="00A94063"/>
    <w:rsid w:val="00AA4430"/>
    <w:rsid w:val="00AA6219"/>
    <w:rsid w:val="00AA74E0"/>
    <w:rsid w:val="00AB00E6"/>
    <w:rsid w:val="00AB65BC"/>
    <w:rsid w:val="00AB703F"/>
    <w:rsid w:val="00AC601D"/>
    <w:rsid w:val="00AC6BB8"/>
    <w:rsid w:val="00AD53E0"/>
    <w:rsid w:val="00AE008F"/>
    <w:rsid w:val="00AE1448"/>
    <w:rsid w:val="00AE7201"/>
    <w:rsid w:val="00AE7FEC"/>
    <w:rsid w:val="00B01FCD"/>
    <w:rsid w:val="00B067C3"/>
    <w:rsid w:val="00B1776C"/>
    <w:rsid w:val="00B2026A"/>
    <w:rsid w:val="00B328FC"/>
    <w:rsid w:val="00B35299"/>
    <w:rsid w:val="00B47687"/>
    <w:rsid w:val="00B52583"/>
    <w:rsid w:val="00B52896"/>
    <w:rsid w:val="00B62479"/>
    <w:rsid w:val="00B6322E"/>
    <w:rsid w:val="00B77208"/>
    <w:rsid w:val="00B80966"/>
    <w:rsid w:val="00B95236"/>
    <w:rsid w:val="00B96BD9"/>
    <w:rsid w:val="00BA1B01"/>
    <w:rsid w:val="00BA2641"/>
    <w:rsid w:val="00BA27E0"/>
    <w:rsid w:val="00BB37AA"/>
    <w:rsid w:val="00BC53A0"/>
    <w:rsid w:val="00BC63A6"/>
    <w:rsid w:val="00BE251E"/>
    <w:rsid w:val="00BE62AD"/>
    <w:rsid w:val="00BF121F"/>
    <w:rsid w:val="00BF1F80"/>
    <w:rsid w:val="00BF1FC8"/>
    <w:rsid w:val="00BF5B74"/>
    <w:rsid w:val="00C166EF"/>
    <w:rsid w:val="00C17EB0"/>
    <w:rsid w:val="00C27F5F"/>
    <w:rsid w:val="00C30A0F"/>
    <w:rsid w:val="00C37E61"/>
    <w:rsid w:val="00C45C18"/>
    <w:rsid w:val="00C47CD6"/>
    <w:rsid w:val="00C521A3"/>
    <w:rsid w:val="00C70F1B"/>
    <w:rsid w:val="00C71A47"/>
    <w:rsid w:val="00C71BC0"/>
    <w:rsid w:val="00C7413E"/>
    <w:rsid w:val="00C7464C"/>
    <w:rsid w:val="00C85588"/>
    <w:rsid w:val="00C85F03"/>
    <w:rsid w:val="00CB4199"/>
    <w:rsid w:val="00CB4E9B"/>
    <w:rsid w:val="00CD1D08"/>
    <w:rsid w:val="00CD6755"/>
    <w:rsid w:val="00CD6856"/>
    <w:rsid w:val="00CE0089"/>
    <w:rsid w:val="00CE356C"/>
    <w:rsid w:val="00CE3589"/>
    <w:rsid w:val="00CE3BED"/>
    <w:rsid w:val="00CE793C"/>
    <w:rsid w:val="00CF193C"/>
    <w:rsid w:val="00CF2195"/>
    <w:rsid w:val="00D00E26"/>
    <w:rsid w:val="00D05294"/>
    <w:rsid w:val="00D05B95"/>
    <w:rsid w:val="00D0695E"/>
    <w:rsid w:val="00D077DD"/>
    <w:rsid w:val="00D1148A"/>
    <w:rsid w:val="00D173F1"/>
    <w:rsid w:val="00D21CE6"/>
    <w:rsid w:val="00D25BED"/>
    <w:rsid w:val="00D3229C"/>
    <w:rsid w:val="00D56B0C"/>
    <w:rsid w:val="00D74CB0"/>
    <w:rsid w:val="00D7585A"/>
    <w:rsid w:val="00D81FE0"/>
    <w:rsid w:val="00D8295D"/>
    <w:rsid w:val="00D90F61"/>
    <w:rsid w:val="00DA350C"/>
    <w:rsid w:val="00DA6E47"/>
    <w:rsid w:val="00DB2999"/>
    <w:rsid w:val="00DC2A65"/>
    <w:rsid w:val="00DC3624"/>
    <w:rsid w:val="00DE00A8"/>
    <w:rsid w:val="00DE15F0"/>
    <w:rsid w:val="00DE5663"/>
    <w:rsid w:val="00DE78AA"/>
    <w:rsid w:val="00E0142C"/>
    <w:rsid w:val="00E053D0"/>
    <w:rsid w:val="00E07C43"/>
    <w:rsid w:val="00E15994"/>
    <w:rsid w:val="00E215A6"/>
    <w:rsid w:val="00E218F7"/>
    <w:rsid w:val="00E253E0"/>
    <w:rsid w:val="00E26087"/>
    <w:rsid w:val="00E3114E"/>
    <w:rsid w:val="00E3197F"/>
    <w:rsid w:val="00E31A70"/>
    <w:rsid w:val="00E3208B"/>
    <w:rsid w:val="00E35B02"/>
    <w:rsid w:val="00E4187D"/>
    <w:rsid w:val="00E507DD"/>
    <w:rsid w:val="00E53D22"/>
    <w:rsid w:val="00E5674D"/>
    <w:rsid w:val="00E66496"/>
    <w:rsid w:val="00E66B35"/>
    <w:rsid w:val="00E66E10"/>
    <w:rsid w:val="00E702D5"/>
    <w:rsid w:val="00E769F6"/>
    <w:rsid w:val="00E8407C"/>
    <w:rsid w:val="00E84F3C"/>
    <w:rsid w:val="00E85EA2"/>
    <w:rsid w:val="00E87B96"/>
    <w:rsid w:val="00EA012C"/>
    <w:rsid w:val="00EA53B9"/>
    <w:rsid w:val="00EC1B25"/>
    <w:rsid w:val="00EC6A55"/>
    <w:rsid w:val="00ED0288"/>
    <w:rsid w:val="00EE52CB"/>
    <w:rsid w:val="00EF581D"/>
    <w:rsid w:val="00EF7FD8"/>
    <w:rsid w:val="00F06F59"/>
    <w:rsid w:val="00F1113F"/>
    <w:rsid w:val="00F1671E"/>
    <w:rsid w:val="00F17988"/>
    <w:rsid w:val="00F20867"/>
    <w:rsid w:val="00F4219E"/>
    <w:rsid w:val="00F4433B"/>
    <w:rsid w:val="00F469F0"/>
    <w:rsid w:val="00F53273"/>
    <w:rsid w:val="00F5786E"/>
    <w:rsid w:val="00F755E4"/>
    <w:rsid w:val="00F77D02"/>
    <w:rsid w:val="00F832DC"/>
    <w:rsid w:val="00FB0E71"/>
    <w:rsid w:val="00FB3A86"/>
    <w:rsid w:val="00FC7B34"/>
    <w:rsid w:val="00FD36C8"/>
    <w:rsid w:val="00FD6C2A"/>
    <w:rsid w:val="00FF53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D1C2416"/>
  <w15:docId w15:val="{028B7281-F547-49AC-ACBD-B7A72D3F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241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95330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ListParagraph1">
    <w:name w:val="List Paragraph1"/>
    <w:basedOn w:val="Normal"/>
    <w:next w:val="ListParagraph"/>
    <w:uiPriority w:val="34"/>
    <w:qFormat/>
    <w:rsid w:val="001E3517"/>
    <w:pPr>
      <w:spacing w:after="160" w:line="480" w:lineRule="auto"/>
      <w:ind w:left="720"/>
      <w:contextualSpacing/>
      <w:jc w:val="both"/>
    </w:pPr>
    <w:rPr>
      <w:rFonts w:ascii="Arial" w:eastAsia="Yu Mincho" w:hAnsi="Arial" w:cs="Arial"/>
      <w:kern w:val="2"/>
      <w:sz w:val="22"/>
      <w:szCs w:val="22"/>
      <w:lang w:eastAsia="ja-JP"/>
    </w:rPr>
  </w:style>
  <w:style w:type="paragraph" w:styleId="ListParagraph">
    <w:name w:val="List Paragraph"/>
    <w:basedOn w:val="Normal"/>
    <w:uiPriority w:val="34"/>
    <w:qFormat/>
    <w:rsid w:val="001E3517"/>
    <w:pPr>
      <w:ind w:left="720"/>
      <w:contextualSpacing/>
    </w:pPr>
  </w:style>
  <w:style w:type="table" w:customStyle="1" w:styleId="TableGrid1">
    <w:name w:val="Table Grid1"/>
    <w:basedOn w:val="TableNormal"/>
    <w:next w:val="TableGrid"/>
    <w:uiPriority w:val="39"/>
    <w:rsid w:val="0057535D"/>
    <w:rPr>
      <w:rFonts w:ascii="Arial" w:eastAsia="Yu Mincho" w:hAnsi="Arial" w:cs="Arial"/>
      <w:kern w:val="2"/>
      <w:sz w:val="22"/>
      <w:szCs w:val="22"/>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97315"/>
    <w:pPr>
      <w:spacing w:before="100" w:beforeAutospacing="1" w:after="100" w:afterAutospacing="1"/>
    </w:pPr>
    <w:rPr>
      <w:rFonts w:ascii="Times New Roman" w:hAnsi="Times New Roman"/>
      <w:sz w:val="24"/>
      <w:szCs w:val="24"/>
    </w:rPr>
  </w:style>
  <w:style w:type="character" w:customStyle="1" w:styleId="Heading2Char">
    <w:name w:val="Heading 2 Char"/>
    <w:basedOn w:val="DefaultParagraphFont"/>
    <w:link w:val="Heading2"/>
    <w:semiHidden/>
    <w:rsid w:val="0095330A"/>
    <w:rPr>
      <w:rFonts w:asciiTheme="majorHAnsi" w:eastAsiaTheme="majorEastAsia" w:hAnsiTheme="majorHAnsi" w:cstheme="majorBidi"/>
      <w:b/>
      <w:bCs/>
      <w:color w:val="4F81BD" w:themeColor="accent1"/>
      <w:sz w:val="26"/>
      <w:szCs w:val="26"/>
    </w:rPr>
  </w:style>
  <w:style w:type="character" w:customStyle="1" w:styleId="UnresolvedMention2">
    <w:name w:val="Unresolved Mention2"/>
    <w:basedOn w:val="DefaultParagraphFont"/>
    <w:uiPriority w:val="99"/>
    <w:semiHidden/>
    <w:unhideWhenUsed/>
    <w:rsid w:val="00963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3CA2B-2735-4C57-A34C-CC113A675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233</TotalTime>
  <Pages>15</Pages>
  <Words>6707</Words>
  <Characters>38235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44853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53</cp:revision>
  <cp:lastPrinted>1999-07-06T11:00:00Z</cp:lastPrinted>
  <dcterms:created xsi:type="dcterms:W3CDTF">2026-02-17T03:09:00Z</dcterms:created>
  <dcterms:modified xsi:type="dcterms:W3CDTF">2026-02-28T05:51:00Z</dcterms:modified>
</cp:coreProperties>
</file>