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4F982" w14:textId="33117E8E" w:rsidR="005D687D" w:rsidRPr="005D687D" w:rsidRDefault="005D687D" w:rsidP="005D687D">
      <w:pPr>
        <w:rPr>
          <w:rFonts w:ascii="Arial" w:hAnsi="Arial" w:cs="Arial"/>
          <w:b/>
          <w:bCs/>
          <w:sz w:val="20"/>
          <w:szCs w:val="20"/>
          <w:u w:val="single"/>
        </w:rPr>
      </w:pPr>
      <w:bookmarkStart w:id="0" w:name="_Hlk217248839"/>
      <w:r w:rsidRPr="005D687D">
        <w:rPr>
          <w:rFonts w:ascii="Arial" w:hAnsi="Arial" w:cs="Arial"/>
          <w:b/>
          <w:bCs/>
          <w:sz w:val="20"/>
          <w:szCs w:val="20"/>
          <w:u w:val="single"/>
        </w:rPr>
        <w:t>Review Article</w:t>
      </w:r>
    </w:p>
    <w:p w14:paraId="5D53FCD1" w14:textId="5B50FD5F" w:rsidR="00877640" w:rsidRDefault="00877640" w:rsidP="00877640">
      <w:pPr>
        <w:jc w:val="center"/>
        <w:rPr>
          <w:rFonts w:ascii="Arial" w:hAnsi="Arial" w:cs="Arial"/>
          <w:b/>
          <w:bCs/>
          <w:sz w:val="20"/>
          <w:szCs w:val="20"/>
        </w:rPr>
      </w:pPr>
      <w:r w:rsidRPr="00AD7332">
        <w:rPr>
          <w:rFonts w:ascii="Arial" w:hAnsi="Arial" w:cs="Arial"/>
          <w:b/>
          <w:bCs/>
          <w:sz w:val="20"/>
          <w:szCs w:val="20"/>
        </w:rPr>
        <w:t xml:space="preserve">Green Building as a Mechanism for Climate Change Adaptation </w:t>
      </w:r>
    </w:p>
    <w:p w14:paraId="6F7E26AF" w14:textId="77777777" w:rsidR="006019FA" w:rsidRPr="00AD7332" w:rsidRDefault="006019FA" w:rsidP="00877640">
      <w:pPr>
        <w:jc w:val="center"/>
        <w:rPr>
          <w:rFonts w:ascii="Arial" w:hAnsi="Arial" w:cs="Arial"/>
          <w:b/>
          <w:bCs/>
          <w:sz w:val="20"/>
          <w:szCs w:val="20"/>
        </w:rPr>
      </w:pPr>
    </w:p>
    <w:p w14:paraId="0B334ED5" w14:textId="77777777" w:rsidR="00D25BF4" w:rsidRDefault="00D25BF4" w:rsidP="006019FA">
      <w:pPr>
        <w:rPr>
          <w:rFonts w:ascii="Arial" w:hAnsi="Arial" w:cs="Arial"/>
          <w:b/>
          <w:bCs/>
          <w:sz w:val="20"/>
          <w:szCs w:val="20"/>
        </w:rPr>
      </w:pPr>
    </w:p>
    <w:p w14:paraId="1FA07311" w14:textId="6EE61151" w:rsidR="0032160F" w:rsidRPr="00AD7332" w:rsidRDefault="0032160F" w:rsidP="006019FA">
      <w:pPr>
        <w:rPr>
          <w:rFonts w:ascii="Arial" w:hAnsi="Arial" w:cs="Arial"/>
          <w:b/>
          <w:bCs/>
          <w:sz w:val="20"/>
          <w:szCs w:val="20"/>
        </w:rPr>
      </w:pPr>
      <w:r w:rsidRPr="00AD7332">
        <w:rPr>
          <w:rFonts w:ascii="Arial" w:hAnsi="Arial" w:cs="Arial"/>
          <w:b/>
          <w:bCs/>
          <w:sz w:val="20"/>
          <w:szCs w:val="20"/>
        </w:rPr>
        <w:t>ABSTRACT</w:t>
      </w:r>
    </w:p>
    <w:bookmarkEnd w:id="0"/>
    <w:p w14:paraId="6581DC22" w14:textId="037AD16F"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Climate change poses significant threats to the built environment, particularly in Sub-Saharan Africa where rapid urbanisation intersects with rising temperatures, erratic rainfall, flooding, and energy insecurity. While the building sector is widely </w:t>
      </w:r>
      <w:proofErr w:type="spellStart"/>
      <w:r w:rsidRPr="00AD7332">
        <w:rPr>
          <w:rFonts w:ascii="Arial" w:hAnsi="Arial" w:cs="Arial"/>
          <w:sz w:val="20"/>
          <w:szCs w:val="20"/>
        </w:rPr>
        <w:t>recognised</w:t>
      </w:r>
      <w:proofErr w:type="spellEnd"/>
      <w:r w:rsidRPr="00AD7332">
        <w:rPr>
          <w:rFonts w:ascii="Arial" w:hAnsi="Arial" w:cs="Arial"/>
          <w:sz w:val="20"/>
          <w:szCs w:val="20"/>
        </w:rPr>
        <w:t xml:space="preserve"> for its role in climate change mitigation, its potential contribution to climate change adaptation remains underexplored, especially within developing country contexts like Ghana. This paper examined green building as a mechanism for climate change adaptation by </w:t>
      </w:r>
      <w:proofErr w:type="spellStart"/>
      <w:r w:rsidRPr="00AD7332">
        <w:rPr>
          <w:rFonts w:ascii="Arial" w:hAnsi="Arial" w:cs="Arial"/>
          <w:sz w:val="20"/>
          <w:szCs w:val="20"/>
        </w:rPr>
        <w:t>synthesising</w:t>
      </w:r>
      <w:proofErr w:type="spellEnd"/>
      <w:r w:rsidRPr="00AD7332">
        <w:rPr>
          <w:rFonts w:ascii="Arial" w:hAnsi="Arial" w:cs="Arial"/>
          <w:sz w:val="20"/>
          <w:szCs w:val="20"/>
        </w:rPr>
        <w:t xml:space="preserve"> evidence from existing literature with a contextual focus on Ghana using a systematic review guided by the PRISMA framework. The findings revealed that green building principles such as climate-responsive design</w:t>
      </w:r>
      <w:r w:rsidR="00363D9F">
        <w:rPr>
          <w:rFonts w:ascii="Arial" w:hAnsi="Arial" w:cs="Arial"/>
          <w:sz w:val="20"/>
          <w:szCs w:val="20"/>
        </w:rPr>
        <w:t xml:space="preserve"> improves ventilation and shading whereas </w:t>
      </w:r>
      <w:r w:rsidR="005C2A46">
        <w:rPr>
          <w:rFonts w:ascii="Arial" w:hAnsi="Arial" w:cs="Arial"/>
          <w:sz w:val="20"/>
          <w:szCs w:val="20"/>
        </w:rPr>
        <w:t xml:space="preserve">the </w:t>
      </w:r>
      <w:r w:rsidRPr="00AD7332">
        <w:rPr>
          <w:rFonts w:ascii="Arial" w:hAnsi="Arial" w:cs="Arial"/>
          <w:sz w:val="20"/>
          <w:szCs w:val="20"/>
        </w:rPr>
        <w:t>use of locally appropriate materials</w:t>
      </w:r>
      <w:r w:rsidR="00363D9F">
        <w:rPr>
          <w:rFonts w:ascii="Arial" w:hAnsi="Arial" w:cs="Arial"/>
          <w:sz w:val="20"/>
          <w:szCs w:val="20"/>
        </w:rPr>
        <w:t xml:space="preserve"> lower environmental impacts, and </w:t>
      </w:r>
      <w:proofErr w:type="spellStart"/>
      <w:r w:rsidRPr="00AD7332">
        <w:rPr>
          <w:rFonts w:ascii="Arial" w:hAnsi="Arial" w:cs="Arial"/>
          <w:sz w:val="20"/>
          <w:szCs w:val="20"/>
        </w:rPr>
        <w:t>decentralised</w:t>
      </w:r>
      <w:proofErr w:type="spellEnd"/>
      <w:r w:rsidRPr="00AD7332">
        <w:rPr>
          <w:rFonts w:ascii="Arial" w:hAnsi="Arial" w:cs="Arial"/>
          <w:sz w:val="20"/>
          <w:szCs w:val="20"/>
        </w:rPr>
        <w:t xml:space="preserve"> renewable energy systems</w:t>
      </w:r>
      <w:r w:rsidR="00363D9F">
        <w:rPr>
          <w:rFonts w:ascii="Arial" w:hAnsi="Arial" w:cs="Arial"/>
          <w:sz w:val="20"/>
          <w:szCs w:val="20"/>
        </w:rPr>
        <w:t xml:space="preserve"> help buildings remain functional during grid failures. R</w:t>
      </w:r>
      <w:r w:rsidRPr="00AD7332">
        <w:rPr>
          <w:rFonts w:ascii="Arial" w:hAnsi="Arial" w:cs="Arial"/>
          <w:sz w:val="20"/>
          <w:szCs w:val="20"/>
        </w:rPr>
        <w:t>ainwater harvesting</w:t>
      </w:r>
      <w:r w:rsidR="00363D9F">
        <w:rPr>
          <w:rFonts w:ascii="Arial" w:hAnsi="Arial" w:cs="Arial"/>
          <w:sz w:val="20"/>
          <w:szCs w:val="20"/>
        </w:rPr>
        <w:t xml:space="preserve"> reduces pressure on local supply systems</w:t>
      </w:r>
      <w:r w:rsidRPr="00AD7332">
        <w:rPr>
          <w:rFonts w:ascii="Arial" w:hAnsi="Arial" w:cs="Arial"/>
          <w:sz w:val="20"/>
          <w:szCs w:val="20"/>
        </w:rPr>
        <w:t xml:space="preserve"> </w:t>
      </w:r>
      <w:r w:rsidR="00363D9F">
        <w:rPr>
          <w:rFonts w:ascii="Arial" w:hAnsi="Arial" w:cs="Arial"/>
          <w:sz w:val="20"/>
          <w:szCs w:val="20"/>
        </w:rPr>
        <w:t>while</w:t>
      </w:r>
      <w:r w:rsidRPr="00AD7332">
        <w:rPr>
          <w:rFonts w:ascii="Arial" w:hAnsi="Arial" w:cs="Arial"/>
          <w:sz w:val="20"/>
          <w:szCs w:val="20"/>
        </w:rPr>
        <w:t xml:space="preserve"> circular waste practices</w:t>
      </w:r>
      <w:r w:rsidR="00363D9F">
        <w:rPr>
          <w:rFonts w:ascii="Arial" w:hAnsi="Arial" w:cs="Arial"/>
          <w:sz w:val="20"/>
          <w:szCs w:val="20"/>
        </w:rPr>
        <w:t xml:space="preserve"> </w:t>
      </w:r>
      <w:r w:rsidRPr="00AD7332">
        <w:rPr>
          <w:rFonts w:ascii="Arial" w:hAnsi="Arial" w:cs="Arial"/>
          <w:sz w:val="20"/>
          <w:szCs w:val="20"/>
        </w:rPr>
        <w:t xml:space="preserve">significantly </w:t>
      </w:r>
      <w:r w:rsidR="005C2A46">
        <w:rPr>
          <w:rFonts w:ascii="Arial" w:hAnsi="Arial" w:cs="Arial"/>
          <w:sz w:val="20"/>
          <w:szCs w:val="20"/>
        </w:rPr>
        <w:t>reduce waste and environmental risks</w:t>
      </w:r>
      <w:r w:rsidRPr="00AD7332">
        <w:rPr>
          <w:rFonts w:ascii="Arial" w:hAnsi="Arial" w:cs="Arial"/>
          <w:sz w:val="20"/>
          <w:szCs w:val="20"/>
        </w:rPr>
        <w:t xml:space="preserve">. However, the review also highlighted persistent barriers to adoption in Ghana, including high upfront costs, limited technical capacity, weak enforcement of building regulations, and low stakeholder awareness. Embedding adaptation-oriented green building strategies into national policies, building codes, and financing mechanisms is essential to move from isolated pilot projects to large-scale impact. </w:t>
      </w:r>
    </w:p>
    <w:p w14:paraId="41E6DEB7" w14:textId="77777777" w:rsidR="00AD7332" w:rsidRPr="00AD7332" w:rsidRDefault="00AD7332" w:rsidP="00AD7332">
      <w:pPr>
        <w:jc w:val="both"/>
        <w:rPr>
          <w:rFonts w:ascii="Arial" w:hAnsi="Arial" w:cs="Arial"/>
          <w:i/>
          <w:iCs/>
          <w:sz w:val="20"/>
          <w:szCs w:val="20"/>
        </w:rPr>
      </w:pPr>
      <w:r w:rsidRPr="00AD7332">
        <w:rPr>
          <w:rFonts w:ascii="Arial" w:hAnsi="Arial" w:cs="Arial"/>
          <w:i/>
          <w:iCs/>
          <w:sz w:val="20"/>
          <w:szCs w:val="20"/>
        </w:rPr>
        <w:t>Keywords: Green building, climate change adaptation, built environment, sustainable construction</w:t>
      </w:r>
    </w:p>
    <w:p w14:paraId="22A80110" w14:textId="5380BCE0" w:rsidR="00B72DE8" w:rsidRPr="00AD7332" w:rsidRDefault="00B72DE8" w:rsidP="00B72DE8">
      <w:pPr>
        <w:jc w:val="both"/>
        <w:rPr>
          <w:rFonts w:ascii="Arial" w:hAnsi="Arial" w:cs="Arial"/>
          <w:b/>
          <w:bCs/>
          <w:sz w:val="20"/>
          <w:szCs w:val="20"/>
        </w:rPr>
      </w:pPr>
      <w:r w:rsidRPr="00AD7332">
        <w:rPr>
          <w:rFonts w:ascii="Arial" w:hAnsi="Arial" w:cs="Arial"/>
          <w:b/>
          <w:bCs/>
          <w:sz w:val="20"/>
          <w:szCs w:val="20"/>
        </w:rPr>
        <w:t>INTRODUCTION</w:t>
      </w:r>
    </w:p>
    <w:p w14:paraId="3BC27952" w14:textId="77777777"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The global climate crisis represents one of the most pressing challenges of the 21st century. Its impacts which include rising global temperatures, increased frequency of extreme weather events, and sea-level rise, transcending national borders and threatening ecosystems, economies, and human settlements worldwide (IPCC, 2022). In response, the international community has increasingly focused on two parallel strategies: climate change mitigation and climate change adaptation. Climate change mitigation addresses the causes of climate change by reducing greenhouse gas emissions and strengthening natural carbon sinks, while climate change adaptation focuses on adjusting human and environmental systems to withstand, manage, and recover from actual or anticipated impacts of climate change (UNEP, 2021). The building and construction sector is critically enmeshed in both strategies, being responsible for nearly 40% of global energy-related carbon dioxide emissions while also housing the populations most vulnerable to climatic shifts (Global Alliance for Buildings and Construction, 2021). This global challenge is acutely felt in the Sub-Saharan Africa region, which is disproportionately vulnerable to the adverse effects of climate change despite contributing the least to its causes. The region faces intensifying threats of prolonged droughts, erratic rainfall patterns, and intense heat waves, which severely strain infrastructure, water resources, agricultural productivity, and ultimately, human health and livelihoods (World Bank, 2020). Rapid urbanization across Sub-Saharan Africa further compounds these vulnerabilities, as burgeoning cities often expand with inadequate planning, leading to the proliferation of informal settlements that are highly susceptible to climate hazards like flooding and heat stress (Ajayi &amp; </w:t>
      </w:r>
      <w:proofErr w:type="spellStart"/>
      <w:r w:rsidRPr="00AD7332">
        <w:rPr>
          <w:rFonts w:ascii="Arial" w:hAnsi="Arial" w:cs="Arial"/>
          <w:sz w:val="20"/>
          <w:szCs w:val="20"/>
        </w:rPr>
        <w:t>Adegun</w:t>
      </w:r>
      <w:proofErr w:type="spellEnd"/>
      <w:r w:rsidRPr="00AD7332">
        <w:rPr>
          <w:rFonts w:ascii="Arial" w:hAnsi="Arial" w:cs="Arial"/>
          <w:sz w:val="20"/>
          <w:szCs w:val="20"/>
        </w:rPr>
        <w:t>, 2019). This context creates an urgent imperative for built environment solutions that are not only low-carbon but also inherently resilient to a changing climate.</w:t>
      </w:r>
    </w:p>
    <w:p w14:paraId="2EB50B24" w14:textId="5DD1862E"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Within this regional panorama, Ghana stands as a pertinent case study. As a rapidly developing nation, Ghana is experiencing significant economic growth and urban expansion, particularly in its major cities like Accra, </w:t>
      </w:r>
      <w:proofErr w:type="spellStart"/>
      <w:r w:rsidRPr="00AD7332">
        <w:rPr>
          <w:rFonts w:ascii="Arial" w:hAnsi="Arial" w:cs="Arial"/>
          <w:sz w:val="20"/>
          <w:szCs w:val="20"/>
        </w:rPr>
        <w:t>Tema</w:t>
      </w:r>
      <w:proofErr w:type="spellEnd"/>
      <w:r w:rsidRPr="00AD7332">
        <w:rPr>
          <w:rFonts w:ascii="Arial" w:hAnsi="Arial" w:cs="Arial"/>
          <w:sz w:val="20"/>
          <w:szCs w:val="20"/>
        </w:rPr>
        <w:t xml:space="preserve">, </w:t>
      </w:r>
      <w:proofErr w:type="spellStart"/>
      <w:r w:rsidRPr="00AD7332">
        <w:rPr>
          <w:rFonts w:ascii="Arial" w:hAnsi="Arial" w:cs="Arial"/>
          <w:sz w:val="20"/>
          <w:szCs w:val="20"/>
        </w:rPr>
        <w:t>Sekondi</w:t>
      </w:r>
      <w:proofErr w:type="spellEnd"/>
      <w:r w:rsidRPr="00AD7332">
        <w:rPr>
          <w:rFonts w:ascii="Arial" w:hAnsi="Arial" w:cs="Arial"/>
          <w:sz w:val="20"/>
          <w:szCs w:val="20"/>
        </w:rPr>
        <w:t xml:space="preserve">, Takoradi, Tamale, and Kumasi. However, this development is increasingly being threatened by the palpable impacts of climate change. Coastal erosion endangers vital communities and </w:t>
      </w:r>
      <w:r w:rsidRPr="00AD7332">
        <w:rPr>
          <w:rFonts w:ascii="Arial" w:hAnsi="Arial" w:cs="Arial"/>
          <w:sz w:val="20"/>
          <w:szCs w:val="20"/>
        </w:rPr>
        <w:lastRenderedPageBreak/>
        <w:t>infrastructure along its shoreline, while recurrent and severe flooding in urban centers disrupts lives, damages property, and cripples’ economic activity (Ghana Statistical Service, 2021). Rising temperatures contribute to increased energy demand for cooling, placing additional stress on the national grid and escalating energy costs (Amankwah et al., 2020; Yeboah et al., 2025). Conventional building practices in Ghana, which often prioritize low initial cost without considering long-term operational efficiency or environmental impact, are ill-suited to address these mounting challenges. They frequently rely on energy-intensive materials and designs that exacerbate the urban heat island effect and depend heavily on artificial cooling systems (Ofori-Boadu et al., 2018). This underscores a critical gap in the current approach to construction and urban development. It is against this backdrop that the concept of green buildings emerges as a potential catalyst for systemic change. Green building is defined as a holistic practice that seeks to increase the efficiency with which buildings and their sites use energy, water, and materials while reducing building impacts on human health and the environment across the entire lifecycle (U.S. Environmental Protection Agency, 2023). While often celebrated for their mitigation benefits through energy and water conservation, the inherent design principles of green buildings such as passive solar design, enhanced ventilation, use of thermal mass, rainwater harvesting, and sustainable site selection are fundamentally aligned with adaptation objectives. These features can significantly enhance a building’s resilience to heat, flooding, and water scarcity (</w:t>
      </w:r>
      <w:r w:rsidR="00231105">
        <w:rPr>
          <w:rFonts w:ascii="Arial" w:hAnsi="Arial" w:cs="Arial"/>
          <w:sz w:val="20"/>
          <w:szCs w:val="20"/>
        </w:rPr>
        <w:t>Xi et al., 2022</w:t>
      </w:r>
      <w:r w:rsidRPr="00AD7332">
        <w:rPr>
          <w:rFonts w:ascii="Arial" w:hAnsi="Arial" w:cs="Arial"/>
          <w:sz w:val="20"/>
          <w:szCs w:val="20"/>
        </w:rPr>
        <w:t>). However, the specific role of green building design as a strategic tool for climate change adaptation remains underexplored within the Ghanaian context. While studies have examined drivers and barriers to green building adoption broadly (Darko et al., 2017), there is a paucity of research that systematically investigates its potential to fortify Ghana’s built environment against climatic risks. Therefore, this paper seeks to address this knowledge gap by investigating how green building practices can serve as a mechanism for climate change adaptation in Ghana. It examines the adaptive capacities of green building features, assess the current policy and market landscape, and propose a framework for integrating adaptation core into Ghana’s sustainable construction agenda.</w:t>
      </w:r>
    </w:p>
    <w:p w14:paraId="3724CBE8" w14:textId="77777777" w:rsidR="005E4F62" w:rsidRPr="00AD7332" w:rsidRDefault="005E4F62" w:rsidP="005E4F62">
      <w:pPr>
        <w:jc w:val="both"/>
        <w:rPr>
          <w:rFonts w:ascii="Arial" w:hAnsi="Arial" w:cs="Arial"/>
          <w:sz w:val="20"/>
          <w:szCs w:val="20"/>
        </w:rPr>
      </w:pPr>
      <w:r w:rsidRPr="00AD7332">
        <w:rPr>
          <w:rFonts w:ascii="Arial" w:hAnsi="Arial" w:cs="Arial"/>
          <w:b/>
          <w:bCs/>
          <w:sz w:val="20"/>
          <w:szCs w:val="20"/>
        </w:rPr>
        <w:t>2.0 LITERATURE REVIEW</w:t>
      </w:r>
    </w:p>
    <w:p w14:paraId="19AF5A93" w14:textId="77777777" w:rsidR="005E4F62" w:rsidRPr="00AD7332" w:rsidRDefault="005E4F62" w:rsidP="005E4F62">
      <w:pPr>
        <w:jc w:val="both"/>
        <w:rPr>
          <w:rFonts w:ascii="Arial" w:hAnsi="Arial" w:cs="Arial"/>
          <w:sz w:val="20"/>
          <w:szCs w:val="20"/>
        </w:rPr>
      </w:pPr>
      <w:r w:rsidRPr="00AD7332">
        <w:rPr>
          <w:rFonts w:ascii="Arial" w:hAnsi="Arial" w:cs="Arial"/>
          <w:b/>
          <w:bCs/>
          <w:sz w:val="20"/>
          <w:szCs w:val="20"/>
        </w:rPr>
        <w:t>2.1 Overview of Green Building in Ghana </w:t>
      </w:r>
    </w:p>
    <w:p w14:paraId="6066B3C7" w14:textId="5A56527C"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The conversation around green buildings in Ghana has grown steadily as the country confronts the realities of climate change. Communities are dealing with hotter temperatures, unpredictable rainfall, and frequent flooding, all of which put pressure on homes and infrastructure (IPCC, 2022; </w:t>
      </w:r>
      <w:r w:rsidR="005C5381">
        <w:rPr>
          <w:rFonts w:ascii="Arial" w:hAnsi="Arial" w:cs="Arial"/>
          <w:sz w:val="20"/>
          <w:szCs w:val="20"/>
        </w:rPr>
        <w:t>Ahmed et al., 2022</w:t>
      </w:r>
      <w:r w:rsidRPr="00AD7332">
        <w:rPr>
          <w:rFonts w:ascii="Arial" w:hAnsi="Arial" w:cs="Arial"/>
          <w:sz w:val="20"/>
          <w:szCs w:val="20"/>
        </w:rPr>
        <w:t>). Conventional building methods, which often depend on heavy use of cement, steel, and other energy-demanding materials, are not well suited to these challenges. Green buildings are emerging as an alternative, promoting designs that save energy, use natural ventilation, reduce water waste, and integrate renewable technologies such as solar power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proofErr w:type="spellStart"/>
      <w:r w:rsidR="0027214A">
        <w:rPr>
          <w:rFonts w:ascii="Arial" w:hAnsi="Arial" w:cs="Arial"/>
          <w:sz w:val="20"/>
          <w:szCs w:val="20"/>
        </w:rPr>
        <w:t>Anzagira</w:t>
      </w:r>
      <w:proofErr w:type="spellEnd"/>
      <w:r w:rsidR="0027214A">
        <w:rPr>
          <w:rFonts w:ascii="Arial" w:hAnsi="Arial" w:cs="Arial"/>
          <w:sz w:val="20"/>
          <w:szCs w:val="20"/>
        </w:rPr>
        <w:t xml:space="preserve"> et al</w:t>
      </w:r>
      <w:r w:rsidR="0027214A" w:rsidRPr="00AD7332">
        <w:rPr>
          <w:rFonts w:ascii="Arial" w:hAnsi="Arial" w:cs="Arial"/>
          <w:sz w:val="20"/>
          <w:szCs w:val="20"/>
        </w:rPr>
        <w:t>.</w:t>
      </w:r>
      <w:r w:rsidRPr="00AD7332">
        <w:rPr>
          <w:rFonts w:ascii="Arial" w:hAnsi="Arial" w:cs="Arial"/>
          <w:sz w:val="20"/>
          <w:szCs w:val="20"/>
        </w:rPr>
        <w:t>, 20</w:t>
      </w:r>
      <w:r w:rsidR="0027214A">
        <w:rPr>
          <w:rFonts w:ascii="Arial" w:hAnsi="Arial" w:cs="Arial"/>
          <w:sz w:val="20"/>
          <w:szCs w:val="20"/>
        </w:rPr>
        <w:t>22</w:t>
      </w:r>
      <w:r w:rsidRPr="00AD7332">
        <w:rPr>
          <w:rFonts w:ascii="Arial" w:hAnsi="Arial" w:cs="Arial"/>
          <w:sz w:val="20"/>
          <w:szCs w:val="20"/>
        </w:rPr>
        <w:t>). These approaches are not only environmentally responsible but also improve the comfort and well-being of occupants (</w:t>
      </w:r>
      <w:r w:rsidR="00231105">
        <w:rPr>
          <w:rFonts w:ascii="Arial" w:hAnsi="Arial" w:cs="Arial"/>
          <w:sz w:val="20"/>
          <w:szCs w:val="20"/>
        </w:rPr>
        <w:t xml:space="preserve">Fu et al., 2021; </w:t>
      </w:r>
      <w:r w:rsidRPr="00AD7332">
        <w:rPr>
          <w:rFonts w:ascii="Arial" w:hAnsi="Arial" w:cs="Arial"/>
          <w:sz w:val="20"/>
          <w:szCs w:val="20"/>
        </w:rPr>
        <w:t>Berry &amp; Davidson, 2015). Despite their potential, green building practices are still in the early stages of adoption in Ghana. The Ghana Green Building Council has been active in creating awareness and encouraging professional training, while government has introduced policies aimed at improving energy efficiency in the construction sector (Ali et al., 2021). The pace of progress has been slow. High initial costs, limited technical skills, and low public awareness continue to discourage developers and homeowners (Ikram et al., 2021; Cui et al., 2020). For many, the long-term benefits such as reduced energy bills and healthier living conditions, are overshadowed by the upfront expenses of adopting sustainable designs (</w:t>
      </w:r>
      <w:proofErr w:type="spellStart"/>
      <w:r w:rsidRPr="00AD7332">
        <w:rPr>
          <w:rFonts w:ascii="Arial" w:hAnsi="Arial" w:cs="Arial"/>
          <w:sz w:val="20"/>
          <w:szCs w:val="20"/>
        </w:rPr>
        <w:t>Akomea</w:t>
      </w:r>
      <w:proofErr w:type="spellEnd"/>
      <w:r w:rsidRPr="00AD7332">
        <w:rPr>
          <w:rFonts w:ascii="Arial" w:hAnsi="Arial" w:cs="Arial"/>
          <w:sz w:val="20"/>
          <w:szCs w:val="20"/>
        </w:rPr>
        <w:t xml:space="preserve">-Frimpong et al., 2022; Agwu et al., 2024). Even with these barriers, there are promising examples of green building in practice. A few pilot projects in the cities of Accra and Kumasi demonstrate that sustainable construction is possible and can be adapted to the local context (Ali et al., 2021, Dankwah, 2024, Owusu-Ansah, 2024). These projects show how eco-friendly approaches can be integrated into urban housing and infrastructure, especially at a time when Ghana’s cities are rapidly expanding. If scaled up, the initiatives could play an important role in reducing emissions, strengthening energy security, and helping communities adapt to climate risks (Cohen et al., 2021; </w:t>
      </w:r>
      <w:r w:rsidR="00D73FB5">
        <w:rPr>
          <w:rFonts w:ascii="Arial" w:hAnsi="Arial" w:cs="Arial"/>
          <w:sz w:val="20"/>
          <w:szCs w:val="20"/>
        </w:rPr>
        <w:t>Dinko &amp; Bahati</w:t>
      </w:r>
      <w:r w:rsidRPr="00AD7332">
        <w:rPr>
          <w:rFonts w:ascii="Arial" w:hAnsi="Arial" w:cs="Arial"/>
          <w:sz w:val="20"/>
          <w:szCs w:val="20"/>
        </w:rPr>
        <w:t>, 20</w:t>
      </w:r>
      <w:r w:rsidR="00D73FB5">
        <w:rPr>
          <w:rFonts w:ascii="Arial" w:hAnsi="Arial" w:cs="Arial"/>
          <w:sz w:val="20"/>
          <w:szCs w:val="20"/>
        </w:rPr>
        <w:t>23</w:t>
      </w:r>
      <w:r w:rsidRPr="00AD7332">
        <w:rPr>
          <w:rFonts w:ascii="Arial" w:hAnsi="Arial" w:cs="Arial"/>
          <w:sz w:val="20"/>
          <w:szCs w:val="20"/>
        </w:rPr>
        <w:t>; Debrah et al., 2022). In this way, green building is not just an innovation but a necessary step toward creating more climate change resilience and sustainable cities in Ghana.</w:t>
      </w:r>
    </w:p>
    <w:p w14:paraId="5F0BD333"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lastRenderedPageBreak/>
        <w:t>2.2 Adaptation Strategies </w:t>
      </w:r>
    </w:p>
    <w:p w14:paraId="63B239AC" w14:textId="62B7C54E"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Climate change continues to threaten the stability of human settlements, and the challenge is even more pressing in fast-growing countries like Ghana. Rising temperatures, erratic rainfall, and flooding are already shaping the way communities live and interact with their environment (IPCC, 2022; </w:t>
      </w:r>
      <w:r w:rsidR="00193DBF">
        <w:rPr>
          <w:rFonts w:ascii="Arial" w:hAnsi="Arial" w:cs="Arial"/>
          <w:sz w:val="20"/>
          <w:szCs w:val="20"/>
        </w:rPr>
        <w:t>Ahmed et al., 2022</w:t>
      </w:r>
      <w:r w:rsidRPr="00AD7332">
        <w:rPr>
          <w:rFonts w:ascii="Arial" w:hAnsi="Arial" w:cs="Arial"/>
          <w:sz w:val="20"/>
          <w:szCs w:val="20"/>
        </w:rPr>
        <w:t xml:space="preserve">). To cope with these realities, different forms of adaptation have been developed, ranging from national policy measures to community-based practices (Kom et al., 2020; </w:t>
      </w:r>
      <w:r w:rsidR="00D73FB5">
        <w:rPr>
          <w:rFonts w:ascii="Arial" w:hAnsi="Arial" w:cs="Arial"/>
          <w:sz w:val="20"/>
          <w:szCs w:val="20"/>
        </w:rPr>
        <w:t>Dinko &amp; Bahati</w:t>
      </w:r>
      <w:r w:rsidRPr="00AD7332">
        <w:rPr>
          <w:rFonts w:ascii="Arial" w:hAnsi="Arial" w:cs="Arial"/>
          <w:sz w:val="20"/>
          <w:szCs w:val="20"/>
        </w:rPr>
        <w:t>, 20</w:t>
      </w:r>
      <w:r w:rsidR="00551424">
        <w:rPr>
          <w:rFonts w:ascii="Arial" w:hAnsi="Arial" w:cs="Arial"/>
          <w:sz w:val="20"/>
          <w:szCs w:val="20"/>
        </w:rPr>
        <w:t>23</w:t>
      </w:r>
      <w:r w:rsidRPr="00AD7332">
        <w:rPr>
          <w:rFonts w:ascii="Arial" w:hAnsi="Arial" w:cs="Arial"/>
          <w:sz w:val="20"/>
          <w:szCs w:val="20"/>
        </w:rPr>
        <w:t xml:space="preserve">). Globally, approaches such as technological innovation, sustainable planning, and ecosystem restoration have been emphasized (Owusu &amp; </w:t>
      </w:r>
      <w:proofErr w:type="spellStart"/>
      <w:r w:rsidRPr="00AD7332">
        <w:rPr>
          <w:rFonts w:ascii="Arial" w:hAnsi="Arial" w:cs="Arial"/>
          <w:sz w:val="20"/>
          <w:szCs w:val="20"/>
        </w:rPr>
        <w:t>Asumadu</w:t>
      </w:r>
      <w:proofErr w:type="spellEnd"/>
      <w:r w:rsidRPr="00AD7332">
        <w:rPr>
          <w:rFonts w:ascii="Arial" w:hAnsi="Arial" w:cs="Arial"/>
          <w:sz w:val="20"/>
          <w:szCs w:val="20"/>
        </w:rPr>
        <w:t>-Sarkodie, 2016, Aronson et al., 2020). These ideas are gradually finding space in Ghanaian urban development debates, with green building practices emerging as one of the most promising avenues (Ali et al., 2021; Addy et al., 2021). Unlike stand-alone interventions, green buildings offer a more integrated approach, bringing together energy efficiency, water management, sustainable materials, and nature-based solutions under a single framework that can support both climate resilience and sustainable urban growth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proofErr w:type="spellStart"/>
      <w:r w:rsidR="0027214A">
        <w:rPr>
          <w:rFonts w:ascii="Arial" w:hAnsi="Arial" w:cs="Arial"/>
          <w:sz w:val="20"/>
          <w:szCs w:val="20"/>
        </w:rPr>
        <w:t>Anzagira</w:t>
      </w:r>
      <w:proofErr w:type="spellEnd"/>
      <w:r w:rsidR="0027214A">
        <w:rPr>
          <w:rFonts w:ascii="Arial" w:hAnsi="Arial" w:cs="Arial"/>
          <w:sz w:val="20"/>
          <w:szCs w:val="20"/>
        </w:rPr>
        <w:t xml:space="preserve"> et al</w:t>
      </w:r>
      <w:r w:rsidR="0027214A" w:rsidRPr="00AD7332">
        <w:rPr>
          <w:rFonts w:ascii="Arial" w:hAnsi="Arial" w:cs="Arial"/>
          <w:sz w:val="20"/>
          <w:szCs w:val="20"/>
        </w:rPr>
        <w:t>.</w:t>
      </w:r>
      <w:r w:rsidR="0027214A">
        <w:rPr>
          <w:rFonts w:ascii="Arial" w:hAnsi="Arial" w:cs="Arial"/>
          <w:sz w:val="20"/>
          <w:szCs w:val="20"/>
        </w:rPr>
        <w:t xml:space="preserve"> 2022</w:t>
      </w:r>
      <w:r w:rsidRPr="00AD7332">
        <w:rPr>
          <w:rFonts w:ascii="Arial" w:hAnsi="Arial" w:cs="Arial"/>
          <w:sz w:val="20"/>
          <w:szCs w:val="20"/>
        </w:rPr>
        <w:t>; Owusu-Manu et al., 2023). Green building adaptation strategies have to do with building design and construction materials, energy efficiency, water efficiency, and waste management.</w:t>
      </w:r>
    </w:p>
    <w:p w14:paraId="475B55C6" w14:textId="44593ACF" w:rsidR="00AD7332" w:rsidRPr="00AD7332" w:rsidRDefault="00AD7332" w:rsidP="00AD7332">
      <w:pPr>
        <w:jc w:val="both"/>
        <w:rPr>
          <w:rFonts w:ascii="Arial" w:hAnsi="Arial" w:cs="Arial"/>
          <w:sz w:val="20"/>
          <w:szCs w:val="20"/>
        </w:rPr>
      </w:pPr>
      <w:r w:rsidRPr="00AD7332">
        <w:rPr>
          <w:rFonts w:ascii="Arial" w:hAnsi="Arial" w:cs="Arial"/>
          <w:b/>
          <w:bCs/>
          <w:sz w:val="20"/>
          <w:szCs w:val="20"/>
        </w:rPr>
        <w:t>Design and Materials</w:t>
      </w:r>
      <w:r w:rsidRPr="00AD7332">
        <w:rPr>
          <w:rFonts w:ascii="Arial" w:hAnsi="Arial" w:cs="Arial"/>
          <w:sz w:val="20"/>
          <w:szCs w:val="20"/>
        </w:rPr>
        <w:t>: In Ghana, building design and material choices are key strategies for climate change adaptation. Proper orientation to maximize daylight and natural ventilation reduces reliance on cooling systems, while the use of local materials such as laterite blocks and bamboo provides affordable, low-carbon, and climate-resilient alternatives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r w:rsidR="00193DBF">
        <w:rPr>
          <w:rFonts w:ascii="Arial" w:hAnsi="Arial" w:cs="Arial"/>
          <w:sz w:val="20"/>
          <w:szCs w:val="20"/>
        </w:rPr>
        <w:t>Ahmed et al., 2022</w:t>
      </w:r>
      <w:r w:rsidRPr="00AD7332">
        <w:rPr>
          <w:rFonts w:ascii="Arial" w:hAnsi="Arial" w:cs="Arial"/>
          <w:sz w:val="20"/>
          <w:szCs w:val="20"/>
        </w:rPr>
        <w:t xml:space="preserve">). These approaches not only enhance energy efficiency and comfort but also reflect local cultural and economic realities, making design and material considerations practical pathways for advancing green buildings as tools for adaptation (Owusu &amp; </w:t>
      </w:r>
      <w:proofErr w:type="spellStart"/>
      <w:r w:rsidRPr="00AD7332">
        <w:rPr>
          <w:rFonts w:ascii="Arial" w:hAnsi="Arial" w:cs="Arial"/>
          <w:sz w:val="20"/>
          <w:szCs w:val="20"/>
        </w:rPr>
        <w:t>Asumadu</w:t>
      </w:r>
      <w:proofErr w:type="spellEnd"/>
      <w:r w:rsidRPr="00AD7332">
        <w:rPr>
          <w:rFonts w:ascii="Arial" w:hAnsi="Arial" w:cs="Arial"/>
          <w:sz w:val="20"/>
          <w:szCs w:val="20"/>
        </w:rPr>
        <w:t xml:space="preserve">-Sarkodie, 2016; IPCC, 2022; </w:t>
      </w:r>
      <w:proofErr w:type="spellStart"/>
      <w:r w:rsidR="00AC097F">
        <w:rPr>
          <w:rFonts w:ascii="Arial" w:hAnsi="Arial" w:cs="Arial"/>
          <w:sz w:val="20"/>
          <w:szCs w:val="20"/>
        </w:rPr>
        <w:t>Anzagira</w:t>
      </w:r>
      <w:proofErr w:type="spellEnd"/>
      <w:r w:rsidR="00AC097F">
        <w:rPr>
          <w:rFonts w:ascii="Arial" w:hAnsi="Arial" w:cs="Arial"/>
          <w:sz w:val="20"/>
          <w:szCs w:val="20"/>
        </w:rPr>
        <w:t xml:space="preserve"> et al</w:t>
      </w:r>
      <w:r w:rsidR="00AC097F" w:rsidRPr="00AD7332">
        <w:rPr>
          <w:rFonts w:ascii="Arial" w:hAnsi="Arial" w:cs="Arial"/>
          <w:sz w:val="20"/>
          <w:szCs w:val="20"/>
        </w:rPr>
        <w:t>.</w:t>
      </w:r>
      <w:r w:rsidR="00AC097F">
        <w:rPr>
          <w:rFonts w:ascii="Arial" w:hAnsi="Arial" w:cs="Arial"/>
          <w:sz w:val="20"/>
          <w:szCs w:val="20"/>
        </w:rPr>
        <w:t>, 2022</w:t>
      </w:r>
      <w:r w:rsidRPr="00AD7332">
        <w:rPr>
          <w:rFonts w:ascii="Arial" w:hAnsi="Arial" w:cs="Arial"/>
          <w:sz w:val="20"/>
          <w:szCs w:val="20"/>
        </w:rPr>
        <w:t>).</w:t>
      </w:r>
    </w:p>
    <w:p w14:paraId="15F6620D" w14:textId="5426F74B" w:rsidR="00AD7332" w:rsidRPr="00AD7332" w:rsidRDefault="00AD7332" w:rsidP="00AD7332">
      <w:pPr>
        <w:jc w:val="both"/>
        <w:rPr>
          <w:rFonts w:ascii="Arial" w:hAnsi="Arial" w:cs="Arial"/>
          <w:sz w:val="20"/>
          <w:szCs w:val="20"/>
        </w:rPr>
      </w:pPr>
      <w:r w:rsidRPr="00AD7332">
        <w:rPr>
          <w:rFonts w:ascii="Arial" w:hAnsi="Arial" w:cs="Arial"/>
          <w:b/>
          <w:bCs/>
          <w:sz w:val="20"/>
          <w:szCs w:val="20"/>
        </w:rPr>
        <w:t>Efficient and Renewable Energy</w:t>
      </w:r>
      <w:r w:rsidRPr="00AD7332">
        <w:rPr>
          <w:rFonts w:ascii="Arial" w:hAnsi="Arial" w:cs="Arial"/>
          <w:sz w:val="20"/>
          <w:szCs w:val="20"/>
        </w:rPr>
        <w:t>: Energy efficiency and renewable energy are central to adapting buildings to climate change. By reducing unnecessary energy use through measures like natural ventilation, proper insulation, and efficient appliances, buildings become less dependent on unstable power supplies while lowering costs and emissions (</w:t>
      </w:r>
      <w:r w:rsidR="00390697">
        <w:rPr>
          <w:rFonts w:ascii="Arial" w:hAnsi="Arial" w:cs="Arial"/>
          <w:sz w:val="20"/>
          <w:szCs w:val="20"/>
        </w:rPr>
        <w:t xml:space="preserve">Keena </w:t>
      </w:r>
      <w:r w:rsidR="00390697" w:rsidRPr="00AD7332">
        <w:rPr>
          <w:rFonts w:ascii="Arial" w:hAnsi="Arial" w:cs="Arial"/>
          <w:sz w:val="20"/>
          <w:szCs w:val="20"/>
        </w:rPr>
        <w:t>et al.</w:t>
      </w:r>
      <w:r w:rsidR="00390697">
        <w:rPr>
          <w:rFonts w:ascii="Arial" w:hAnsi="Arial" w:cs="Arial"/>
          <w:sz w:val="20"/>
          <w:szCs w:val="20"/>
        </w:rPr>
        <w:t>, 2022</w:t>
      </w:r>
      <w:r w:rsidRPr="00AD7332">
        <w:rPr>
          <w:rFonts w:ascii="Arial" w:hAnsi="Arial" w:cs="Arial"/>
          <w:sz w:val="20"/>
          <w:szCs w:val="20"/>
        </w:rPr>
        <w:t xml:space="preserve">; Cohen et al., 2021). In Ghana, where electricity demand is rising and supply is often unreliable, renewable options such as solar power provide a practical and resilient alternative to fossil fuels (Owusu &amp; </w:t>
      </w:r>
      <w:proofErr w:type="spellStart"/>
      <w:r w:rsidRPr="00AD7332">
        <w:rPr>
          <w:rFonts w:ascii="Arial" w:hAnsi="Arial" w:cs="Arial"/>
          <w:sz w:val="20"/>
          <w:szCs w:val="20"/>
        </w:rPr>
        <w:t>Asumadu</w:t>
      </w:r>
      <w:proofErr w:type="spellEnd"/>
      <w:r w:rsidRPr="00AD7332">
        <w:rPr>
          <w:rFonts w:ascii="Arial" w:hAnsi="Arial" w:cs="Arial"/>
          <w:sz w:val="20"/>
          <w:szCs w:val="20"/>
        </w:rPr>
        <w:t>-Sarkodie, 2016; Ali et al., 2021). Together, these strategies not only cut environmental impacts but also strengthen the ability of communities to cope with energy challenges, making green buildings an important pathway for sustainable and climate-resilient development (</w:t>
      </w:r>
      <w:r w:rsidR="00193DBF">
        <w:rPr>
          <w:rFonts w:ascii="Arial" w:hAnsi="Arial" w:cs="Arial"/>
          <w:sz w:val="20"/>
          <w:szCs w:val="20"/>
        </w:rPr>
        <w:t>Ahmed et al., 2022</w:t>
      </w:r>
      <w:r w:rsidRPr="00AD7332">
        <w:rPr>
          <w:rFonts w:ascii="Arial" w:hAnsi="Arial" w:cs="Arial"/>
          <w:sz w:val="20"/>
          <w:szCs w:val="20"/>
        </w:rPr>
        <w:t>; IPCC, 2022; Owusu-Manu et al., 2023).</w:t>
      </w:r>
    </w:p>
    <w:p w14:paraId="281C4D63" w14:textId="24C8F7B4" w:rsidR="00AD7332" w:rsidRPr="00AD7332" w:rsidRDefault="00AD7332" w:rsidP="00AD7332">
      <w:pPr>
        <w:jc w:val="both"/>
        <w:rPr>
          <w:rFonts w:ascii="Arial" w:hAnsi="Arial" w:cs="Arial"/>
          <w:sz w:val="20"/>
          <w:szCs w:val="20"/>
        </w:rPr>
      </w:pPr>
      <w:r w:rsidRPr="00AD7332">
        <w:rPr>
          <w:rFonts w:ascii="Arial" w:hAnsi="Arial" w:cs="Arial"/>
          <w:b/>
          <w:bCs/>
          <w:sz w:val="20"/>
          <w:szCs w:val="20"/>
        </w:rPr>
        <w:t>Water Efficiency</w:t>
      </w:r>
      <w:r w:rsidRPr="00AD7332">
        <w:rPr>
          <w:rFonts w:ascii="Arial" w:hAnsi="Arial" w:cs="Arial"/>
          <w:sz w:val="20"/>
          <w:szCs w:val="20"/>
        </w:rPr>
        <w:t xml:space="preserve">: Water efficiency is a vital adaptation strategy in green building design, especially in countries like Ghana where climate change is altering rainfall patterns and straining water resources (IPCC, 2022; </w:t>
      </w:r>
      <w:r w:rsidR="00551424">
        <w:rPr>
          <w:rFonts w:ascii="Arial" w:hAnsi="Arial" w:cs="Arial"/>
          <w:sz w:val="20"/>
          <w:szCs w:val="20"/>
        </w:rPr>
        <w:t>Dinko &amp; Bahati</w:t>
      </w:r>
      <w:r w:rsidRPr="00AD7332">
        <w:rPr>
          <w:rFonts w:ascii="Arial" w:hAnsi="Arial" w:cs="Arial"/>
          <w:sz w:val="20"/>
          <w:szCs w:val="20"/>
        </w:rPr>
        <w:t>, 20</w:t>
      </w:r>
      <w:r w:rsidR="00551424">
        <w:rPr>
          <w:rFonts w:ascii="Arial" w:hAnsi="Arial" w:cs="Arial"/>
          <w:sz w:val="20"/>
          <w:szCs w:val="20"/>
        </w:rPr>
        <w:t>23</w:t>
      </w:r>
      <w:r w:rsidRPr="00AD7332">
        <w:rPr>
          <w:rFonts w:ascii="Arial" w:hAnsi="Arial" w:cs="Arial"/>
          <w:sz w:val="20"/>
          <w:szCs w:val="20"/>
        </w:rPr>
        <w:t>). By adopting measures such as rainwater harvesting, greywater reuse, low-flow fixtures, and climate-friendly landscaping, green buildings reduce unnecessary water use while ensuring long-term resilience (</w:t>
      </w:r>
      <w:r w:rsidR="00390697">
        <w:rPr>
          <w:rFonts w:ascii="Arial" w:hAnsi="Arial" w:cs="Arial"/>
          <w:sz w:val="20"/>
          <w:szCs w:val="20"/>
        </w:rPr>
        <w:t xml:space="preserve">Keena </w:t>
      </w:r>
      <w:r w:rsidR="00390697" w:rsidRPr="00AD7332">
        <w:rPr>
          <w:rFonts w:ascii="Arial" w:hAnsi="Arial" w:cs="Arial"/>
          <w:sz w:val="20"/>
          <w:szCs w:val="20"/>
        </w:rPr>
        <w:t>et al.</w:t>
      </w:r>
      <w:r w:rsidR="00390697">
        <w:rPr>
          <w:rFonts w:ascii="Arial" w:hAnsi="Arial" w:cs="Arial"/>
          <w:sz w:val="20"/>
          <w:szCs w:val="20"/>
        </w:rPr>
        <w:t>, 2022</w:t>
      </w:r>
      <w:r w:rsidRPr="00AD7332">
        <w:rPr>
          <w:rFonts w:ascii="Arial" w:hAnsi="Arial" w:cs="Arial"/>
          <w:sz w:val="20"/>
          <w:szCs w:val="20"/>
        </w:rPr>
        <w:t>; Owusu-Manu et al., 2023). These practices not only lower utility costs but also help communities cope with increasing water stress, making buildings more sustainable and better prepared for future climatic challenges (</w:t>
      </w:r>
      <w:r w:rsidR="00193DBF">
        <w:rPr>
          <w:rFonts w:ascii="Arial" w:hAnsi="Arial" w:cs="Arial"/>
          <w:sz w:val="20"/>
          <w:szCs w:val="20"/>
        </w:rPr>
        <w:t>Ahmed et al., 2022</w:t>
      </w:r>
      <w:r w:rsidRPr="00AD7332">
        <w:rPr>
          <w:rFonts w:ascii="Arial" w:hAnsi="Arial" w:cs="Arial"/>
          <w:sz w:val="20"/>
          <w:szCs w:val="20"/>
        </w:rPr>
        <w:t>; Ali et al., 2021). In this way, water efficiency supports both environmental conservation and climate adaptation in Ghana’s urban development (Tozer, 2020; Chan et al., 2018; Addy et al., 2021).</w:t>
      </w:r>
    </w:p>
    <w:p w14:paraId="60D19F70" w14:textId="67106CA0" w:rsidR="00AD7332" w:rsidRPr="00AD7332" w:rsidRDefault="00AD7332" w:rsidP="00AD7332">
      <w:pPr>
        <w:jc w:val="both"/>
        <w:rPr>
          <w:rFonts w:ascii="Arial" w:hAnsi="Arial" w:cs="Arial"/>
          <w:sz w:val="20"/>
          <w:szCs w:val="20"/>
        </w:rPr>
      </w:pPr>
      <w:r w:rsidRPr="00AD7332">
        <w:rPr>
          <w:rFonts w:ascii="Arial" w:hAnsi="Arial" w:cs="Arial"/>
          <w:b/>
          <w:bCs/>
          <w:sz w:val="20"/>
          <w:szCs w:val="20"/>
        </w:rPr>
        <w:t>Waste Management</w:t>
      </w:r>
      <w:r w:rsidRPr="00AD7332">
        <w:rPr>
          <w:rFonts w:ascii="Arial" w:hAnsi="Arial" w:cs="Arial"/>
          <w:sz w:val="20"/>
          <w:szCs w:val="20"/>
        </w:rPr>
        <w:t>: Waste management forms a crucial part of green building practices and offers Ghana a practical way to respond to the pressures of climate change. Through strategies such as reducing construction waste, recycling, and reusing materials, green buildings ease the strain on natural resources while supporting more responsible urban growth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r w:rsidR="00390697">
        <w:rPr>
          <w:rFonts w:ascii="Arial" w:hAnsi="Arial" w:cs="Arial"/>
          <w:sz w:val="20"/>
          <w:szCs w:val="20"/>
        </w:rPr>
        <w:t xml:space="preserve">Keena </w:t>
      </w:r>
      <w:r w:rsidR="00390697" w:rsidRPr="00AD7332">
        <w:rPr>
          <w:rFonts w:ascii="Arial" w:hAnsi="Arial" w:cs="Arial"/>
          <w:sz w:val="20"/>
          <w:szCs w:val="20"/>
        </w:rPr>
        <w:t>et al.</w:t>
      </w:r>
      <w:r w:rsidR="00390697">
        <w:rPr>
          <w:rFonts w:ascii="Arial" w:hAnsi="Arial" w:cs="Arial"/>
          <w:sz w:val="20"/>
          <w:szCs w:val="20"/>
        </w:rPr>
        <w:t>, 2022</w:t>
      </w:r>
      <w:r w:rsidRPr="00AD7332">
        <w:rPr>
          <w:rFonts w:ascii="Arial" w:hAnsi="Arial" w:cs="Arial"/>
          <w:sz w:val="20"/>
          <w:szCs w:val="20"/>
        </w:rPr>
        <w:t xml:space="preserve">). In Ghana’s fast-growing cities, where waste disposal remains a pressing challenge, these measures can lower pollution, safeguard public health, and strengthen community resilience (Ali et al., 2021; Addy et al., 2021). The IPCC (2022) stresses that sustainable waste management does not only limit environmental damage, it also helps protect ecosystems and enhances the capacity of societies to adapt to climate risks. By </w:t>
      </w:r>
      <w:r w:rsidRPr="00AD7332">
        <w:rPr>
          <w:rFonts w:ascii="Arial" w:hAnsi="Arial" w:cs="Arial"/>
          <w:sz w:val="20"/>
          <w:szCs w:val="20"/>
        </w:rPr>
        <w:lastRenderedPageBreak/>
        <w:t>embedding waste management into the design and operation of buildings, Ghana can move toward cleaner, healthier, and more climate-ready urban spaces.</w:t>
      </w:r>
    </w:p>
    <w:p w14:paraId="64DE68AC" w14:textId="77777777" w:rsidR="00AD7332" w:rsidRPr="00AD7332" w:rsidRDefault="00AD7332" w:rsidP="00AD7332">
      <w:pPr>
        <w:jc w:val="both"/>
        <w:rPr>
          <w:rFonts w:ascii="Arial" w:hAnsi="Arial" w:cs="Arial"/>
          <w:sz w:val="20"/>
          <w:szCs w:val="20"/>
        </w:rPr>
      </w:pPr>
      <w:r w:rsidRPr="00AD7332">
        <w:rPr>
          <w:rFonts w:ascii="Arial" w:hAnsi="Arial" w:cs="Arial"/>
          <w:b/>
          <w:bCs/>
          <w:sz w:val="20"/>
          <w:szCs w:val="20"/>
        </w:rPr>
        <w:t>2.3 Green Building  </w:t>
      </w:r>
    </w:p>
    <w:p w14:paraId="43627849" w14:textId="4CFE5778"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Climate change is forcing societies to rethink how the built environment is designed and managed. Rising temperatures, erratic rainfall, and frequent flooding are placing immense pressure on buildings and infrastructure, exposing the limits of traditional construction approaches that are often ill-prepared for such stresses (IPCC, 2022; </w:t>
      </w:r>
      <w:r w:rsidR="00193DBF">
        <w:rPr>
          <w:rFonts w:ascii="Arial" w:hAnsi="Arial" w:cs="Arial"/>
          <w:sz w:val="20"/>
          <w:szCs w:val="20"/>
        </w:rPr>
        <w:t>Ahmed et al., 2022</w:t>
      </w:r>
      <w:r w:rsidRPr="00AD7332">
        <w:rPr>
          <w:rFonts w:ascii="Arial" w:hAnsi="Arial" w:cs="Arial"/>
          <w:sz w:val="20"/>
          <w:szCs w:val="20"/>
        </w:rPr>
        <w:t xml:space="preserve">). As a result, attention has been drawn to green building as a practical strategy to strengthen both sustainability and resilience (Owusu &amp; </w:t>
      </w:r>
      <w:proofErr w:type="spellStart"/>
      <w:r w:rsidRPr="00AD7332">
        <w:rPr>
          <w:rFonts w:ascii="Arial" w:hAnsi="Arial" w:cs="Arial"/>
          <w:sz w:val="20"/>
          <w:szCs w:val="20"/>
        </w:rPr>
        <w:t>Asumadu</w:t>
      </w:r>
      <w:proofErr w:type="spellEnd"/>
      <w:r w:rsidRPr="00AD7332">
        <w:rPr>
          <w:rFonts w:ascii="Arial" w:hAnsi="Arial" w:cs="Arial"/>
          <w:sz w:val="20"/>
          <w:szCs w:val="20"/>
        </w:rPr>
        <w:t xml:space="preserve">-Sarkodie, 2016; </w:t>
      </w:r>
      <w:proofErr w:type="spellStart"/>
      <w:r w:rsidR="00551424">
        <w:rPr>
          <w:rFonts w:ascii="Arial" w:hAnsi="Arial" w:cs="Arial"/>
          <w:sz w:val="20"/>
          <w:szCs w:val="20"/>
        </w:rPr>
        <w:t>Dinko</w:t>
      </w:r>
      <w:proofErr w:type="spellEnd"/>
      <w:r w:rsidR="00551424">
        <w:rPr>
          <w:rFonts w:ascii="Arial" w:hAnsi="Arial" w:cs="Arial"/>
          <w:sz w:val="20"/>
          <w:szCs w:val="20"/>
        </w:rPr>
        <w:t xml:space="preserve"> &amp; Bahati</w:t>
      </w:r>
      <w:r w:rsidRPr="00AD7332">
        <w:rPr>
          <w:rFonts w:ascii="Arial" w:hAnsi="Arial" w:cs="Arial"/>
          <w:sz w:val="20"/>
          <w:szCs w:val="20"/>
        </w:rPr>
        <w:t>, 20</w:t>
      </w:r>
      <w:r w:rsidR="00551424">
        <w:rPr>
          <w:rFonts w:ascii="Arial" w:hAnsi="Arial" w:cs="Arial"/>
          <w:sz w:val="20"/>
          <w:szCs w:val="20"/>
        </w:rPr>
        <w:t>23</w:t>
      </w:r>
      <w:r w:rsidRPr="00AD7332">
        <w:rPr>
          <w:rFonts w:ascii="Arial" w:hAnsi="Arial" w:cs="Arial"/>
          <w:sz w:val="20"/>
          <w:szCs w:val="20"/>
        </w:rPr>
        <w:t>). Green buildings go beyond conventional construction by incorporating features that lower environmental impacts while enhancing the ability of structures to withstand climate-related risks (Saleh et al., 2024; Ezeani et al., 2025). Practices maximizing natural ventilation, installing energy-efficient systems, harvesting rainwater, and using sustainable materials ensure that these buildings are better suited to cope with extreme weather events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r w:rsidR="00292473">
        <w:rPr>
          <w:rFonts w:ascii="Arial" w:hAnsi="Arial" w:cs="Arial"/>
          <w:sz w:val="20"/>
          <w:szCs w:val="20"/>
        </w:rPr>
        <w:t>00</w:t>
      </w:r>
      <w:r w:rsidRPr="00AD7332">
        <w:rPr>
          <w:rFonts w:ascii="Arial" w:hAnsi="Arial" w:cs="Arial"/>
          <w:sz w:val="20"/>
          <w:szCs w:val="20"/>
        </w:rPr>
        <w:t xml:space="preserve"> et al., 2018). At the same time, they help cut reliance on fossil fuels, improve energy efficiency, and provide healthier and more comfortable indoor spaces, aligning with both mitigation and adaptation goals (Berry &amp; Davidson, 2015; Cohen et al., 2021). In Ghana, the relevance of green building is particularly strong given the country’s rapid urban growth and mounting climate pressures. Introducing renewable energy systems, water-saving technologies, and locally sourced materials into building designs can ease environmental strain while helping communities adapt to challenges such as heatwaves and flooding (Ali et al., 2021; Owusu-Manu et al., 2023). Yet, widespread adoption has been held back by barriers including high initial costs, weak enforcement of building codes, and limited awareness among developers and homeowners (</w:t>
      </w:r>
      <w:proofErr w:type="spellStart"/>
      <w:r w:rsidRPr="00AD7332">
        <w:rPr>
          <w:rFonts w:ascii="Arial" w:hAnsi="Arial" w:cs="Arial"/>
          <w:sz w:val="20"/>
          <w:szCs w:val="20"/>
        </w:rPr>
        <w:t>Listokin</w:t>
      </w:r>
      <w:proofErr w:type="spellEnd"/>
      <w:r w:rsidRPr="00AD7332">
        <w:rPr>
          <w:rFonts w:ascii="Arial" w:hAnsi="Arial" w:cs="Arial"/>
          <w:sz w:val="20"/>
          <w:szCs w:val="20"/>
        </w:rPr>
        <w:t xml:space="preserve"> &amp; </w:t>
      </w:r>
      <w:proofErr w:type="spellStart"/>
      <w:r w:rsidRPr="00AD7332">
        <w:rPr>
          <w:rFonts w:ascii="Arial" w:hAnsi="Arial" w:cs="Arial"/>
          <w:sz w:val="20"/>
          <w:szCs w:val="20"/>
        </w:rPr>
        <w:t>Hattis</w:t>
      </w:r>
      <w:proofErr w:type="spellEnd"/>
      <w:r w:rsidRPr="00AD7332">
        <w:rPr>
          <w:rFonts w:ascii="Arial" w:hAnsi="Arial" w:cs="Arial"/>
          <w:sz w:val="20"/>
          <w:szCs w:val="20"/>
        </w:rPr>
        <w:t>, 2005; Choi, 2009). Even so, increasing interest from government institutions, financial actors, and professionals’ signals that the momentum is building (Chan et al., 2018; Addy et al., 2021).</w:t>
      </w:r>
    </w:p>
    <w:p w14:paraId="37C84B67" w14:textId="33189B45" w:rsidR="005E4F62" w:rsidRPr="00AD7332" w:rsidRDefault="005E4F62" w:rsidP="005E4F62">
      <w:pPr>
        <w:jc w:val="both"/>
        <w:rPr>
          <w:rFonts w:ascii="Arial" w:hAnsi="Arial" w:cs="Arial"/>
          <w:sz w:val="20"/>
          <w:szCs w:val="20"/>
        </w:rPr>
      </w:pPr>
      <w:r w:rsidRPr="00AD7332">
        <w:rPr>
          <w:rFonts w:ascii="Arial" w:hAnsi="Arial" w:cs="Arial"/>
          <w:b/>
          <w:bCs/>
          <w:sz w:val="20"/>
          <w:szCs w:val="20"/>
        </w:rPr>
        <w:t>3.0 METHODOLOGY</w:t>
      </w:r>
      <w:r w:rsidR="00B96D5C">
        <w:rPr>
          <w:rFonts w:ascii="Arial" w:hAnsi="Arial" w:cs="Arial"/>
          <w:b/>
          <w:bCs/>
          <w:sz w:val="20"/>
          <w:szCs w:val="20"/>
        </w:rPr>
        <w:t xml:space="preserve"> </w:t>
      </w:r>
    </w:p>
    <w:p w14:paraId="258BD498" w14:textId="4A1576BD" w:rsidR="00276C51" w:rsidRPr="00276C51" w:rsidRDefault="00276C51" w:rsidP="00276C51">
      <w:pPr>
        <w:jc w:val="both"/>
        <w:rPr>
          <w:rFonts w:ascii="Arial" w:hAnsi="Arial" w:cs="Arial"/>
          <w:sz w:val="20"/>
          <w:szCs w:val="20"/>
        </w:rPr>
      </w:pPr>
      <w:r w:rsidRPr="00276C51">
        <w:rPr>
          <w:rFonts w:ascii="Arial" w:hAnsi="Arial" w:cs="Arial"/>
          <w:sz w:val="20"/>
          <w:szCs w:val="20"/>
        </w:rPr>
        <w:t xml:space="preserve">This article </w:t>
      </w:r>
      <w:proofErr w:type="spellStart"/>
      <w:r w:rsidRPr="00276C51">
        <w:rPr>
          <w:rFonts w:ascii="Arial" w:hAnsi="Arial" w:cs="Arial"/>
          <w:sz w:val="20"/>
          <w:szCs w:val="20"/>
        </w:rPr>
        <w:t>utilises</w:t>
      </w:r>
      <w:proofErr w:type="spellEnd"/>
      <w:r w:rsidRPr="00276C51">
        <w:rPr>
          <w:rFonts w:ascii="Arial" w:hAnsi="Arial" w:cs="Arial"/>
          <w:sz w:val="20"/>
          <w:szCs w:val="20"/>
        </w:rPr>
        <w:t xml:space="preserve"> a systematic review approach to examine the role of green buildings as a conduit for climate change adaptation through the synthesis of existing peer-reviewed literature. Literature reviews are carried out for several purposes including providing a clear overview of the existing knowledge base within a specific research domain, examining the extent to which prior studies reveal consistent patterns or trends within the literature, and consolidating empirical evidence relevant to a defined research question in order to support analytical validity (</w:t>
      </w:r>
      <w:r w:rsidR="00CE36A3">
        <w:rPr>
          <w:rFonts w:ascii="Arial" w:hAnsi="Arial" w:cs="Arial"/>
          <w:sz w:val="20"/>
          <w:szCs w:val="20"/>
        </w:rPr>
        <w:t xml:space="preserve">Chigbu et al., 2023; </w:t>
      </w:r>
      <w:proofErr w:type="spellStart"/>
      <w:r w:rsidRPr="00276C51">
        <w:rPr>
          <w:rFonts w:ascii="Arial" w:hAnsi="Arial" w:cs="Arial"/>
          <w:sz w:val="20"/>
          <w:szCs w:val="20"/>
        </w:rPr>
        <w:t>Paré</w:t>
      </w:r>
      <w:proofErr w:type="spellEnd"/>
      <w:r w:rsidRPr="00276C51">
        <w:rPr>
          <w:rFonts w:ascii="Arial" w:hAnsi="Arial" w:cs="Arial"/>
          <w:sz w:val="20"/>
          <w:szCs w:val="20"/>
        </w:rPr>
        <w:t xml:space="preserve"> &amp; </w:t>
      </w:r>
      <w:proofErr w:type="spellStart"/>
      <w:r w:rsidRPr="00276C51">
        <w:rPr>
          <w:rFonts w:ascii="Arial" w:hAnsi="Arial" w:cs="Arial"/>
          <w:sz w:val="20"/>
          <w:szCs w:val="20"/>
        </w:rPr>
        <w:t>Kitsiou</w:t>
      </w:r>
      <w:proofErr w:type="spellEnd"/>
      <w:r w:rsidRPr="00276C51">
        <w:rPr>
          <w:rFonts w:ascii="Arial" w:hAnsi="Arial" w:cs="Arial"/>
          <w:sz w:val="20"/>
          <w:szCs w:val="20"/>
        </w:rPr>
        <w:t>, 2017).</w:t>
      </w:r>
    </w:p>
    <w:p w14:paraId="7BAB0185" w14:textId="7B29A6A0" w:rsidR="00AD7332" w:rsidRPr="00AD7332" w:rsidRDefault="00AD7332" w:rsidP="00AD7332">
      <w:pPr>
        <w:jc w:val="both"/>
        <w:rPr>
          <w:rFonts w:ascii="Arial" w:hAnsi="Arial" w:cs="Arial"/>
          <w:sz w:val="20"/>
          <w:szCs w:val="20"/>
        </w:rPr>
      </w:pPr>
      <w:r w:rsidRPr="00AD7332">
        <w:rPr>
          <w:rFonts w:ascii="Arial" w:hAnsi="Arial" w:cs="Arial"/>
          <w:sz w:val="20"/>
          <w:szCs w:val="20"/>
        </w:rPr>
        <w:t xml:space="preserve">In this paper, the review undertaken explored how green buildings can be used as a tool for climate change adaptation. The process was guided by the Preferred Reporting Items for Systematic Reviews and Meta-Analyses (2020) reporting framework, which offers internationally accepted standards for conducting and reporting systematic reviews and helps to </w:t>
      </w:r>
      <w:proofErr w:type="spellStart"/>
      <w:r w:rsidRPr="00AD7332">
        <w:rPr>
          <w:rFonts w:ascii="Arial" w:hAnsi="Arial" w:cs="Arial"/>
          <w:sz w:val="20"/>
          <w:szCs w:val="20"/>
        </w:rPr>
        <w:t>minimise</w:t>
      </w:r>
      <w:proofErr w:type="spellEnd"/>
      <w:r w:rsidRPr="00AD7332">
        <w:rPr>
          <w:rFonts w:ascii="Arial" w:hAnsi="Arial" w:cs="Arial"/>
          <w:sz w:val="20"/>
          <w:szCs w:val="20"/>
        </w:rPr>
        <w:t xml:space="preserve"> selection bias (Page et al., 2021). A strategic literature search was conducted across some academic databases including ScienceDirect, Scopus, Taylor &amp; Francis Online, and Google Scholar</w:t>
      </w:r>
      <w:r w:rsidR="00276C51">
        <w:rPr>
          <w:rFonts w:ascii="Arial" w:hAnsi="Arial" w:cs="Arial"/>
          <w:sz w:val="20"/>
          <w:szCs w:val="20"/>
        </w:rPr>
        <w:t xml:space="preserve"> using </w:t>
      </w:r>
      <w:r w:rsidRPr="00AD7332">
        <w:rPr>
          <w:rFonts w:ascii="Arial" w:hAnsi="Arial" w:cs="Arial"/>
          <w:sz w:val="20"/>
          <w:szCs w:val="20"/>
        </w:rPr>
        <w:t>carefully selected keywords to capture studies related to green buildings, climate change</w:t>
      </w:r>
      <w:r w:rsidR="00276C51">
        <w:rPr>
          <w:rFonts w:ascii="Arial" w:hAnsi="Arial" w:cs="Arial"/>
          <w:sz w:val="20"/>
          <w:szCs w:val="20"/>
        </w:rPr>
        <w:t xml:space="preserve"> and</w:t>
      </w:r>
      <w:r w:rsidRPr="00AD7332">
        <w:rPr>
          <w:rFonts w:ascii="Arial" w:hAnsi="Arial" w:cs="Arial"/>
          <w:sz w:val="20"/>
          <w:szCs w:val="20"/>
        </w:rPr>
        <w:t xml:space="preserve"> the built environment</w:t>
      </w:r>
      <w:r w:rsidR="00276C51">
        <w:rPr>
          <w:rFonts w:ascii="Arial" w:hAnsi="Arial" w:cs="Arial"/>
          <w:sz w:val="20"/>
          <w:szCs w:val="20"/>
        </w:rPr>
        <w:t>. The search was conducted only for English-language</w:t>
      </w:r>
      <w:r w:rsidRPr="00AD7332">
        <w:rPr>
          <w:rFonts w:ascii="Arial" w:hAnsi="Arial" w:cs="Arial"/>
          <w:sz w:val="20"/>
          <w:szCs w:val="20"/>
        </w:rPr>
        <w:t xml:space="preserve"> </w:t>
      </w:r>
      <w:r w:rsidR="00276C51">
        <w:rPr>
          <w:rFonts w:ascii="Arial" w:hAnsi="Arial" w:cs="Arial"/>
          <w:sz w:val="20"/>
          <w:szCs w:val="20"/>
        </w:rPr>
        <w:t xml:space="preserve">publications. </w:t>
      </w:r>
      <w:r w:rsidRPr="00AD7332">
        <w:rPr>
          <w:rFonts w:ascii="Arial" w:hAnsi="Arial" w:cs="Arial"/>
          <w:sz w:val="20"/>
          <w:szCs w:val="20"/>
        </w:rPr>
        <w:t>Clear inclusion and exclusion criteria were defined prior to screening in order to maintain objectivity; eligible studies addressed the research topic directly and presented empirical, theoretical, or review-based contributions, while editorials, conference papers, and studies lacking sufficient methodological detail were excluded. Following the removal of duplicate records, titles and abstracts were screened, after which full-text articles were assessed for final inclusion. The selection process was documented using a PRISMA flow diagram, enhancing transparency and reproducibility (</w:t>
      </w:r>
      <w:r w:rsidR="00CE36A3">
        <w:rPr>
          <w:rFonts w:ascii="Arial" w:hAnsi="Arial" w:cs="Arial"/>
          <w:sz w:val="20"/>
          <w:szCs w:val="20"/>
        </w:rPr>
        <w:t xml:space="preserve">Haddaway et al., 2021; </w:t>
      </w:r>
      <w:r w:rsidRPr="00AD7332">
        <w:rPr>
          <w:rFonts w:ascii="Arial" w:hAnsi="Arial" w:cs="Arial"/>
          <w:sz w:val="20"/>
          <w:szCs w:val="20"/>
        </w:rPr>
        <w:t xml:space="preserve">Page et al., 2021). Data were extracted systematically using a </w:t>
      </w:r>
      <w:proofErr w:type="spellStart"/>
      <w:r w:rsidRPr="00AD7332">
        <w:rPr>
          <w:rFonts w:ascii="Arial" w:hAnsi="Arial" w:cs="Arial"/>
          <w:sz w:val="20"/>
          <w:szCs w:val="20"/>
        </w:rPr>
        <w:t>standardised</w:t>
      </w:r>
      <w:proofErr w:type="spellEnd"/>
      <w:r w:rsidRPr="00AD7332">
        <w:rPr>
          <w:rFonts w:ascii="Arial" w:hAnsi="Arial" w:cs="Arial"/>
          <w:sz w:val="20"/>
          <w:szCs w:val="20"/>
        </w:rPr>
        <w:t xml:space="preserve"> framework capturing key study characteristics, methodological approaches, and main findings</w:t>
      </w:r>
      <w:r w:rsidR="009377C0">
        <w:rPr>
          <w:rFonts w:ascii="Arial" w:hAnsi="Arial" w:cs="Arial"/>
          <w:sz w:val="20"/>
          <w:szCs w:val="20"/>
        </w:rPr>
        <w:t xml:space="preserve"> </w:t>
      </w:r>
      <w:r w:rsidRPr="00AD7332">
        <w:rPr>
          <w:rFonts w:ascii="Arial" w:hAnsi="Arial" w:cs="Arial"/>
          <w:sz w:val="20"/>
          <w:szCs w:val="20"/>
        </w:rPr>
        <w:t>(</w:t>
      </w:r>
      <w:r w:rsidR="00AD4649">
        <w:rPr>
          <w:rFonts w:ascii="Arial" w:hAnsi="Arial" w:cs="Arial"/>
          <w:sz w:val="20"/>
          <w:szCs w:val="20"/>
        </w:rPr>
        <w:t xml:space="preserve">Schmidt et al., 2021; </w:t>
      </w:r>
      <w:r w:rsidRPr="00AD7332">
        <w:rPr>
          <w:rFonts w:ascii="Arial" w:hAnsi="Arial" w:cs="Arial"/>
          <w:sz w:val="20"/>
          <w:szCs w:val="20"/>
        </w:rPr>
        <w:t xml:space="preserve">Petticrew &amp; Roberts, 2006). </w:t>
      </w:r>
      <w:r w:rsidR="009377C0">
        <w:rPr>
          <w:rFonts w:ascii="Arial" w:hAnsi="Arial" w:cs="Arial"/>
          <w:sz w:val="20"/>
          <w:szCs w:val="20"/>
        </w:rPr>
        <w:t>F</w:t>
      </w:r>
      <w:r w:rsidRPr="00AD7332">
        <w:rPr>
          <w:rFonts w:ascii="Arial" w:hAnsi="Arial" w:cs="Arial"/>
          <w:sz w:val="20"/>
          <w:szCs w:val="20"/>
        </w:rPr>
        <w:t>indings were integrated through a narrative and thematic synthesis, an approach considered appropriate when statistical meta-analysis is not feasible and when the aim is to identify patterns, themes, and research gaps across studies (</w:t>
      </w:r>
      <w:r w:rsidR="00AD4649">
        <w:rPr>
          <w:rFonts w:ascii="Arial" w:hAnsi="Arial" w:cs="Arial"/>
          <w:sz w:val="20"/>
          <w:szCs w:val="20"/>
        </w:rPr>
        <w:t>Younas et al., 2021</w:t>
      </w:r>
      <w:r w:rsidRPr="00AD7332">
        <w:rPr>
          <w:rFonts w:ascii="Arial" w:hAnsi="Arial" w:cs="Arial"/>
          <w:sz w:val="20"/>
          <w:szCs w:val="20"/>
        </w:rPr>
        <w:t xml:space="preserve">). </w:t>
      </w:r>
      <w:bookmarkStart w:id="1" w:name="_GoBack"/>
      <w:bookmarkEnd w:id="1"/>
    </w:p>
    <w:p w14:paraId="050E3DB0" w14:textId="77777777" w:rsidR="005333E2" w:rsidRPr="009D6B1A" w:rsidRDefault="005333E2" w:rsidP="005333E2">
      <w:pPr>
        <w:rPr>
          <w:rFonts w:ascii="Times New Roman" w:hAnsi="Times New Roman" w:cs="Times New Roman"/>
        </w:rPr>
      </w:pPr>
    </w:p>
    <w:p w14:paraId="42C7C6A5" w14:textId="00A5CA9A" w:rsidR="005333E2" w:rsidRPr="005333E2" w:rsidRDefault="009D1C9C" w:rsidP="005333E2">
      <w:pPr>
        <w:jc w:val="center"/>
        <w:rPr>
          <w:rFonts w:ascii="Times New Roman" w:hAnsi="Times New Roman" w:cs="Times New Roman"/>
          <w:color w:val="000000"/>
          <w14:textFill>
            <w14:solidFill>
              <w14:srgbClr w14:val="000000">
                <w14:alpha w14:val="80000"/>
              </w14:srgbClr>
            </w14:solidFill>
          </w14:textFill>
        </w:rPr>
      </w:pPr>
      <w:r>
        <w:rPr>
          <w:noProof/>
        </w:rPr>
        <mc:AlternateContent>
          <mc:Choice Requires="wps">
            <w:drawing>
              <wp:anchor distT="0" distB="0" distL="114300" distR="114300" simplePos="0" relativeHeight="251669504" behindDoc="0" locked="0" layoutInCell="1" allowOverlap="1" wp14:anchorId="7381D2E8" wp14:editId="61BB28BB">
                <wp:simplePos x="0" y="0"/>
                <wp:positionH relativeFrom="margin">
                  <wp:posOffset>2987992</wp:posOffset>
                </wp:positionH>
                <wp:positionV relativeFrom="paragraph">
                  <wp:posOffset>3363913</wp:posOffset>
                </wp:positionV>
                <wp:extent cx="45085" cy="300990"/>
                <wp:effectExtent l="0" t="13652" r="36512" b="36513"/>
                <wp:wrapNone/>
                <wp:docPr id="5" name="Arrow: Down 5"/>
                <wp:cNvGraphicFramePr/>
                <a:graphic xmlns:a="http://schemas.openxmlformats.org/drawingml/2006/main">
                  <a:graphicData uri="http://schemas.microsoft.com/office/word/2010/wordprocessingShape">
                    <wps:wsp>
                      <wps:cNvSpPr/>
                      <wps:spPr>
                        <a:xfrm rot="16200000">
                          <a:off x="0" y="0"/>
                          <a:ext cx="45085" cy="3009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1704DDB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235.25pt;margin-top:264.9pt;width:3.55pt;height:23.7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WRgAIAAEEFAAAOAAAAZHJzL2Uyb0RvYy54bWysVFFP3DAMfp+0/xDlfbS93TGo6KETiGkS&#10;ghMw8RzShFZL48zJXe/26+ekvcIYT9P6UMWx/dn+bOfsfNcZtlXoW7AVL45yzpSVULf2ueLfH64+&#10;nXDmg7C1MGBVxffK8/Plxw9nvSvVDBowtUJGINaXvat4E4Irs8zLRnXCH4FTlpQasBOBRHzOahQ9&#10;oXcmm+X5cdYD1g5BKu/p9nJQ8mXC11rJcKu1V4GZilNuIf0x/Z/iP1ueifIZhWtaOaYh/iGLTrSW&#10;gk5QlyIItsH2L6iulQgedDiS0GWgdStVqoGqKfI31dw3wqlUC5Hj3UST/3+w8ma7RtbWFV9wZkVH&#10;LVohQl+yS+gtW0SCeudLsrt3axwlT8dY7U5jxxCI1eKYukFfIoHKYrvE8X7iWO0Ck3Q5X+QnFEqS&#10;5nOen56mFmQDVIR06MNXBR2Lh4rXlEVKKAGL7bUPlAPZH+xIiPkNGaVT2BsVkYy9U5pKo6Cz5J2G&#10;Sl0YZFtB41D/KIbrRtRquFqkEoYAk3UKl8Aiqm6NmXBHgDisf+IOEKNtdFNpFifHgacpxEtCg+Nk&#10;nSKCDZNj11rA96oxoYi9Imb0YH8gZqAjMvME9Z6anfpFu+CdvGqJ5Gvhw1ogjT1d0iqHW/ppA33F&#10;YTxx1gD+eu8+2tM0kpazntao4v7nRqDizHyzNKenxXwe9y4J88WXGQn4WvP0WmM33QVQa4qUXTpG&#10;+2AOR43QPdLGr2JUUgkrKXbFZcCDcBGG9aY3Q6rVKpnRrjkRru29kxE8shrn52H3KNCNkxZoQm/g&#10;sHKifDNrg230tLDaBNBtGsQXXke+aU9TF8Y3JT4Er+Vk9fLyLX8DAAD//wMAUEsDBBQABgAIAAAA&#10;IQAYbteZ4wAAAAsBAAAPAAAAZHJzL2Rvd25yZXYueG1sTI/BTsMwDIbvSLxDZCRuLGGkbC1NJwRM&#10;04Q4UCoEt6zJ2orGqZpsK2+POcHR9qff35+vJtezox1D51HB9UwAs1h702GjoHpbXy2BhajR6N6j&#10;VfBtA6yK87NcZ8af8NUey9gwCsGQaQVtjEPGeahb63SY+cEi3fZ+dDrSODbcjPpE4a7ncyFuudMd&#10;0odWD/ahtfVXeXAKNtvP52r/OK/WcvkUNu/lx8tN5ZW6vJju74BFO8U/GH71SR0Kctr5A5rAegUy&#10;EZJQBYlMU2BEyHRBZXa0SRYCeJHz/x2KHwAAAP//AwBQSwECLQAUAAYACAAAACEAtoM4kv4AAADh&#10;AQAAEwAAAAAAAAAAAAAAAAAAAAAAW0NvbnRlbnRfVHlwZXNdLnhtbFBLAQItABQABgAIAAAAIQA4&#10;/SH/1gAAAJQBAAALAAAAAAAAAAAAAAAAAC8BAABfcmVscy8ucmVsc1BLAQItABQABgAIAAAAIQAK&#10;zFWRgAIAAEEFAAAOAAAAAAAAAAAAAAAAAC4CAABkcnMvZTJvRG9jLnhtbFBLAQItABQABgAIAAAA&#10;IQAYbteZ4wAAAAsBAAAPAAAAAAAAAAAAAAAAANoEAABkcnMvZG93bnJldi54bWxQSwUGAAAAAAQA&#10;BADzAAAA6gUAAAAA&#10;" adj="19982" fillcolor="black [3200]" strokecolor="black [1600]" strokeweight="1pt">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31488F6" wp14:editId="2C26893D">
                <wp:simplePos x="0" y="0"/>
                <wp:positionH relativeFrom="margin">
                  <wp:posOffset>2987993</wp:posOffset>
                </wp:positionH>
                <wp:positionV relativeFrom="paragraph">
                  <wp:posOffset>4416108</wp:posOffset>
                </wp:positionV>
                <wp:extent cx="45085" cy="300990"/>
                <wp:effectExtent l="0" t="13652" r="36512" b="36513"/>
                <wp:wrapNone/>
                <wp:docPr id="6" name="Arrow: Down 6"/>
                <wp:cNvGraphicFramePr/>
                <a:graphic xmlns:a="http://schemas.openxmlformats.org/drawingml/2006/main">
                  <a:graphicData uri="http://schemas.microsoft.com/office/word/2010/wordprocessingShape">
                    <wps:wsp>
                      <wps:cNvSpPr/>
                      <wps:spPr>
                        <a:xfrm rot="16200000">
                          <a:off x="0" y="0"/>
                          <a:ext cx="45085" cy="3009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7843A40F" id="Arrow: Down 6" o:spid="_x0000_s1026" type="#_x0000_t67" style="position:absolute;margin-left:235.3pt;margin-top:347.75pt;width:3.55pt;height:23.7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IXgQIAAEEFAAAOAAAAZHJzL2Uyb0RvYy54bWysVFFP3DAMfp+0/xDlfbS93d2goodOIKZJ&#10;CBAw8RzShFZL48zJXe/26+ekvcIYT9P6UMWx/dn+bOf0bNcZtlXoW7AVL45yzpSVULf2ueLfHy4/&#10;HXPmg7C1MGBVxffK87PVxw+nvSvVDBowtUJGINaXvat4E4Irs8zLRnXCH4FTlpQasBOBRHzOahQ9&#10;oXcmm+X5MusBa4cglfd0ezEo+Srha61kuNHaq8BMxSm3kP6Y/k/xn61ORfmMwjWtHNMQ/5BFJ1pL&#10;QSeoCxEE22D7F1TXSgQPOhxJ6DLQupUq1UDVFPmbau4b4VSqhcjxbqLJ/z9Yeb29RdbWFV9yZkVH&#10;LVojQl+yC+gtW0aCeudLsrt3tzhKno6x2p3GjiEQq8WSukFfIoHKYrvE8X7iWO0Ck3Q5X+THC84k&#10;aT7n+clJakE2QEVIhz58VdCxeKh4TVmkhBKw2F75QDmQ/cGOhJjfkFE6hb1REcnYO6WpNAo6S95p&#10;qNS5QbYVNA71j2K4bkSthqtFKmEIMFmncAksourWmAl3BIjD+ifuADHaRjeVZnFyHHiaQrwkNDhO&#10;1iki2DA5dq0FfK8aE4rYK2JGD/YHYgY6IjNPUO+p2alftAveycuWSL4SPtwKpLGnS1rlcEM/baCv&#10;OIwnzhrAX+/dR3uaRtJy1tMaVdz/3AhUnJlvlub0pJjP494lYb74MiMBX2ueXmvspjsHak2RskvH&#10;aB/M4agRukfa+HWMSiphJcWuuAx4EM7DsN70Zki1Xicz2jUnwpW9dzKCR1bj/DzsHgW6cdICTeg1&#10;HFZOlG9mbbCNnhbWmwC6TYP4wuvIN+1p6sL4psSH4LWcrF5evtVvAAAA//8DAFBLAwQUAAYACAAA&#10;ACEA5d7J7+MAAAALAQAADwAAAGRycy9kb3ducmV2LnhtbEyPwU6DQBCG7ya+w2ZMvNmlCKVFlsao&#10;TdMYDyIxetvCFIjsLGG3Lb6940mPM/Pln+/P1pPpxQlH11lSMJ8FIJAqW3fUKCjfNjdLEM5rqnVv&#10;CRV8o4N1fnmR6bS2Z3rFU+EbwSHkUq2g9X5IpXRVi0a7mR2Q+Hawo9Gex7GR9ajPHG56GQbBQhrd&#10;EX9o9YAPLVZfxdEo2O4+n8vDY1huouWT274XHy+3pVXq+mq6vwPhcfJ/MPzqszrk7LS3R6qd6BVE&#10;cRAzqiCZxwsQTESrZAViz5swTEDmmfzfIf8BAAD//wMAUEsBAi0AFAAGAAgAAAAhALaDOJL+AAAA&#10;4QEAABMAAAAAAAAAAAAAAAAAAAAAAFtDb250ZW50X1R5cGVzXS54bWxQSwECLQAUAAYACAAAACEA&#10;OP0h/9YAAACUAQAACwAAAAAAAAAAAAAAAAAvAQAAX3JlbHMvLnJlbHNQSwECLQAUAAYACAAAACEA&#10;V18CF4ECAABBBQAADgAAAAAAAAAAAAAAAAAuAgAAZHJzL2Uyb0RvYy54bWxQSwECLQAUAAYACAAA&#10;ACEA5d7J7+MAAAALAQAADwAAAAAAAAAAAAAAAADbBAAAZHJzL2Rvd25yZXYueG1sUEsFBgAAAAAE&#10;AAQA8wAAAOsFAAAAAA==&#10;" adj="19982" fillcolor="black [3200]" strokecolor="black [1600]" strokeweight="1pt">
                <w10:wrap anchorx="margin"/>
              </v:shape>
            </w:pict>
          </mc:Fallback>
        </mc:AlternateContent>
      </w:r>
      <w:r w:rsidR="002D055C">
        <w:rPr>
          <w:noProof/>
        </w:rPr>
        <mc:AlternateContent>
          <mc:Choice Requires="wps">
            <w:drawing>
              <wp:anchor distT="0" distB="0" distL="114300" distR="114300" simplePos="0" relativeHeight="251661312" behindDoc="0" locked="0" layoutInCell="1" allowOverlap="1" wp14:anchorId="51E88DDE" wp14:editId="0767515A">
                <wp:simplePos x="0" y="0"/>
                <wp:positionH relativeFrom="column">
                  <wp:posOffset>1381125</wp:posOffset>
                </wp:positionH>
                <wp:positionV relativeFrom="paragraph">
                  <wp:posOffset>2146610</wp:posOffset>
                </wp:positionV>
                <wp:extent cx="45719" cy="265430"/>
                <wp:effectExtent l="19050" t="0" r="31115" b="39370"/>
                <wp:wrapNone/>
                <wp:docPr id="13" name="Arrow: Down 13"/>
                <wp:cNvGraphicFramePr/>
                <a:graphic xmlns:a="http://schemas.openxmlformats.org/drawingml/2006/main">
                  <a:graphicData uri="http://schemas.microsoft.com/office/word/2010/wordprocessingShape">
                    <wps:wsp>
                      <wps:cNvSpPr/>
                      <wps:spPr>
                        <a:xfrm flipH="1">
                          <a:off x="0" y="0"/>
                          <a:ext cx="45719" cy="26543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0DF5D065" id="Arrow: Down 13" o:spid="_x0000_s1026" type="#_x0000_t67" style="position:absolute;margin-left:108.75pt;margin-top:169pt;width:3.6pt;height:20.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YQvfAIAAD4FAAAOAAAAZHJzL2Uyb0RvYy54bWysVFFP2zAQfp+0/2D5faQthY2IFFUgtkkI&#10;0GDi2Tg2iWb7vLPbtPv1nJ00dIy9TMtD5POdv7v7/J1PzzbWsLXC0IKr+PRgwplyEurWPVX8+/3l&#10;h0+chShcLQw4VfGtCvxs8f7daedLNYMGTK2QEYgLZecr3sToy6IIslFWhAPwypFTA1oRycSnokbR&#10;Ebo1xWwyOS46wNojSBUC7V70Tr7I+ForGW+0DioyU3GqLeY/5v9j+heLU1E+ofBNK4cyxD9UYUXr&#10;KOkIdSGiYCts/4CyrUQIoOOBBFuA1q1UuQfqZjp51c1dI7zKvRA5wY80hf8HK6/Xt8jamu7ukDMn&#10;LN3REhG6kl1A5xjtEkWdDyVF3vlbHKxAy9TvRqNl2rT+CyFkBqgntskEb0eC1SYySZvzo4/TE84k&#10;eWbHR/PDzH/RoyQ0jyF+VmBZWlS8pgpyMRlYrK9CpPQUv4sjI5XWF5NXcWtUQjLum9LUFyWd5dNZ&#10;UercIFsL0kL9o682NKJW/dbRhL7ULSUYo7OVwRKqbo0ZcQeApNTfcXuIITYdU1mI48HJ3wrqD47R&#10;OSO4OB60rQN867CJ06Fw3cfviOnpSMw8Qr2lm0boRyB4edkSyVcixFuBpHmaDprjeEM/baCrOAwr&#10;zhrAX2/tp3iSInk562iGKh5+rgQqzsxXRyI9mc7naeiyQXc/IwP3PY/7Hrey50BXM6UXw8u8TPHR&#10;7JYawT7QuC9TVnIJJyl3xWXEnXEe+9mmB0Oq5TKH0aB5Ea/cnZc7jSb93G8eBPpBaZEUeg27eRPl&#10;K631sek+HCxXEXSbhfjC68A3DWkWzPCgpFdg385RL8/e4hkAAP//AwBQSwMEFAAGAAgAAAAhAM/b&#10;ajnjAAAACwEAAA8AAABkcnMvZG93bnJldi54bWxMj8FOwzAMhu9IvENkJC7Tlq6DtZSm00BCYoDE&#10;GBw4uo1pqzVJ1WRbeXvMCY62P/3+/nw1mk4cafCtswrmswgE2crp1tYKPt4fpikIH9Bq7JwlBd/k&#10;YVWcn+WYaXeyb3TchVpwiPUZKmhC6DMpfdWQQT9zPVm+fbnBYOBxqKUe8MThppNxFC2lwdbyhwZ7&#10;um+o2u8ORoHcmNe7cvKkX2SLk+ft4/Zz36yVurwY17cgAo3hD4ZffVaHgp1Kd7Dai05BPE+uGVWw&#10;WKRciok4vkpAlLxJblKQRS7/dyh+AAAA//8DAFBLAQItABQABgAIAAAAIQC2gziS/gAAAOEBAAAT&#10;AAAAAAAAAAAAAAAAAAAAAABbQ29udGVudF9UeXBlc10ueG1sUEsBAi0AFAAGAAgAAAAhADj9If/W&#10;AAAAlAEAAAsAAAAAAAAAAAAAAAAALwEAAF9yZWxzLy5yZWxzUEsBAi0AFAAGAAgAAAAhALXphC98&#10;AgAAPgUAAA4AAAAAAAAAAAAAAAAALgIAAGRycy9lMm9Eb2MueG1sUEsBAi0AFAAGAAgAAAAhAM/b&#10;ajnjAAAACwEAAA8AAAAAAAAAAAAAAAAA1gQAAGRycy9kb3ducmV2LnhtbFBLBQYAAAAABAAEAPMA&#10;AADmBQAAAAA=&#10;" adj="19740" fillcolor="black [3200]" strokecolor="black [1600]" strokeweight="1pt"/>
            </w:pict>
          </mc:Fallback>
        </mc:AlternateContent>
      </w:r>
      <w:r w:rsidR="002D055C">
        <w:rPr>
          <w:noProof/>
        </w:rPr>
        <mc:AlternateContent>
          <mc:Choice Requires="wps">
            <w:drawing>
              <wp:anchor distT="0" distB="0" distL="114300" distR="114300" simplePos="0" relativeHeight="251662336" behindDoc="0" locked="0" layoutInCell="1" allowOverlap="1" wp14:anchorId="030E6B1C" wp14:editId="4032C443">
                <wp:simplePos x="0" y="0"/>
                <wp:positionH relativeFrom="column">
                  <wp:posOffset>1408430</wp:posOffset>
                </wp:positionH>
                <wp:positionV relativeFrom="paragraph">
                  <wp:posOffset>2975920</wp:posOffset>
                </wp:positionV>
                <wp:extent cx="45719" cy="273132"/>
                <wp:effectExtent l="19050" t="0" r="31115" b="31750"/>
                <wp:wrapNone/>
                <wp:docPr id="8" name="Arrow: Down 8"/>
                <wp:cNvGraphicFramePr/>
                <a:graphic xmlns:a="http://schemas.openxmlformats.org/drawingml/2006/main">
                  <a:graphicData uri="http://schemas.microsoft.com/office/word/2010/wordprocessingShape">
                    <wps:wsp>
                      <wps:cNvSpPr/>
                      <wps:spPr>
                        <a:xfrm>
                          <a:off x="0" y="0"/>
                          <a:ext cx="45719" cy="27313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3B32A007" id="Arrow: Down 8" o:spid="_x0000_s1026" type="#_x0000_t67" style="position:absolute;margin-left:110.9pt;margin-top:234.3pt;width:3.6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YdcgIAADIFAAAOAAAAZHJzL2Uyb0RvYy54bWysVMFO3DAQvVfqP1i+l2wWKBCRRSsQVSUE&#10;CKg4G8cmUW2PO/Zudvv1HTvZQCm9VM3BsT0zzzPPb3x6trGGrRWGDlzNy70ZZ8pJaDr3XPNvD5ef&#10;jjkLUbhGGHCq5lsV+Nni44fT3ldqDi2YRiEjEBeq3te8jdFXRRFkq6wIe+CVI6MGtCLSEp+LBkVP&#10;6NYU89nsc9EDNh5BqhBo92Iw8kXG11rJeKN1UJGZmlNuMY+Yx6c0FotTUT2j8G0nxzTEP2RhRefo&#10;0AnqQkTBVtj9AWU7iRBAxz0JtgCtO6lyDVRNOXtTzX0rvMq1EDnBTzSF/wcrr9e3yLqm5nRRTli6&#10;oiUi9BW7gN6x40RQ70NFfvf+FsdVoGmqdqPRpj/VwTaZ1O1EqtpEJmnz4PCoPOFMkmV+tF/uzxNk&#10;8RLrMcQvCixLk5o3dGzOINMp1lchDv47PwpOCQ0p5FncGpWyMO5OaaqFDp3n6KwidW6QrQXdf/O9&#10;HLZb0ahh63BG35jQ5J3Ty2AJVXfGTLgjQFLn77hDjqNvClNZfFPg7G8JDYGTdz4RXJwCbecA3ws2&#10;sRwT14P/jpiBjsTMEzRbul2EQfbBy8uOSL4SId4KJJ1TR1DvxhsatIG+5jDOOGsBf763n/xJfmTl&#10;rKe+qXn4sRKoODNfHQnzpDw4SI2WF3T3c1rga8vTa4tb2XOgqynplfAyT5N/NLupRrCP1OLLdCqZ&#10;hJN0ds1lxN3iPA79TI+EVMtldqPm8iJeuXsvE3hiNennYfMo0I9Ki6TQa9j1mKjeaG3wTZEOlqsI&#10;ustCfOF15JsaMwtmfERS579eZ6+Xp27xCwAA//8DAFBLAwQUAAYACAAAACEAsK1is+AAAAALAQAA&#10;DwAAAGRycy9kb3ducmV2LnhtbEyPMU/DMBSEdyT+g/WQWBB1bCBqQ5wKVYrEWApLNzd2k4j4Odhu&#10;k/57HhMdT3e6+65cz25gZxti71GBWGTALDbe9Ngq+PqsH5fAYtJo9ODRKrjYCOvq9qbUhfETftjz&#10;LrWMSjAWWkGX0lhwHpvOOh0XfrRI3tEHpxPJ0HIT9ETlbuAyy3LudI+00OnRbjrbfO9OTsF7aC+b&#10;/fzzsF9tn2on6umIYqvU/d389gos2Tn9h+EPn9ChIqaDP6GJbFAgpSD0pOA5X+bAKCHlit4dFLwI&#10;kQOvSn79ofoFAAD//wMAUEsBAi0AFAAGAAgAAAAhALaDOJL+AAAA4QEAABMAAAAAAAAAAAAAAAAA&#10;AAAAAFtDb250ZW50X1R5cGVzXS54bWxQSwECLQAUAAYACAAAACEAOP0h/9YAAACUAQAACwAAAAAA&#10;AAAAAAAAAAAvAQAAX3JlbHMvLnJlbHNQSwECLQAUAAYACAAAACEAiea2HXICAAAyBQAADgAAAAAA&#10;AAAAAAAAAAAuAgAAZHJzL2Uyb0RvYy54bWxQSwECLQAUAAYACAAAACEAsK1is+AAAAALAQAADwAA&#10;AAAAAAAAAAAAAADMBAAAZHJzL2Rvd25yZXYueG1sUEsFBgAAAAAEAAQA8wAAANkFAAAAAA==&#10;" adj="19792" fillcolor="black [3200]" strokecolor="black [1600]" strokeweight="1pt"/>
            </w:pict>
          </mc:Fallback>
        </mc:AlternateContent>
      </w:r>
      <w:r w:rsidR="002D055C">
        <w:rPr>
          <w:noProof/>
        </w:rPr>
        <mc:AlternateContent>
          <mc:Choice Requires="wps">
            <w:drawing>
              <wp:anchor distT="0" distB="0" distL="114300" distR="114300" simplePos="0" relativeHeight="251663360" behindDoc="0" locked="0" layoutInCell="1" allowOverlap="1" wp14:anchorId="1CC45F4E" wp14:editId="4E140BC6">
                <wp:simplePos x="0" y="0"/>
                <wp:positionH relativeFrom="column">
                  <wp:posOffset>1439220</wp:posOffset>
                </wp:positionH>
                <wp:positionV relativeFrom="paragraph">
                  <wp:posOffset>3838723</wp:posOffset>
                </wp:positionV>
                <wp:extent cx="45085" cy="300990"/>
                <wp:effectExtent l="19050" t="0" r="31115" b="41910"/>
                <wp:wrapNone/>
                <wp:docPr id="9" name="Arrow: Down 9"/>
                <wp:cNvGraphicFramePr/>
                <a:graphic xmlns:a="http://schemas.openxmlformats.org/drawingml/2006/main">
                  <a:graphicData uri="http://schemas.microsoft.com/office/word/2010/wordprocessingShape">
                    <wps:wsp>
                      <wps:cNvSpPr/>
                      <wps:spPr>
                        <a:xfrm>
                          <a:off x="0" y="0"/>
                          <a:ext cx="45085" cy="3009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15385ED8" id="Arrow: Down 9" o:spid="_x0000_s1026" type="#_x0000_t67" style="position:absolute;margin-left:113.3pt;margin-top:302.25pt;width:3.55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gdAIAADIFAAAOAAAAZHJzL2Uyb0RvYy54bWysVN9P2zAQfp+0/8Hy+0jatRuNSFEFYpqE&#10;AAETz65jN9Ecn3d2m3Z//c5OGhhjL9Py4Ph8vz9/57PzfWvYTqFvwJZ8cpJzpqyEqrGbkn97vPpw&#10;ypkPwlbCgFUlPyjPz5fv3511rlBTqMFUChkFsb7oXMnrEFyRZV7WqhX+BJyypNSArQgk4iarUHQU&#10;vTXZNM8/ZR1g5RCk8p5OL3slX6b4WisZbrX2KjBTcqotpBXTuo5rtjwTxQaFqxs5lCH+oYpWNJaS&#10;jqEuRRBsi80fodpGInjQ4URCm4HWjVSpB+pmkr/q5qEWTqVeCBzvRpj8/wsrb3Z3yJqq5AvOrGjp&#10;ilaI0BXsEjrLFhGgzvmC7B7cHQ6Sp23sdq+xjX/qg+0TqIcRVLUPTNLhbJ6fzjmTpPmY54tFwjx7&#10;9nXowxcFLYubkleUNlWQ4BS7ax8oKdkf7UiIBfUlpF04GBWrMPZeaeqFkk6Td2KRujDIdoLuv/o+&#10;6Y9rUan+aJ7TF3ukBKN1klKwGFU3xoxxhwCRnb/H7UMMttFNJfKNjvnfCuodR+uUEWwYHdvGAr7l&#10;bMJkKFz39kdgejgiMmuoDnS7CD3tvZNXDYF8LXy4E0g8p4mg2Q23tGgDXclh2HFWA/586zzaE/1I&#10;y1lHc1Ny/2MrUHFmvloi5mIym8VBS8Js/nlKAr7UrF9q7La9ALqaCb0STqZttA/muNUI7RON+Cpm&#10;JZWwknKXXAY8Chehn2d6JKRarZIZDZcT4do+OBmDR1Qjfx73TwLdwLRADL2B44yJ4hXXetvoaWG1&#10;DaCbRMRnXAe8aTATYYZHJE7+SzlZPT91y18AAAD//wMAUEsDBBQABgAIAAAAIQBKJxCv5AAAAAsB&#10;AAAPAAAAZHJzL2Rvd25yZXYueG1sTI9NT8MwDIbvSPyHyEhcEEvX0TJK04kPoXFBiII0uGWN2040&#10;TtVkXffvMSc42n70+nnz1WQ7MeLgd44UzGcRCKTKmR01Cj7eny6XIHzQZHTnCBUc0cOqOD3JdWbc&#10;gd5wLEMjOIR8phW0IfSZlL5q0Wo/cz0S32o3WB14HBppBn3gcNvJOIpSafWO+EOre3xosfou91bB&#10;63h83CyT5/XLxvj7i3VZf34ltVLnZ9PdLYiAU/iD4Vef1aFgp63bk/GiUxDHacqogjS6SkAwES8W&#10;1yC2vEnmNyCLXP7vUPwAAAD//wMAUEsBAi0AFAAGAAgAAAAhALaDOJL+AAAA4QEAABMAAAAAAAAA&#10;AAAAAAAAAAAAAFtDb250ZW50X1R5cGVzXS54bWxQSwECLQAUAAYACAAAACEAOP0h/9YAAACUAQAA&#10;CwAAAAAAAAAAAAAAAAAvAQAAX3JlbHMvLnJlbHNQSwECLQAUAAYACAAAACEANaYbYHQCAAAyBQAA&#10;DgAAAAAAAAAAAAAAAAAuAgAAZHJzL2Uyb0RvYy54bWxQSwECLQAUAAYACAAAACEASicQr+QAAAAL&#10;AQAADwAAAAAAAAAAAAAAAADOBAAAZHJzL2Rvd25yZXYueG1sUEsFBgAAAAAEAAQA8wAAAN8FAAAA&#10;AA==&#10;" adj="19982" fillcolor="black [3200]" strokecolor="black [1600]" strokeweight="1pt"/>
            </w:pict>
          </mc:Fallback>
        </mc:AlternateContent>
      </w:r>
      <w:r w:rsidR="002D055C">
        <w:rPr>
          <w:noProof/>
        </w:rPr>
        <mc:AlternateContent>
          <mc:Choice Requires="wps">
            <w:drawing>
              <wp:anchor distT="0" distB="0" distL="114300" distR="114300" simplePos="0" relativeHeight="251664384" behindDoc="0" locked="0" layoutInCell="1" allowOverlap="1" wp14:anchorId="0F129E36" wp14:editId="07895D49">
                <wp:simplePos x="0" y="0"/>
                <wp:positionH relativeFrom="column">
                  <wp:posOffset>1419860</wp:posOffset>
                </wp:positionH>
                <wp:positionV relativeFrom="paragraph">
                  <wp:posOffset>4935530</wp:posOffset>
                </wp:positionV>
                <wp:extent cx="45085" cy="521970"/>
                <wp:effectExtent l="19050" t="0" r="31115" b="30480"/>
                <wp:wrapNone/>
                <wp:docPr id="10" name="Arrow: Down 10"/>
                <wp:cNvGraphicFramePr/>
                <a:graphic xmlns:a="http://schemas.openxmlformats.org/drawingml/2006/main">
                  <a:graphicData uri="http://schemas.microsoft.com/office/word/2010/wordprocessingShape">
                    <wps:wsp>
                      <wps:cNvSpPr/>
                      <wps:spPr>
                        <a:xfrm>
                          <a:off x="0" y="0"/>
                          <a:ext cx="45085" cy="5219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7EE6DCA8" id="Arrow: Down 10" o:spid="_x0000_s1026" type="#_x0000_t67" style="position:absolute;margin-left:111.8pt;margin-top:388.6pt;width:3.55pt;height: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o+idQIAADQFAAAOAAAAZHJzL2Uyb0RvYy54bWysVFFP2zAQfp+0/2D5fSSp2gERKapATJMQ&#10;IMrEs3FsEs3xeWe3affrd3bSwBh7mdaH1GfffXf3+Tufne86w7YKfQu24sVRzpmyEurWPlf828PV&#10;pxPOfBC2FgasqvheeX6+/PjhrHelmkEDplbICMT6sncVb0JwZZZ52ahO+CNwytKhBuxEIBOfsxpF&#10;T+idyWZ5/jnrAWuHIJX3tHs5HPJlwtdayXCrtVeBmYpTbSF9MX2f4jdbnonyGYVrWjmWIf6hik60&#10;lpJOUJciCLbB9g+orpUIHnQ4ktBloHUrVeqBuinyN92sG+FU6oXI8W6iyf8/WHmzvUPW1nR3RI8V&#10;Hd3RChH6kl1CbxntEkW98yV5rt0djpanZex3p7GL/9QJ2yVa9xOtaheYpM35Ij9ZcCbpZDErTo8T&#10;ZPYS69CHLwo6FhcVrylvKiERKrbXPlBS8j/4kRELGkpIq7A3KlZh7L3S1A0lnaXopCN1YZBtBSmg&#10;/l4M242o1bC1yOkXe6QEk3eyElhE1a0xE+4IEPX5O+4AMfrGMJXkNwXmfytoCJy8U0awYQrsWgv4&#10;XrAJxVi4HvwPxAx0RGaeoN7T/SIMwvdOXrVE8rXw4U4gKZ0unaY33NJHG+grDuOKswbw53v70Z8E&#10;SKec9TQ5Ffc/NgIVZ+arJWmeFvN5HLVkzBfHMzLw9cnT6xO76S6Arqagd8LJtIz+wRyWGqF7pCFf&#10;xax0JKyk3BWXAQ/GRRgmmp4JqVar5Ebj5US4tmsnI3hkNernYfco0I1KC6TQGzhMmSjfaG3wjZEW&#10;VpsAuk1CfOF15JtGMwlmfEbi7L+2k9fLY7f8BQAA//8DAFBLAwQUAAYACAAAACEAQegGaOIAAAAL&#10;AQAADwAAAGRycy9kb3ducmV2LnhtbEyPy07DMBBF90j8gzVI7KiDS+sQMqkQEqhiE7UgsXXjIYnq&#10;R4jdNvTrMStYju7RvWfK1WQNO9IYeu8QbmcZMHKN171rEd7fnm9yYCEqp5XxjhC+KcCqurwoVaH9&#10;yW3ouI0tSyUuFAqhi3EoOA9NR1aFmR/IpezTj1bFdI4t16M6pXJruMiyJbeqd2mhUwM9ddTstweL&#10;8PEi9vK8qOsvcybbv9brfL3xiNdX0+MDsEhT/IPhVz+pQ5Wcdv7gdGAGQYj5MqEIUkoBLBFinklg&#10;O4R8cX8HvCr5/x+qHwAAAP//AwBQSwECLQAUAAYACAAAACEAtoM4kv4AAADhAQAAEwAAAAAAAAAA&#10;AAAAAAAAAAAAW0NvbnRlbnRfVHlwZXNdLnhtbFBLAQItABQABgAIAAAAIQA4/SH/1gAAAJQBAAAL&#10;AAAAAAAAAAAAAAAAAC8BAABfcmVscy8ucmVsc1BLAQItABQABgAIAAAAIQC86o+idQIAADQFAAAO&#10;AAAAAAAAAAAAAAAAAC4CAABkcnMvZTJvRG9jLnhtbFBLAQItABQABgAIAAAAIQBB6AZo4gAAAAsB&#10;AAAPAAAAAAAAAAAAAAAAAM8EAABkcnMvZG93bnJldi54bWxQSwUGAAAAAAQABADzAAAA3gUAAAAA&#10;" adj="20667" fillcolor="black [3200]" strokecolor="black [1600]" strokeweight="1pt"/>
            </w:pict>
          </mc:Fallback>
        </mc:AlternateContent>
      </w:r>
      <w:r w:rsidR="002D055C">
        <w:rPr>
          <w:noProof/>
        </w:rPr>
        <mc:AlternateContent>
          <mc:Choice Requires="wps">
            <w:drawing>
              <wp:anchor distT="0" distB="0" distL="114300" distR="114300" simplePos="0" relativeHeight="251665408" behindDoc="0" locked="0" layoutInCell="1" allowOverlap="1" wp14:anchorId="009399E9" wp14:editId="1D516B51">
                <wp:simplePos x="0" y="0"/>
                <wp:positionH relativeFrom="column">
                  <wp:posOffset>1423684</wp:posOffset>
                </wp:positionH>
                <wp:positionV relativeFrom="paragraph">
                  <wp:posOffset>6166618</wp:posOffset>
                </wp:positionV>
                <wp:extent cx="45719" cy="451262"/>
                <wp:effectExtent l="19050" t="0" r="31115" b="44450"/>
                <wp:wrapNone/>
                <wp:docPr id="11" name="Arrow: Down 11"/>
                <wp:cNvGraphicFramePr/>
                <a:graphic xmlns:a="http://schemas.openxmlformats.org/drawingml/2006/main">
                  <a:graphicData uri="http://schemas.microsoft.com/office/word/2010/wordprocessingShape">
                    <wps:wsp>
                      <wps:cNvSpPr/>
                      <wps:spPr>
                        <a:xfrm>
                          <a:off x="0" y="0"/>
                          <a:ext cx="45719" cy="45126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3140CC08" id="Arrow: Down 11" o:spid="_x0000_s1026" type="#_x0000_t67" style="position:absolute;margin-left:112.1pt;margin-top:485.55pt;width:3.6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WhdAIAADQFAAAOAAAAZHJzL2Uyb0RvYy54bWysVFFP2zAQfp+0/2D5faSpChsRKapATJMQ&#10;oJWJZ+PYJJrt885u0+7X7+ykgTH2Mq0P7tl39/nu83c5O99Zw7YKQweu5uXRjDPlJDSde6r5t/ur&#10;D584C1G4RhhwquZ7Ffj58v27s95Xag4tmEYhIxAXqt7XvI3RV0URZKusCEfglSOnBrQi0hafigZF&#10;T+jWFPPZ7KToARuPIFUIdHo5OPky42utZLzVOqjITM2ptphXzOtjWovlmaieUPi2k2MZ4h+qsKJz&#10;dOkEdSmiYBvs/oCynUQIoOORBFuA1p1UuQfqppy96mbdCq9yL0RO8BNN4f/BypvtHbKuobcrOXPC&#10;0hutEKGv2CX0jtEpUdT7UFHk2t/huAtkpn53Gm36p07YLtO6n2hVu8gkHS6OP5annEnyLI7L+ck8&#10;QRbPuR5D/KzAsmTUvKF7cwmZULG9DnGIP8RRcipoKCFbcW9UqsK4r0pTN3TpPGdnHakLg2wrSAHN&#10;93I4bkWjhqPjGf3GgqboXF4GS6i6M2bCHQGSPn/HHWocY1OayvKbEmd/K2hInKLzjeDilGg7B/hW&#10;son5cYhJPcQfiBnoSMw8QrOn90UYhB+8vOqI5GsR4p1AUjrNBE1vvKVFG+hrDqPFWQv4863zFE8C&#10;JC9nPU1OzcOPjUDFmfniSJqn5WKRRi1v6O3ntMGXnseXHrexF0BPQ+qj6rKZ4qM5mBrBPtCQr9Kt&#10;5BJO0t01lxEPm4s4TDR9JqRarXIYjZcX8dqtvUzgidWkn/vdg0A/Ki2SQm/gMGWieqW1ITZlOlht&#10;IuguC/GZ15FvGs0smPEzkmb/5T5HPX/slr8AAAD//wMAUEsDBBQABgAIAAAAIQAPGjTv4AAAAAwB&#10;AAAPAAAAZHJzL2Rvd25yZXYueG1sTI9NT4QwEIbvJv6HZky8mN1CJX4gZeOaaIzRg6zeBzoCkbZI&#10;yy7+e8eTHifvk/d9ptgsdhB7mkLvnYZ0nYAg13jTu1bD2+5+dQUiRHQGB+9IwzcF2JTHRwXmxh/c&#10;K+2r2AoucSFHDV2MYy5laDqyGNZ+JMfZh58sRj6nVpoJD1xuB6mS5EJa7B0vdDjSXUfNZzVbHlna&#10;M2lrNT88PuN2+/6FL1X2pPXpyXJ7AyLSEv9g+NVndSjZqfazM0EMGpTKFKMari/TFAQT6jzNQNSM&#10;JplSIMtC/n+i/AEAAP//AwBQSwECLQAUAAYACAAAACEAtoM4kv4AAADhAQAAEwAAAAAAAAAAAAAA&#10;AAAAAAAAW0NvbnRlbnRfVHlwZXNdLnhtbFBLAQItABQABgAIAAAAIQA4/SH/1gAAAJQBAAALAAAA&#10;AAAAAAAAAAAAAC8BAABfcmVscy8ucmVsc1BLAQItABQABgAIAAAAIQAdDJWhdAIAADQFAAAOAAAA&#10;AAAAAAAAAAAAAC4CAABkcnMvZTJvRG9jLnhtbFBLAQItABQABgAIAAAAIQAPGjTv4AAAAAwBAAAP&#10;AAAAAAAAAAAAAAAAAM4EAABkcnMvZG93bnJldi54bWxQSwUGAAAAAAQABADzAAAA2wUAAAAA&#10;" adj="20506" fillcolor="black [3200]" strokecolor="black [1600]" strokeweight="1pt"/>
            </w:pict>
          </mc:Fallback>
        </mc:AlternateContent>
      </w:r>
      <w:r w:rsidR="005333E2">
        <w:rPr>
          <w:noProof/>
        </w:rPr>
        <mc:AlternateContent>
          <mc:Choice Requires="wps">
            <w:drawing>
              <wp:anchor distT="0" distB="0" distL="114300" distR="114300" simplePos="0" relativeHeight="251667456" behindDoc="0" locked="0" layoutInCell="1" allowOverlap="1" wp14:anchorId="18E33112" wp14:editId="19D355BC">
                <wp:simplePos x="0" y="0"/>
                <wp:positionH relativeFrom="column">
                  <wp:posOffset>3943350</wp:posOffset>
                </wp:positionH>
                <wp:positionV relativeFrom="paragraph">
                  <wp:posOffset>1047750</wp:posOffset>
                </wp:positionV>
                <wp:extent cx="45719" cy="261257"/>
                <wp:effectExtent l="19050" t="0" r="31115" b="43815"/>
                <wp:wrapNone/>
                <wp:docPr id="4" name="Arrow: Down 4"/>
                <wp:cNvGraphicFramePr/>
                <a:graphic xmlns:a="http://schemas.openxmlformats.org/drawingml/2006/main">
                  <a:graphicData uri="http://schemas.microsoft.com/office/word/2010/wordprocessingShape">
                    <wps:wsp>
                      <wps:cNvSpPr/>
                      <wps:spPr>
                        <a:xfrm>
                          <a:off x="0" y="0"/>
                          <a:ext cx="45719" cy="26125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69C3F63B" id="Arrow: Down 4" o:spid="_x0000_s1026" type="#_x0000_t67" style="position:absolute;margin-left:310.5pt;margin-top:82.5pt;width:3.6pt;height: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vOcgIAADIFAAAOAAAAZHJzL2Uyb0RvYy54bWysVMFO3DAQvVfqP1i+l2xWC5SILFqBqCoh&#10;QEDF2Tg2iWp73LF3s9uv79jJBkrppWoOju2ZeZ55fuPTs601bKMwdOBqXh7MOFNOQtO555p/e7j8&#10;9JmzEIVrhAGnar5TgZ8tP3447X2l5tCCaRQyAnGh6n3N2xh9VRRBtsqKcABeOTJqQCsiLfG5aFD0&#10;hG5NMZ/NjooesPEIUoVAuxeDkS8zvtZKxhutg4rM1Jxyi3nEPD6lsVieiuoZhW87OaYh/iELKzpH&#10;h05QFyIKtsbuDyjbSYQAOh5IsAVo3UmVa6Bqytmbau5b4VWuhcgJfqIp/D9Yeb25RdY1NV9w5oSl&#10;K1ohQl+xC+gdWySCeh8q8rv3tziuAk1TtVuNNv2pDrbNpO4mUtU2Mkmbi8Pj8oQzSZb5UTk/PE6Q&#10;xUusxxC/KLAsTWre0LE5g0yn2FyFOPjv/Sg4JTSkkGdxZ1TKwrg7pakWOnSeo7OK1LlBthF0/833&#10;cthuRaOGrcMZfWNCk3dOL4MlVN0ZM+GOAEmdv+MOOY6+KUxl8U2Bs78lNARO3vlEcHEKtJ0DfC/Y&#10;xHJMXA/+e2IGOhIzT9Ds6HYRBtkHLy87IvlKhHgrkHROHUG9G29o0Ab6msM446wF/PnefvIn+ZGV&#10;s576pubhx1qg4sx8dSTMk3KxSI2WF3T3c1rga8vTa4tb23OgqynplfAyT5N/NPupRrCP1OKrdCqZ&#10;hJN0ds1lxP3iPA79TI+EVKtVdqPm8iJeuXsvE3hiNennYfso0I9Ki6TQa9j3mKjeaG3wTZEOVusI&#10;ustCfOF15JsaMwtmfERS579eZ6+Xp275CwAA//8DAFBLAwQUAAYACAAAACEAW2cAAeEAAAALAQAA&#10;DwAAAGRycy9kb3ducmV2LnhtbEyPzU7DMBCE70i8g7WVuFE7ljBRiFNVkSoQhwIND+DGJonqnyh2&#10;2sDTs5zobUczmv2m3CzOkrOZ4hC8hGzNgBjfBj34TsJns7vPgcSkvFY2eCPh20TYVLc3pSp0uPgP&#10;cz6kjmCJj4WS0Kc0FpTGtjdOxXUYjUfvK0xOJZRTR/WkLljuLOWMCerU4PFDr0ZT96Y9HWYngT7v&#10;5/rdbvc5a17qxzr87N5eGynvVsv2CUgyS/oPwx8+okOFTMcwex2JlSB4hlsSGuIBD0wInnMgRwmc&#10;iQxoVdLrDdUvAAAA//8DAFBLAQItABQABgAIAAAAIQC2gziS/gAAAOEBAAATAAAAAAAAAAAAAAAA&#10;AAAAAABbQ29udGVudF9UeXBlc10ueG1sUEsBAi0AFAAGAAgAAAAhADj9If/WAAAAlAEAAAsAAAAA&#10;AAAAAAAAAAAALwEAAF9yZWxzLy5yZWxzUEsBAi0AFAAGAAgAAAAhAPZd685yAgAAMgUAAA4AAAAA&#10;AAAAAAAAAAAALgIAAGRycy9lMm9Eb2MueG1sUEsBAi0AFAAGAAgAAAAhAFtnAAHhAAAACwEAAA8A&#10;AAAAAAAAAAAAAAAAzAQAAGRycy9kb3ducmV2LnhtbFBLBQYAAAAABAAEAPMAAADaBQAAAAA=&#10;" adj="19710" fillcolor="black [3200]" strokecolor="black [1600]" strokeweight="1pt"/>
            </w:pict>
          </mc:Fallback>
        </mc:AlternateContent>
      </w:r>
      <w:r w:rsidR="005333E2">
        <w:rPr>
          <w:noProof/>
        </w:rPr>
        <mc:AlternateContent>
          <mc:Choice Requires="wps">
            <w:drawing>
              <wp:anchor distT="0" distB="0" distL="114300" distR="114300" simplePos="0" relativeHeight="251659264" behindDoc="0" locked="0" layoutInCell="1" allowOverlap="1" wp14:anchorId="06D31EC6" wp14:editId="6C504F25">
                <wp:simplePos x="0" y="0"/>
                <wp:positionH relativeFrom="column">
                  <wp:posOffset>1384102</wp:posOffset>
                </wp:positionH>
                <wp:positionV relativeFrom="paragraph">
                  <wp:posOffset>1044575</wp:posOffset>
                </wp:positionV>
                <wp:extent cx="45719" cy="261257"/>
                <wp:effectExtent l="19050" t="0" r="31115" b="43815"/>
                <wp:wrapNone/>
                <wp:docPr id="3" name="Arrow: Down 3"/>
                <wp:cNvGraphicFramePr/>
                <a:graphic xmlns:a="http://schemas.openxmlformats.org/drawingml/2006/main">
                  <a:graphicData uri="http://schemas.microsoft.com/office/word/2010/wordprocessingShape">
                    <wps:wsp>
                      <wps:cNvSpPr/>
                      <wps:spPr>
                        <a:xfrm>
                          <a:off x="0" y="0"/>
                          <a:ext cx="45719" cy="26125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750B0624" id="Arrow: Down 3" o:spid="_x0000_s1026" type="#_x0000_t67" style="position:absolute;margin-left:109pt;margin-top:82.25pt;width:3.6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43cwIAADIFAAAOAAAAZHJzL2Uyb0RvYy54bWysVE1P3DAQvVfqf7B8L9ksXyUii1YgqkoI&#10;EFBxNo5Notoed+zd7PbXd+xkA6X0UjUHx/bMPM88v/Hp2cYatlYYOnA1L/dmnCknoencc82/PVx+&#10;+sxZiMI1woBTNd+qwM8WHz+c9r5Sc2jBNAoZgbhQ9b7mbYy+KoogW2VF2AOvHBk1oBWRlvhcNCh6&#10;QremmM9mR0UP2HgEqUKg3YvByBcZX2sl443WQUVmak65xTxiHp/SWCxORfWMwredHNMQ/5CFFZ2j&#10;QyeoCxEFW2H3B5TtJEIAHfck2AK07qTKNVA15exNNfet8CrXQuQEP9EU/h+svF7fIuuamu9z5oSl&#10;K1oiQl+xC+gd208E9T5U5Hfvb3FcBZqmajcabfpTHWyTSd1OpKpNZJI2Dw6PyxPOJFnmR+X88DhB&#10;Fi+xHkP8osCyNKl5Q8fmDDKdYn0V4uC/86PglNCQQp7FrVEpC+PulKZa6NB5js4qUucG2VrQ/Tff&#10;y2G7FY0atg5n9I0JTd45vQyWUHVnzIQ7AiR1/o475Dj6pjCVxTcFzv6W0BA4eecTwcUp0HYO8L1g&#10;E8sxcT3474gZ6EjMPEGzpdtFGGQfvLzsiOQrEeKtQNI5dQT1bryhQRvoaw7jjLMW8Od7+8mf5EdW&#10;znrqm5qHHyuBijPz1ZEwT8qDg9RoeUF3P6cFvrY8vba4lT0HupqSXgkv8zT5R7ObagT7SC2+TKeS&#10;SThJZ9dcRtwtzuPQz/RISLVcZjdqLi/ilbv3MoEnVpN+HjaPAv2otEgKvYZdj4nqjdYG3xTpYLmK&#10;oLssxBdeR76pMbNgxkckdf7rdfZ6eeoWvwAAAP//AwBQSwMEFAAGAAgAAAAhAK8f5KThAAAACwEA&#10;AA8AAABkcnMvZG93bnJldi54bWxMj81OwzAQhO9IvIO1SNyoU4uEKMSpqkgViEMpDQ/gxksS4Z8o&#10;dtrA07Oc4LajGc1+U24Wa9gZpzB4J2G9SoCha70eXCfhvdnd5cBCVE4r4x1K+MIAm+r6qlSF9hf3&#10;hudj7BiVuFAoCX2MY8F5aHu0Kqz8iI68Dz9ZFUlOHdeTulC5NVwkScatGhx96NWIdY/t53G2EvjT&#10;fq4PZrvPk+a5fqj99+71pZHy9mbZPgKLuMS/MPziEzpUxHTys9OBGQlindOWSEZ2nwKjhBCpAHai&#10;I0kz4FXJ/2+ofgAAAP//AwBQSwECLQAUAAYACAAAACEAtoM4kv4AAADhAQAAEwAAAAAAAAAAAAAA&#10;AAAAAAAAW0NvbnRlbnRfVHlwZXNdLnhtbFBLAQItABQABgAIAAAAIQA4/SH/1gAAAJQBAAALAAAA&#10;AAAAAAAAAAAAAC8BAABfcmVscy8ucmVsc1BLAQItABQABgAIAAAAIQDW8D43cwIAADIFAAAOAAAA&#10;AAAAAAAAAAAAAC4CAABkcnMvZTJvRG9jLnhtbFBLAQItABQABgAIAAAAIQCvH+Sk4QAAAAsBAAAP&#10;AAAAAAAAAAAAAAAAAM0EAABkcnMvZG93bnJldi54bWxQSwUGAAAAAAQABADzAAAA2wUAAAAA&#10;" adj="19710" fillcolor="black [3200]" strokecolor="black [1600]" strokeweight="1pt"/>
            </w:pict>
          </mc:Fallback>
        </mc:AlternateContent>
      </w:r>
      <w:r w:rsidR="005333E2">
        <w:rPr>
          <w:noProof/>
        </w:rPr>
        <w:drawing>
          <wp:inline distT="0" distB="0" distL="0" distR="0" wp14:anchorId="5FF927A4" wp14:editId="0A2EFFE0">
            <wp:extent cx="5924550" cy="740092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4F91A64" w14:textId="77777777" w:rsidR="00E42610" w:rsidRPr="00AD7332" w:rsidRDefault="00E42610" w:rsidP="00E42610">
      <w:pPr>
        <w:jc w:val="center"/>
        <w:rPr>
          <w:rFonts w:ascii="Arial" w:hAnsi="Arial" w:cs="Arial"/>
          <w:b/>
          <w:bCs/>
          <w:sz w:val="20"/>
          <w:szCs w:val="20"/>
        </w:rPr>
      </w:pPr>
      <w:r w:rsidRPr="00AD7332">
        <w:rPr>
          <w:rFonts w:ascii="Arial" w:hAnsi="Arial" w:cs="Arial"/>
          <w:b/>
          <w:bCs/>
          <w:sz w:val="20"/>
          <w:szCs w:val="20"/>
        </w:rPr>
        <w:t>Fig. 1. PRISMA Flow Diagram</w:t>
      </w:r>
    </w:p>
    <w:p w14:paraId="457978DC" w14:textId="29BCFC80" w:rsidR="005333E2" w:rsidRPr="00E42610" w:rsidRDefault="00E42610" w:rsidP="00E42610">
      <w:pPr>
        <w:jc w:val="center"/>
        <w:rPr>
          <w:rFonts w:ascii="Arial" w:hAnsi="Arial" w:cs="Arial"/>
          <w:i/>
          <w:iCs/>
          <w:sz w:val="20"/>
          <w:szCs w:val="20"/>
        </w:rPr>
      </w:pPr>
      <w:r w:rsidRPr="00AD7332">
        <w:rPr>
          <w:rFonts w:ascii="Arial" w:hAnsi="Arial" w:cs="Arial"/>
          <w:i/>
          <w:iCs/>
          <w:sz w:val="20"/>
          <w:szCs w:val="20"/>
        </w:rPr>
        <w:t>Source: Authors’ Construct</w:t>
      </w:r>
    </w:p>
    <w:p w14:paraId="35B45593" w14:textId="77777777" w:rsidR="00770E94" w:rsidRDefault="00770E94" w:rsidP="005E4F62">
      <w:pPr>
        <w:jc w:val="both"/>
        <w:rPr>
          <w:rFonts w:ascii="Arial" w:hAnsi="Arial" w:cs="Arial"/>
          <w:b/>
          <w:bCs/>
          <w:sz w:val="20"/>
          <w:szCs w:val="20"/>
        </w:rPr>
      </w:pPr>
    </w:p>
    <w:p w14:paraId="1A0186C3" w14:textId="74ECA64A" w:rsidR="005E4F62" w:rsidRPr="00AD7332" w:rsidRDefault="005E4F62" w:rsidP="005E4F62">
      <w:pPr>
        <w:jc w:val="both"/>
        <w:rPr>
          <w:rFonts w:ascii="Arial" w:hAnsi="Arial" w:cs="Arial"/>
          <w:b/>
          <w:bCs/>
          <w:sz w:val="20"/>
          <w:szCs w:val="20"/>
        </w:rPr>
      </w:pPr>
      <w:r w:rsidRPr="00AD7332">
        <w:rPr>
          <w:rFonts w:ascii="Arial" w:hAnsi="Arial" w:cs="Arial"/>
          <w:b/>
          <w:bCs/>
          <w:sz w:val="20"/>
          <w:szCs w:val="20"/>
        </w:rPr>
        <w:t>3.1 Contextual Focus on Ghana</w:t>
      </w:r>
    </w:p>
    <w:p w14:paraId="5DAC0820" w14:textId="7427F68E" w:rsidR="00AD7332" w:rsidRDefault="00AD7332" w:rsidP="00AD7332">
      <w:pPr>
        <w:jc w:val="both"/>
        <w:rPr>
          <w:rFonts w:ascii="Arial" w:hAnsi="Arial" w:cs="Arial"/>
          <w:sz w:val="20"/>
          <w:szCs w:val="20"/>
        </w:rPr>
      </w:pPr>
      <w:r w:rsidRPr="00AD7332">
        <w:rPr>
          <w:rFonts w:ascii="Arial" w:hAnsi="Arial" w:cs="Arial"/>
          <w:sz w:val="20"/>
          <w:szCs w:val="20"/>
        </w:rPr>
        <w:t xml:space="preserve">Ghana, located in West Africa, is divided into sixteen administrative regions as shown in Fig. 2. Ghana offers a compelling setting for exploring green buildings as a response to climate change, as the effects of unpredictable rainfall and frequent flooding are already being felt across many communities (IPCC, 2022; </w:t>
      </w:r>
      <w:r w:rsidR="00193DBF">
        <w:rPr>
          <w:rFonts w:ascii="Arial" w:hAnsi="Arial" w:cs="Arial"/>
          <w:sz w:val="20"/>
          <w:szCs w:val="20"/>
        </w:rPr>
        <w:t>Ahmed et al., 2022</w:t>
      </w:r>
      <w:r w:rsidRPr="00AD7332">
        <w:rPr>
          <w:rFonts w:ascii="Arial" w:hAnsi="Arial" w:cs="Arial"/>
          <w:sz w:val="20"/>
          <w:szCs w:val="20"/>
        </w:rPr>
        <w:t>). Rapid urban growth, particularly in cities such as Accra and Kumasi, has increased pressure on housing and infrastructure, often stretching existing systems beyond their limits. Much of this growth has relied on conventional construction methods that depend heavily on energy-intensive materials and mechanical cooling, making buildings less suited to a warming and increasingly unstable climate (</w:t>
      </w:r>
      <w:r w:rsidR="00390697">
        <w:rPr>
          <w:rFonts w:ascii="Arial" w:hAnsi="Arial" w:cs="Arial"/>
          <w:sz w:val="20"/>
          <w:szCs w:val="20"/>
        </w:rPr>
        <w:t xml:space="preserve">Keena </w:t>
      </w:r>
      <w:r w:rsidR="00390697" w:rsidRPr="00AD7332">
        <w:rPr>
          <w:rFonts w:ascii="Arial" w:hAnsi="Arial" w:cs="Arial"/>
          <w:sz w:val="20"/>
          <w:szCs w:val="20"/>
        </w:rPr>
        <w:t>et al.</w:t>
      </w:r>
      <w:r w:rsidR="00390697">
        <w:rPr>
          <w:rFonts w:ascii="Arial" w:hAnsi="Arial" w:cs="Arial"/>
          <w:sz w:val="20"/>
          <w:szCs w:val="20"/>
        </w:rPr>
        <w:t>, 2022</w:t>
      </w:r>
      <w:r w:rsidRPr="00AD7332">
        <w:rPr>
          <w:rFonts w:ascii="Arial" w:hAnsi="Arial" w:cs="Arial"/>
          <w:sz w:val="20"/>
          <w:szCs w:val="20"/>
        </w:rPr>
        <w:t xml:space="preserve">; Owusu &amp; </w:t>
      </w:r>
      <w:proofErr w:type="spellStart"/>
      <w:r w:rsidRPr="00AD7332">
        <w:rPr>
          <w:rFonts w:ascii="Arial" w:hAnsi="Arial" w:cs="Arial"/>
          <w:sz w:val="20"/>
          <w:szCs w:val="20"/>
        </w:rPr>
        <w:t>Asumadu</w:t>
      </w:r>
      <w:proofErr w:type="spellEnd"/>
      <w:r w:rsidRPr="00AD7332">
        <w:rPr>
          <w:rFonts w:ascii="Arial" w:hAnsi="Arial" w:cs="Arial"/>
          <w:sz w:val="20"/>
          <w:szCs w:val="20"/>
        </w:rPr>
        <w:t>-Sarkodie, 2016). Against this backdrop, interest in green building practices is gradually emerging in Ghana as a more climate-responsive way of designing and managing the built environment. Approaches such as designing buildings to encourage natural ventilation, using locally sourced and low-carbon materials, integrating solar energy, and improving water efficiency speak directly to Ghana’s environmental and infrastructural realities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t>
      </w:r>
      <w:r w:rsidR="00390697">
        <w:rPr>
          <w:rFonts w:ascii="Arial" w:hAnsi="Arial" w:cs="Arial"/>
          <w:sz w:val="20"/>
          <w:szCs w:val="20"/>
        </w:rPr>
        <w:t xml:space="preserve">Keena </w:t>
      </w:r>
      <w:r w:rsidR="00390697" w:rsidRPr="00AD7332">
        <w:rPr>
          <w:rFonts w:ascii="Arial" w:hAnsi="Arial" w:cs="Arial"/>
          <w:sz w:val="20"/>
          <w:szCs w:val="20"/>
        </w:rPr>
        <w:t>et al.</w:t>
      </w:r>
      <w:r w:rsidR="00390697">
        <w:rPr>
          <w:rFonts w:ascii="Arial" w:hAnsi="Arial" w:cs="Arial"/>
          <w:sz w:val="20"/>
          <w:szCs w:val="20"/>
        </w:rPr>
        <w:t>, 2022</w:t>
      </w:r>
      <w:r w:rsidRPr="00AD7332">
        <w:rPr>
          <w:rFonts w:ascii="Arial" w:hAnsi="Arial" w:cs="Arial"/>
          <w:sz w:val="20"/>
          <w:szCs w:val="20"/>
        </w:rPr>
        <w:t xml:space="preserve">; Owusu-Manu et al., 2023). These strategies are particularly relevant in a context where electricity supply can be unreliable and water resources are increasingly under strain, making efficiency and self-sufficiency important elements of climate adaptation (Owusu &amp; </w:t>
      </w:r>
      <w:proofErr w:type="spellStart"/>
      <w:r w:rsidRPr="00AD7332">
        <w:rPr>
          <w:rFonts w:ascii="Arial" w:hAnsi="Arial" w:cs="Arial"/>
          <w:sz w:val="20"/>
          <w:szCs w:val="20"/>
        </w:rPr>
        <w:t>Asumadu</w:t>
      </w:r>
      <w:proofErr w:type="spellEnd"/>
      <w:r w:rsidRPr="00AD7332">
        <w:rPr>
          <w:rFonts w:ascii="Arial" w:hAnsi="Arial" w:cs="Arial"/>
          <w:sz w:val="20"/>
          <w:szCs w:val="20"/>
        </w:rPr>
        <w:t xml:space="preserve">-Sarkodie, 2016; </w:t>
      </w:r>
      <w:proofErr w:type="spellStart"/>
      <w:r w:rsidR="00551424">
        <w:rPr>
          <w:rFonts w:ascii="Arial" w:hAnsi="Arial" w:cs="Arial"/>
          <w:sz w:val="20"/>
          <w:szCs w:val="20"/>
        </w:rPr>
        <w:t>Dinko</w:t>
      </w:r>
      <w:proofErr w:type="spellEnd"/>
      <w:r w:rsidR="00551424">
        <w:rPr>
          <w:rFonts w:ascii="Arial" w:hAnsi="Arial" w:cs="Arial"/>
          <w:sz w:val="20"/>
          <w:szCs w:val="20"/>
        </w:rPr>
        <w:t xml:space="preserve"> &amp; Bahati</w:t>
      </w:r>
      <w:r w:rsidRPr="00AD7332">
        <w:rPr>
          <w:rFonts w:ascii="Arial" w:hAnsi="Arial" w:cs="Arial"/>
          <w:sz w:val="20"/>
          <w:szCs w:val="20"/>
        </w:rPr>
        <w:t>, 20</w:t>
      </w:r>
      <w:r w:rsidR="00551424">
        <w:rPr>
          <w:rFonts w:ascii="Arial" w:hAnsi="Arial" w:cs="Arial"/>
          <w:sz w:val="20"/>
          <w:szCs w:val="20"/>
        </w:rPr>
        <w:t>23</w:t>
      </w:r>
      <w:r w:rsidRPr="00AD7332">
        <w:rPr>
          <w:rFonts w:ascii="Arial" w:hAnsi="Arial" w:cs="Arial"/>
          <w:sz w:val="20"/>
          <w:szCs w:val="20"/>
        </w:rPr>
        <w:t xml:space="preserve">; IPCC, 2022). Despite their growing relevance, green buildings remain relatively uncommon in Ghana. High upfront costs, limited technical expertise, weak enforcement of building regulations, and low awareness among developers and homeowners continue to slow adoption (Ikram et al., 2021; Cui et al., 2020; </w:t>
      </w:r>
      <w:proofErr w:type="spellStart"/>
      <w:r w:rsidRPr="00AD7332">
        <w:rPr>
          <w:rFonts w:ascii="Arial" w:hAnsi="Arial" w:cs="Arial"/>
          <w:sz w:val="20"/>
          <w:szCs w:val="20"/>
        </w:rPr>
        <w:t>Akomea</w:t>
      </w:r>
      <w:proofErr w:type="spellEnd"/>
      <w:r w:rsidRPr="00AD7332">
        <w:rPr>
          <w:rFonts w:ascii="Arial" w:hAnsi="Arial" w:cs="Arial"/>
          <w:sz w:val="20"/>
          <w:szCs w:val="20"/>
        </w:rPr>
        <w:t>-Frimpong et al., 2022). Even so, a small number of projects in Accra and Kumasi show that green building principles can be successfully adapted to local conditions, offering practical examples of how buildings can support both environmental sustainability and climate resilience (Ali et al., 2021). Increasing engagement from professional bodies and policy institutions further suggests that interest in climate-responsive construction is slowly gaining momentum (Chan et al., 2018; Addy et al., 2021).</w:t>
      </w:r>
    </w:p>
    <w:p w14:paraId="2BAE9B0F" w14:textId="4E1E9EF1" w:rsidR="0017412E" w:rsidRDefault="0017412E" w:rsidP="00AD7332">
      <w:pPr>
        <w:jc w:val="both"/>
        <w:rPr>
          <w:rFonts w:ascii="Arial" w:hAnsi="Arial" w:cs="Arial"/>
          <w:sz w:val="20"/>
          <w:szCs w:val="20"/>
        </w:rPr>
      </w:pPr>
    </w:p>
    <w:p w14:paraId="07C47166" w14:textId="163F1479" w:rsidR="0017412E" w:rsidRDefault="0017412E" w:rsidP="00AD7332">
      <w:pPr>
        <w:jc w:val="both"/>
        <w:rPr>
          <w:rFonts w:ascii="Arial" w:hAnsi="Arial" w:cs="Arial"/>
          <w:sz w:val="20"/>
          <w:szCs w:val="20"/>
        </w:rPr>
      </w:pPr>
    </w:p>
    <w:p w14:paraId="0D012533" w14:textId="7FFCD4B0" w:rsidR="0017412E" w:rsidRDefault="0017412E" w:rsidP="00AD7332">
      <w:pPr>
        <w:jc w:val="both"/>
        <w:rPr>
          <w:rFonts w:ascii="Arial" w:hAnsi="Arial" w:cs="Arial"/>
          <w:sz w:val="20"/>
          <w:szCs w:val="20"/>
        </w:rPr>
      </w:pPr>
    </w:p>
    <w:p w14:paraId="217868DD" w14:textId="235BA2C1" w:rsidR="0017412E" w:rsidRDefault="0017412E" w:rsidP="00AD7332">
      <w:pPr>
        <w:jc w:val="both"/>
        <w:rPr>
          <w:rFonts w:ascii="Arial" w:hAnsi="Arial" w:cs="Arial"/>
          <w:sz w:val="20"/>
          <w:szCs w:val="20"/>
        </w:rPr>
      </w:pPr>
    </w:p>
    <w:p w14:paraId="0D7F8FFF" w14:textId="71C3E0DB" w:rsidR="0017412E" w:rsidRDefault="0017412E" w:rsidP="00AD7332">
      <w:pPr>
        <w:jc w:val="both"/>
        <w:rPr>
          <w:rFonts w:ascii="Arial" w:hAnsi="Arial" w:cs="Arial"/>
          <w:sz w:val="20"/>
          <w:szCs w:val="20"/>
        </w:rPr>
      </w:pPr>
    </w:p>
    <w:p w14:paraId="02962CBF" w14:textId="563F402D" w:rsidR="0017412E" w:rsidRDefault="0017412E" w:rsidP="00AD7332">
      <w:pPr>
        <w:jc w:val="both"/>
        <w:rPr>
          <w:rFonts w:ascii="Arial" w:hAnsi="Arial" w:cs="Arial"/>
          <w:sz w:val="20"/>
          <w:szCs w:val="20"/>
        </w:rPr>
      </w:pPr>
    </w:p>
    <w:p w14:paraId="538DDF4E" w14:textId="04BCA5D5" w:rsidR="0017412E" w:rsidRDefault="0017412E" w:rsidP="00AD7332">
      <w:pPr>
        <w:jc w:val="both"/>
        <w:rPr>
          <w:rFonts w:ascii="Arial" w:hAnsi="Arial" w:cs="Arial"/>
          <w:sz w:val="20"/>
          <w:szCs w:val="20"/>
        </w:rPr>
      </w:pPr>
    </w:p>
    <w:p w14:paraId="54327E78" w14:textId="302AB43C" w:rsidR="0017412E" w:rsidRDefault="0017412E" w:rsidP="00AD7332">
      <w:pPr>
        <w:jc w:val="both"/>
        <w:rPr>
          <w:rFonts w:ascii="Arial" w:hAnsi="Arial" w:cs="Arial"/>
          <w:sz w:val="20"/>
          <w:szCs w:val="20"/>
        </w:rPr>
      </w:pPr>
    </w:p>
    <w:p w14:paraId="71513830" w14:textId="53E573D6" w:rsidR="0017412E" w:rsidRDefault="0017412E" w:rsidP="00AD7332">
      <w:pPr>
        <w:jc w:val="both"/>
        <w:rPr>
          <w:rFonts w:ascii="Arial" w:hAnsi="Arial" w:cs="Arial"/>
          <w:sz w:val="20"/>
          <w:szCs w:val="20"/>
        </w:rPr>
      </w:pPr>
    </w:p>
    <w:p w14:paraId="2499AFE3" w14:textId="36FD5475" w:rsidR="0017412E" w:rsidRDefault="0017412E" w:rsidP="00AD7332">
      <w:pPr>
        <w:jc w:val="both"/>
        <w:rPr>
          <w:rFonts w:ascii="Arial" w:hAnsi="Arial" w:cs="Arial"/>
          <w:sz w:val="20"/>
          <w:szCs w:val="20"/>
        </w:rPr>
      </w:pPr>
    </w:p>
    <w:p w14:paraId="2F9DE0CD" w14:textId="56C5D936" w:rsidR="0017412E" w:rsidRDefault="0017412E" w:rsidP="00AD7332">
      <w:pPr>
        <w:jc w:val="both"/>
        <w:rPr>
          <w:rFonts w:ascii="Arial" w:hAnsi="Arial" w:cs="Arial"/>
          <w:sz w:val="20"/>
          <w:szCs w:val="20"/>
        </w:rPr>
      </w:pPr>
    </w:p>
    <w:p w14:paraId="7F2AC40E" w14:textId="26B04C51" w:rsidR="0017412E" w:rsidRDefault="0017412E" w:rsidP="00AD7332">
      <w:pPr>
        <w:jc w:val="both"/>
        <w:rPr>
          <w:rFonts w:ascii="Arial" w:hAnsi="Arial" w:cs="Arial"/>
          <w:sz w:val="20"/>
          <w:szCs w:val="20"/>
        </w:rPr>
      </w:pPr>
    </w:p>
    <w:p w14:paraId="546C8363" w14:textId="61F93D23" w:rsidR="0017412E" w:rsidRDefault="0017412E" w:rsidP="00AD7332">
      <w:pPr>
        <w:jc w:val="both"/>
        <w:rPr>
          <w:rFonts w:ascii="Arial" w:hAnsi="Arial" w:cs="Arial"/>
          <w:sz w:val="20"/>
          <w:szCs w:val="20"/>
        </w:rPr>
      </w:pPr>
    </w:p>
    <w:p w14:paraId="31AB4F31" w14:textId="1409DEB9" w:rsidR="0017412E" w:rsidRDefault="0017412E" w:rsidP="00AD7332">
      <w:pPr>
        <w:jc w:val="both"/>
        <w:rPr>
          <w:rFonts w:ascii="Arial" w:hAnsi="Arial" w:cs="Arial"/>
          <w:sz w:val="20"/>
          <w:szCs w:val="20"/>
        </w:rPr>
      </w:pPr>
    </w:p>
    <w:p w14:paraId="59B22377" w14:textId="22077847" w:rsidR="0017412E" w:rsidRDefault="0017412E" w:rsidP="00AD7332">
      <w:pPr>
        <w:jc w:val="both"/>
        <w:rPr>
          <w:rFonts w:ascii="Arial" w:hAnsi="Arial" w:cs="Arial"/>
          <w:sz w:val="20"/>
          <w:szCs w:val="20"/>
        </w:rPr>
      </w:pPr>
    </w:p>
    <w:p w14:paraId="62566B39" w14:textId="285C5010" w:rsidR="0017412E" w:rsidRDefault="0017412E" w:rsidP="00AD7332">
      <w:pPr>
        <w:jc w:val="both"/>
        <w:rPr>
          <w:rFonts w:ascii="Arial" w:hAnsi="Arial" w:cs="Arial"/>
          <w:sz w:val="20"/>
          <w:szCs w:val="20"/>
        </w:rPr>
      </w:pPr>
    </w:p>
    <w:p w14:paraId="17EC3F33" w14:textId="676AFD1A" w:rsidR="0017412E" w:rsidRPr="00AD7332" w:rsidRDefault="0017412E" w:rsidP="0017412E">
      <w:pPr>
        <w:jc w:val="center"/>
        <w:rPr>
          <w:rFonts w:ascii="Arial" w:hAnsi="Arial" w:cs="Arial"/>
          <w:sz w:val="20"/>
          <w:szCs w:val="20"/>
        </w:rPr>
      </w:pPr>
      <w:r>
        <w:rPr>
          <w:rFonts w:ascii="Arial" w:hAnsi="Arial" w:cs="Arial"/>
          <w:noProof/>
          <w:sz w:val="20"/>
          <w:szCs w:val="20"/>
        </w:rPr>
        <w:drawing>
          <wp:inline distT="0" distB="0" distL="0" distR="0" wp14:anchorId="33DC9A35" wp14:editId="4DC59B80">
            <wp:extent cx="5002861" cy="47148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7103" cy="4718873"/>
                    </a:xfrm>
                    <a:prstGeom prst="rect">
                      <a:avLst/>
                    </a:prstGeom>
                    <a:noFill/>
                  </pic:spPr>
                </pic:pic>
              </a:graphicData>
            </a:graphic>
          </wp:inline>
        </w:drawing>
      </w:r>
    </w:p>
    <w:p w14:paraId="4AE51CCC" w14:textId="17308F5E" w:rsidR="007758C4" w:rsidRPr="00AD7332" w:rsidRDefault="007758C4" w:rsidP="00E42610">
      <w:pPr>
        <w:jc w:val="center"/>
        <w:rPr>
          <w:rFonts w:ascii="Arial" w:hAnsi="Arial" w:cs="Arial"/>
          <w:b/>
          <w:bCs/>
          <w:sz w:val="20"/>
          <w:szCs w:val="20"/>
        </w:rPr>
      </w:pPr>
      <w:r w:rsidRPr="00AD7332">
        <w:rPr>
          <w:rFonts w:ascii="Arial" w:hAnsi="Arial" w:cs="Arial"/>
          <w:b/>
          <w:bCs/>
          <w:sz w:val="20"/>
          <w:szCs w:val="20"/>
        </w:rPr>
        <w:t xml:space="preserve">Fig. 2. Map of Ghana with its </w:t>
      </w:r>
      <w:r w:rsidR="002B34B4" w:rsidRPr="00AD7332">
        <w:rPr>
          <w:rFonts w:ascii="Arial" w:hAnsi="Arial" w:cs="Arial"/>
          <w:b/>
          <w:bCs/>
          <w:sz w:val="20"/>
          <w:szCs w:val="20"/>
        </w:rPr>
        <w:t xml:space="preserve">administrative </w:t>
      </w:r>
      <w:r w:rsidRPr="00AD7332">
        <w:rPr>
          <w:rFonts w:ascii="Arial" w:hAnsi="Arial" w:cs="Arial"/>
          <w:b/>
          <w:bCs/>
          <w:sz w:val="20"/>
          <w:szCs w:val="20"/>
        </w:rPr>
        <w:t>regions</w:t>
      </w:r>
    </w:p>
    <w:p w14:paraId="6BFC2B93" w14:textId="5C547AE2" w:rsidR="007758C4" w:rsidRPr="00AD7332" w:rsidRDefault="007758C4" w:rsidP="00CC6DAD">
      <w:pPr>
        <w:jc w:val="center"/>
        <w:rPr>
          <w:rFonts w:ascii="Arial" w:hAnsi="Arial" w:cs="Arial"/>
          <w:i/>
          <w:iCs/>
          <w:sz w:val="20"/>
          <w:szCs w:val="20"/>
        </w:rPr>
      </w:pPr>
      <w:r w:rsidRPr="00AD7332">
        <w:rPr>
          <w:rFonts w:ascii="Arial" w:hAnsi="Arial" w:cs="Arial"/>
          <w:i/>
          <w:iCs/>
          <w:sz w:val="20"/>
          <w:szCs w:val="20"/>
        </w:rPr>
        <w:t>Source: Ministry of Foreign Affairs, 2026</w:t>
      </w:r>
    </w:p>
    <w:p w14:paraId="385EFCE2" w14:textId="67448667" w:rsidR="005E4F62" w:rsidRPr="00AD7332" w:rsidRDefault="005E4F62" w:rsidP="005E4F62">
      <w:pPr>
        <w:jc w:val="both"/>
        <w:rPr>
          <w:rFonts w:ascii="Arial" w:hAnsi="Arial" w:cs="Arial"/>
          <w:b/>
          <w:bCs/>
          <w:sz w:val="20"/>
          <w:szCs w:val="20"/>
        </w:rPr>
      </w:pPr>
      <w:r w:rsidRPr="00AD7332">
        <w:rPr>
          <w:rFonts w:ascii="Arial" w:hAnsi="Arial" w:cs="Arial"/>
          <w:b/>
          <w:bCs/>
          <w:sz w:val="20"/>
          <w:szCs w:val="20"/>
        </w:rPr>
        <w:t>4.0 ANALYSIS AND DISCUSSION </w:t>
      </w:r>
    </w:p>
    <w:p w14:paraId="00A24217" w14:textId="3BCEC4A4" w:rsidR="00C95BBD" w:rsidRPr="00AD7332" w:rsidRDefault="00C95BBD" w:rsidP="00C95BBD">
      <w:pPr>
        <w:jc w:val="both"/>
        <w:rPr>
          <w:rFonts w:ascii="Arial" w:hAnsi="Arial" w:cs="Arial"/>
          <w:sz w:val="20"/>
          <w:szCs w:val="20"/>
        </w:rPr>
      </w:pPr>
      <w:r w:rsidRPr="00AD7332">
        <w:rPr>
          <w:rFonts w:ascii="Arial" w:hAnsi="Arial" w:cs="Arial"/>
          <w:sz w:val="20"/>
          <w:szCs w:val="20"/>
        </w:rPr>
        <w:t>This chapter focuses on the analysis and discussion of key findings from a systematic review of literature. Table 1</w:t>
      </w:r>
      <w:r w:rsidR="00DA145E" w:rsidRPr="00AD7332">
        <w:rPr>
          <w:rFonts w:ascii="Arial" w:hAnsi="Arial" w:cs="Arial"/>
          <w:sz w:val="20"/>
          <w:szCs w:val="20"/>
        </w:rPr>
        <w:t xml:space="preserve"> and</w:t>
      </w:r>
      <w:r w:rsidRPr="00AD7332">
        <w:rPr>
          <w:rFonts w:ascii="Arial" w:hAnsi="Arial" w:cs="Arial"/>
          <w:sz w:val="20"/>
          <w:szCs w:val="20"/>
        </w:rPr>
        <w:t xml:space="preserve"> 2 below summarize the themes of design and materials</w:t>
      </w:r>
      <w:r w:rsidR="00DA145E" w:rsidRPr="00AD7332">
        <w:rPr>
          <w:rFonts w:ascii="Arial" w:hAnsi="Arial" w:cs="Arial"/>
          <w:sz w:val="20"/>
          <w:szCs w:val="20"/>
        </w:rPr>
        <w:t xml:space="preserve"> and</w:t>
      </w:r>
      <w:r w:rsidRPr="00AD7332">
        <w:rPr>
          <w:rFonts w:ascii="Arial" w:hAnsi="Arial" w:cs="Arial"/>
          <w:sz w:val="20"/>
          <w:szCs w:val="20"/>
        </w:rPr>
        <w:t xml:space="preserve"> water efficiency, with relevant articles organized under each theme. Each entry is summarized to provide key insights pertinent to green buildings for climate change adaptation.</w:t>
      </w:r>
      <w:r w:rsidR="00DA145E" w:rsidRPr="00AD7332">
        <w:rPr>
          <w:rFonts w:ascii="Arial" w:hAnsi="Arial" w:cs="Arial"/>
          <w:sz w:val="20"/>
          <w:szCs w:val="20"/>
        </w:rPr>
        <w:t xml:space="preserve"> </w:t>
      </w:r>
    </w:p>
    <w:p w14:paraId="6BCE1710"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1:</w:t>
      </w:r>
      <w:r w:rsidRPr="00AD7332">
        <w:rPr>
          <w:rFonts w:ascii="Arial" w:hAnsi="Arial" w:cs="Arial"/>
          <w:sz w:val="20"/>
          <w:szCs w:val="20"/>
        </w:rPr>
        <w:t xml:space="preserve"> </w:t>
      </w:r>
      <w:r w:rsidRPr="00AD7332">
        <w:rPr>
          <w:rFonts w:ascii="Arial" w:hAnsi="Arial" w:cs="Arial"/>
          <w:b/>
          <w:bCs/>
          <w:sz w:val="20"/>
          <w:szCs w:val="20"/>
        </w:rPr>
        <w:t>Design and Materials</w:t>
      </w:r>
    </w:p>
    <w:p w14:paraId="5C57AF2F" w14:textId="77777777" w:rsidR="00C95BBD" w:rsidRDefault="00C95BBD" w:rsidP="00C95BBD">
      <w:pPr>
        <w:jc w:val="both"/>
        <w:rPr>
          <w:rFonts w:ascii="Arial" w:hAnsi="Arial" w:cs="Arial"/>
          <w:sz w:val="20"/>
          <w:szCs w:val="20"/>
        </w:rPr>
      </w:pPr>
      <w:r w:rsidRPr="00AD7332">
        <w:rPr>
          <w:rFonts w:ascii="Arial" w:hAnsi="Arial" w:cs="Arial"/>
          <w:sz w:val="20"/>
          <w:szCs w:val="20"/>
        </w:rPr>
        <w:t>Building design and construction materials have lasting impact on how well they cope with Ghana’s changing climate. Picking the right materials, thinking about their long-term effects, and having supportive policies can save energy, cut emissions, and make spaces more comfortable. Together, these approaches ensure buildings are both eco-friendly and well-suited to local conditions.</w:t>
      </w:r>
    </w:p>
    <w:p w14:paraId="456227A2" w14:textId="77777777" w:rsidR="005D687D" w:rsidRDefault="005D687D" w:rsidP="00C95BBD">
      <w:pPr>
        <w:jc w:val="both"/>
        <w:rPr>
          <w:rFonts w:ascii="Arial" w:hAnsi="Arial" w:cs="Arial"/>
          <w:sz w:val="20"/>
          <w:szCs w:val="20"/>
        </w:rPr>
      </w:pPr>
    </w:p>
    <w:p w14:paraId="024E4D5A" w14:textId="77777777" w:rsidR="005D687D" w:rsidRDefault="005D687D" w:rsidP="00C95BBD">
      <w:pPr>
        <w:jc w:val="both"/>
        <w:rPr>
          <w:rFonts w:ascii="Arial" w:hAnsi="Arial" w:cs="Arial"/>
          <w:sz w:val="20"/>
          <w:szCs w:val="20"/>
        </w:rPr>
      </w:pPr>
    </w:p>
    <w:p w14:paraId="6594CAFB" w14:textId="77777777" w:rsidR="005D687D" w:rsidRDefault="005D687D" w:rsidP="00C95BBD">
      <w:pPr>
        <w:jc w:val="both"/>
        <w:rPr>
          <w:rFonts w:ascii="Arial" w:hAnsi="Arial" w:cs="Arial"/>
          <w:sz w:val="20"/>
          <w:szCs w:val="20"/>
        </w:rPr>
      </w:pPr>
    </w:p>
    <w:p w14:paraId="4BA8455A" w14:textId="763A545E" w:rsidR="005D687D" w:rsidRPr="00AD7332" w:rsidRDefault="005D687D" w:rsidP="00C95BBD">
      <w:pPr>
        <w:jc w:val="both"/>
        <w:rPr>
          <w:rFonts w:ascii="Arial" w:hAnsi="Arial" w:cs="Arial"/>
          <w:sz w:val="20"/>
          <w:szCs w:val="20"/>
        </w:rPr>
      </w:pPr>
      <w:r>
        <w:rPr>
          <w:rFonts w:ascii="Arial" w:hAnsi="Arial" w:cs="Arial"/>
          <w:sz w:val="20"/>
          <w:szCs w:val="20"/>
        </w:rPr>
        <w:t xml:space="preserve">Table </w:t>
      </w:r>
      <w:r w:rsidR="00067507">
        <w:rPr>
          <w:rFonts w:ascii="Arial" w:hAnsi="Arial" w:cs="Arial"/>
          <w:sz w:val="20"/>
          <w:szCs w:val="20"/>
        </w:rPr>
        <w:t>1.</w:t>
      </w:r>
      <w:r w:rsidR="00CB3313">
        <w:rPr>
          <w:rFonts w:ascii="Arial" w:hAnsi="Arial" w:cs="Arial"/>
          <w:sz w:val="20"/>
          <w:szCs w:val="20"/>
        </w:rPr>
        <w:t xml:space="preserve"> Key </w:t>
      </w:r>
      <w:r w:rsidR="005F2FD5">
        <w:rPr>
          <w:rFonts w:ascii="Arial" w:hAnsi="Arial" w:cs="Arial"/>
          <w:sz w:val="20"/>
          <w:szCs w:val="20"/>
        </w:rPr>
        <w:t>syntheses</w:t>
      </w:r>
      <w:r w:rsidR="00CB3313">
        <w:rPr>
          <w:rFonts w:ascii="Arial" w:hAnsi="Arial" w:cs="Arial"/>
          <w:sz w:val="20"/>
          <w:szCs w:val="20"/>
        </w:rPr>
        <w:t xml:space="preserve"> from literature </w:t>
      </w:r>
      <w:r w:rsidR="005F2FD5">
        <w:rPr>
          <w:rFonts w:ascii="Arial" w:hAnsi="Arial" w:cs="Arial"/>
          <w:sz w:val="20"/>
          <w:szCs w:val="20"/>
        </w:rPr>
        <w:t xml:space="preserve">on </w:t>
      </w:r>
      <w:r w:rsidR="00F9328A">
        <w:rPr>
          <w:rFonts w:ascii="Arial" w:hAnsi="Arial" w:cs="Arial"/>
          <w:sz w:val="20"/>
          <w:szCs w:val="20"/>
        </w:rPr>
        <w:t>i</w:t>
      </w:r>
      <w:r w:rsidR="00F9328A" w:rsidRPr="005F2FD5">
        <w:rPr>
          <w:rFonts w:ascii="Arial" w:hAnsi="Arial" w:cs="Arial"/>
          <w:sz w:val="20"/>
          <w:szCs w:val="20"/>
        </w:rPr>
        <w:t xml:space="preserve">mpact </w:t>
      </w:r>
      <w:r w:rsidR="005F2FD5" w:rsidRPr="005F2FD5">
        <w:rPr>
          <w:rFonts w:ascii="Arial" w:hAnsi="Arial" w:cs="Arial"/>
          <w:sz w:val="20"/>
          <w:szCs w:val="20"/>
        </w:rPr>
        <w:t>of building design and construction materials on resilience to Ghana’s changing climate.</w:t>
      </w:r>
    </w:p>
    <w:tbl>
      <w:tblPr>
        <w:tblW w:w="0" w:type="auto"/>
        <w:tblCellSpacing w:w="15" w:type="dxa"/>
        <w:tblInd w:w="90" w:type="dxa"/>
        <w:tblLook w:val="04A0" w:firstRow="1" w:lastRow="0" w:firstColumn="1" w:lastColumn="0" w:noHBand="0" w:noVBand="1"/>
      </w:tblPr>
      <w:tblGrid>
        <w:gridCol w:w="1300"/>
        <w:gridCol w:w="505"/>
        <w:gridCol w:w="1835"/>
        <w:gridCol w:w="1550"/>
        <w:gridCol w:w="2007"/>
        <w:gridCol w:w="2073"/>
      </w:tblGrid>
      <w:tr w:rsidR="0027214A" w:rsidRPr="00AD7332" w14:paraId="64B0D2F9" w14:textId="77777777" w:rsidTr="0027214A">
        <w:trPr>
          <w:tblHeader/>
          <w:tblCellSpacing w:w="15" w:type="dxa"/>
        </w:trPr>
        <w:tc>
          <w:tcPr>
            <w:tcW w:w="1212" w:type="dxa"/>
            <w:tcBorders>
              <w:top w:val="single" w:sz="4" w:space="0" w:color="auto"/>
              <w:left w:val="nil"/>
              <w:bottom w:val="nil"/>
              <w:right w:val="nil"/>
            </w:tcBorders>
            <w:tcMar>
              <w:top w:w="15" w:type="dxa"/>
              <w:left w:w="15" w:type="dxa"/>
              <w:bottom w:w="15" w:type="dxa"/>
              <w:right w:w="15" w:type="dxa"/>
            </w:tcMar>
            <w:vAlign w:val="center"/>
            <w:hideMark/>
          </w:tcPr>
          <w:p w14:paraId="2AE87285"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Author(s)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27E26FE" w14:textId="77777777" w:rsidR="00C95BBD" w:rsidRPr="00AD7332" w:rsidRDefault="00C95BBD" w:rsidP="00C95BBD">
            <w:pPr>
              <w:jc w:val="center"/>
              <w:rPr>
                <w:rFonts w:ascii="Arial" w:hAnsi="Arial" w:cs="Arial"/>
                <w:b/>
                <w:bCs/>
                <w:sz w:val="20"/>
                <w:szCs w:val="20"/>
              </w:rPr>
            </w:pPr>
            <w:r w:rsidRPr="00AD7332">
              <w:rPr>
                <w:rFonts w:ascii="Arial" w:hAnsi="Arial" w:cs="Arial"/>
                <w:b/>
                <w:bCs/>
                <w:sz w:val="20"/>
                <w:szCs w:val="20"/>
              </w:rPr>
              <w:t>Year</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CAAAD79"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Objectives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ACDD493"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Methodology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560C82C"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Key Findings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CEBFF5F"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Relevance to Ghana</w:t>
            </w:r>
          </w:p>
        </w:tc>
      </w:tr>
      <w:tr w:rsidR="0027214A" w:rsidRPr="00AD7332" w14:paraId="0A3402DD" w14:textId="77777777" w:rsidTr="0027214A">
        <w:trPr>
          <w:tblCellSpacing w:w="15" w:type="dxa"/>
        </w:trPr>
        <w:tc>
          <w:tcPr>
            <w:tcW w:w="1212" w:type="dxa"/>
            <w:tcBorders>
              <w:top w:val="single" w:sz="4" w:space="0" w:color="auto"/>
              <w:left w:val="nil"/>
              <w:bottom w:val="nil"/>
              <w:right w:val="nil"/>
            </w:tcBorders>
            <w:tcMar>
              <w:top w:w="15" w:type="dxa"/>
              <w:left w:w="15" w:type="dxa"/>
              <w:bottom w:w="15" w:type="dxa"/>
              <w:right w:w="15" w:type="dxa"/>
            </w:tcMar>
            <w:vAlign w:val="center"/>
            <w:hideMark/>
          </w:tcPr>
          <w:p w14:paraId="6E9A9723" w14:textId="77777777" w:rsidR="00C95BBD" w:rsidRPr="00AD7332" w:rsidRDefault="00C95BBD" w:rsidP="00C95BBD">
            <w:pPr>
              <w:rPr>
                <w:rFonts w:ascii="Arial" w:hAnsi="Arial" w:cs="Arial"/>
                <w:sz w:val="20"/>
                <w:szCs w:val="20"/>
              </w:rPr>
            </w:pPr>
            <w:r w:rsidRPr="00AD7332">
              <w:rPr>
                <w:rFonts w:ascii="Arial" w:hAnsi="Arial" w:cs="Arial"/>
                <w:sz w:val="20"/>
                <w:szCs w:val="20"/>
              </w:rPr>
              <w:t>Ali et al.</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BA4FD25"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2021</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3904FC7" w14:textId="77777777" w:rsidR="00C95BBD" w:rsidRPr="00AD7332" w:rsidRDefault="00C95BBD" w:rsidP="00C95BBD">
            <w:pPr>
              <w:rPr>
                <w:rFonts w:ascii="Arial" w:hAnsi="Arial" w:cs="Arial"/>
                <w:sz w:val="20"/>
                <w:szCs w:val="20"/>
              </w:rPr>
            </w:pPr>
            <w:r w:rsidRPr="00AD7332">
              <w:rPr>
                <w:rFonts w:ascii="Arial" w:hAnsi="Arial" w:cs="Arial"/>
                <w:sz w:val="20"/>
                <w:szCs w:val="20"/>
              </w:rPr>
              <w:t>Assess green economy implementation in Ghana</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2516F3F" w14:textId="77777777" w:rsidR="00C95BBD" w:rsidRPr="00AD7332" w:rsidRDefault="00C95BBD" w:rsidP="00C95BBD">
            <w:pPr>
              <w:rPr>
                <w:rFonts w:ascii="Arial" w:hAnsi="Arial" w:cs="Arial"/>
                <w:sz w:val="20"/>
                <w:szCs w:val="20"/>
              </w:rPr>
            </w:pPr>
            <w:r w:rsidRPr="00AD7332">
              <w:rPr>
                <w:rFonts w:ascii="Arial" w:hAnsi="Arial" w:cs="Arial"/>
                <w:sz w:val="20"/>
                <w:szCs w:val="20"/>
              </w:rPr>
              <w:t>Policy and literature review</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9257138" w14:textId="77777777" w:rsidR="00C95BBD" w:rsidRPr="00AD7332" w:rsidRDefault="00C95BBD" w:rsidP="00C95BBD">
            <w:pPr>
              <w:rPr>
                <w:rFonts w:ascii="Arial" w:hAnsi="Arial" w:cs="Arial"/>
                <w:sz w:val="20"/>
                <w:szCs w:val="20"/>
              </w:rPr>
            </w:pPr>
            <w:r w:rsidRPr="00AD7332">
              <w:rPr>
                <w:rFonts w:ascii="Arial" w:hAnsi="Arial" w:cs="Arial"/>
                <w:sz w:val="20"/>
                <w:szCs w:val="20"/>
              </w:rPr>
              <w:t>Institutional support exists but adoption remains weak due to cost and capacity gaps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C754711" w14:textId="77777777" w:rsidR="00C95BBD" w:rsidRPr="00AD7332" w:rsidRDefault="00C95BBD" w:rsidP="00C95BBD">
            <w:pPr>
              <w:rPr>
                <w:rFonts w:ascii="Arial" w:hAnsi="Arial" w:cs="Arial"/>
                <w:sz w:val="20"/>
                <w:szCs w:val="20"/>
              </w:rPr>
            </w:pPr>
            <w:r w:rsidRPr="00AD7332">
              <w:rPr>
                <w:rFonts w:ascii="Arial" w:hAnsi="Arial" w:cs="Arial"/>
                <w:sz w:val="20"/>
                <w:szCs w:val="20"/>
              </w:rPr>
              <w:t>Highlights need for policy incentives to mainstream green building for adaptation</w:t>
            </w:r>
          </w:p>
        </w:tc>
      </w:tr>
      <w:tr w:rsidR="0027214A" w:rsidRPr="00AD7332" w14:paraId="41E6BFFE" w14:textId="77777777" w:rsidTr="0027214A">
        <w:trPr>
          <w:tblCellSpacing w:w="15" w:type="dxa"/>
        </w:trPr>
        <w:tc>
          <w:tcPr>
            <w:tcW w:w="1212" w:type="dxa"/>
            <w:tcBorders>
              <w:top w:val="single" w:sz="4" w:space="0" w:color="auto"/>
              <w:left w:val="nil"/>
              <w:bottom w:val="nil"/>
              <w:right w:val="nil"/>
            </w:tcBorders>
            <w:tcMar>
              <w:top w:w="15" w:type="dxa"/>
              <w:left w:w="15" w:type="dxa"/>
              <w:bottom w:w="15" w:type="dxa"/>
              <w:right w:w="15" w:type="dxa"/>
            </w:tcMar>
            <w:vAlign w:val="center"/>
            <w:hideMark/>
          </w:tcPr>
          <w:p w14:paraId="085E87CB" w14:textId="43ADDE7D" w:rsidR="00C95BBD" w:rsidRPr="00AD7332" w:rsidRDefault="004F73C3" w:rsidP="00C95BBD">
            <w:pPr>
              <w:rPr>
                <w:rFonts w:ascii="Arial" w:hAnsi="Arial" w:cs="Arial"/>
                <w:sz w:val="20"/>
                <w:szCs w:val="20"/>
              </w:rPr>
            </w:pPr>
            <w:proofErr w:type="spellStart"/>
            <w:r>
              <w:rPr>
                <w:rFonts w:ascii="Arial" w:hAnsi="Arial" w:cs="Arial"/>
                <w:sz w:val="20"/>
                <w:szCs w:val="20"/>
              </w:rPr>
              <w:t>Anzagira</w:t>
            </w:r>
            <w:proofErr w:type="spellEnd"/>
            <w:r>
              <w:rPr>
                <w:rFonts w:ascii="Arial" w:hAnsi="Arial" w:cs="Arial"/>
                <w:sz w:val="20"/>
                <w:szCs w:val="20"/>
              </w:rPr>
              <w:t xml:space="preserve"> et al</w:t>
            </w:r>
            <w:r w:rsidR="00C95BBD" w:rsidRPr="00AD7332">
              <w:rPr>
                <w:rFonts w:ascii="Arial" w:hAnsi="Arial" w:cs="Arial"/>
                <w:sz w:val="20"/>
                <w:szCs w:val="20"/>
              </w:rPr>
              <w:t>.</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D8C305E" w14:textId="76AD30AB" w:rsidR="00C95BBD" w:rsidRPr="00AD7332" w:rsidRDefault="00C95BBD" w:rsidP="00C95BBD">
            <w:pPr>
              <w:jc w:val="center"/>
              <w:rPr>
                <w:rFonts w:ascii="Arial" w:hAnsi="Arial" w:cs="Arial"/>
                <w:sz w:val="20"/>
                <w:szCs w:val="20"/>
              </w:rPr>
            </w:pPr>
            <w:r w:rsidRPr="00AD7332">
              <w:rPr>
                <w:rFonts w:ascii="Arial" w:hAnsi="Arial" w:cs="Arial"/>
                <w:sz w:val="20"/>
                <w:szCs w:val="20"/>
              </w:rPr>
              <w:t>20</w:t>
            </w:r>
            <w:r w:rsidR="004F73C3">
              <w:rPr>
                <w:rFonts w:ascii="Arial" w:hAnsi="Arial" w:cs="Arial"/>
                <w:sz w:val="20"/>
                <w:szCs w:val="20"/>
              </w:rPr>
              <w:t>22</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62853C5" w14:textId="025348CB" w:rsidR="00C95BBD" w:rsidRPr="00AD7332" w:rsidRDefault="00C95BBD" w:rsidP="00C95BBD">
            <w:pPr>
              <w:rPr>
                <w:rFonts w:ascii="Arial" w:hAnsi="Arial" w:cs="Arial"/>
                <w:sz w:val="20"/>
                <w:szCs w:val="20"/>
              </w:rPr>
            </w:pPr>
            <w:r w:rsidRPr="00AD7332">
              <w:rPr>
                <w:rFonts w:ascii="Arial" w:hAnsi="Arial" w:cs="Arial"/>
                <w:sz w:val="20"/>
                <w:szCs w:val="20"/>
              </w:rPr>
              <w:t>Ex</w:t>
            </w:r>
            <w:r w:rsidR="004F73C3">
              <w:rPr>
                <w:rFonts w:ascii="Arial" w:hAnsi="Arial" w:cs="Arial"/>
                <w:sz w:val="20"/>
                <w:szCs w:val="20"/>
              </w:rPr>
              <w:t>amine adoption of</w:t>
            </w:r>
            <w:r w:rsidRPr="00AD7332">
              <w:rPr>
                <w:rFonts w:ascii="Arial" w:hAnsi="Arial" w:cs="Arial"/>
                <w:sz w:val="20"/>
                <w:szCs w:val="20"/>
              </w:rPr>
              <w:t xml:space="preserve"> </w:t>
            </w:r>
            <w:r w:rsidR="004F73C3">
              <w:rPr>
                <w:rFonts w:ascii="Arial" w:hAnsi="Arial" w:cs="Arial"/>
                <w:sz w:val="20"/>
                <w:szCs w:val="20"/>
              </w:rPr>
              <w:t xml:space="preserve">green </w:t>
            </w:r>
            <w:r w:rsidRPr="00AD7332">
              <w:rPr>
                <w:rFonts w:ascii="Arial" w:hAnsi="Arial" w:cs="Arial"/>
                <w:sz w:val="20"/>
                <w:szCs w:val="20"/>
              </w:rPr>
              <w:t>buildings</w:t>
            </w:r>
            <w:r w:rsidR="004F73C3">
              <w:rPr>
                <w:rFonts w:ascii="Arial" w:hAnsi="Arial" w:cs="Arial"/>
                <w:sz w:val="20"/>
                <w:szCs w:val="20"/>
              </w:rPr>
              <w:t xml:space="preserve"> and technologies in Ghana</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422B3AB" w14:textId="2412E4E7" w:rsidR="00C95BBD" w:rsidRPr="00AD7332" w:rsidRDefault="004F73C3" w:rsidP="00C95BBD">
            <w:pPr>
              <w:rPr>
                <w:rFonts w:ascii="Arial" w:hAnsi="Arial" w:cs="Arial"/>
                <w:sz w:val="20"/>
                <w:szCs w:val="20"/>
              </w:rPr>
            </w:pPr>
            <w:r>
              <w:rPr>
                <w:rFonts w:ascii="Arial" w:hAnsi="Arial" w:cs="Arial"/>
                <w:sz w:val="20"/>
                <w:szCs w:val="20"/>
              </w:rPr>
              <w:t>Literature review and questionnaire survey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253476A" w14:textId="67B931D0" w:rsidR="00C95BBD" w:rsidRPr="00AD7332" w:rsidRDefault="0027214A" w:rsidP="00C95BBD">
            <w:pPr>
              <w:rPr>
                <w:rFonts w:ascii="Arial" w:hAnsi="Arial" w:cs="Arial"/>
                <w:sz w:val="20"/>
                <w:szCs w:val="20"/>
              </w:rPr>
            </w:pPr>
            <w:r>
              <w:rPr>
                <w:rFonts w:ascii="Arial" w:hAnsi="Arial" w:cs="Arial"/>
                <w:sz w:val="20"/>
                <w:szCs w:val="20"/>
              </w:rPr>
              <w:t>Green buildings in Ghana focus on site planning, building orientation, natural ventilation, and energy-efficient lighting.</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FE7925D" w14:textId="67EFE46A" w:rsidR="00C95BBD" w:rsidRPr="00AD7332" w:rsidRDefault="004F73C3" w:rsidP="00C95BBD">
            <w:pPr>
              <w:rPr>
                <w:rFonts w:ascii="Arial" w:hAnsi="Arial" w:cs="Arial"/>
                <w:sz w:val="20"/>
                <w:szCs w:val="20"/>
              </w:rPr>
            </w:pPr>
            <w:r>
              <w:rPr>
                <w:rFonts w:ascii="Arial" w:hAnsi="Arial" w:cs="Arial"/>
                <w:sz w:val="20"/>
                <w:szCs w:val="20"/>
              </w:rPr>
              <w:t>Identifies common green technologies, assess adoption levels and informs policies and sustainable practices</w:t>
            </w:r>
          </w:p>
        </w:tc>
      </w:tr>
      <w:tr w:rsidR="0027214A" w:rsidRPr="00AD7332" w14:paraId="1E9567FA" w14:textId="77777777" w:rsidTr="0027214A">
        <w:trPr>
          <w:tblCellSpacing w:w="15" w:type="dxa"/>
        </w:trPr>
        <w:tc>
          <w:tcPr>
            <w:tcW w:w="1212"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C6054AE" w14:textId="77777777" w:rsidR="00C95BBD" w:rsidRPr="00AD7332" w:rsidRDefault="00C95BBD" w:rsidP="00C95BBD">
            <w:pPr>
              <w:rPr>
                <w:rFonts w:ascii="Arial" w:hAnsi="Arial" w:cs="Arial"/>
                <w:sz w:val="20"/>
                <w:szCs w:val="20"/>
              </w:rPr>
            </w:pP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69D7626"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2024</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1CA489B" w14:textId="77777777" w:rsidR="00C95BBD" w:rsidRPr="00AD7332" w:rsidRDefault="00C95BBD" w:rsidP="00C95BBD">
            <w:pPr>
              <w:rPr>
                <w:rFonts w:ascii="Arial" w:hAnsi="Arial" w:cs="Arial"/>
                <w:sz w:val="20"/>
                <w:szCs w:val="20"/>
              </w:rPr>
            </w:pPr>
            <w:r w:rsidRPr="00AD7332">
              <w:rPr>
                <w:rFonts w:ascii="Arial" w:hAnsi="Arial" w:cs="Arial"/>
                <w:sz w:val="20"/>
                <w:szCs w:val="20"/>
              </w:rPr>
              <w:t>Investigate sustainable building materials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85009A5" w14:textId="77777777" w:rsidR="00C95BBD" w:rsidRPr="00AD7332" w:rsidRDefault="00C95BBD" w:rsidP="00C95BBD">
            <w:pPr>
              <w:rPr>
                <w:rFonts w:ascii="Arial" w:hAnsi="Arial" w:cs="Arial"/>
                <w:sz w:val="20"/>
                <w:szCs w:val="20"/>
              </w:rPr>
            </w:pPr>
            <w:r w:rsidRPr="00AD7332">
              <w:rPr>
                <w:rFonts w:ascii="Arial" w:hAnsi="Arial" w:cs="Arial"/>
                <w:sz w:val="20"/>
                <w:szCs w:val="20"/>
              </w:rPr>
              <w:t>Technical and case-based review</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18EE6A5" w14:textId="77777777" w:rsidR="00C95BBD" w:rsidRPr="00AD7332" w:rsidRDefault="00C95BBD" w:rsidP="00C95BBD">
            <w:pPr>
              <w:rPr>
                <w:rFonts w:ascii="Arial" w:hAnsi="Arial" w:cs="Arial"/>
                <w:sz w:val="20"/>
                <w:szCs w:val="20"/>
              </w:rPr>
            </w:pPr>
            <w:r w:rsidRPr="00AD7332">
              <w:rPr>
                <w:rFonts w:ascii="Arial" w:hAnsi="Arial" w:cs="Arial"/>
                <w:sz w:val="20"/>
                <w:szCs w:val="20"/>
              </w:rPr>
              <w:t>Sustainable materials reduce emissions and improve thermal comfort</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2332168" w14:textId="77777777" w:rsidR="00C95BBD" w:rsidRPr="00AD7332" w:rsidRDefault="00C95BBD" w:rsidP="00C95BBD">
            <w:pPr>
              <w:rPr>
                <w:rFonts w:ascii="Arial" w:hAnsi="Arial" w:cs="Arial"/>
                <w:sz w:val="20"/>
                <w:szCs w:val="20"/>
              </w:rPr>
            </w:pPr>
            <w:r w:rsidRPr="00AD7332">
              <w:rPr>
                <w:rFonts w:ascii="Arial" w:hAnsi="Arial" w:cs="Arial"/>
                <w:sz w:val="20"/>
                <w:szCs w:val="20"/>
              </w:rPr>
              <w:t>Reinforces use of climate-appropriate materials for Ghanaian conditions</w:t>
            </w:r>
          </w:p>
        </w:tc>
      </w:tr>
    </w:tbl>
    <w:p w14:paraId="64C2A973" w14:textId="43417E4E" w:rsidR="00C95BBD" w:rsidRPr="00AD7332" w:rsidRDefault="00C95BBD" w:rsidP="005B0630">
      <w:pPr>
        <w:jc w:val="center"/>
        <w:rPr>
          <w:rFonts w:ascii="Arial" w:hAnsi="Arial" w:cs="Arial"/>
          <w:i/>
          <w:iCs/>
          <w:sz w:val="20"/>
          <w:szCs w:val="20"/>
        </w:rPr>
      </w:pPr>
      <w:r w:rsidRPr="00AD7332">
        <w:rPr>
          <w:rFonts w:ascii="Arial" w:hAnsi="Arial" w:cs="Arial"/>
          <w:i/>
          <w:iCs/>
          <w:sz w:val="20"/>
          <w:szCs w:val="20"/>
        </w:rPr>
        <w:t>Source: Authors’ Construct</w:t>
      </w:r>
      <w:r w:rsidR="005B0630" w:rsidRPr="00AD7332">
        <w:rPr>
          <w:rFonts w:ascii="Arial" w:hAnsi="Arial" w:cs="Arial"/>
          <w:i/>
          <w:iCs/>
          <w:sz w:val="20"/>
          <w:szCs w:val="20"/>
        </w:rPr>
        <w:t>, 2026</w:t>
      </w:r>
    </w:p>
    <w:p w14:paraId="1AEB937F"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2: Energy Efficiency and Renewable Energy</w:t>
      </w:r>
    </w:p>
    <w:p w14:paraId="5A862622"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Research on energy efficiency and renewable energy consistently shows how vital they are for building climate-responsive systems in Ghana. Earlier work by Owusu and </w:t>
      </w:r>
      <w:proofErr w:type="spellStart"/>
      <w:r w:rsidRPr="00AD7332">
        <w:rPr>
          <w:rFonts w:ascii="Arial" w:hAnsi="Arial" w:cs="Arial"/>
          <w:sz w:val="20"/>
          <w:szCs w:val="20"/>
        </w:rPr>
        <w:t>Asumadu</w:t>
      </w:r>
      <w:proofErr w:type="spellEnd"/>
      <w:r w:rsidRPr="00AD7332">
        <w:rPr>
          <w:rFonts w:ascii="Arial" w:hAnsi="Arial" w:cs="Arial"/>
          <w:sz w:val="20"/>
          <w:szCs w:val="20"/>
        </w:rPr>
        <w:t>-Sarkodie (2016) explains that expanding the use of renewable energy, particularly solar power, can strengthen energy security and reduce exposure to climate risks by easing reliance on an unreliable national grid. In a related vein, Cohen et al. (2021) demonstrate that buildings designed to meet net-zero and high energy-efficiency standards not only cut emissions but also reduce long-term operating costs, making sustainability both environmentally and economically sensible. More recent contributions by Owusu-Manu et al. (2023) further show that energy-efficient construction enhances a building’s ability to adapt to climate stress, offering practical approaches for assessing and improving the climate resilience of green buildings in Ghana.</w:t>
      </w:r>
    </w:p>
    <w:p w14:paraId="6771CCA0"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3: Water Efficiency</w:t>
      </w:r>
    </w:p>
    <w:p w14:paraId="13C41402" w14:textId="38078447" w:rsidR="00C95BBD" w:rsidRDefault="00C95BBD" w:rsidP="00C95BBD">
      <w:pPr>
        <w:jc w:val="both"/>
        <w:rPr>
          <w:rFonts w:ascii="Arial" w:hAnsi="Arial" w:cs="Arial"/>
          <w:sz w:val="20"/>
          <w:szCs w:val="20"/>
        </w:rPr>
      </w:pPr>
      <w:r w:rsidRPr="00AD7332">
        <w:rPr>
          <w:rFonts w:ascii="Arial" w:hAnsi="Arial" w:cs="Arial"/>
          <w:sz w:val="20"/>
          <w:szCs w:val="20"/>
        </w:rPr>
        <w:t>Water efficiency is essential for sustainable and climate-resilient buildings, especially in Ghana where rainfall is unpredictable. Efficient water uses not only conserves resources but also enhances building performance and resilience. Strategies like rainwater harvesting and greywater reuse help support both sustainability and climate adaptation.</w:t>
      </w:r>
    </w:p>
    <w:p w14:paraId="031FEFC7" w14:textId="1FA10734" w:rsidR="005D687D" w:rsidRPr="00AD7332" w:rsidRDefault="005D687D" w:rsidP="00C95BBD">
      <w:pPr>
        <w:jc w:val="both"/>
        <w:rPr>
          <w:rFonts w:ascii="Arial" w:hAnsi="Arial" w:cs="Arial"/>
          <w:sz w:val="20"/>
          <w:szCs w:val="20"/>
        </w:rPr>
      </w:pPr>
      <w:r w:rsidRPr="005D687D">
        <w:rPr>
          <w:rFonts w:ascii="Arial" w:hAnsi="Arial" w:cs="Arial"/>
          <w:sz w:val="20"/>
          <w:szCs w:val="20"/>
        </w:rPr>
        <w:t>Table</w:t>
      </w:r>
      <w:r w:rsidR="00067507">
        <w:rPr>
          <w:rFonts w:ascii="Arial" w:hAnsi="Arial" w:cs="Arial"/>
          <w:sz w:val="20"/>
          <w:szCs w:val="20"/>
        </w:rPr>
        <w:t xml:space="preserve"> 2.</w:t>
      </w:r>
      <w:r w:rsidR="009A16F4">
        <w:rPr>
          <w:rFonts w:ascii="Arial" w:hAnsi="Arial" w:cs="Arial"/>
          <w:sz w:val="20"/>
          <w:szCs w:val="20"/>
        </w:rPr>
        <w:t xml:space="preserve"> </w:t>
      </w:r>
      <w:r w:rsidR="009A16F4" w:rsidRPr="009A16F4">
        <w:rPr>
          <w:rFonts w:ascii="Arial" w:hAnsi="Arial" w:cs="Arial"/>
          <w:sz w:val="20"/>
          <w:szCs w:val="20"/>
        </w:rPr>
        <w:t>K</w:t>
      </w:r>
      <w:r w:rsidR="009C40FB">
        <w:rPr>
          <w:rFonts w:ascii="Arial" w:hAnsi="Arial" w:cs="Arial"/>
          <w:sz w:val="20"/>
          <w:szCs w:val="20"/>
        </w:rPr>
        <w:t xml:space="preserve">ey syntheses from literature on </w:t>
      </w:r>
      <w:r w:rsidR="00E74560">
        <w:rPr>
          <w:rFonts w:ascii="Arial" w:hAnsi="Arial" w:cs="Arial"/>
          <w:sz w:val="20"/>
          <w:szCs w:val="20"/>
        </w:rPr>
        <w:t xml:space="preserve">building designs and </w:t>
      </w:r>
      <w:r w:rsidR="005C62EC" w:rsidRPr="005C62EC">
        <w:rPr>
          <w:rFonts w:ascii="Arial" w:hAnsi="Arial" w:cs="Arial"/>
          <w:sz w:val="20"/>
          <w:szCs w:val="20"/>
        </w:rPr>
        <w:t>water-related climate resilience relevant to Ghana</w:t>
      </w:r>
      <w:r w:rsidR="009C40FB" w:rsidRPr="009C40FB">
        <w:rPr>
          <w:rFonts w:ascii="Arial" w:hAnsi="Arial" w:cs="Arial"/>
          <w:sz w:val="20"/>
          <w:szCs w:val="20"/>
        </w:rPr>
        <w:t xml:space="preserve"> </w:t>
      </w:r>
    </w:p>
    <w:tbl>
      <w:tblPr>
        <w:tblW w:w="0" w:type="auto"/>
        <w:tblCellSpacing w:w="15" w:type="dxa"/>
        <w:tblLook w:val="04A0" w:firstRow="1" w:lastRow="0" w:firstColumn="1" w:lastColumn="0" w:noHBand="0" w:noVBand="1"/>
      </w:tblPr>
      <w:tblGrid>
        <w:gridCol w:w="1093"/>
        <w:gridCol w:w="505"/>
        <w:gridCol w:w="2011"/>
        <w:gridCol w:w="1738"/>
        <w:gridCol w:w="2118"/>
        <w:gridCol w:w="1895"/>
      </w:tblGrid>
      <w:tr w:rsidR="00C95BBD" w:rsidRPr="00AD7332" w14:paraId="0303FDAF" w14:textId="77777777" w:rsidTr="00C95BBD">
        <w:trPr>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4404A32"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lastRenderedPageBreak/>
              <w:t>Author(s)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16B4638" w14:textId="77777777" w:rsidR="00C95BBD" w:rsidRPr="00AD7332" w:rsidRDefault="00C95BBD" w:rsidP="00C95BBD">
            <w:pPr>
              <w:jc w:val="center"/>
              <w:rPr>
                <w:rFonts w:ascii="Arial" w:hAnsi="Arial" w:cs="Arial"/>
                <w:b/>
                <w:bCs/>
                <w:sz w:val="20"/>
                <w:szCs w:val="20"/>
              </w:rPr>
            </w:pPr>
            <w:r w:rsidRPr="00AD7332">
              <w:rPr>
                <w:rFonts w:ascii="Arial" w:hAnsi="Arial" w:cs="Arial"/>
                <w:b/>
                <w:bCs/>
                <w:sz w:val="20"/>
                <w:szCs w:val="20"/>
              </w:rPr>
              <w:t>Year</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B7194F4"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Objectives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F6C40D7"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Methodology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70036AB"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Key Findings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E3E31AA" w14:textId="77777777" w:rsidR="00C95BBD" w:rsidRPr="00AD7332" w:rsidRDefault="00C95BBD" w:rsidP="00C95BBD">
            <w:pPr>
              <w:rPr>
                <w:rFonts w:ascii="Arial" w:hAnsi="Arial" w:cs="Arial"/>
                <w:b/>
                <w:bCs/>
                <w:sz w:val="20"/>
                <w:szCs w:val="20"/>
              </w:rPr>
            </w:pPr>
            <w:r w:rsidRPr="00AD7332">
              <w:rPr>
                <w:rFonts w:ascii="Arial" w:hAnsi="Arial" w:cs="Arial"/>
                <w:b/>
                <w:bCs/>
                <w:sz w:val="20"/>
                <w:szCs w:val="20"/>
              </w:rPr>
              <w:t>Relevance to Ghana</w:t>
            </w:r>
          </w:p>
        </w:tc>
      </w:tr>
      <w:tr w:rsidR="00C95BBD" w:rsidRPr="00AD7332" w14:paraId="7D2F9112" w14:textId="77777777" w:rsidTr="00C95BBD">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B27DB85" w14:textId="3BE706E5" w:rsidR="00C95BBD" w:rsidRPr="00AD7332" w:rsidRDefault="00D73FB5" w:rsidP="00C95BBD">
            <w:pPr>
              <w:rPr>
                <w:rFonts w:ascii="Arial" w:hAnsi="Arial" w:cs="Arial"/>
                <w:sz w:val="20"/>
                <w:szCs w:val="20"/>
              </w:rPr>
            </w:pPr>
            <w:r>
              <w:rPr>
                <w:rFonts w:ascii="Arial" w:hAnsi="Arial" w:cs="Arial"/>
                <w:sz w:val="20"/>
                <w:szCs w:val="20"/>
              </w:rPr>
              <w:t>Dinko &amp; Bahati</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31D58F5" w14:textId="16002AA1" w:rsidR="00C95BBD" w:rsidRPr="00AD7332" w:rsidRDefault="00C95BBD" w:rsidP="00C95BBD">
            <w:pPr>
              <w:jc w:val="center"/>
              <w:rPr>
                <w:rFonts w:ascii="Arial" w:hAnsi="Arial" w:cs="Arial"/>
                <w:sz w:val="20"/>
                <w:szCs w:val="20"/>
              </w:rPr>
            </w:pPr>
            <w:r w:rsidRPr="00AD7332">
              <w:rPr>
                <w:rFonts w:ascii="Arial" w:hAnsi="Arial" w:cs="Arial"/>
                <w:sz w:val="20"/>
                <w:szCs w:val="20"/>
              </w:rPr>
              <w:t>20</w:t>
            </w:r>
            <w:r w:rsidR="00D73FB5">
              <w:rPr>
                <w:rFonts w:ascii="Arial" w:hAnsi="Arial" w:cs="Arial"/>
                <w:sz w:val="20"/>
                <w:szCs w:val="20"/>
              </w:rPr>
              <w:t>23</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7EA7F1B" w14:textId="77777777" w:rsidR="00C95BBD" w:rsidRPr="00AD7332" w:rsidRDefault="00C95BBD" w:rsidP="00C95BBD">
            <w:pPr>
              <w:rPr>
                <w:rFonts w:ascii="Arial" w:hAnsi="Arial" w:cs="Arial"/>
                <w:sz w:val="20"/>
                <w:szCs w:val="20"/>
              </w:rPr>
            </w:pPr>
            <w:r w:rsidRPr="00AD7332">
              <w:rPr>
                <w:rFonts w:ascii="Arial" w:hAnsi="Arial" w:cs="Arial"/>
                <w:sz w:val="20"/>
                <w:szCs w:val="20"/>
              </w:rPr>
              <w:t>Examine climate change impacts on water and food security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A1AE8F3" w14:textId="77777777" w:rsidR="00C95BBD" w:rsidRPr="00AD7332" w:rsidRDefault="00C95BBD" w:rsidP="00C95BBD">
            <w:pPr>
              <w:rPr>
                <w:rFonts w:ascii="Arial" w:hAnsi="Arial" w:cs="Arial"/>
                <w:sz w:val="20"/>
                <w:szCs w:val="20"/>
              </w:rPr>
            </w:pPr>
            <w:r w:rsidRPr="00AD7332">
              <w:rPr>
                <w:rFonts w:ascii="Arial" w:hAnsi="Arial" w:cs="Arial"/>
                <w:sz w:val="20"/>
                <w:szCs w:val="20"/>
              </w:rPr>
              <w:t>Analytical review of climate–water linkages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567B0AF" w14:textId="77777777" w:rsidR="00C95BBD" w:rsidRPr="00AD7332" w:rsidRDefault="00C95BBD" w:rsidP="00C95BBD">
            <w:pPr>
              <w:rPr>
                <w:rFonts w:ascii="Arial" w:hAnsi="Arial" w:cs="Arial"/>
                <w:sz w:val="20"/>
                <w:szCs w:val="20"/>
              </w:rPr>
            </w:pPr>
            <w:r w:rsidRPr="00AD7332">
              <w:rPr>
                <w:rFonts w:ascii="Arial" w:hAnsi="Arial" w:cs="Arial"/>
                <w:sz w:val="20"/>
                <w:szCs w:val="20"/>
              </w:rPr>
              <w:t>Climate change intensifies water scarcity; efficient use is critical</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5F1ED76" w14:textId="77777777" w:rsidR="00C95BBD" w:rsidRPr="00AD7332" w:rsidRDefault="00C95BBD" w:rsidP="00C95BBD">
            <w:pPr>
              <w:rPr>
                <w:rFonts w:ascii="Arial" w:hAnsi="Arial" w:cs="Arial"/>
                <w:sz w:val="20"/>
                <w:szCs w:val="20"/>
              </w:rPr>
            </w:pPr>
            <w:r w:rsidRPr="00AD7332">
              <w:rPr>
                <w:rFonts w:ascii="Arial" w:hAnsi="Arial" w:cs="Arial"/>
                <w:sz w:val="20"/>
                <w:szCs w:val="20"/>
              </w:rPr>
              <w:t>Supports water-efficient building design amid Ghana’s erratic rainfall</w:t>
            </w:r>
          </w:p>
        </w:tc>
      </w:tr>
      <w:tr w:rsidR="00C95BBD" w:rsidRPr="00AD7332" w14:paraId="11A75754" w14:textId="77777777" w:rsidTr="00C95BBD">
        <w:trP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4DD4B23" w14:textId="776998B2" w:rsidR="00C95BBD" w:rsidRPr="00AD7332" w:rsidRDefault="00042947" w:rsidP="00C95BBD">
            <w:pPr>
              <w:rPr>
                <w:rFonts w:ascii="Arial" w:hAnsi="Arial" w:cs="Arial"/>
                <w:sz w:val="20"/>
                <w:szCs w:val="20"/>
              </w:rPr>
            </w:pPr>
            <w:r>
              <w:rPr>
                <w:rFonts w:ascii="Arial" w:hAnsi="Arial" w:cs="Arial"/>
                <w:sz w:val="20"/>
                <w:szCs w:val="20"/>
              </w:rPr>
              <w:t xml:space="preserve">Keena </w:t>
            </w:r>
            <w:r w:rsidR="00C95BBD" w:rsidRPr="00AD7332">
              <w:rPr>
                <w:rFonts w:ascii="Arial" w:hAnsi="Arial" w:cs="Arial"/>
                <w:sz w:val="20"/>
                <w:szCs w:val="20"/>
              </w:rPr>
              <w:t>et al.</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8985142" w14:textId="796E3F58" w:rsidR="00C95BBD" w:rsidRPr="00AD7332" w:rsidRDefault="00C95BBD" w:rsidP="00C95BBD">
            <w:pPr>
              <w:jc w:val="center"/>
              <w:rPr>
                <w:rFonts w:ascii="Arial" w:hAnsi="Arial" w:cs="Arial"/>
                <w:sz w:val="20"/>
                <w:szCs w:val="20"/>
              </w:rPr>
            </w:pPr>
            <w:r w:rsidRPr="00AD7332">
              <w:rPr>
                <w:rFonts w:ascii="Arial" w:hAnsi="Arial" w:cs="Arial"/>
                <w:sz w:val="20"/>
                <w:szCs w:val="20"/>
              </w:rPr>
              <w:t>20</w:t>
            </w:r>
            <w:r w:rsidR="00042947">
              <w:rPr>
                <w:rFonts w:ascii="Arial" w:hAnsi="Arial" w:cs="Arial"/>
                <w:sz w:val="20"/>
                <w:szCs w:val="20"/>
              </w:rPr>
              <w:t>22</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6723F1E" w14:textId="77777777" w:rsidR="00C95BBD" w:rsidRPr="00AD7332" w:rsidRDefault="00C95BBD" w:rsidP="00C95BBD">
            <w:pPr>
              <w:rPr>
                <w:rFonts w:ascii="Arial" w:hAnsi="Arial" w:cs="Arial"/>
                <w:sz w:val="20"/>
                <w:szCs w:val="20"/>
              </w:rPr>
            </w:pPr>
            <w:r w:rsidRPr="00AD7332">
              <w:rPr>
                <w:rFonts w:ascii="Arial" w:hAnsi="Arial" w:cs="Arial"/>
                <w:sz w:val="20"/>
                <w:szCs w:val="20"/>
              </w:rPr>
              <w:t>Assess how life-cycle tools improve building sustainability</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7EC628D" w14:textId="77777777" w:rsidR="00C95BBD" w:rsidRPr="00AD7332" w:rsidRDefault="00C95BBD" w:rsidP="00C95BBD">
            <w:pPr>
              <w:rPr>
                <w:rFonts w:ascii="Arial" w:hAnsi="Arial" w:cs="Arial"/>
                <w:sz w:val="20"/>
                <w:szCs w:val="20"/>
              </w:rPr>
            </w:pPr>
            <w:r w:rsidRPr="00AD7332">
              <w:rPr>
                <w:rFonts w:ascii="Arial" w:hAnsi="Arial" w:cs="Arial"/>
                <w:sz w:val="20"/>
                <w:szCs w:val="20"/>
              </w:rPr>
              <w:t>Life Cycle Assessment (LCA) analysis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28D9057" w14:textId="77777777" w:rsidR="00C95BBD" w:rsidRPr="00AD7332" w:rsidRDefault="00C95BBD" w:rsidP="00C95BBD">
            <w:pPr>
              <w:rPr>
                <w:rFonts w:ascii="Arial" w:hAnsi="Arial" w:cs="Arial"/>
                <w:sz w:val="20"/>
                <w:szCs w:val="20"/>
              </w:rPr>
            </w:pPr>
            <w:r w:rsidRPr="00AD7332">
              <w:rPr>
                <w:rFonts w:ascii="Arial" w:hAnsi="Arial" w:cs="Arial"/>
                <w:sz w:val="20"/>
                <w:szCs w:val="20"/>
              </w:rPr>
              <w:t>Water-saving strategies reduce environmental burdens across building life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BE740A2" w14:textId="77777777" w:rsidR="00C95BBD" w:rsidRPr="00AD7332" w:rsidRDefault="00C95BBD" w:rsidP="00C95BBD">
            <w:pPr>
              <w:rPr>
                <w:rFonts w:ascii="Arial" w:hAnsi="Arial" w:cs="Arial"/>
                <w:sz w:val="20"/>
                <w:szCs w:val="20"/>
              </w:rPr>
            </w:pPr>
            <w:r w:rsidRPr="00AD7332">
              <w:rPr>
                <w:rFonts w:ascii="Arial" w:hAnsi="Arial" w:cs="Arial"/>
                <w:sz w:val="20"/>
                <w:szCs w:val="20"/>
              </w:rPr>
              <w:t>Justifies rainwater harvesting and greywater reuse in Ghanaian buildings</w:t>
            </w:r>
          </w:p>
        </w:tc>
      </w:tr>
      <w:tr w:rsidR="00C95BBD" w:rsidRPr="00AD7332" w14:paraId="7E5A4B89" w14:textId="77777777" w:rsidTr="00C95BBD">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BCDE823" w14:textId="77777777" w:rsidR="00C95BBD" w:rsidRPr="00AD7332" w:rsidRDefault="00C95BBD" w:rsidP="00C95BBD">
            <w:pPr>
              <w:rPr>
                <w:rFonts w:ascii="Arial" w:hAnsi="Arial" w:cs="Arial"/>
                <w:sz w:val="20"/>
                <w:szCs w:val="20"/>
              </w:rPr>
            </w:pPr>
            <w:r w:rsidRPr="00AD7332">
              <w:rPr>
                <w:rFonts w:ascii="Arial" w:hAnsi="Arial" w:cs="Arial"/>
                <w:sz w:val="20"/>
                <w:szCs w:val="20"/>
              </w:rPr>
              <w:t>Owusu-Manu et al.</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54F7084" w14:textId="77777777" w:rsidR="00C95BBD" w:rsidRPr="00AD7332" w:rsidRDefault="00C95BBD" w:rsidP="00C95BBD">
            <w:pPr>
              <w:jc w:val="center"/>
              <w:rPr>
                <w:rFonts w:ascii="Arial" w:hAnsi="Arial" w:cs="Arial"/>
                <w:sz w:val="20"/>
                <w:szCs w:val="20"/>
              </w:rPr>
            </w:pPr>
            <w:r w:rsidRPr="00AD7332">
              <w:rPr>
                <w:rFonts w:ascii="Arial" w:hAnsi="Arial" w:cs="Arial"/>
                <w:sz w:val="20"/>
                <w:szCs w:val="20"/>
              </w:rPr>
              <w:t>2023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39C3DB6" w14:textId="77777777" w:rsidR="00C95BBD" w:rsidRPr="00AD7332" w:rsidRDefault="00C95BBD" w:rsidP="00C95BBD">
            <w:pPr>
              <w:rPr>
                <w:rFonts w:ascii="Arial" w:hAnsi="Arial" w:cs="Arial"/>
                <w:sz w:val="20"/>
                <w:szCs w:val="20"/>
              </w:rPr>
            </w:pPr>
            <w:r w:rsidRPr="00AD7332">
              <w:rPr>
                <w:rFonts w:ascii="Arial" w:hAnsi="Arial" w:cs="Arial"/>
                <w:sz w:val="20"/>
                <w:szCs w:val="20"/>
              </w:rPr>
              <w:t>Develop framework for environmental performance in construction</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BF84D14" w14:textId="77777777" w:rsidR="00C95BBD" w:rsidRPr="00AD7332" w:rsidRDefault="00C95BBD" w:rsidP="00C95BBD">
            <w:pPr>
              <w:rPr>
                <w:rFonts w:ascii="Arial" w:hAnsi="Arial" w:cs="Arial"/>
                <w:sz w:val="20"/>
                <w:szCs w:val="20"/>
              </w:rPr>
            </w:pPr>
            <w:r w:rsidRPr="00AD7332">
              <w:rPr>
                <w:rFonts w:ascii="Arial" w:hAnsi="Arial" w:cs="Arial"/>
                <w:sz w:val="20"/>
                <w:szCs w:val="20"/>
              </w:rPr>
              <w:t>Framework development with empirical testing</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FB1C98F" w14:textId="77777777" w:rsidR="00C95BBD" w:rsidRPr="00AD7332" w:rsidRDefault="00C95BBD" w:rsidP="00C95BBD">
            <w:pPr>
              <w:rPr>
                <w:rFonts w:ascii="Arial" w:hAnsi="Arial" w:cs="Arial"/>
                <w:sz w:val="20"/>
                <w:szCs w:val="20"/>
              </w:rPr>
            </w:pPr>
            <w:r w:rsidRPr="00AD7332">
              <w:rPr>
                <w:rFonts w:ascii="Arial" w:hAnsi="Arial" w:cs="Arial"/>
                <w:sz w:val="20"/>
                <w:szCs w:val="20"/>
              </w:rPr>
              <w:t>Water efficiency improves resilience and environmental performance</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28E763A" w14:textId="77777777" w:rsidR="00C95BBD" w:rsidRPr="00AD7332" w:rsidRDefault="00C95BBD" w:rsidP="00C95BBD">
            <w:pPr>
              <w:rPr>
                <w:rFonts w:ascii="Arial" w:hAnsi="Arial" w:cs="Arial"/>
                <w:sz w:val="20"/>
                <w:szCs w:val="20"/>
              </w:rPr>
            </w:pPr>
            <w:r w:rsidRPr="00AD7332">
              <w:rPr>
                <w:rFonts w:ascii="Arial" w:hAnsi="Arial" w:cs="Arial"/>
                <w:sz w:val="20"/>
                <w:szCs w:val="20"/>
              </w:rPr>
              <w:t>Provides metrics to assess adaptive capacity of green buildings in Ghana</w:t>
            </w:r>
          </w:p>
        </w:tc>
      </w:tr>
    </w:tbl>
    <w:p w14:paraId="6910B703" w14:textId="6A36EBAA" w:rsidR="00C95BBD" w:rsidRPr="00AD7332" w:rsidRDefault="00C95BBD" w:rsidP="005B0630">
      <w:pPr>
        <w:jc w:val="center"/>
        <w:rPr>
          <w:rFonts w:ascii="Arial" w:hAnsi="Arial" w:cs="Arial"/>
          <w:i/>
          <w:iCs/>
          <w:sz w:val="20"/>
          <w:szCs w:val="20"/>
        </w:rPr>
      </w:pPr>
      <w:r w:rsidRPr="00AD7332">
        <w:rPr>
          <w:rFonts w:ascii="Arial" w:hAnsi="Arial" w:cs="Arial"/>
          <w:i/>
          <w:iCs/>
          <w:sz w:val="20"/>
          <w:szCs w:val="20"/>
        </w:rPr>
        <w:t>Source: Authors’ Construct</w:t>
      </w:r>
      <w:r w:rsidR="005B0630" w:rsidRPr="00AD7332">
        <w:rPr>
          <w:rFonts w:ascii="Arial" w:hAnsi="Arial" w:cs="Arial"/>
          <w:i/>
          <w:iCs/>
          <w:sz w:val="20"/>
          <w:szCs w:val="20"/>
        </w:rPr>
        <w:t>, 2026</w:t>
      </w:r>
    </w:p>
    <w:p w14:paraId="4149CBD3"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Theme 4: Waste Management</w:t>
      </w:r>
    </w:p>
    <w:p w14:paraId="5C6E96B1" w14:textId="0E17566D" w:rsidR="00390697" w:rsidRDefault="00C95BBD" w:rsidP="00C95BBD">
      <w:pPr>
        <w:jc w:val="both"/>
        <w:rPr>
          <w:rFonts w:ascii="Arial" w:hAnsi="Arial" w:cs="Arial"/>
          <w:b/>
          <w:bCs/>
          <w:sz w:val="20"/>
          <w:szCs w:val="20"/>
        </w:rPr>
      </w:pPr>
      <w:r w:rsidRPr="00AD7332">
        <w:rPr>
          <w:rFonts w:ascii="Arial" w:hAnsi="Arial" w:cs="Arial"/>
          <w:sz w:val="20"/>
          <w:szCs w:val="20"/>
        </w:rPr>
        <w:t xml:space="preserve">Research on waste management shows just how important it is for creating sustainable and climate-resilient buildings, especially in fast-growing cities like those in Ghana.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point out that using materials more efficiently and recycling during construction can greatly cut down on waste, providing practical ways to tackle the growing trash problem in urban areas. Similarly, </w:t>
      </w:r>
      <w:r w:rsidR="00390697">
        <w:rPr>
          <w:rFonts w:ascii="Arial" w:hAnsi="Arial" w:cs="Arial"/>
          <w:sz w:val="20"/>
          <w:szCs w:val="20"/>
        </w:rPr>
        <w:t xml:space="preserve">Keena </w:t>
      </w:r>
      <w:r w:rsidR="00390697" w:rsidRPr="00AD7332">
        <w:rPr>
          <w:rFonts w:ascii="Arial" w:hAnsi="Arial" w:cs="Arial"/>
          <w:sz w:val="20"/>
          <w:szCs w:val="20"/>
        </w:rPr>
        <w:t>et al.</w:t>
      </w:r>
      <w:r w:rsidR="00390697">
        <w:rPr>
          <w:rFonts w:ascii="Arial" w:hAnsi="Arial" w:cs="Arial"/>
          <w:sz w:val="20"/>
          <w:szCs w:val="20"/>
        </w:rPr>
        <w:t xml:space="preserve"> (2022</w:t>
      </w:r>
      <w:r w:rsidRPr="00AD7332">
        <w:rPr>
          <w:rFonts w:ascii="Arial" w:hAnsi="Arial" w:cs="Arial"/>
          <w:sz w:val="20"/>
          <w:szCs w:val="20"/>
        </w:rPr>
        <w:t xml:space="preserve">) highlight </w:t>
      </w:r>
      <w:r w:rsidR="00490692" w:rsidRPr="00AD7332">
        <w:rPr>
          <w:rFonts w:ascii="Arial" w:hAnsi="Arial" w:cs="Arial"/>
          <w:sz w:val="20"/>
          <w:szCs w:val="20"/>
        </w:rPr>
        <w:t>those careful choices</w:t>
      </w:r>
      <w:r w:rsidRPr="00AD7332">
        <w:rPr>
          <w:rFonts w:ascii="Arial" w:hAnsi="Arial" w:cs="Arial"/>
          <w:sz w:val="20"/>
          <w:szCs w:val="20"/>
        </w:rPr>
        <w:t xml:space="preserve"> in design and materials, considered over a building’s entire life, can significantly reduce waste, supporting the idea of circular construction where resources are reused and nothing is wasted. In Ghana, Ali et al. (2021) stress that reducing waste is not just about construction</w:t>
      </w:r>
      <w:r w:rsidR="00390697">
        <w:rPr>
          <w:rFonts w:ascii="Arial" w:hAnsi="Arial" w:cs="Arial"/>
          <w:sz w:val="20"/>
          <w:szCs w:val="20"/>
        </w:rPr>
        <w:t xml:space="preserve">, </w:t>
      </w:r>
      <w:r w:rsidRPr="00AD7332">
        <w:rPr>
          <w:rFonts w:ascii="Arial" w:hAnsi="Arial" w:cs="Arial"/>
          <w:sz w:val="20"/>
          <w:szCs w:val="20"/>
        </w:rPr>
        <w:t>it is key to building a green economy, connecting sustainable building practices with the country’s long-term goals for growth</w:t>
      </w:r>
      <w:r w:rsidR="00390697">
        <w:rPr>
          <w:rFonts w:ascii="Arial" w:hAnsi="Arial" w:cs="Arial"/>
          <w:sz w:val="20"/>
          <w:szCs w:val="20"/>
        </w:rPr>
        <w:t xml:space="preserve"> </w:t>
      </w:r>
      <w:r w:rsidRPr="00AD7332">
        <w:rPr>
          <w:rFonts w:ascii="Arial" w:hAnsi="Arial" w:cs="Arial"/>
          <w:sz w:val="20"/>
          <w:szCs w:val="20"/>
        </w:rPr>
        <w:t>and resilience.</w:t>
      </w:r>
      <w:r w:rsidRPr="00AD7332">
        <w:rPr>
          <w:rFonts w:ascii="Arial" w:hAnsi="Arial" w:cs="Arial"/>
          <w:sz w:val="20"/>
          <w:szCs w:val="20"/>
        </w:rPr>
        <w:br/>
      </w:r>
    </w:p>
    <w:p w14:paraId="471D4068" w14:textId="29E8A0D3"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4.1 Design and Materials</w:t>
      </w:r>
    </w:p>
    <w:p w14:paraId="483CBF0E" w14:textId="1F224F92"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Across the literature, there is strong agreement that building design and material selection are foundational to climate adaptation, yet authors differ in the emphasis they place on </w:t>
      </w:r>
      <w:r w:rsidRPr="00AD7332">
        <w:rPr>
          <w:rFonts w:ascii="Arial" w:hAnsi="Arial" w:cs="Arial"/>
          <w:i/>
          <w:iCs/>
          <w:sz w:val="20"/>
          <w:szCs w:val="20"/>
        </w:rPr>
        <w:t>contextual integration</w:t>
      </w:r>
      <w:r w:rsidRPr="00AD7332">
        <w:rPr>
          <w:rFonts w:ascii="Arial" w:hAnsi="Arial" w:cs="Arial"/>
          <w:sz w:val="20"/>
          <w:szCs w:val="20"/>
        </w:rPr>
        <w:t xml:space="preserve"> versus </w:t>
      </w:r>
      <w:r w:rsidRPr="00AD7332">
        <w:rPr>
          <w:rFonts w:ascii="Arial" w:hAnsi="Arial" w:cs="Arial"/>
          <w:i/>
          <w:iCs/>
          <w:sz w:val="20"/>
          <w:szCs w:val="20"/>
        </w:rPr>
        <w:t>technical efficiency</w:t>
      </w:r>
      <w:r w:rsidRPr="00AD7332">
        <w:rPr>
          <w:rFonts w:ascii="Arial" w:hAnsi="Arial" w:cs="Arial"/>
          <w:sz w:val="20"/>
          <w:szCs w:val="20"/>
        </w:rPr>
        <w:t xml:space="preserve">. </w:t>
      </w:r>
      <w:r w:rsidR="00193DBF">
        <w:rPr>
          <w:rFonts w:ascii="Arial" w:hAnsi="Arial" w:cs="Arial"/>
          <w:sz w:val="20"/>
          <w:szCs w:val="20"/>
        </w:rPr>
        <w:t>Ahmed et al.</w:t>
      </w:r>
      <w:r w:rsidR="00011391">
        <w:rPr>
          <w:rFonts w:ascii="Arial" w:hAnsi="Arial" w:cs="Arial"/>
          <w:sz w:val="20"/>
          <w:szCs w:val="20"/>
        </w:rPr>
        <w:t xml:space="preserve"> </w:t>
      </w:r>
      <w:r w:rsidR="00193DBF">
        <w:rPr>
          <w:rFonts w:ascii="Arial" w:hAnsi="Arial" w:cs="Arial"/>
          <w:sz w:val="20"/>
          <w:szCs w:val="20"/>
        </w:rPr>
        <w:t>(2022</w:t>
      </w:r>
      <w:r w:rsidRPr="00AD7332">
        <w:rPr>
          <w:rFonts w:ascii="Arial" w:hAnsi="Arial" w:cs="Arial"/>
          <w:sz w:val="20"/>
          <w:szCs w:val="20"/>
        </w:rPr>
        <w:t xml:space="preserve">) frame adaptation primarily as a development-planning issue, arguing that Africa’s vulnerability stems from weak integration of climate considerations into infrastructure and urban design. Their macro-level perspective contrasts with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who adopt a more technical stance by demonstrating how sustainable and climate-appropriate materials directly enhance thermal comfort and reduce exposure to heat stress. </w:t>
      </w:r>
    </w:p>
    <w:p w14:paraId="5D7A5DCA" w14:textId="496EF8E5" w:rsidR="00C95BBD" w:rsidRPr="00AD7332" w:rsidRDefault="0027214A" w:rsidP="00C95BBD">
      <w:pPr>
        <w:jc w:val="both"/>
        <w:rPr>
          <w:rFonts w:ascii="Arial" w:hAnsi="Arial" w:cs="Arial"/>
          <w:sz w:val="20"/>
          <w:szCs w:val="20"/>
        </w:rPr>
      </w:pPr>
      <w:proofErr w:type="spellStart"/>
      <w:r>
        <w:rPr>
          <w:rFonts w:ascii="Arial" w:hAnsi="Arial" w:cs="Arial"/>
          <w:sz w:val="20"/>
          <w:szCs w:val="20"/>
        </w:rPr>
        <w:t>Anzagira</w:t>
      </w:r>
      <w:proofErr w:type="spellEnd"/>
      <w:r>
        <w:rPr>
          <w:rFonts w:ascii="Arial" w:hAnsi="Arial" w:cs="Arial"/>
          <w:sz w:val="20"/>
          <w:szCs w:val="20"/>
        </w:rPr>
        <w:t xml:space="preserve"> et al</w:t>
      </w:r>
      <w:r w:rsidRPr="00AD7332">
        <w:rPr>
          <w:rFonts w:ascii="Arial" w:hAnsi="Arial" w:cs="Arial"/>
          <w:sz w:val="20"/>
          <w:szCs w:val="20"/>
        </w:rPr>
        <w:t xml:space="preserve">. </w:t>
      </w:r>
      <w:r w:rsidR="00C95BBD" w:rsidRPr="00AD7332">
        <w:rPr>
          <w:rFonts w:ascii="Arial" w:hAnsi="Arial" w:cs="Arial"/>
          <w:sz w:val="20"/>
          <w:szCs w:val="20"/>
        </w:rPr>
        <w:t>(20</w:t>
      </w:r>
      <w:r>
        <w:rPr>
          <w:rFonts w:ascii="Arial" w:hAnsi="Arial" w:cs="Arial"/>
          <w:sz w:val="20"/>
          <w:szCs w:val="20"/>
        </w:rPr>
        <w:t>22</w:t>
      </w:r>
      <w:r w:rsidR="00C95BBD" w:rsidRPr="00AD7332">
        <w:rPr>
          <w:rFonts w:ascii="Arial" w:hAnsi="Arial" w:cs="Arial"/>
          <w:sz w:val="20"/>
          <w:szCs w:val="20"/>
        </w:rPr>
        <w:t xml:space="preserve">) bridge these positions by introducing life-cycle thinking, emphasizing that adaptation benefits emerge not only from material choice but from considering environmental impacts across a building’s entire lifespan. This approach aligns closely with Owusu-Manu et al. (2023), who empirically show that green construction practices improve both environmental and adaptive performance when evaluated using structured performance metrics. While these studies converge on the adaptive value of green materials, they differ in scale: some focus on policy and frameworks, while others emphasize building-level performance. </w:t>
      </w:r>
    </w:p>
    <w:p w14:paraId="3A6D0931"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In the Ghanaian context, this comparison reveals an important insight. Traditional construction methods, often driven by low initial costs, prioritize concrete and steel without regard to long-term thermal </w:t>
      </w:r>
      <w:r w:rsidRPr="00AD7332">
        <w:rPr>
          <w:rFonts w:ascii="Arial" w:hAnsi="Arial" w:cs="Arial"/>
          <w:sz w:val="20"/>
          <w:szCs w:val="20"/>
        </w:rPr>
        <w:lastRenderedPageBreak/>
        <w:t xml:space="preserve">performance or climate resilience. By contrast, locally available materials such as laterite blocks, compressed earth, and bamboo, highlighted by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offer both affordability and climatic suitability. However, Ali et al. (2021) caution that despite institutional support for green practices in Ghana, adoption remains limited due to weak incentives and capacity constraints. This suggests that while design and material-based adaptation is technically viable, its effectiveness depends on stronger policy alignment and professional capacity building. Overall, the literature collectively demonstrates that climate-responsive design and material selection are among the most cost-effective adaptation strategies. Yet, the contrast between theoretical potential and practical uptake in Ghana highlights the need for policies that mainstream climate-responsive design as a standard rather than an alternative option.</w:t>
      </w:r>
    </w:p>
    <w:p w14:paraId="04066B7B" w14:textId="77777777" w:rsidR="00C95BBD" w:rsidRPr="00AD7332" w:rsidRDefault="00C95BBD" w:rsidP="00C95BBD">
      <w:pPr>
        <w:jc w:val="both"/>
        <w:rPr>
          <w:rFonts w:ascii="Arial" w:hAnsi="Arial" w:cs="Arial"/>
          <w:b/>
          <w:bCs/>
          <w:sz w:val="20"/>
          <w:szCs w:val="20"/>
        </w:rPr>
      </w:pPr>
      <w:r w:rsidRPr="00AD7332">
        <w:rPr>
          <w:rFonts w:ascii="Arial" w:hAnsi="Arial" w:cs="Arial"/>
          <w:b/>
          <w:bCs/>
          <w:sz w:val="20"/>
          <w:szCs w:val="20"/>
        </w:rPr>
        <w:t>4.2 Efficient and Renewable Energy</w:t>
      </w:r>
    </w:p>
    <w:p w14:paraId="0555F686"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The reviewed studies consistently identify energy efficiency and renewable energy as central to both mitigation and adaptation, though they differ in how they frame resilience outcomes. Owusu and </w:t>
      </w:r>
      <w:proofErr w:type="spellStart"/>
      <w:r w:rsidRPr="00AD7332">
        <w:rPr>
          <w:rFonts w:ascii="Arial" w:hAnsi="Arial" w:cs="Arial"/>
          <w:sz w:val="20"/>
          <w:szCs w:val="20"/>
        </w:rPr>
        <w:t>Asumadu</w:t>
      </w:r>
      <w:proofErr w:type="spellEnd"/>
      <w:r w:rsidRPr="00AD7332">
        <w:rPr>
          <w:rFonts w:ascii="Arial" w:hAnsi="Arial" w:cs="Arial"/>
          <w:sz w:val="20"/>
          <w:szCs w:val="20"/>
        </w:rPr>
        <w:t>-Sarkodie (2016) emphasize renewable energy from a national energy security perspective, arguing that decentralized systems such as solar power reduce vulnerability to climate-induced power disruptions. Their argument is reinforced by Cohen et al. (2021), whose empirical analysis shows that energy-efficient and net-zero buildings significantly lower operational costs and emissions while enhancing resilience during extreme climate events. In contrast, Ali et al. (2021) approaches the issue from a governance perspective, noting that although Ghana has demonstrated policy intent toward green energy integration, implementation remains weak due to financial and technical barriers. This contrasts with Owusu-Manu et al. (2023), who demonstrate through performance frameworks that energy-efficient buildings measurably improve adaptive capacity by reducing dependence on external energy systems. The comparative strength of these studies lies in how they collectively show that energy efficiency operates at multiple levels: household, building, and national systems. In Ghana, where rising temperatures are increasing cooling demand and electricity supply remains unstable, reliance on conventional, energy-intensive buildings exacerbates climate vulnerability. Solar-integrated green buildings, therefore, serve not only as mitigation tools but as adaptive infrastructure capable of maintaining functionality during heatwaves and power outages. The contrast between technical feasibility and institutional readiness is again evident. While the literature confirms that energy-efficient green buildings significantly enhance resilience, Ghana’s challenge lies in translating policy ambition into enforceable standards and affordable financing mechanisms. This reinforces the argument that adaptation benefits are maximized only when green building principles are embedded within national climate and energy strategies.</w:t>
      </w:r>
    </w:p>
    <w:p w14:paraId="4DDF25EE" w14:textId="77777777" w:rsidR="00C95BBD" w:rsidRPr="00AD7332" w:rsidRDefault="00C95BBD" w:rsidP="00C95BBD">
      <w:pPr>
        <w:jc w:val="both"/>
        <w:rPr>
          <w:rFonts w:ascii="Arial" w:hAnsi="Arial" w:cs="Arial"/>
          <w:sz w:val="20"/>
          <w:szCs w:val="20"/>
        </w:rPr>
      </w:pPr>
      <w:r w:rsidRPr="00AD7332">
        <w:rPr>
          <w:rFonts w:ascii="Arial" w:hAnsi="Arial" w:cs="Arial"/>
          <w:b/>
          <w:bCs/>
          <w:sz w:val="20"/>
          <w:szCs w:val="20"/>
        </w:rPr>
        <w:t>4.3 Water Efficiency</w:t>
      </w:r>
    </w:p>
    <w:p w14:paraId="04BEFE98" w14:textId="550AAA4C"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Water efficiency emerges as a critical adaptation theme, particularly in regions experiencing increasing rainfall variability. </w:t>
      </w:r>
      <w:r w:rsidR="00D73FB5">
        <w:rPr>
          <w:rFonts w:ascii="Arial" w:hAnsi="Arial" w:cs="Arial"/>
          <w:sz w:val="20"/>
          <w:szCs w:val="20"/>
        </w:rPr>
        <w:t>Dinko &amp; Bahati</w:t>
      </w:r>
      <w:r w:rsidR="00D73FB5" w:rsidRPr="00AD7332">
        <w:rPr>
          <w:rFonts w:ascii="Arial" w:hAnsi="Arial" w:cs="Arial"/>
          <w:sz w:val="20"/>
          <w:szCs w:val="20"/>
        </w:rPr>
        <w:t xml:space="preserve"> </w:t>
      </w:r>
      <w:r w:rsidRPr="00AD7332">
        <w:rPr>
          <w:rFonts w:ascii="Arial" w:hAnsi="Arial" w:cs="Arial"/>
          <w:sz w:val="20"/>
          <w:szCs w:val="20"/>
        </w:rPr>
        <w:t>(20</w:t>
      </w:r>
      <w:r w:rsidR="00D73FB5">
        <w:rPr>
          <w:rFonts w:ascii="Arial" w:hAnsi="Arial" w:cs="Arial"/>
          <w:sz w:val="20"/>
          <w:szCs w:val="20"/>
        </w:rPr>
        <w:t>23</w:t>
      </w:r>
      <w:r w:rsidRPr="00AD7332">
        <w:rPr>
          <w:rFonts w:ascii="Arial" w:hAnsi="Arial" w:cs="Arial"/>
          <w:sz w:val="20"/>
          <w:szCs w:val="20"/>
        </w:rPr>
        <w:t xml:space="preserve">) presents a broad analytical view, highlighting how climate change intensifies water scarcity and threatens food and urban water security. This perspective is complemented by </w:t>
      </w:r>
      <w:r w:rsidR="00390697">
        <w:rPr>
          <w:rFonts w:ascii="Arial" w:hAnsi="Arial" w:cs="Arial"/>
          <w:sz w:val="20"/>
          <w:szCs w:val="20"/>
        </w:rPr>
        <w:t xml:space="preserve">Keena </w:t>
      </w:r>
      <w:r w:rsidR="00390697" w:rsidRPr="00AD7332">
        <w:rPr>
          <w:rFonts w:ascii="Arial" w:hAnsi="Arial" w:cs="Arial"/>
          <w:sz w:val="20"/>
          <w:szCs w:val="20"/>
        </w:rPr>
        <w:t>et al.</w:t>
      </w:r>
      <w:r w:rsidR="00271C83">
        <w:rPr>
          <w:rFonts w:ascii="Arial" w:hAnsi="Arial" w:cs="Arial"/>
          <w:sz w:val="20"/>
          <w:szCs w:val="20"/>
        </w:rPr>
        <w:t xml:space="preserve"> </w:t>
      </w:r>
      <w:r w:rsidR="00390697">
        <w:rPr>
          <w:rFonts w:ascii="Arial" w:hAnsi="Arial" w:cs="Arial"/>
          <w:sz w:val="20"/>
          <w:szCs w:val="20"/>
        </w:rPr>
        <w:t>(2022</w:t>
      </w:r>
      <w:r w:rsidRPr="00AD7332">
        <w:rPr>
          <w:rFonts w:ascii="Arial" w:hAnsi="Arial" w:cs="Arial"/>
          <w:sz w:val="20"/>
          <w:szCs w:val="20"/>
        </w:rPr>
        <w:t xml:space="preserve">), who provide empirical evidence that water-saving technologies such as rainwater harvesting and greywater reuse significantly reduce environmental burdens throughout a building’s life cycle. Owusu-Manu et al. (2023) extend this discussion by quantitatively linking water efficiency measures to improved environmental and adaptive performance in construction projects. Unlike </w:t>
      </w:r>
      <w:r w:rsidR="00D73FB5">
        <w:rPr>
          <w:rFonts w:ascii="Arial" w:hAnsi="Arial" w:cs="Arial"/>
          <w:sz w:val="20"/>
          <w:szCs w:val="20"/>
        </w:rPr>
        <w:t>Dinko &amp; Bahati</w:t>
      </w:r>
      <w:r w:rsidRPr="00AD7332">
        <w:rPr>
          <w:rFonts w:ascii="Arial" w:hAnsi="Arial" w:cs="Arial"/>
          <w:sz w:val="20"/>
          <w:szCs w:val="20"/>
        </w:rPr>
        <w:t xml:space="preserve"> (20</w:t>
      </w:r>
      <w:r w:rsidR="00D73FB5">
        <w:rPr>
          <w:rFonts w:ascii="Arial" w:hAnsi="Arial" w:cs="Arial"/>
          <w:sz w:val="20"/>
          <w:szCs w:val="20"/>
        </w:rPr>
        <w:t>23</w:t>
      </w:r>
      <w:r w:rsidRPr="00AD7332">
        <w:rPr>
          <w:rFonts w:ascii="Arial" w:hAnsi="Arial" w:cs="Arial"/>
          <w:sz w:val="20"/>
          <w:szCs w:val="20"/>
        </w:rPr>
        <w:t xml:space="preserve">), whose focus is primarily systemic, Owusu-Manu et al. demonstrate how building-level interventions directly enhance resilience. </w:t>
      </w:r>
    </w:p>
    <w:p w14:paraId="2E39CC9C"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In Ghana, these findings are particularly relevant. Erratic rainfall patterns, seasonal water shortages, and flooding in urban areas expose the inadequacy of conventional water-dependent building designs. Green buildings that integrate rainwater harvesting, low-flow fixtures, and climate-responsive landscaping reduce pressure on municipal water systems while improving household-level resilience. The contrast between traditional water-intensive buildings and green, water-efficient designs underscores how adaptation can be achieved through relatively simple, decentralized measures. However, despite the demonstrated benefits, adoption remains limited due to weak enforcement of building codes and low public awareness. The literature therefore suggests that while water-efficient green buildings offer high adaptive value, institutional </w:t>
      </w:r>
      <w:r w:rsidRPr="00AD7332">
        <w:rPr>
          <w:rFonts w:ascii="Arial" w:hAnsi="Arial" w:cs="Arial"/>
          <w:sz w:val="20"/>
          <w:szCs w:val="20"/>
        </w:rPr>
        <w:lastRenderedPageBreak/>
        <w:t>support and regulatory frameworks are necessary to scale these practices across Ghana’s rapidly urbanizing cities.</w:t>
      </w:r>
    </w:p>
    <w:p w14:paraId="7A6B49C5" w14:textId="77777777" w:rsidR="00C95BBD" w:rsidRPr="00AD7332" w:rsidRDefault="00C95BBD" w:rsidP="00C95BBD">
      <w:pPr>
        <w:jc w:val="both"/>
        <w:rPr>
          <w:rFonts w:ascii="Arial" w:hAnsi="Arial" w:cs="Arial"/>
          <w:sz w:val="20"/>
          <w:szCs w:val="20"/>
        </w:rPr>
      </w:pPr>
      <w:r w:rsidRPr="00AD7332">
        <w:rPr>
          <w:rFonts w:ascii="Arial" w:hAnsi="Arial" w:cs="Arial"/>
          <w:b/>
          <w:bCs/>
          <w:sz w:val="20"/>
          <w:szCs w:val="20"/>
        </w:rPr>
        <w:t>4.4 Waste Management</w:t>
      </w:r>
    </w:p>
    <w:p w14:paraId="00FA0740" w14:textId="2E525FEF" w:rsidR="00C95BBD" w:rsidRPr="00AD7332" w:rsidRDefault="00C95BBD" w:rsidP="00C95BBD">
      <w:pPr>
        <w:jc w:val="both"/>
        <w:rPr>
          <w:rFonts w:ascii="Arial" w:hAnsi="Arial" w:cs="Arial"/>
          <w:sz w:val="20"/>
          <w:szCs w:val="20"/>
        </w:rPr>
      </w:pPr>
      <w:r w:rsidRPr="00AD7332">
        <w:rPr>
          <w:rFonts w:ascii="Arial" w:hAnsi="Arial" w:cs="Arial"/>
          <w:sz w:val="20"/>
          <w:szCs w:val="20"/>
        </w:rPr>
        <w:t xml:space="preserve">Waste management is often underemphasized in climate adaptation discourse, yet the reviewed studies reveal its growing importance.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(2024) highlight how sustainable materials and efficient construction techniques significantly reduce waste generation, thereby lowering environmental and climate-related risks. Their findings contrast with </w:t>
      </w:r>
      <w:r w:rsidR="00390697">
        <w:rPr>
          <w:rFonts w:ascii="Arial" w:hAnsi="Arial" w:cs="Arial"/>
          <w:sz w:val="20"/>
          <w:szCs w:val="20"/>
        </w:rPr>
        <w:t xml:space="preserve">Keena </w:t>
      </w:r>
      <w:r w:rsidR="00390697" w:rsidRPr="00AD7332">
        <w:rPr>
          <w:rFonts w:ascii="Arial" w:hAnsi="Arial" w:cs="Arial"/>
          <w:sz w:val="20"/>
          <w:szCs w:val="20"/>
        </w:rPr>
        <w:t>et al.</w:t>
      </w:r>
      <w:r w:rsidR="00390697">
        <w:rPr>
          <w:rFonts w:ascii="Arial" w:hAnsi="Arial" w:cs="Arial"/>
          <w:sz w:val="20"/>
          <w:szCs w:val="20"/>
        </w:rPr>
        <w:t xml:space="preserve"> (2022</w:t>
      </w:r>
      <w:r w:rsidRPr="00AD7332">
        <w:rPr>
          <w:rFonts w:ascii="Arial" w:hAnsi="Arial" w:cs="Arial"/>
          <w:sz w:val="20"/>
          <w:szCs w:val="20"/>
        </w:rPr>
        <w:t xml:space="preserve">), who focus more on life-cycle assessment and demonstrate that waste impacts can be mitigated through early design decisions rather than end-of-life interventions alone. Ali et al. (2021) broadens the discussion by situating waste management within Ghana’s green economy agenda, arguing that waste reduction is essential for sustainable growth and long-term resilience. While </w:t>
      </w:r>
      <w:proofErr w:type="spellStart"/>
      <w:r w:rsidRPr="00AD7332">
        <w:rPr>
          <w:rFonts w:ascii="Arial" w:hAnsi="Arial" w:cs="Arial"/>
          <w:sz w:val="20"/>
          <w:szCs w:val="20"/>
        </w:rPr>
        <w:t>Ahmadizadeh</w:t>
      </w:r>
      <w:proofErr w:type="spellEnd"/>
      <w:r w:rsidRPr="00AD7332">
        <w:rPr>
          <w:rFonts w:ascii="Arial" w:hAnsi="Arial" w:cs="Arial"/>
          <w:sz w:val="20"/>
          <w:szCs w:val="20"/>
        </w:rPr>
        <w:t xml:space="preserve"> et al. emphasize technical solutions, Ali et al. stress policy coherence and institutional alignment. </w:t>
      </w:r>
    </w:p>
    <w:p w14:paraId="12F4DF52" w14:textId="77777777" w:rsidR="00C95BBD" w:rsidRPr="00AD7332" w:rsidRDefault="00C95BBD" w:rsidP="00C95BBD">
      <w:pPr>
        <w:jc w:val="both"/>
        <w:rPr>
          <w:rFonts w:ascii="Arial" w:hAnsi="Arial" w:cs="Arial"/>
          <w:sz w:val="20"/>
          <w:szCs w:val="20"/>
        </w:rPr>
      </w:pPr>
      <w:r w:rsidRPr="00AD7332">
        <w:rPr>
          <w:rFonts w:ascii="Arial" w:hAnsi="Arial" w:cs="Arial"/>
          <w:sz w:val="20"/>
          <w:szCs w:val="20"/>
        </w:rPr>
        <w:t>In Ghana’s urban context, poor waste management exacerbates flooding, pollution, and public health risks, particularly during extreme rainfall events. Green buildings that prioritize material efficiency, recycling, and reuse contribute to adaptation by reducing landfill pressure and improving urban environmental quality. The contrast between conventional construction, which generates significant waste, and green, circular approaches highlights how waste management functions as both an environmental and adaptive strategy. Collectively, the literature suggests that waste-efficient green buildings enhance resilience indirectly by improving ecosystem health and urban functionality. However, as with other themes, the effectiveness of these strategies in Ghana depends on regulatory enforcement, market incentives, and professional capacity development.</w:t>
      </w:r>
    </w:p>
    <w:p w14:paraId="38858290" w14:textId="77777777" w:rsidR="001B5BC1" w:rsidRPr="001B5BC1" w:rsidRDefault="001B5BC1" w:rsidP="001B5BC1">
      <w:pPr>
        <w:jc w:val="both"/>
        <w:rPr>
          <w:rFonts w:ascii="Arial" w:hAnsi="Arial" w:cs="Arial"/>
          <w:b/>
          <w:bCs/>
          <w:sz w:val="20"/>
          <w:szCs w:val="20"/>
        </w:rPr>
      </w:pPr>
      <w:r w:rsidRPr="001B5BC1">
        <w:rPr>
          <w:rFonts w:ascii="Arial" w:hAnsi="Arial" w:cs="Arial"/>
          <w:b/>
          <w:bCs/>
          <w:sz w:val="20"/>
          <w:szCs w:val="20"/>
        </w:rPr>
        <w:t>5.0 SUMMARY OF FINDINGS</w:t>
      </w:r>
    </w:p>
    <w:p w14:paraId="74EEA766" w14:textId="40EBD1F4" w:rsidR="001B5BC1" w:rsidRPr="001B5BC1" w:rsidRDefault="001B5BC1" w:rsidP="001B5BC1">
      <w:pPr>
        <w:jc w:val="both"/>
        <w:rPr>
          <w:rFonts w:ascii="Arial" w:hAnsi="Arial" w:cs="Arial"/>
          <w:sz w:val="20"/>
          <w:szCs w:val="20"/>
        </w:rPr>
      </w:pPr>
      <w:r w:rsidRPr="001B5BC1">
        <w:rPr>
          <w:rFonts w:ascii="Arial" w:hAnsi="Arial" w:cs="Arial"/>
          <w:sz w:val="20"/>
          <w:szCs w:val="20"/>
        </w:rPr>
        <w:t>Building design and material selection play a pivotal role in climate adaptation in Ghana, where traditional methods often neglect long-term thermal performance. Sustainable, locally appropriate materials such as laterite blocks, compressed earth, and bamboo not only reduce heat exposure but also increase energy efficiency (</w:t>
      </w:r>
      <w:proofErr w:type="spellStart"/>
      <w:r w:rsidRPr="001B5BC1">
        <w:rPr>
          <w:rFonts w:ascii="Arial" w:hAnsi="Arial" w:cs="Arial"/>
          <w:sz w:val="20"/>
          <w:szCs w:val="20"/>
        </w:rPr>
        <w:t>Ahmadizadeh</w:t>
      </w:r>
      <w:proofErr w:type="spellEnd"/>
      <w:r w:rsidRPr="001B5BC1">
        <w:rPr>
          <w:rFonts w:ascii="Arial" w:hAnsi="Arial" w:cs="Arial"/>
          <w:sz w:val="20"/>
          <w:szCs w:val="20"/>
        </w:rPr>
        <w:t xml:space="preserve"> et al., 2024; </w:t>
      </w:r>
      <w:r w:rsidR="00193DBF">
        <w:rPr>
          <w:rFonts w:ascii="Arial" w:hAnsi="Arial" w:cs="Arial"/>
          <w:sz w:val="20"/>
          <w:szCs w:val="20"/>
        </w:rPr>
        <w:t>Ahmed et al., 2022</w:t>
      </w:r>
      <w:r w:rsidRPr="001B5BC1">
        <w:rPr>
          <w:rFonts w:ascii="Arial" w:hAnsi="Arial" w:cs="Arial"/>
          <w:sz w:val="20"/>
          <w:szCs w:val="20"/>
        </w:rPr>
        <w:t>). Life-cycle approaches further emphasize the importance of considering environmental impacts across a building’s lifespan (</w:t>
      </w:r>
      <w:r w:rsidR="00390697">
        <w:rPr>
          <w:rFonts w:ascii="Arial" w:hAnsi="Arial" w:cs="Arial"/>
          <w:sz w:val="20"/>
          <w:szCs w:val="20"/>
        </w:rPr>
        <w:t xml:space="preserve">Keena </w:t>
      </w:r>
      <w:r w:rsidR="00390697" w:rsidRPr="00AD7332">
        <w:rPr>
          <w:rFonts w:ascii="Arial" w:hAnsi="Arial" w:cs="Arial"/>
          <w:sz w:val="20"/>
          <w:szCs w:val="20"/>
        </w:rPr>
        <w:t>et al.</w:t>
      </w:r>
      <w:r w:rsidR="00390697">
        <w:rPr>
          <w:rFonts w:ascii="Arial" w:hAnsi="Arial" w:cs="Arial"/>
          <w:sz w:val="20"/>
          <w:szCs w:val="20"/>
        </w:rPr>
        <w:t>, 2022</w:t>
      </w:r>
      <w:r w:rsidRPr="001B5BC1">
        <w:rPr>
          <w:rFonts w:ascii="Arial" w:hAnsi="Arial" w:cs="Arial"/>
          <w:sz w:val="20"/>
          <w:szCs w:val="20"/>
        </w:rPr>
        <w:t>), while structured performance frameworks confirm that green construction improves adaptive capacity (Owusu-Manu et al., 2023). Despite institutional support, adoption remains limited by weak incentives, climate change focused policies, and professional capacity gaps (Ali et al., 2021).</w:t>
      </w:r>
    </w:p>
    <w:p w14:paraId="0298F323"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 xml:space="preserve">Energy efficiency and renewable energy are central to mitigating climate risks and ensuring resilience. Decentralized solutions like solar power reduce dependence on Ghana’s unstable grid and enhance functionality during extreme weather (Owusu &amp; </w:t>
      </w:r>
      <w:proofErr w:type="spellStart"/>
      <w:r w:rsidRPr="001B5BC1">
        <w:rPr>
          <w:rFonts w:ascii="Arial" w:hAnsi="Arial" w:cs="Arial"/>
          <w:sz w:val="20"/>
          <w:szCs w:val="20"/>
        </w:rPr>
        <w:t>Asumadu</w:t>
      </w:r>
      <w:proofErr w:type="spellEnd"/>
      <w:r w:rsidRPr="001B5BC1">
        <w:rPr>
          <w:rFonts w:ascii="Arial" w:hAnsi="Arial" w:cs="Arial"/>
          <w:sz w:val="20"/>
          <w:szCs w:val="20"/>
        </w:rPr>
        <w:t>-Sarkodie, 2016). Empirical evidence shows energy-efficient and net-zero buildings lower operational costs while improving adaptation outcomes (Cohen et al., 2021; Owusu-Manu et al., 2023). Yet, policy ambition often outpaces implementation due to financial and technical barriers, highlighting the need for integrated national strategies (Ali et al., 2021).</w:t>
      </w:r>
    </w:p>
    <w:p w14:paraId="40B43B97" w14:textId="0093C0A5" w:rsidR="001B5BC1" w:rsidRPr="001B5BC1" w:rsidRDefault="001B5BC1" w:rsidP="001B5BC1">
      <w:pPr>
        <w:jc w:val="both"/>
        <w:rPr>
          <w:rFonts w:ascii="Arial" w:hAnsi="Arial" w:cs="Arial"/>
          <w:sz w:val="20"/>
          <w:szCs w:val="20"/>
        </w:rPr>
      </w:pPr>
      <w:r w:rsidRPr="001B5BC1">
        <w:rPr>
          <w:rFonts w:ascii="Arial" w:hAnsi="Arial" w:cs="Arial"/>
          <w:sz w:val="20"/>
          <w:szCs w:val="20"/>
        </w:rPr>
        <w:t>Water efficiency is critical given Ghana’s variable rainfall and seasonal shortages. Rainwater harvesting, greywater reuse, and low-flow fixtures can substantially reduce environmental stress and strengthen household-level resilience (</w:t>
      </w:r>
      <w:r w:rsidR="00D73FB5">
        <w:rPr>
          <w:rFonts w:ascii="Arial" w:hAnsi="Arial" w:cs="Arial"/>
          <w:sz w:val="20"/>
          <w:szCs w:val="20"/>
        </w:rPr>
        <w:t>Dinko &amp; Bahati, 2023</w:t>
      </w:r>
      <w:r w:rsidRPr="001B5BC1">
        <w:rPr>
          <w:rFonts w:ascii="Arial" w:hAnsi="Arial" w:cs="Arial"/>
          <w:sz w:val="20"/>
          <w:szCs w:val="20"/>
        </w:rPr>
        <w:t xml:space="preserve">; </w:t>
      </w:r>
      <w:r w:rsidR="00390697">
        <w:rPr>
          <w:rFonts w:ascii="Arial" w:hAnsi="Arial" w:cs="Arial"/>
          <w:sz w:val="20"/>
          <w:szCs w:val="20"/>
        </w:rPr>
        <w:t xml:space="preserve">Keena </w:t>
      </w:r>
      <w:r w:rsidR="00390697" w:rsidRPr="00AD7332">
        <w:rPr>
          <w:rFonts w:ascii="Arial" w:hAnsi="Arial" w:cs="Arial"/>
          <w:sz w:val="20"/>
          <w:szCs w:val="20"/>
        </w:rPr>
        <w:t>et al.</w:t>
      </w:r>
      <w:r w:rsidR="00390697">
        <w:rPr>
          <w:rFonts w:ascii="Arial" w:hAnsi="Arial" w:cs="Arial"/>
          <w:sz w:val="20"/>
          <w:szCs w:val="20"/>
        </w:rPr>
        <w:t>, 2022</w:t>
      </w:r>
      <w:r w:rsidRPr="001B5BC1">
        <w:rPr>
          <w:rFonts w:ascii="Arial" w:hAnsi="Arial" w:cs="Arial"/>
          <w:sz w:val="20"/>
          <w:szCs w:val="20"/>
        </w:rPr>
        <w:t>; Owusu-Manu et al., 2023). Traditional water-intensive buildings exacerbate vulnerability, whereas climate-responsive water management alleviates pressure on municipal systems and improves urban functionality. Scaling these interventions requires stronger enforcement of building codes and increased public awareness.</w:t>
      </w:r>
    </w:p>
    <w:p w14:paraId="5D5EDA56" w14:textId="30FA8C30" w:rsidR="001B5BC1" w:rsidRPr="001B5BC1" w:rsidRDefault="001B5BC1" w:rsidP="001B5BC1">
      <w:pPr>
        <w:jc w:val="both"/>
        <w:rPr>
          <w:rFonts w:ascii="Arial" w:hAnsi="Arial" w:cs="Arial"/>
          <w:sz w:val="20"/>
          <w:szCs w:val="20"/>
        </w:rPr>
      </w:pPr>
      <w:r w:rsidRPr="001B5BC1">
        <w:rPr>
          <w:rFonts w:ascii="Arial" w:hAnsi="Arial" w:cs="Arial"/>
          <w:sz w:val="20"/>
          <w:szCs w:val="20"/>
        </w:rPr>
        <w:t>Effective waste management enhances resilience indirectly by improving environmental quality and reducing flood and pollution risks. Sustainable material uses and circular construction techniques minimize waste generation, while life-cycle strategies emphasize early design decisions to prevent environmental impacts (</w:t>
      </w:r>
      <w:proofErr w:type="spellStart"/>
      <w:r w:rsidRPr="001B5BC1">
        <w:rPr>
          <w:rFonts w:ascii="Arial" w:hAnsi="Arial" w:cs="Arial"/>
          <w:sz w:val="20"/>
          <w:szCs w:val="20"/>
        </w:rPr>
        <w:t>Ahmadizadeh</w:t>
      </w:r>
      <w:proofErr w:type="spellEnd"/>
      <w:r w:rsidRPr="001B5BC1">
        <w:rPr>
          <w:rFonts w:ascii="Arial" w:hAnsi="Arial" w:cs="Arial"/>
          <w:sz w:val="20"/>
          <w:szCs w:val="20"/>
        </w:rPr>
        <w:t xml:space="preserve"> et al., 2024; </w:t>
      </w:r>
      <w:r w:rsidR="002F1139">
        <w:rPr>
          <w:rFonts w:ascii="Arial" w:hAnsi="Arial" w:cs="Arial"/>
          <w:sz w:val="20"/>
          <w:szCs w:val="20"/>
        </w:rPr>
        <w:t xml:space="preserve">Keena </w:t>
      </w:r>
      <w:r w:rsidR="002F1139" w:rsidRPr="00AD7332">
        <w:rPr>
          <w:rFonts w:ascii="Arial" w:hAnsi="Arial" w:cs="Arial"/>
          <w:sz w:val="20"/>
          <w:szCs w:val="20"/>
        </w:rPr>
        <w:t>et al.</w:t>
      </w:r>
      <w:r w:rsidR="002F1139">
        <w:rPr>
          <w:rFonts w:ascii="Arial" w:hAnsi="Arial" w:cs="Arial"/>
          <w:sz w:val="20"/>
          <w:szCs w:val="20"/>
        </w:rPr>
        <w:t>, 2022</w:t>
      </w:r>
      <w:r w:rsidRPr="001B5BC1">
        <w:rPr>
          <w:rFonts w:ascii="Arial" w:hAnsi="Arial" w:cs="Arial"/>
          <w:sz w:val="20"/>
          <w:szCs w:val="20"/>
        </w:rPr>
        <w:t xml:space="preserve">). Integrating waste reduction into Ghana’s green </w:t>
      </w:r>
      <w:r w:rsidRPr="001B5BC1">
        <w:rPr>
          <w:rFonts w:ascii="Arial" w:hAnsi="Arial" w:cs="Arial"/>
          <w:sz w:val="20"/>
          <w:szCs w:val="20"/>
        </w:rPr>
        <w:lastRenderedPageBreak/>
        <w:t>economy agenda aligns with sustainable urban growth (Ali et al., 2021), but successful implementation depends on regulatory enforcement and market incentives.</w:t>
      </w:r>
    </w:p>
    <w:p w14:paraId="1AEAF4DA" w14:textId="77777777" w:rsidR="001B5BC1" w:rsidRPr="001B5BC1" w:rsidRDefault="001B5BC1" w:rsidP="001B5BC1">
      <w:pPr>
        <w:jc w:val="both"/>
        <w:rPr>
          <w:rFonts w:ascii="Arial" w:hAnsi="Arial" w:cs="Arial"/>
          <w:b/>
          <w:bCs/>
          <w:sz w:val="20"/>
          <w:szCs w:val="20"/>
        </w:rPr>
      </w:pPr>
      <w:r w:rsidRPr="001B5BC1">
        <w:rPr>
          <w:rFonts w:ascii="Arial" w:hAnsi="Arial" w:cs="Arial"/>
          <w:b/>
          <w:bCs/>
          <w:sz w:val="20"/>
          <w:szCs w:val="20"/>
        </w:rPr>
        <w:t>6.0 CONCLUSION</w:t>
      </w:r>
    </w:p>
    <w:p w14:paraId="42C02058"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Green buildings in Ghana can strengthen climate resilience by using locally suitable materials such as laterite blocks, compressed earth, and bamboo, which are both affordable and climate-appropriate. Their adoption can be supported through builder training programs, developer incentives, and policies that promote climate-responsive design, making sustainable construction more accessible while ensuring long-term durability and thermal comfort in urban environments.</w:t>
      </w:r>
    </w:p>
    <w:p w14:paraId="5FA59EF1"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Energy efficiency and solar integration can significantly reduce reliance on the unstable national grid while lowering operational costs. Implementing net-zero building designs, enforceable energy standards, and financial support such as low-interest loans or grants can help households and developers adopt these technologies, ensuring buildings remain functional during heatwaves or power outages and contributing to national energy resilience.</w:t>
      </w:r>
    </w:p>
    <w:p w14:paraId="6FCF6E9F"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Water-saving strategies such as rainwater harvesting, greywater reuse, and low-flow fixtures can enhance urban resilience against erratic rainfall and seasonal shortages. These measures can be expanded through regulations for new developments, incentives for retrofitting existing buildings, and public awareness campaigns, ensuring both households and communities adopt efficient water use practices that support sustainable urban growth.</w:t>
      </w:r>
    </w:p>
    <w:p w14:paraId="03D3B942" w14:textId="77777777" w:rsidR="001B5BC1" w:rsidRPr="001B5BC1" w:rsidRDefault="001B5BC1" w:rsidP="001B5BC1">
      <w:pPr>
        <w:jc w:val="both"/>
        <w:rPr>
          <w:rFonts w:ascii="Arial" w:hAnsi="Arial" w:cs="Arial"/>
          <w:sz w:val="20"/>
          <w:szCs w:val="20"/>
        </w:rPr>
      </w:pPr>
      <w:r w:rsidRPr="001B5BC1">
        <w:rPr>
          <w:rFonts w:ascii="Arial" w:hAnsi="Arial" w:cs="Arial"/>
          <w:sz w:val="20"/>
          <w:szCs w:val="20"/>
        </w:rPr>
        <w:t>Efficient waste management can reduce environmental hazards and strengthen urban ecosystem health while supporting circular construction practices. Promoting recycling, sustainable material use, and enforcement of urban waste management standards ensures construction and municipal waste are minimized, helping cities remain cleaner, safer, and more resilient to climate-related events such as flooding and pollution.</w:t>
      </w:r>
    </w:p>
    <w:p w14:paraId="05B23BE2" w14:textId="2C2E1CB1" w:rsidR="00CC4746" w:rsidRDefault="001B5BC1" w:rsidP="005E4F62">
      <w:pPr>
        <w:jc w:val="both"/>
        <w:rPr>
          <w:rFonts w:ascii="Arial" w:hAnsi="Arial" w:cs="Arial"/>
          <w:sz w:val="20"/>
          <w:szCs w:val="20"/>
        </w:rPr>
      </w:pPr>
      <w:r w:rsidRPr="001B5BC1">
        <w:rPr>
          <w:rFonts w:ascii="Arial" w:hAnsi="Arial" w:cs="Arial"/>
          <w:sz w:val="20"/>
          <w:szCs w:val="20"/>
        </w:rPr>
        <w:t>Ultimately, these solutions provide a practical, feasible, and integrated framework to building climate-resilient, sustainable, and livable cities in Ghana. By embedding green building principles into material selection, energy systems, water management, and waste practices, the country can develop urban environments that are both environmentally responsible and adaptable to future climate challenges.</w:t>
      </w:r>
    </w:p>
    <w:p w14:paraId="0FA02139" w14:textId="77777777" w:rsidR="006019FA" w:rsidRDefault="006019FA" w:rsidP="005E4F62">
      <w:pPr>
        <w:jc w:val="both"/>
        <w:rPr>
          <w:rFonts w:ascii="Arial" w:hAnsi="Arial" w:cs="Arial"/>
          <w:sz w:val="20"/>
          <w:szCs w:val="20"/>
        </w:rPr>
      </w:pPr>
    </w:p>
    <w:p w14:paraId="34C2EF7F" w14:textId="77777777" w:rsidR="006019FA" w:rsidRDefault="006019FA" w:rsidP="005E4F62">
      <w:pPr>
        <w:jc w:val="both"/>
        <w:rPr>
          <w:rFonts w:ascii="Arial" w:hAnsi="Arial" w:cs="Arial"/>
          <w:sz w:val="20"/>
          <w:szCs w:val="20"/>
        </w:rPr>
      </w:pPr>
    </w:p>
    <w:p w14:paraId="137F22F4" w14:textId="77777777" w:rsidR="006019FA" w:rsidRDefault="006019FA" w:rsidP="006019FA">
      <w:pPr>
        <w:rPr>
          <w:rFonts w:ascii="Arial" w:hAnsi="Arial" w:cs="Arial"/>
          <w:b/>
          <w:bCs/>
          <w:sz w:val="20"/>
          <w:szCs w:val="20"/>
        </w:rPr>
      </w:pPr>
      <w:r>
        <w:rPr>
          <w:rFonts w:ascii="Arial" w:hAnsi="Arial" w:cs="Arial"/>
          <w:b/>
          <w:bCs/>
          <w:sz w:val="20"/>
          <w:szCs w:val="20"/>
        </w:rPr>
        <w:t xml:space="preserve">Conflict of Interest Statement </w:t>
      </w:r>
    </w:p>
    <w:p w14:paraId="0F6CA53D" w14:textId="77777777" w:rsidR="006019FA" w:rsidRDefault="006019FA" w:rsidP="006019FA">
      <w:pPr>
        <w:rPr>
          <w:rFonts w:ascii="Arial" w:hAnsi="Arial" w:cs="Arial"/>
          <w:sz w:val="20"/>
          <w:szCs w:val="20"/>
        </w:rPr>
      </w:pPr>
      <w:r>
        <w:rPr>
          <w:rFonts w:ascii="Arial" w:hAnsi="Arial" w:cs="Arial"/>
          <w:sz w:val="20"/>
          <w:szCs w:val="20"/>
        </w:rPr>
        <w:t>The authors declare no conflicts of interest associated with this publication.</w:t>
      </w:r>
    </w:p>
    <w:p w14:paraId="69F131C8" w14:textId="77777777" w:rsidR="005D687D" w:rsidRDefault="005D687D" w:rsidP="006019FA">
      <w:pPr>
        <w:rPr>
          <w:rFonts w:ascii="Arial" w:hAnsi="Arial" w:cs="Arial"/>
          <w:sz w:val="20"/>
          <w:szCs w:val="20"/>
        </w:rPr>
      </w:pPr>
    </w:p>
    <w:p w14:paraId="5902D8A1" w14:textId="77777777" w:rsidR="005D687D" w:rsidRPr="005D687D" w:rsidRDefault="005D687D" w:rsidP="005D687D">
      <w:pPr>
        <w:rPr>
          <w:rFonts w:ascii="Arial" w:hAnsi="Arial" w:cs="Arial"/>
          <w:sz w:val="20"/>
          <w:szCs w:val="20"/>
        </w:rPr>
      </w:pPr>
      <w:r w:rsidRPr="005D687D">
        <w:rPr>
          <w:rFonts w:ascii="Arial" w:hAnsi="Arial" w:cs="Arial"/>
          <w:sz w:val="20"/>
          <w:szCs w:val="20"/>
        </w:rPr>
        <w:t>COMPETING INTERESTS DISCLAIMER:</w:t>
      </w:r>
    </w:p>
    <w:p w14:paraId="24F06B18" w14:textId="5D3D7519" w:rsidR="005D687D" w:rsidRPr="00841C37" w:rsidRDefault="005D687D" w:rsidP="005D687D">
      <w:pPr>
        <w:rPr>
          <w:rFonts w:ascii="Arial" w:hAnsi="Arial" w:cs="Arial"/>
          <w:sz w:val="20"/>
          <w:szCs w:val="20"/>
        </w:rPr>
      </w:pPr>
      <w:r w:rsidRPr="005D687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A4605A3" w14:textId="77777777" w:rsidR="006019FA" w:rsidRPr="00AD7332" w:rsidRDefault="006019FA" w:rsidP="005E4F62">
      <w:pPr>
        <w:jc w:val="both"/>
        <w:rPr>
          <w:rFonts w:ascii="Arial" w:hAnsi="Arial" w:cs="Arial"/>
          <w:sz w:val="20"/>
          <w:szCs w:val="20"/>
        </w:rPr>
      </w:pPr>
    </w:p>
    <w:p w14:paraId="5ED78026" w14:textId="77777777" w:rsidR="008E07AA" w:rsidRPr="008E07AA" w:rsidRDefault="008E07AA" w:rsidP="008E07AA">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2" w:name="_Hlk218867759"/>
      <w:r w:rsidRPr="008E07AA">
        <w:rPr>
          <w:rFonts w:ascii="Times New Roman" w:eastAsia="Times New Roman" w:hAnsi="Times New Roman" w:cs="Times New Roman"/>
          <w:bCs/>
          <w:sz w:val="24"/>
          <w:szCs w:val="24"/>
          <w:highlight w:val="yellow"/>
          <w:lang w:val="en-GB" w:eastAsia="en-IN"/>
        </w:rPr>
        <w:lastRenderedPageBreak/>
        <w:t>Disclaimer (Artificial intelligence)</w:t>
      </w:r>
    </w:p>
    <w:p w14:paraId="0C5C2A38" w14:textId="02F7A582" w:rsidR="008E07AA" w:rsidRPr="008E07AA" w:rsidRDefault="008E07AA" w:rsidP="008E07AA">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8E07AA">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8E07AA">
        <w:rPr>
          <w:rFonts w:ascii="Times New Roman" w:eastAsia="Times New Roman" w:hAnsi="Times New Roman" w:cs="Times New Roman"/>
          <w:bCs/>
          <w:sz w:val="24"/>
          <w:szCs w:val="24"/>
          <w:lang w:val="en-GB" w:eastAsia="en-IN"/>
        </w:rPr>
        <w:t xml:space="preserve"> </w:t>
      </w:r>
      <w:r w:rsidR="00193DBF">
        <w:rPr>
          <w:rFonts w:ascii="Times New Roman" w:eastAsia="Times New Roman" w:hAnsi="Times New Roman" w:cs="Times New Roman"/>
          <w:bCs/>
          <w:sz w:val="24"/>
          <w:szCs w:val="24"/>
          <w:lang w:val="en-GB" w:eastAsia="en-IN"/>
        </w:rPr>
        <w:t xml:space="preserve"> </w:t>
      </w:r>
    </w:p>
    <w:bookmarkEnd w:id="2"/>
    <w:p w14:paraId="77388943" w14:textId="45D28BF0" w:rsidR="00CC4746" w:rsidRDefault="00CC4746" w:rsidP="005E4F62">
      <w:pPr>
        <w:jc w:val="both"/>
        <w:rPr>
          <w:rFonts w:ascii="Arial" w:hAnsi="Arial" w:cs="Arial"/>
          <w:sz w:val="20"/>
          <w:szCs w:val="20"/>
        </w:rPr>
      </w:pPr>
    </w:p>
    <w:p w14:paraId="394F53EC" w14:textId="60848E47" w:rsidR="004F5A4B" w:rsidRDefault="004F5A4B" w:rsidP="005E4F62">
      <w:pPr>
        <w:jc w:val="both"/>
        <w:rPr>
          <w:rFonts w:ascii="Arial" w:hAnsi="Arial" w:cs="Arial"/>
          <w:sz w:val="20"/>
          <w:szCs w:val="20"/>
        </w:rPr>
      </w:pPr>
    </w:p>
    <w:p w14:paraId="0CDAB3D8" w14:textId="7C484486" w:rsidR="00B72DE8" w:rsidRPr="00AD7332" w:rsidRDefault="005E4F62" w:rsidP="00B72DE8">
      <w:pPr>
        <w:jc w:val="both"/>
        <w:rPr>
          <w:rFonts w:ascii="Arial" w:hAnsi="Arial" w:cs="Arial"/>
          <w:b/>
          <w:bCs/>
          <w:sz w:val="20"/>
          <w:szCs w:val="20"/>
        </w:rPr>
      </w:pPr>
      <w:r w:rsidRPr="00AD7332">
        <w:rPr>
          <w:rFonts w:ascii="Arial" w:hAnsi="Arial" w:cs="Arial"/>
          <w:b/>
          <w:bCs/>
          <w:sz w:val="20"/>
          <w:szCs w:val="20"/>
        </w:rPr>
        <w:t>References</w:t>
      </w:r>
    </w:p>
    <w:p w14:paraId="42838AD6" w14:textId="77777777" w:rsidR="002F1139" w:rsidRPr="006E3412" w:rsidRDefault="002F1139" w:rsidP="006E3412">
      <w:pPr>
        <w:ind w:left="720" w:hanging="360"/>
        <w:jc w:val="both"/>
        <w:rPr>
          <w:rFonts w:ascii="Arial" w:hAnsi="Arial" w:cs="Arial"/>
          <w:sz w:val="20"/>
          <w:szCs w:val="20"/>
        </w:rPr>
      </w:pPr>
      <w:proofErr w:type="spellStart"/>
      <w:r w:rsidRPr="006E3412">
        <w:rPr>
          <w:rFonts w:ascii="Arial" w:hAnsi="Arial" w:cs="Arial"/>
          <w:sz w:val="20"/>
          <w:szCs w:val="20"/>
        </w:rPr>
        <w:t>Agwu</w:t>
      </w:r>
      <w:proofErr w:type="spellEnd"/>
      <w:r w:rsidRPr="006E3412">
        <w:rPr>
          <w:rFonts w:ascii="Arial" w:hAnsi="Arial" w:cs="Arial"/>
          <w:sz w:val="20"/>
          <w:szCs w:val="20"/>
        </w:rPr>
        <w:t xml:space="preserve">, K.D., </w:t>
      </w:r>
      <w:proofErr w:type="spellStart"/>
      <w:r w:rsidRPr="006E3412">
        <w:rPr>
          <w:rFonts w:ascii="Arial" w:hAnsi="Arial" w:cs="Arial"/>
          <w:sz w:val="20"/>
          <w:szCs w:val="20"/>
        </w:rPr>
        <w:t>Oraefo</w:t>
      </w:r>
      <w:proofErr w:type="spellEnd"/>
      <w:r w:rsidRPr="006E3412">
        <w:rPr>
          <w:rFonts w:ascii="Arial" w:hAnsi="Arial" w:cs="Arial"/>
          <w:sz w:val="20"/>
          <w:szCs w:val="20"/>
        </w:rPr>
        <w:t xml:space="preserve"> </w:t>
      </w:r>
      <w:proofErr w:type="spellStart"/>
      <w:r w:rsidRPr="006E3412">
        <w:rPr>
          <w:rFonts w:ascii="Arial" w:hAnsi="Arial" w:cs="Arial"/>
          <w:sz w:val="20"/>
          <w:szCs w:val="20"/>
        </w:rPr>
        <w:t>Onyeka</w:t>
      </w:r>
      <w:proofErr w:type="spellEnd"/>
      <w:r w:rsidRPr="006E3412">
        <w:rPr>
          <w:rFonts w:ascii="Arial" w:hAnsi="Arial" w:cs="Arial"/>
          <w:sz w:val="20"/>
          <w:szCs w:val="20"/>
        </w:rPr>
        <w:t xml:space="preserve">, B., Jude, O., Onuorah, I.M., Chinweze, C.O. and Chukwu, S.C. (2024) ‘Exploring the impacts of sustainable design practices on construction cost’, </w:t>
      </w:r>
      <w:r w:rsidRPr="006E3412">
        <w:rPr>
          <w:rFonts w:ascii="Arial" w:hAnsi="Arial" w:cs="Arial"/>
          <w:i/>
          <w:iCs/>
          <w:sz w:val="20"/>
          <w:szCs w:val="20"/>
        </w:rPr>
        <w:t>International Journal of Progressive Research in Engineering Management and Science</w:t>
      </w:r>
      <w:r w:rsidRPr="006E3412">
        <w:rPr>
          <w:rFonts w:ascii="Arial" w:hAnsi="Arial" w:cs="Arial"/>
          <w:sz w:val="20"/>
          <w:szCs w:val="20"/>
        </w:rPr>
        <w:t xml:space="preserve">, </w:t>
      </w:r>
      <w:hyperlink r:id="rId14" w:history="1">
        <w:r w:rsidRPr="006E3412">
          <w:rPr>
            <w:rStyle w:val="Hyperlink"/>
            <w:rFonts w:ascii="Arial" w:hAnsi="Arial" w:cs="Arial"/>
            <w:sz w:val="20"/>
            <w:szCs w:val="20"/>
          </w:rPr>
          <w:t>https://www.researchgate.net/profile/Kelechi-Agwu/publication/381458797_EXPLORING_THE_IMPACTS_OF_SUSTAINABLE_DESIGN_PRACTICES_ON_CONSTRUCTION_COST/links/666df5c485a4ee7261c5af7c/EXPLORING-THE-IMPACTS-OF-SUSTAINABLE-DESIGN-PRACTICES-ON-CONSTRUCTION-COST.pdf</w:t>
        </w:r>
      </w:hyperlink>
      <w:r w:rsidRPr="006E3412">
        <w:rPr>
          <w:rFonts w:ascii="Arial" w:hAnsi="Arial" w:cs="Arial"/>
          <w:sz w:val="20"/>
          <w:szCs w:val="20"/>
        </w:rPr>
        <w:t> </w:t>
      </w:r>
    </w:p>
    <w:p w14:paraId="4B7208C9" w14:textId="77777777" w:rsidR="002F1139" w:rsidRPr="006E3412" w:rsidRDefault="002F1139" w:rsidP="006E3412">
      <w:pPr>
        <w:ind w:left="720" w:hanging="360"/>
        <w:jc w:val="both"/>
        <w:rPr>
          <w:rFonts w:ascii="Arial" w:hAnsi="Arial" w:cs="Arial"/>
          <w:sz w:val="20"/>
          <w:szCs w:val="20"/>
        </w:rPr>
      </w:pPr>
      <w:proofErr w:type="spellStart"/>
      <w:r w:rsidRPr="006E3412">
        <w:rPr>
          <w:rFonts w:ascii="Arial" w:hAnsi="Arial" w:cs="Arial"/>
          <w:sz w:val="20"/>
          <w:szCs w:val="20"/>
        </w:rPr>
        <w:t>Ahmadizadeh</w:t>
      </w:r>
      <w:proofErr w:type="spellEnd"/>
      <w:r w:rsidRPr="006E3412">
        <w:rPr>
          <w:rFonts w:ascii="Arial" w:hAnsi="Arial" w:cs="Arial"/>
          <w:sz w:val="20"/>
          <w:szCs w:val="20"/>
        </w:rPr>
        <w:t xml:space="preserve">, M., Heidari, M., Thangavel, S., </w:t>
      </w:r>
      <w:proofErr w:type="spellStart"/>
      <w:r w:rsidRPr="006E3412">
        <w:rPr>
          <w:rFonts w:ascii="Arial" w:hAnsi="Arial" w:cs="Arial"/>
          <w:sz w:val="20"/>
          <w:szCs w:val="20"/>
        </w:rPr>
        <w:t>Khashehchi</w:t>
      </w:r>
      <w:proofErr w:type="spellEnd"/>
      <w:r w:rsidRPr="006E3412">
        <w:rPr>
          <w:rFonts w:ascii="Arial" w:hAnsi="Arial" w:cs="Arial"/>
          <w:sz w:val="20"/>
          <w:szCs w:val="20"/>
        </w:rPr>
        <w:t>, M., Rahmanivahid, P., Singh, V.P., &amp; Kumar, A. (2024). Development of new materials for sustainable buildings. In Sustainable Technologies for Energy Efficient Buildings (pp. 30-48). CRC Press.</w:t>
      </w:r>
      <w:hyperlink r:id="rId15" w:history="1">
        <w:r w:rsidRPr="006E3412">
          <w:rPr>
            <w:rStyle w:val="Hyperlink"/>
            <w:rFonts w:ascii="Arial" w:hAnsi="Arial" w:cs="Arial"/>
            <w:sz w:val="20"/>
            <w:szCs w:val="20"/>
          </w:rPr>
          <w:t xml:space="preserve"> https://doi.org/10.1201/9781003496656</w:t>
        </w:r>
      </w:hyperlink>
    </w:p>
    <w:p w14:paraId="70C7E713" w14:textId="77777777" w:rsidR="002F1139" w:rsidRPr="006E3412" w:rsidRDefault="002F1139" w:rsidP="006E3412">
      <w:pPr>
        <w:ind w:left="720" w:hanging="360"/>
        <w:jc w:val="both"/>
        <w:rPr>
          <w:rFonts w:ascii="Arial" w:hAnsi="Arial" w:cs="Arial"/>
          <w:color w:val="EE0000"/>
          <w:sz w:val="20"/>
          <w:szCs w:val="20"/>
        </w:rPr>
      </w:pPr>
      <w:r w:rsidRPr="006E3412">
        <w:rPr>
          <w:rFonts w:ascii="Arial" w:hAnsi="Arial" w:cs="Arial"/>
          <w:color w:val="000000" w:themeColor="text1"/>
          <w:sz w:val="20"/>
          <w:szCs w:val="20"/>
        </w:rPr>
        <w:t xml:space="preserve">Ahmed, A., </w:t>
      </w:r>
      <w:proofErr w:type="spellStart"/>
      <w:r w:rsidRPr="006E3412">
        <w:rPr>
          <w:rFonts w:ascii="Arial" w:hAnsi="Arial" w:cs="Arial"/>
          <w:color w:val="000000" w:themeColor="text1"/>
          <w:sz w:val="20"/>
          <w:szCs w:val="20"/>
        </w:rPr>
        <w:t>Akanbang</w:t>
      </w:r>
      <w:proofErr w:type="spellEnd"/>
      <w:r w:rsidRPr="006E3412">
        <w:rPr>
          <w:rFonts w:ascii="Arial" w:hAnsi="Arial" w:cs="Arial"/>
          <w:color w:val="000000" w:themeColor="text1"/>
          <w:sz w:val="20"/>
          <w:szCs w:val="20"/>
        </w:rPr>
        <w:t xml:space="preserve">, B. A. A., </w:t>
      </w:r>
      <w:proofErr w:type="spellStart"/>
      <w:r w:rsidRPr="006E3412">
        <w:rPr>
          <w:rFonts w:ascii="Arial" w:hAnsi="Arial" w:cs="Arial"/>
          <w:color w:val="000000" w:themeColor="text1"/>
          <w:sz w:val="20"/>
          <w:szCs w:val="20"/>
        </w:rPr>
        <w:t>Poku-Boansi</w:t>
      </w:r>
      <w:proofErr w:type="spellEnd"/>
      <w:r w:rsidRPr="006E3412">
        <w:rPr>
          <w:rFonts w:ascii="Arial" w:hAnsi="Arial" w:cs="Arial"/>
          <w:color w:val="000000" w:themeColor="text1"/>
          <w:sz w:val="20"/>
          <w:szCs w:val="20"/>
        </w:rPr>
        <w:t xml:space="preserve">, M., &amp; </w:t>
      </w:r>
      <w:proofErr w:type="spellStart"/>
      <w:r w:rsidRPr="006E3412">
        <w:rPr>
          <w:rFonts w:ascii="Arial" w:hAnsi="Arial" w:cs="Arial"/>
          <w:color w:val="000000" w:themeColor="text1"/>
          <w:sz w:val="20"/>
          <w:szCs w:val="20"/>
        </w:rPr>
        <w:t>Derbile</w:t>
      </w:r>
      <w:proofErr w:type="spellEnd"/>
      <w:r w:rsidRPr="006E3412">
        <w:rPr>
          <w:rFonts w:ascii="Arial" w:hAnsi="Arial" w:cs="Arial"/>
          <w:color w:val="000000" w:themeColor="text1"/>
          <w:sz w:val="20"/>
          <w:szCs w:val="20"/>
        </w:rPr>
        <w:t xml:space="preserve">, E. (2022). Policy coherence between climate change adaptation and urban policies in Ghana: Implications for adaptation planning in African cities. </w:t>
      </w:r>
      <w:r w:rsidRPr="006E3412">
        <w:rPr>
          <w:rFonts w:ascii="Arial" w:hAnsi="Arial" w:cs="Arial"/>
          <w:i/>
          <w:iCs/>
          <w:color w:val="000000" w:themeColor="text1"/>
          <w:sz w:val="20"/>
          <w:szCs w:val="20"/>
        </w:rPr>
        <w:t>International Journal of Urban Sustainable Development</w:t>
      </w:r>
      <w:r w:rsidRPr="006E3412">
        <w:rPr>
          <w:rFonts w:ascii="Arial" w:hAnsi="Arial" w:cs="Arial"/>
          <w:color w:val="000000" w:themeColor="text1"/>
          <w:sz w:val="20"/>
          <w:szCs w:val="20"/>
        </w:rPr>
        <w:t xml:space="preserve">. </w:t>
      </w:r>
      <w:hyperlink r:id="rId16" w:history="1">
        <w:r w:rsidRPr="006E3412">
          <w:rPr>
            <w:rStyle w:val="Hyperlink"/>
            <w:rFonts w:ascii="Arial" w:hAnsi="Arial" w:cs="Arial"/>
            <w:sz w:val="20"/>
            <w:szCs w:val="20"/>
          </w:rPr>
          <w:t>https://doi.org/10.1080/19463138.2022.2066106</w:t>
        </w:r>
      </w:hyperlink>
    </w:p>
    <w:p w14:paraId="3FF8BEDC"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Ajayi, O. O., &amp; </w:t>
      </w:r>
      <w:proofErr w:type="spellStart"/>
      <w:r w:rsidRPr="006E3412">
        <w:rPr>
          <w:rFonts w:ascii="Arial" w:hAnsi="Arial" w:cs="Arial"/>
          <w:sz w:val="20"/>
          <w:szCs w:val="20"/>
        </w:rPr>
        <w:t>Adegun</w:t>
      </w:r>
      <w:proofErr w:type="spellEnd"/>
      <w:r w:rsidRPr="006E3412">
        <w:rPr>
          <w:rFonts w:ascii="Arial" w:hAnsi="Arial" w:cs="Arial"/>
          <w:sz w:val="20"/>
          <w:szCs w:val="20"/>
        </w:rPr>
        <w:t>, O. B. (2019). Urban informality and climate change adaptation in sub-Saharan African cities: A review. Journal of Environmental Planning and Management, 62(5), 883-900. </w:t>
      </w:r>
    </w:p>
    <w:p w14:paraId="44BEDA9C" w14:textId="77777777" w:rsidR="002F1139" w:rsidRPr="006E3412" w:rsidRDefault="002F1139" w:rsidP="006E3412">
      <w:pPr>
        <w:ind w:left="720" w:hanging="360"/>
        <w:jc w:val="both"/>
        <w:rPr>
          <w:rFonts w:ascii="Arial" w:hAnsi="Arial" w:cs="Arial"/>
          <w:sz w:val="20"/>
          <w:szCs w:val="20"/>
        </w:rPr>
      </w:pPr>
      <w:proofErr w:type="spellStart"/>
      <w:r w:rsidRPr="006E3412">
        <w:rPr>
          <w:rFonts w:ascii="Arial" w:hAnsi="Arial" w:cs="Arial"/>
          <w:sz w:val="20"/>
          <w:szCs w:val="20"/>
        </w:rPr>
        <w:t>Akomea</w:t>
      </w:r>
      <w:proofErr w:type="spellEnd"/>
      <w:r w:rsidRPr="006E3412">
        <w:rPr>
          <w:rFonts w:ascii="Arial" w:hAnsi="Arial" w:cs="Arial"/>
          <w:sz w:val="20"/>
          <w:szCs w:val="20"/>
        </w:rPr>
        <w:t xml:space="preserve">-Frimpong, I., Kukah, A. S., Jin, X., Osei-Kyei, R., &amp; </w:t>
      </w:r>
      <w:proofErr w:type="spellStart"/>
      <w:r w:rsidRPr="006E3412">
        <w:rPr>
          <w:rFonts w:ascii="Arial" w:hAnsi="Arial" w:cs="Arial"/>
          <w:sz w:val="20"/>
          <w:szCs w:val="20"/>
        </w:rPr>
        <w:t>Pariafsai</w:t>
      </w:r>
      <w:proofErr w:type="spellEnd"/>
      <w:r w:rsidRPr="006E3412">
        <w:rPr>
          <w:rFonts w:ascii="Arial" w:hAnsi="Arial" w:cs="Arial"/>
          <w:sz w:val="20"/>
          <w:szCs w:val="20"/>
        </w:rPr>
        <w:t xml:space="preserve">, F. (2022). </w:t>
      </w:r>
      <w:proofErr w:type="spellStart"/>
      <w:r w:rsidRPr="006E3412">
        <w:rPr>
          <w:rFonts w:ascii="Arial" w:hAnsi="Arial" w:cs="Arial"/>
          <w:sz w:val="20"/>
          <w:szCs w:val="20"/>
        </w:rPr>
        <w:t>GreenFinance</w:t>
      </w:r>
      <w:proofErr w:type="spellEnd"/>
      <w:r w:rsidRPr="006E3412">
        <w:rPr>
          <w:rFonts w:ascii="Arial" w:hAnsi="Arial" w:cs="Arial"/>
          <w:sz w:val="20"/>
          <w:szCs w:val="20"/>
        </w:rPr>
        <w:t xml:space="preserve"> for green buildings: A systematic review and conceptual foundation. Journal of Cleaner Production, 356, 131869.</w:t>
      </w:r>
      <w:hyperlink r:id="rId17" w:history="1">
        <w:r w:rsidRPr="006E3412">
          <w:rPr>
            <w:rStyle w:val="Hyperlink"/>
            <w:rFonts w:ascii="Arial" w:hAnsi="Arial" w:cs="Arial"/>
            <w:sz w:val="20"/>
            <w:szCs w:val="20"/>
          </w:rPr>
          <w:t xml:space="preserve"> https://doi.org/10.1016/j.jclepro.2022.131869</w:t>
        </w:r>
      </w:hyperlink>
    </w:p>
    <w:p w14:paraId="68D56098" w14:textId="77777777" w:rsidR="002F1139" w:rsidRPr="006E3412" w:rsidRDefault="002F1139" w:rsidP="006E3412">
      <w:pPr>
        <w:ind w:left="720" w:hanging="360"/>
        <w:jc w:val="both"/>
        <w:rPr>
          <w:rFonts w:ascii="Arial" w:hAnsi="Arial" w:cs="Arial"/>
          <w:sz w:val="20"/>
          <w:szCs w:val="20"/>
        </w:rPr>
      </w:pPr>
      <w:proofErr w:type="spellStart"/>
      <w:r w:rsidRPr="006E3412">
        <w:rPr>
          <w:rFonts w:ascii="Arial" w:hAnsi="Arial" w:cs="Arial"/>
          <w:sz w:val="20"/>
          <w:szCs w:val="20"/>
        </w:rPr>
        <w:t>Alegbe</w:t>
      </w:r>
      <w:proofErr w:type="spellEnd"/>
      <w:r w:rsidRPr="006E3412">
        <w:rPr>
          <w:rFonts w:ascii="Arial" w:hAnsi="Arial" w:cs="Arial"/>
          <w:sz w:val="20"/>
          <w:szCs w:val="20"/>
        </w:rPr>
        <w:t xml:space="preserve">, M., </w:t>
      </w:r>
      <w:proofErr w:type="spellStart"/>
      <w:r w:rsidRPr="006E3412">
        <w:rPr>
          <w:rFonts w:ascii="Arial" w:hAnsi="Arial" w:cs="Arial"/>
          <w:sz w:val="20"/>
          <w:szCs w:val="20"/>
        </w:rPr>
        <w:t>Mtaver</w:t>
      </w:r>
      <w:proofErr w:type="spellEnd"/>
      <w:r w:rsidRPr="006E3412">
        <w:rPr>
          <w:rFonts w:ascii="Arial" w:hAnsi="Arial" w:cs="Arial"/>
          <w:sz w:val="20"/>
          <w:szCs w:val="20"/>
        </w:rPr>
        <w:t xml:space="preserve">, G., Kalu, J. &amp; Chukwuemeka, L. (2025) ‘Future-ready buildings: Nigeria’s transition to low-carbon, climate-responsive housing’, </w:t>
      </w:r>
      <w:r w:rsidRPr="006E3412">
        <w:rPr>
          <w:rFonts w:ascii="Arial" w:hAnsi="Arial" w:cs="Arial"/>
          <w:i/>
          <w:iCs/>
          <w:sz w:val="20"/>
          <w:szCs w:val="20"/>
        </w:rPr>
        <w:t xml:space="preserve">Acta </w:t>
      </w:r>
      <w:proofErr w:type="spellStart"/>
      <w:r w:rsidRPr="006E3412">
        <w:rPr>
          <w:rFonts w:ascii="Arial" w:hAnsi="Arial" w:cs="Arial"/>
          <w:i/>
          <w:iCs/>
          <w:sz w:val="20"/>
          <w:szCs w:val="20"/>
        </w:rPr>
        <w:t>Structilia</w:t>
      </w:r>
      <w:proofErr w:type="spellEnd"/>
      <w:r w:rsidRPr="006E3412">
        <w:rPr>
          <w:rFonts w:ascii="Arial" w:hAnsi="Arial" w:cs="Arial"/>
          <w:sz w:val="20"/>
          <w:szCs w:val="20"/>
        </w:rPr>
        <w:t xml:space="preserve">, 32(1), pp. 77–93. Available at: </w:t>
      </w:r>
      <w:hyperlink r:id="rId18" w:history="1">
        <w:r w:rsidRPr="006E3412">
          <w:rPr>
            <w:rStyle w:val="Hyperlink"/>
            <w:rFonts w:ascii="Arial" w:hAnsi="Arial" w:cs="Arial"/>
            <w:sz w:val="20"/>
            <w:szCs w:val="20"/>
          </w:rPr>
          <w:t>https://doi.org/10.38140/as.v32i1.9122</w:t>
        </w:r>
      </w:hyperlink>
    </w:p>
    <w:p w14:paraId="5CE7A3D3"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Ali, B. M., &amp; Akkaş, M. (2023). The green cooling factor: Eco-innovative heating, ventilation, and air conditioning solutions in building design. </w:t>
      </w:r>
      <w:r w:rsidRPr="006E3412">
        <w:rPr>
          <w:rFonts w:ascii="Arial" w:hAnsi="Arial" w:cs="Arial"/>
          <w:i/>
          <w:iCs/>
          <w:sz w:val="20"/>
          <w:szCs w:val="20"/>
        </w:rPr>
        <w:t>Applied Sciences</w:t>
      </w:r>
      <w:r w:rsidRPr="006E3412">
        <w:rPr>
          <w:rFonts w:ascii="Arial" w:hAnsi="Arial" w:cs="Arial"/>
          <w:sz w:val="20"/>
          <w:szCs w:val="20"/>
        </w:rPr>
        <w:t xml:space="preserve">, </w:t>
      </w:r>
      <w:r w:rsidRPr="006E3412">
        <w:rPr>
          <w:rFonts w:ascii="Arial" w:hAnsi="Arial" w:cs="Arial"/>
          <w:i/>
          <w:iCs/>
          <w:sz w:val="20"/>
          <w:szCs w:val="20"/>
        </w:rPr>
        <w:t>14</w:t>
      </w:r>
      <w:r w:rsidRPr="006E3412">
        <w:rPr>
          <w:rFonts w:ascii="Arial" w:hAnsi="Arial" w:cs="Arial"/>
          <w:sz w:val="20"/>
          <w:szCs w:val="20"/>
        </w:rPr>
        <w:t>(1), 195.</w:t>
      </w:r>
      <w:hyperlink r:id="rId19" w:history="1">
        <w:r w:rsidRPr="006E3412">
          <w:rPr>
            <w:rStyle w:val="Hyperlink"/>
            <w:rFonts w:ascii="Arial" w:hAnsi="Arial" w:cs="Arial"/>
            <w:sz w:val="20"/>
            <w:szCs w:val="20"/>
          </w:rPr>
          <w:t xml:space="preserve"> https://doi.org/10.3390/app14010195</w:t>
        </w:r>
      </w:hyperlink>
    </w:p>
    <w:p w14:paraId="3D84B21D"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Ali, E. B., </w:t>
      </w:r>
      <w:proofErr w:type="spellStart"/>
      <w:r w:rsidRPr="006E3412">
        <w:rPr>
          <w:rFonts w:ascii="Arial" w:hAnsi="Arial" w:cs="Arial"/>
          <w:sz w:val="20"/>
          <w:szCs w:val="20"/>
        </w:rPr>
        <w:t>Anufriev</w:t>
      </w:r>
      <w:proofErr w:type="spellEnd"/>
      <w:r w:rsidRPr="006E3412">
        <w:rPr>
          <w:rFonts w:ascii="Arial" w:hAnsi="Arial" w:cs="Arial"/>
          <w:sz w:val="20"/>
          <w:szCs w:val="20"/>
        </w:rPr>
        <w:t>, V. P., &amp; Amfo, B. (2021). Green economy implementation in Ghana as A road map for a sustainable development drive: A review. Scientific African, 12, e00756.</w:t>
      </w:r>
      <w:hyperlink r:id="rId20" w:history="1">
        <w:r w:rsidRPr="006E3412">
          <w:rPr>
            <w:rStyle w:val="Hyperlink"/>
            <w:rFonts w:ascii="Arial" w:hAnsi="Arial" w:cs="Arial"/>
            <w:sz w:val="20"/>
            <w:szCs w:val="20"/>
          </w:rPr>
          <w:t xml:space="preserve"> https://doi.org/10.1016/j.sciaf.2021.e00756</w:t>
        </w:r>
      </w:hyperlink>
    </w:p>
    <w:p w14:paraId="26B1E1EC"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Amankwah, E. O., Nkrumah, P. N., &amp; Osei-Poku, P. (2020). Energy consumption and economic growth in Ghana: An ARDL bounds testing approach. Energy Reports, 6, 2859-2867. </w:t>
      </w:r>
    </w:p>
    <w:p w14:paraId="1134D6FB"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lastRenderedPageBreak/>
        <w:t xml:space="preserve">Aronson, J., Goodwin, N., Orlando, L., Eisenberg, C. and Cross, A.T. (2020) ‘A world of possibilities: six restoration strategies to support the United Nation’s Decade on Ecosystem Restoration’, </w:t>
      </w:r>
      <w:r w:rsidRPr="006E3412">
        <w:rPr>
          <w:rFonts w:ascii="Arial" w:hAnsi="Arial" w:cs="Arial"/>
          <w:i/>
          <w:iCs/>
          <w:sz w:val="20"/>
          <w:szCs w:val="20"/>
        </w:rPr>
        <w:t>Restoration Ecology</w:t>
      </w:r>
      <w:r w:rsidRPr="006E3412">
        <w:rPr>
          <w:rFonts w:ascii="Arial" w:hAnsi="Arial" w:cs="Arial"/>
          <w:sz w:val="20"/>
          <w:szCs w:val="20"/>
        </w:rPr>
        <w:t xml:space="preserve">, </w:t>
      </w:r>
      <w:hyperlink r:id="rId21" w:history="1">
        <w:r w:rsidRPr="006E3412">
          <w:rPr>
            <w:rStyle w:val="Hyperlink"/>
            <w:rFonts w:ascii="Arial" w:hAnsi="Arial" w:cs="Arial"/>
            <w:sz w:val="20"/>
            <w:szCs w:val="20"/>
          </w:rPr>
          <w:t>https://onlinelibrary.wiley.com/doi/pdf/10.1111/rec.13170</w:t>
        </w:r>
      </w:hyperlink>
    </w:p>
    <w:p w14:paraId="33281029"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Berry, S., &amp; Davidson, K. (2015). Zero energy homes–are they economically viable? Energy Policy, 85, 12–21.</w:t>
      </w:r>
      <w:hyperlink r:id="rId22" w:history="1">
        <w:r w:rsidRPr="006E3412">
          <w:rPr>
            <w:rStyle w:val="Hyperlink"/>
            <w:rFonts w:ascii="Arial" w:hAnsi="Arial" w:cs="Arial"/>
            <w:sz w:val="20"/>
            <w:szCs w:val="20"/>
          </w:rPr>
          <w:t xml:space="preserve"> https://doi.org/10.1016/j.enpol.2015.05.009</w:t>
        </w:r>
      </w:hyperlink>
    </w:p>
    <w:p w14:paraId="2300B87B" w14:textId="77777777" w:rsidR="002F1139" w:rsidRDefault="002F1139" w:rsidP="006E3412">
      <w:pPr>
        <w:ind w:left="720" w:hanging="360"/>
        <w:jc w:val="both"/>
      </w:pPr>
      <w:r w:rsidRPr="006E3412">
        <w:rPr>
          <w:rFonts w:ascii="Arial" w:hAnsi="Arial" w:cs="Arial"/>
          <w:sz w:val="20"/>
          <w:szCs w:val="20"/>
        </w:rPr>
        <w:t xml:space="preserve">Chan, A. P. C., Darko, A., Olanipekun, A. O., &amp; Ameyaw, E. E. (2018). Critical barriers to green building technologies adoption in developing countries: The case of Ghana. Journal of Cleaner Production, 172, 1067–1079 </w:t>
      </w:r>
      <w:hyperlink r:id="rId23" w:history="1">
        <w:r w:rsidRPr="006E3412">
          <w:rPr>
            <w:rStyle w:val="Hyperlink"/>
            <w:rFonts w:ascii="Arial" w:hAnsi="Arial" w:cs="Arial"/>
            <w:sz w:val="20"/>
            <w:szCs w:val="20"/>
          </w:rPr>
          <w:t> https://doi.org/10.1016/j.jclepro.2017.10.235</w:t>
        </w:r>
      </w:hyperlink>
    </w:p>
    <w:p w14:paraId="6DB21A60"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Chigbu, U. E., Atiku, S. O., &amp; Du Plessis, C. C. (2023). </w:t>
      </w:r>
      <w:r w:rsidRPr="006E3412">
        <w:rPr>
          <w:rFonts w:ascii="Arial" w:hAnsi="Arial" w:cs="Arial"/>
          <w:i/>
          <w:iCs/>
          <w:sz w:val="20"/>
          <w:szCs w:val="20"/>
        </w:rPr>
        <w:t xml:space="preserve">The science of literature reviews: Searching, identifying, selecting, and </w:t>
      </w:r>
      <w:proofErr w:type="spellStart"/>
      <w:r w:rsidRPr="006E3412">
        <w:rPr>
          <w:rFonts w:ascii="Arial" w:hAnsi="Arial" w:cs="Arial"/>
          <w:i/>
          <w:iCs/>
          <w:sz w:val="20"/>
          <w:szCs w:val="20"/>
        </w:rPr>
        <w:t>synthesising</w:t>
      </w:r>
      <w:proofErr w:type="spellEnd"/>
      <w:r w:rsidRPr="006E3412">
        <w:rPr>
          <w:rFonts w:ascii="Arial" w:hAnsi="Arial" w:cs="Arial"/>
          <w:sz w:val="20"/>
          <w:szCs w:val="20"/>
        </w:rPr>
        <w:t>. Publ.</w:t>
      </w:r>
      <w:r w:rsidRPr="006E3412">
        <w:rPr>
          <w:rFonts w:ascii="Segoe UI" w:hAnsi="Segoe UI" w:cs="Segoe UI"/>
          <w:color w:val="1F2937"/>
          <w:sz w:val="21"/>
          <w:szCs w:val="21"/>
          <w:shd w:val="clear" w:color="auto" w:fill="FFFFFF"/>
        </w:rPr>
        <w:t xml:space="preserve"> </w:t>
      </w:r>
      <w:hyperlink r:id="rId24" w:history="1">
        <w:r w:rsidRPr="006E3412">
          <w:rPr>
            <w:rStyle w:val="Hyperlink"/>
            <w:rFonts w:ascii="Arial" w:hAnsi="Arial" w:cs="Arial"/>
            <w:sz w:val="20"/>
            <w:szCs w:val="20"/>
          </w:rPr>
          <w:t>https://doi.org/10.3390/publications11010002</w:t>
        </w:r>
      </w:hyperlink>
    </w:p>
    <w:p w14:paraId="64AAD0F4"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Choi, C. (2009) ‘Removing market barriers to green development: principles and action projects to promote widespread adoption of green development practices’, </w:t>
      </w:r>
      <w:r w:rsidRPr="006E3412">
        <w:rPr>
          <w:rFonts w:ascii="Arial" w:hAnsi="Arial" w:cs="Arial"/>
          <w:i/>
          <w:iCs/>
          <w:sz w:val="20"/>
          <w:szCs w:val="20"/>
        </w:rPr>
        <w:t>Journal of Sustainable Real Estate</w:t>
      </w:r>
      <w:r w:rsidRPr="006E3412">
        <w:rPr>
          <w:rFonts w:ascii="Arial" w:hAnsi="Arial" w:cs="Arial"/>
          <w:sz w:val="20"/>
          <w:szCs w:val="20"/>
        </w:rPr>
        <w:t xml:space="preserve">, 1(1), pp. 107–138. </w:t>
      </w:r>
      <w:hyperlink r:id="rId25" w:history="1">
        <w:r w:rsidRPr="006E3412">
          <w:rPr>
            <w:rStyle w:val="Hyperlink"/>
            <w:rFonts w:ascii="Arial" w:hAnsi="Arial" w:cs="Arial"/>
            <w:sz w:val="20"/>
            <w:szCs w:val="20"/>
          </w:rPr>
          <w:t>https://doi.org/10.1080/10835547.2009.12091785</w:t>
        </w:r>
      </w:hyperlink>
    </w:p>
    <w:p w14:paraId="081F190E"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Cohen, R., Desai, K., Elias, J., &amp; Twinn, R. (2021). Net zero carbon: Energy performance targets for offices. Building Services Engineering Research and Technology, 42(3), 349-369.</w:t>
      </w:r>
      <w:hyperlink r:id="rId26" w:history="1">
        <w:r w:rsidRPr="006E3412">
          <w:rPr>
            <w:rStyle w:val="Hyperlink"/>
            <w:rFonts w:ascii="Arial" w:hAnsi="Arial" w:cs="Arial"/>
            <w:sz w:val="20"/>
            <w:szCs w:val="20"/>
          </w:rPr>
          <w:t xml:space="preserve"> https://doi.org/10.1177/0143624421991470</w:t>
        </w:r>
      </w:hyperlink>
    </w:p>
    <w:p w14:paraId="2C10DD98"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Cui, H., Wang, R., &amp; Wang, H. (2020). An evolutionary analysis of green finance sustainability based on multi-agent game. Journal of Cleaner Production, 269, 121799.</w:t>
      </w:r>
      <w:hyperlink r:id="rId27" w:history="1">
        <w:r w:rsidRPr="006E3412">
          <w:rPr>
            <w:rStyle w:val="Hyperlink"/>
            <w:rFonts w:ascii="Arial" w:hAnsi="Arial" w:cs="Arial"/>
            <w:sz w:val="20"/>
            <w:szCs w:val="20"/>
          </w:rPr>
          <w:t xml:space="preserve"> https://doi.org/10.1016/j.jclepro.2020.121799</w:t>
        </w:r>
      </w:hyperlink>
    </w:p>
    <w:p w14:paraId="1E11C9D7"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Dankwah, R.A. (2024) </w:t>
      </w:r>
      <w:r w:rsidRPr="006E3412">
        <w:rPr>
          <w:rFonts w:ascii="Arial" w:hAnsi="Arial" w:cs="Arial"/>
          <w:i/>
          <w:iCs/>
          <w:sz w:val="20"/>
          <w:szCs w:val="20"/>
        </w:rPr>
        <w:t>Examining the risk factors of sustainable housing in Ghana: The case of Kumasi Metropolis</w:t>
      </w:r>
      <w:r w:rsidRPr="006E3412">
        <w:rPr>
          <w:rFonts w:ascii="Arial" w:hAnsi="Arial" w:cs="Arial"/>
          <w:sz w:val="20"/>
          <w:szCs w:val="20"/>
        </w:rPr>
        <w:t xml:space="preserve">. M.A. Thesis in Global Studies. Faculty of Sociology, Anthropology and Folkloristics, School of Social Sciences, University of Iceland. Available at: </w:t>
      </w:r>
      <w:hyperlink r:id="rId28" w:history="1">
        <w:r w:rsidRPr="006E3412">
          <w:rPr>
            <w:rStyle w:val="Hyperlink"/>
            <w:rFonts w:ascii="Arial" w:hAnsi="Arial" w:cs="Arial"/>
            <w:sz w:val="20"/>
            <w:szCs w:val="20"/>
          </w:rPr>
          <w:t>https://skemman.is/bitstream/1946/46679/1/ROBERT%20APPIAH%20DANKWAK%20M.%20A%20FINAL%20THESIS.pdf</w:t>
        </w:r>
      </w:hyperlink>
    </w:p>
    <w:p w14:paraId="2B790ABC" w14:textId="77777777" w:rsidR="002F1139" w:rsidRDefault="002F1139" w:rsidP="006E3412">
      <w:pPr>
        <w:ind w:left="720" w:hanging="360"/>
        <w:jc w:val="both"/>
      </w:pPr>
      <w:r w:rsidRPr="006E3412">
        <w:rPr>
          <w:rFonts w:ascii="Arial" w:hAnsi="Arial" w:cs="Arial"/>
          <w:sz w:val="20"/>
          <w:szCs w:val="20"/>
        </w:rPr>
        <w:t xml:space="preserve">Darko, A., Chan, A. P. C., Ameyaw, E. E., He, B. J., &amp; Olanipekun, A. O. (2017). Examining issues influencing green building technologies adoption: The United States and Ghana. Sustainable Development, 25(6), 577-590. </w:t>
      </w:r>
      <w:hyperlink r:id="rId29" w:history="1">
        <w:r w:rsidRPr="006E3412">
          <w:rPr>
            <w:rStyle w:val="Hyperlink"/>
            <w:rFonts w:ascii="Arial" w:hAnsi="Arial" w:cs="Arial"/>
            <w:sz w:val="20"/>
            <w:szCs w:val="20"/>
          </w:rPr>
          <w:t>https://doi.org/10.1016/j.enbuild.2017.03.060</w:t>
        </w:r>
      </w:hyperlink>
    </w:p>
    <w:p w14:paraId="5D9D88AA" w14:textId="77777777" w:rsidR="002F1139" w:rsidRPr="006E3412" w:rsidRDefault="002F1139" w:rsidP="006E3412">
      <w:pPr>
        <w:ind w:left="720" w:hanging="360"/>
        <w:jc w:val="both"/>
        <w:rPr>
          <w:rFonts w:ascii="Arial" w:hAnsi="Arial" w:cs="Arial"/>
          <w:sz w:val="20"/>
          <w:szCs w:val="20"/>
        </w:rPr>
      </w:pPr>
      <w:proofErr w:type="spellStart"/>
      <w:r w:rsidRPr="006E3412">
        <w:rPr>
          <w:rFonts w:ascii="Arial" w:hAnsi="Arial" w:cs="Arial"/>
          <w:sz w:val="20"/>
          <w:szCs w:val="20"/>
        </w:rPr>
        <w:t>Dinko</w:t>
      </w:r>
      <w:proofErr w:type="spellEnd"/>
      <w:r w:rsidRPr="006E3412">
        <w:rPr>
          <w:rFonts w:ascii="Arial" w:hAnsi="Arial" w:cs="Arial"/>
          <w:sz w:val="20"/>
          <w:szCs w:val="20"/>
        </w:rPr>
        <w:t xml:space="preserve">, D. H., &amp; Bahati, I. (2023). A review of the impact of climate change on water security and livelihoods in semiarid Africa: Cases from Kenya, Malawi, and Ghana. </w:t>
      </w:r>
      <w:r w:rsidRPr="006E3412">
        <w:rPr>
          <w:rFonts w:ascii="Arial" w:hAnsi="Arial" w:cs="Arial"/>
          <w:i/>
          <w:iCs/>
          <w:sz w:val="20"/>
          <w:szCs w:val="20"/>
        </w:rPr>
        <w:t>Journal of Climate Resilience and Climate Justice, 1</w:t>
      </w:r>
      <w:r w:rsidRPr="006E3412">
        <w:rPr>
          <w:rFonts w:ascii="Arial" w:hAnsi="Arial" w:cs="Arial"/>
          <w:sz w:val="20"/>
          <w:szCs w:val="20"/>
        </w:rPr>
        <w:t>(1), 15–29.</w:t>
      </w:r>
      <w:r w:rsidRPr="006E3412">
        <w:rPr>
          <w:rFonts w:ascii="Segoe UI" w:hAnsi="Segoe UI" w:cs="Segoe UI"/>
          <w:color w:val="1F2937"/>
          <w:sz w:val="21"/>
          <w:szCs w:val="21"/>
          <w:shd w:val="clear" w:color="auto" w:fill="FFFFFF"/>
        </w:rPr>
        <w:t xml:space="preserve"> </w:t>
      </w:r>
      <w:hyperlink r:id="rId30" w:history="1">
        <w:r w:rsidRPr="006E3412">
          <w:rPr>
            <w:rStyle w:val="Hyperlink"/>
            <w:rFonts w:ascii="Arial" w:hAnsi="Arial" w:cs="Arial"/>
            <w:sz w:val="20"/>
            <w:szCs w:val="20"/>
          </w:rPr>
          <w:t>https://doi.org/10.1162/crcj_a_00002</w:t>
        </w:r>
      </w:hyperlink>
    </w:p>
    <w:p w14:paraId="7F90CEB3"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Emmanuel, U.E., Danjuma, D. and Ukah, C. (2024) ‘Sustainable built environment features towards climate change mitigation: systematic review’, </w:t>
      </w:r>
      <w:r w:rsidRPr="006E3412">
        <w:rPr>
          <w:rFonts w:ascii="Arial" w:hAnsi="Arial" w:cs="Arial"/>
          <w:i/>
          <w:iCs/>
          <w:sz w:val="20"/>
          <w:szCs w:val="20"/>
        </w:rPr>
        <w:t>Environmental Review Journal: A Multidisciplinary Journal of Environmental Sciences</w:t>
      </w:r>
      <w:r w:rsidRPr="006E3412">
        <w:rPr>
          <w:rFonts w:ascii="Arial" w:hAnsi="Arial" w:cs="Arial"/>
          <w:sz w:val="20"/>
          <w:szCs w:val="20"/>
        </w:rPr>
        <w:t>, 10(1), pp. 94–117. Available at:</w:t>
      </w:r>
      <w:hyperlink r:id="rId31" w:history="1">
        <w:r w:rsidRPr="006E3412">
          <w:rPr>
            <w:rStyle w:val="Hyperlink"/>
            <w:rFonts w:ascii="Arial" w:hAnsi="Arial" w:cs="Arial"/>
            <w:sz w:val="20"/>
            <w:szCs w:val="20"/>
          </w:rPr>
          <w:t xml:space="preserve"> https://erjournal.net/index.php/erjournal/issue/view/16</w:t>
        </w:r>
      </w:hyperlink>
    </w:p>
    <w:p w14:paraId="7156AD46"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Ezeani, E. U., Danjuma, D., &amp; Ukah, C. (2025). </w:t>
      </w:r>
      <w:r w:rsidRPr="006E3412">
        <w:rPr>
          <w:rFonts w:ascii="Arial" w:hAnsi="Arial" w:cs="Arial"/>
          <w:i/>
          <w:iCs/>
          <w:sz w:val="20"/>
          <w:szCs w:val="20"/>
        </w:rPr>
        <w:t>Sustainable built environment features towards climate change mitigation: A systematic review</w:t>
      </w:r>
      <w:r w:rsidRPr="006E3412">
        <w:rPr>
          <w:rFonts w:ascii="Arial" w:hAnsi="Arial" w:cs="Arial"/>
          <w:sz w:val="20"/>
          <w:szCs w:val="20"/>
        </w:rPr>
        <w:t xml:space="preserve">. Environmental Review, </w:t>
      </w:r>
      <w:r w:rsidRPr="006E3412">
        <w:rPr>
          <w:rFonts w:ascii="Arial" w:hAnsi="Arial" w:cs="Arial"/>
          <w:i/>
          <w:iCs/>
          <w:sz w:val="20"/>
          <w:szCs w:val="20"/>
        </w:rPr>
        <w:t>10</w:t>
      </w:r>
      <w:r w:rsidRPr="006E3412">
        <w:rPr>
          <w:rFonts w:ascii="Arial" w:hAnsi="Arial" w:cs="Arial"/>
          <w:sz w:val="20"/>
          <w:szCs w:val="20"/>
        </w:rPr>
        <w:t xml:space="preserve">(1)  </w:t>
      </w:r>
      <w:hyperlink r:id="rId32" w:history="1">
        <w:r w:rsidRPr="006E3412">
          <w:rPr>
            <w:rStyle w:val="Hyperlink"/>
            <w:rFonts w:ascii="Arial" w:hAnsi="Arial" w:cs="Arial"/>
            <w:sz w:val="20"/>
            <w:szCs w:val="20"/>
          </w:rPr>
          <w:t>https://www.erjournal.net/index.php/erjournal/article/view/150</w:t>
        </w:r>
      </w:hyperlink>
    </w:p>
    <w:p w14:paraId="25424733" w14:textId="77777777" w:rsidR="002F1139" w:rsidRDefault="002F1139" w:rsidP="006E3412">
      <w:pPr>
        <w:ind w:left="720" w:hanging="360"/>
        <w:jc w:val="both"/>
      </w:pPr>
      <w:proofErr w:type="spellStart"/>
      <w:r w:rsidRPr="006E3412">
        <w:rPr>
          <w:rFonts w:ascii="Arial" w:hAnsi="Arial" w:cs="Arial"/>
          <w:sz w:val="20"/>
          <w:szCs w:val="20"/>
        </w:rPr>
        <w:t>Formplus</w:t>
      </w:r>
      <w:proofErr w:type="spellEnd"/>
      <w:r w:rsidRPr="006E3412">
        <w:rPr>
          <w:rFonts w:ascii="Arial" w:hAnsi="Arial" w:cs="Arial"/>
          <w:sz w:val="20"/>
          <w:szCs w:val="20"/>
        </w:rPr>
        <w:t xml:space="preserve">, B. (2020). Correlational Research Designs: Types, Examples &amp; Methods. </w:t>
      </w:r>
      <w:hyperlink r:id="rId33" w:history="1">
        <w:r w:rsidRPr="006E3412">
          <w:rPr>
            <w:rStyle w:val="Hyperlink"/>
            <w:rFonts w:ascii="Arial" w:hAnsi="Arial" w:cs="Arial"/>
            <w:sz w:val="20"/>
            <w:szCs w:val="20"/>
          </w:rPr>
          <w:t>Correlational Research Designs: Types, Examples &amp; Methods</w:t>
        </w:r>
      </w:hyperlink>
    </w:p>
    <w:p w14:paraId="7AB2313C"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Fu, Y., Wang, H., Sun, W., &amp; Zhang, X. (2021). New dimension to green buildings: Turning green into occupant well-being. </w:t>
      </w:r>
      <w:r w:rsidRPr="006E3412">
        <w:rPr>
          <w:rFonts w:ascii="Arial" w:hAnsi="Arial" w:cs="Arial"/>
          <w:i/>
          <w:iCs/>
          <w:sz w:val="20"/>
          <w:szCs w:val="20"/>
        </w:rPr>
        <w:t>Buildings, 11</w:t>
      </w:r>
      <w:r w:rsidRPr="006E3412">
        <w:rPr>
          <w:rFonts w:ascii="Arial" w:hAnsi="Arial" w:cs="Arial"/>
          <w:sz w:val="20"/>
          <w:szCs w:val="20"/>
        </w:rPr>
        <w:t xml:space="preserve">(12), 605. </w:t>
      </w:r>
      <w:hyperlink r:id="rId34" w:history="1">
        <w:r w:rsidRPr="006E3412">
          <w:rPr>
            <w:rStyle w:val="Hyperlink"/>
            <w:rFonts w:ascii="Arial" w:hAnsi="Arial" w:cs="Arial"/>
            <w:sz w:val="20"/>
            <w:szCs w:val="20"/>
          </w:rPr>
          <w:t>https://doi.org/10.3390/buildings11110534</w:t>
        </w:r>
      </w:hyperlink>
    </w:p>
    <w:p w14:paraId="2117D677"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Ghana Statistical Service. (2021). Ghana 2021 Population and Housing Census: General Report Volume 3M, Economic Activity. GSS. </w:t>
      </w:r>
      <w:hyperlink r:id="rId35" w:history="1">
        <w:r w:rsidRPr="006E3412">
          <w:rPr>
            <w:rStyle w:val="Hyperlink"/>
            <w:rFonts w:ascii="Arial" w:hAnsi="Arial" w:cs="Arial"/>
            <w:sz w:val="20"/>
            <w:szCs w:val="20"/>
          </w:rPr>
          <w:t>https://statsghana.gov.gh/gssmain/fileUpload/pressrelease/2021%20PHC%20General%20Report%20Vol%203A_Population%20of%20Regions%20and%20Districts_181121.pdf</w:t>
        </w:r>
      </w:hyperlink>
      <w:r w:rsidRPr="006E3412">
        <w:rPr>
          <w:rFonts w:ascii="Arial" w:hAnsi="Arial" w:cs="Arial"/>
          <w:sz w:val="20"/>
          <w:szCs w:val="20"/>
        </w:rPr>
        <w:t> </w:t>
      </w:r>
    </w:p>
    <w:p w14:paraId="2A8B5CE3"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Global Alliance for Buildings and Construction. (2021). 2021 Global Status Report for Buildings and Construction. United Nations Environment </w:t>
      </w:r>
      <w:proofErr w:type="spellStart"/>
      <w:r w:rsidRPr="006E3412">
        <w:rPr>
          <w:rFonts w:ascii="Arial" w:hAnsi="Arial" w:cs="Arial"/>
          <w:sz w:val="20"/>
          <w:szCs w:val="20"/>
        </w:rPr>
        <w:t>Programme</w:t>
      </w:r>
      <w:proofErr w:type="spellEnd"/>
      <w:r w:rsidRPr="006E3412">
        <w:rPr>
          <w:rFonts w:ascii="Arial" w:hAnsi="Arial" w:cs="Arial"/>
          <w:sz w:val="20"/>
          <w:szCs w:val="20"/>
        </w:rPr>
        <w:t xml:space="preserve">. </w:t>
      </w:r>
      <w:hyperlink r:id="rId36" w:history="1">
        <w:r w:rsidRPr="006E3412">
          <w:rPr>
            <w:rStyle w:val="Hyperlink"/>
            <w:rFonts w:ascii="Arial" w:hAnsi="Arial" w:cs="Arial"/>
            <w:sz w:val="20"/>
            <w:szCs w:val="20"/>
          </w:rPr>
          <w:t>https://wedocs.unep.org/20.500.11822/47798</w:t>
        </w:r>
      </w:hyperlink>
    </w:p>
    <w:p w14:paraId="3F773925"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Haddaway, N.R., Page, M.J., Pritchard, C.C. and McGuinness, L.A. (2022) ‘PRISMA2020: An R package and Shiny app for producing PRISMA2020-compliant flow diagrams, with interactivity for </w:t>
      </w:r>
      <w:proofErr w:type="spellStart"/>
      <w:r w:rsidRPr="006E3412">
        <w:rPr>
          <w:rFonts w:ascii="Arial" w:hAnsi="Arial" w:cs="Arial"/>
          <w:sz w:val="20"/>
          <w:szCs w:val="20"/>
        </w:rPr>
        <w:t>optimised</w:t>
      </w:r>
      <w:proofErr w:type="spellEnd"/>
      <w:r w:rsidRPr="006E3412">
        <w:rPr>
          <w:rFonts w:ascii="Arial" w:hAnsi="Arial" w:cs="Arial"/>
          <w:sz w:val="20"/>
          <w:szCs w:val="20"/>
        </w:rPr>
        <w:t xml:space="preserve"> digital transparency and Open Synthesis’, </w:t>
      </w:r>
      <w:r w:rsidRPr="006E3412">
        <w:rPr>
          <w:rFonts w:ascii="Arial" w:hAnsi="Arial" w:cs="Arial"/>
          <w:i/>
          <w:iCs/>
          <w:sz w:val="20"/>
          <w:szCs w:val="20"/>
        </w:rPr>
        <w:t>Campbell Systematic Reviews</w:t>
      </w:r>
      <w:r w:rsidRPr="006E3412">
        <w:rPr>
          <w:rFonts w:ascii="Arial" w:hAnsi="Arial" w:cs="Arial"/>
          <w:sz w:val="20"/>
          <w:szCs w:val="20"/>
        </w:rPr>
        <w:t>, 18, e1230. doi:10.1002/cl2.1230.</w:t>
      </w:r>
    </w:p>
    <w:p w14:paraId="5BD8219F"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Hennessy, E.A., Johnson, B.T. &amp; Keenan, C. (2019) ‘Best practice guidelines and essential methodological steps to conduct rigorous and systematic meta</w:t>
      </w:r>
      <w:r w:rsidRPr="006E3412">
        <w:rPr>
          <w:rFonts w:ascii="Arial" w:hAnsi="Arial" w:cs="Arial"/>
          <w:sz w:val="20"/>
          <w:szCs w:val="20"/>
        </w:rPr>
        <w:noBreakHyphen/>
        <w:t xml:space="preserve">reviews’, </w:t>
      </w:r>
      <w:r w:rsidRPr="006E3412">
        <w:rPr>
          <w:rFonts w:ascii="Arial" w:hAnsi="Arial" w:cs="Arial"/>
          <w:i/>
          <w:iCs/>
          <w:sz w:val="20"/>
          <w:szCs w:val="20"/>
        </w:rPr>
        <w:t>Applied Psychology: Health and Well</w:t>
      </w:r>
      <w:r w:rsidRPr="006E3412">
        <w:rPr>
          <w:rFonts w:ascii="Arial" w:hAnsi="Arial" w:cs="Arial"/>
          <w:i/>
          <w:iCs/>
          <w:sz w:val="20"/>
          <w:szCs w:val="20"/>
        </w:rPr>
        <w:noBreakHyphen/>
        <w:t>Being</w:t>
      </w:r>
      <w:r w:rsidRPr="006E3412">
        <w:rPr>
          <w:rFonts w:ascii="Arial" w:hAnsi="Arial" w:cs="Arial"/>
          <w:sz w:val="20"/>
          <w:szCs w:val="20"/>
        </w:rPr>
        <w:t xml:space="preserve">, 11(3), pp. 353–381. Available at: </w:t>
      </w:r>
      <w:hyperlink r:id="rId37" w:history="1">
        <w:r w:rsidRPr="006E3412">
          <w:rPr>
            <w:rStyle w:val="Hyperlink"/>
            <w:rFonts w:ascii="Arial" w:hAnsi="Arial" w:cs="Arial"/>
            <w:sz w:val="20"/>
            <w:szCs w:val="20"/>
          </w:rPr>
          <w:t>https://doi.org/10.1111/aphw.12169.</w:t>
        </w:r>
      </w:hyperlink>
      <w:r w:rsidRPr="006E3412">
        <w:rPr>
          <w:rFonts w:ascii="Arial" w:hAnsi="Arial" w:cs="Arial"/>
          <w:sz w:val="20"/>
          <w:szCs w:val="20"/>
        </w:rPr>
        <w:t> </w:t>
      </w:r>
    </w:p>
    <w:p w14:paraId="3894E0B1"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Ikram, M., </w:t>
      </w:r>
      <w:proofErr w:type="spellStart"/>
      <w:r w:rsidRPr="006E3412">
        <w:rPr>
          <w:rFonts w:ascii="Arial" w:hAnsi="Arial" w:cs="Arial"/>
          <w:sz w:val="20"/>
          <w:szCs w:val="20"/>
        </w:rPr>
        <w:t>Ferasso</w:t>
      </w:r>
      <w:proofErr w:type="spellEnd"/>
      <w:r w:rsidRPr="006E3412">
        <w:rPr>
          <w:rFonts w:ascii="Arial" w:hAnsi="Arial" w:cs="Arial"/>
          <w:sz w:val="20"/>
          <w:szCs w:val="20"/>
        </w:rPr>
        <w:t>, M., Sroufe, R., &amp; Zhang, Q. (2021). Assessing green technology indicators for cleaner production and sustainable investments in a developing country context. Journal of Cleaner Production, 322, 129090.</w:t>
      </w:r>
      <w:hyperlink r:id="rId38" w:history="1">
        <w:r w:rsidRPr="006E3412">
          <w:rPr>
            <w:rStyle w:val="Hyperlink"/>
            <w:rFonts w:ascii="Arial" w:hAnsi="Arial" w:cs="Arial"/>
            <w:sz w:val="20"/>
            <w:szCs w:val="20"/>
          </w:rPr>
          <w:t xml:space="preserve"> https://doi.org/10.1016/j.jclepro.2021.129090</w:t>
        </w:r>
      </w:hyperlink>
      <w:r w:rsidRPr="006E3412">
        <w:rPr>
          <w:rFonts w:ascii="Arial" w:hAnsi="Arial" w:cs="Arial"/>
          <w:sz w:val="20"/>
          <w:szCs w:val="20"/>
        </w:rPr>
        <w:t> </w:t>
      </w:r>
    </w:p>
    <w:p w14:paraId="427CB2E1" w14:textId="77777777" w:rsidR="002F1139" w:rsidRDefault="002F1139" w:rsidP="006E3412">
      <w:pPr>
        <w:ind w:left="720" w:hanging="360"/>
        <w:jc w:val="both"/>
      </w:pPr>
      <w:r w:rsidRPr="006E3412">
        <w:rPr>
          <w:rFonts w:ascii="Arial" w:hAnsi="Arial" w:cs="Arial"/>
          <w:sz w:val="20"/>
          <w:szCs w:val="20"/>
        </w:rPr>
        <w:t xml:space="preserve">Intergovernmental Panel on Climate Change (IPCC) (2022) In: </w:t>
      </w:r>
      <w:proofErr w:type="spellStart"/>
      <w:r w:rsidRPr="006E3412">
        <w:rPr>
          <w:rFonts w:ascii="Arial" w:hAnsi="Arial" w:cs="Arial"/>
          <w:sz w:val="20"/>
          <w:szCs w:val="20"/>
        </w:rPr>
        <w:t>Pörtner</w:t>
      </w:r>
      <w:proofErr w:type="spellEnd"/>
      <w:r w:rsidRPr="006E3412">
        <w:rPr>
          <w:rFonts w:ascii="Arial" w:hAnsi="Arial" w:cs="Arial"/>
          <w:sz w:val="20"/>
          <w:szCs w:val="20"/>
        </w:rPr>
        <w:t xml:space="preserve"> H-O, Roberts DC, </w:t>
      </w:r>
      <w:proofErr w:type="spellStart"/>
      <w:r w:rsidRPr="006E3412">
        <w:rPr>
          <w:rFonts w:ascii="Arial" w:hAnsi="Arial" w:cs="Arial"/>
          <w:sz w:val="20"/>
          <w:szCs w:val="20"/>
        </w:rPr>
        <w:t>Tignor</w:t>
      </w:r>
      <w:proofErr w:type="spellEnd"/>
      <w:r w:rsidRPr="006E3412">
        <w:rPr>
          <w:rFonts w:ascii="Arial" w:hAnsi="Arial" w:cs="Arial"/>
          <w:sz w:val="20"/>
          <w:szCs w:val="20"/>
        </w:rPr>
        <w:t xml:space="preserve"> M, </w:t>
      </w:r>
      <w:proofErr w:type="spellStart"/>
      <w:r w:rsidRPr="006E3412">
        <w:rPr>
          <w:rFonts w:ascii="Arial" w:hAnsi="Arial" w:cs="Arial"/>
          <w:sz w:val="20"/>
          <w:szCs w:val="20"/>
        </w:rPr>
        <w:t>Poloczanska</w:t>
      </w:r>
      <w:proofErr w:type="spellEnd"/>
      <w:r w:rsidRPr="006E3412">
        <w:rPr>
          <w:rFonts w:ascii="Arial" w:hAnsi="Arial" w:cs="Arial"/>
          <w:sz w:val="20"/>
          <w:szCs w:val="20"/>
        </w:rPr>
        <w:t xml:space="preserve"> ES, </w:t>
      </w:r>
      <w:proofErr w:type="spellStart"/>
      <w:r w:rsidRPr="006E3412">
        <w:rPr>
          <w:rFonts w:ascii="Arial" w:hAnsi="Arial" w:cs="Arial"/>
          <w:sz w:val="20"/>
          <w:szCs w:val="20"/>
        </w:rPr>
        <w:t>Mintenbeck</w:t>
      </w:r>
      <w:proofErr w:type="spellEnd"/>
      <w:r w:rsidRPr="006E3412">
        <w:rPr>
          <w:rFonts w:ascii="Arial" w:hAnsi="Arial" w:cs="Arial"/>
          <w:sz w:val="20"/>
          <w:szCs w:val="20"/>
        </w:rPr>
        <w:t xml:space="preserve"> K, </w:t>
      </w:r>
      <w:proofErr w:type="spellStart"/>
      <w:r w:rsidRPr="006E3412">
        <w:rPr>
          <w:rFonts w:ascii="Arial" w:hAnsi="Arial" w:cs="Arial"/>
          <w:sz w:val="20"/>
          <w:szCs w:val="20"/>
        </w:rPr>
        <w:t>Alegría</w:t>
      </w:r>
      <w:proofErr w:type="spellEnd"/>
      <w:r w:rsidRPr="006E3412">
        <w:rPr>
          <w:rFonts w:ascii="Arial" w:hAnsi="Arial" w:cs="Arial"/>
          <w:sz w:val="20"/>
          <w:szCs w:val="20"/>
        </w:rPr>
        <w:t xml:space="preserve"> A, Craig M, </w:t>
      </w:r>
      <w:proofErr w:type="spellStart"/>
      <w:r w:rsidRPr="006E3412">
        <w:rPr>
          <w:rFonts w:ascii="Arial" w:hAnsi="Arial" w:cs="Arial"/>
          <w:sz w:val="20"/>
          <w:szCs w:val="20"/>
        </w:rPr>
        <w:t>Langsdorf</w:t>
      </w:r>
      <w:proofErr w:type="spellEnd"/>
      <w:r w:rsidRPr="006E3412">
        <w:rPr>
          <w:rFonts w:ascii="Arial" w:hAnsi="Arial" w:cs="Arial"/>
          <w:sz w:val="20"/>
          <w:szCs w:val="20"/>
        </w:rPr>
        <w:t xml:space="preserve"> S, </w:t>
      </w:r>
      <w:proofErr w:type="spellStart"/>
      <w:r w:rsidRPr="006E3412">
        <w:rPr>
          <w:rFonts w:ascii="Arial" w:hAnsi="Arial" w:cs="Arial"/>
          <w:sz w:val="20"/>
          <w:szCs w:val="20"/>
        </w:rPr>
        <w:t>Löschke</w:t>
      </w:r>
      <w:proofErr w:type="spellEnd"/>
      <w:r w:rsidRPr="006E3412">
        <w:rPr>
          <w:rFonts w:ascii="Arial" w:hAnsi="Arial" w:cs="Arial"/>
          <w:sz w:val="20"/>
          <w:szCs w:val="20"/>
        </w:rPr>
        <w:t xml:space="preserve"> S, </w:t>
      </w:r>
      <w:proofErr w:type="spellStart"/>
      <w:r w:rsidRPr="006E3412">
        <w:rPr>
          <w:rFonts w:ascii="Arial" w:hAnsi="Arial" w:cs="Arial"/>
          <w:sz w:val="20"/>
          <w:szCs w:val="20"/>
        </w:rPr>
        <w:t>Möller</w:t>
      </w:r>
      <w:proofErr w:type="spellEnd"/>
      <w:r w:rsidRPr="006E3412">
        <w:rPr>
          <w:rFonts w:ascii="Arial" w:hAnsi="Arial" w:cs="Arial"/>
          <w:sz w:val="20"/>
          <w:szCs w:val="20"/>
        </w:rPr>
        <w:t xml:space="preserve"> V, </w:t>
      </w:r>
      <w:proofErr w:type="spellStart"/>
      <w:r w:rsidRPr="006E3412">
        <w:rPr>
          <w:rFonts w:ascii="Arial" w:hAnsi="Arial" w:cs="Arial"/>
          <w:sz w:val="20"/>
          <w:szCs w:val="20"/>
        </w:rPr>
        <w:t>Okem</w:t>
      </w:r>
      <w:proofErr w:type="spellEnd"/>
      <w:r w:rsidRPr="006E3412">
        <w:rPr>
          <w:rFonts w:ascii="Arial" w:hAnsi="Arial" w:cs="Arial"/>
          <w:sz w:val="20"/>
          <w:szCs w:val="20"/>
        </w:rPr>
        <w:t xml:space="preserve"> A, Rama B (eds) Climate change 2022: impacts, adaptation and vulnerability. Contribution of Working Group II to the sixth assessment report of the Intergovernmental Panel on Climate Change. Cambridge University Press, Cambridge/New York, 3056 pp.</w:t>
      </w:r>
      <w:hyperlink r:id="rId39" w:history="1">
        <w:r w:rsidRPr="006E3412">
          <w:rPr>
            <w:rStyle w:val="Hyperlink"/>
            <w:rFonts w:ascii="Arial" w:hAnsi="Arial" w:cs="Arial"/>
            <w:sz w:val="20"/>
            <w:szCs w:val="20"/>
          </w:rPr>
          <w:t xml:space="preserve"> https://doi.org/10.1017/9781009325844</w:t>
        </w:r>
      </w:hyperlink>
    </w:p>
    <w:p w14:paraId="44E72DA4"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Keena, N., </w:t>
      </w:r>
      <w:proofErr w:type="spellStart"/>
      <w:r w:rsidRPr="006E3412">
        <w:rPr>
          <w:rFonts w:ascii="Arial" w:hAnsi="Arial" w:cs="Arial"/>
          <w:sz w:val="20"/>
          <w:szCs w:val="20"/>
        </w:rPr>
        <w:t>Raugei</w:t>
      </w:r>
      <w:proofErr w:type="spellEnd"/>
      <w:r w:rsidRPr="006E3412">
        <w:rPr>
          <w:rFonts w:ascii="Arial" w:hAnsi="Arial" w:cs="Arial"/>
          <w:sz w:val="20"/>
          <w:szCs w:val="20"/>
        </w:rPr>
        <w:t xml:space="preserve">, M., Lokko, M., Etman, M. A., </w:t>
      </w:r>
      <w:proofErr w:type="spellStart"/>
      <w:r w:rsidRPr="006E3412">
        <w:rPr>
          <w:rFonts w:ascii="Arial" w:hAnsi="Arial" w:cs="Arial"/>
          <w:sz w:val="20"/>
          <w:szCs w:val="20"/>
        </w:rPr>
        <w:t>Achnani</w:t>
      </w:r>
      <w:proofErr w:type="spellEnd"/>
      <w:r w:rsidRPr="006E3412">
        <w:rPr>
          <w:rFonts w:ascii="Arial" w:hAnsi="Arial" w:cs="Arial"/>
          <w:sz w:val="20"/>
          <w:szCs w:val="20"/>
        </w:rPr>
        <w:t xml:space="preserve">, V., Reck, B., &amp; Dyson, A. (2022). A life-cycle approach to investigate the potential of novel biobased construction materials toward a circular built environment. </w:t>
      </w:r>
      <w:r w:rsidRPr="006E3412">
        <w:rPr>
          <w:rFonts w:ascii="Arial" w:hAnsi="Arial" w:cs="Arial"/>
          <w:i/>
          <w:iCs/>
          <w:sz w:val="20"/>
          <w:szCs w:val="20"/>
        </w:rPr>
        <w:t>Energies</w:t>
      </w:r>
      <w:r w:rsidRPr="006E3412">
        <w:rPr>
          <w:rFonts w:ascii="Arial" w:hAnsi="Arial" w:cs="Arial"/>
          <w:sz w:val="20"/>
          <w:szCs w:val="20"/>
        </w:rPr>
        <w:t xml:space="preserve">. </w:t>
      </w:r>
      <w:hyperlink r:id="rId40" w:history="1">
        <w:r w:rsidRPr="006E3412">
          <w:rPr>
            <w:rStyle w:val="Hyperlink"/>
            <w:rFonts w:ascii="Arial" w:hAnsi="Arial" w:cs="Arial"/>
            <w:sz w:val="20"/>
            <w:szCs w:val="20"/>
          </w:rPr>
          <w:t>https://doi.org/10.3390/en15197239</w:t>
        </w:r>
      </w:hyperlink>
    </w:p>
    <w:p w14:paraId="73CEC67D"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Kofi Agyekum, Chris Goodier, James Anthony Oppon; Key drivers for green building project financing in Ghana. Engineering, Construction and Architectural Management 16 August 2022; 29 (8): 3023–3050.</w:t>
      </w:r>
      <w:hyperlink r:id="rId41" w:history="1">
        <w:r w:rsidRPr="006E3412">
          <w:rPr>
            <w:rStyle w:val="Hyperlink"/>
            <w:rFonts w:ascii="Arial" w:hAnsi="Arial" w:cs="Arial"/>
            <w:sz w:val="20"/>
            <w:szCs w:val="20"/>
          </w:rPr>
          <w:t xml:space="preserve"> https://doi.org/10.1108/ECAM-02-2021-0131</w:t>
        </w:r>
      </w:hyperlink>
    </w:p>
    <w:p w14:paraId="5EA1A869"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Kolaski, K., Logan, L.R. &amp; Ioannidis, J.P.A. (2023) ‘Guidance to best tools and practices for systematic reviews’, </w:t>
      </w:r>
      <w:r w:rsidRPr="006E3412">
        <w:rPr>
          <w:rFonts w:ascii="Arial" w:hAnsi="Arial" w:cs="Arial"/>
          <w:i/>
          <w:iCs/>
          <w:sz w:val="20"/>
          <w:szCs w:val="20"/>
        </w:rPr>
        <w:t>Physiotherapy Practice and Research</w:t>
      </w:r>
      <w:r w:rsidRPr="006E3412">
        <w:rPr>
          <w:rFonts w:ascii="Arial" w:hAnsi="Arial" w:cs="Arial"/>
          <w:sz w:val="20"/>
          <w:szCs w:val="20"/>
        </w:rPr>
        <w:t xml:space="preserve">, 44(3), pp. 119–132. Available at: </w:t>
      </w:r>
      <w:hyperlink r:id="rId42" w:history="1">
        <w:r w:rsidRPr="006E3412">
          <w:rPr>
            <w:rStyle w:val="Hyperlink"/>
            <w:rFonts w:ascii="Arial" w:hAnsi="Arial" w:cs="Arial"/>
            <w:sz w:val="20"/>
            <w:szCs w:val="20"/>
          </w:rPr>
          <w:t>https://doi.org/10.3233/PRM-230019</w:t>
        </w:r>
      </w:hyperlink>
      <w:r w:rsidRPr="006E3412">
        <w:rPr>
          <w:rFonts w:ascii="Arial" w:hAnsi="Arial" w:cs="Arial"/>
          <w:sz w:val="20"/>
          <w:szCs w:val="20"/>
        </w:rPr>
        <w:t>.</w:t>
      </w:r>
    </w:p>
    <w:p w14:paraId="7AC6BFD9"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Kom, Z., </w:t>
      </w:r>
      <w:proofErr w:type="spellStart"/>
      <w:r w:rsidRPr="006E3412">
        <w:rPr>
          <w:rFonts w:ascii="Arial" w:hAnsi="Arial" w:cs="Arial"/>
          <w:sz w:val="20"/>
          <w:szCs w:val="20"/>
        </w:rPr>
        <w:t>Nethengwe</w:t>
      </w:r>
      <w:proofErr w:type="spellEnd"/>
      <w:r w:rsidRPr="006E3412">
        <w:rPr>
          <w:rFonts w:ascii="Arial" w:hAnsi="Arial" w:cs="Arial"/>
          <w:sz w:val="20"/>
          <w:szCs w:val="20"/>
        </w:rPr>
        <w:t xml:space="preserve">, N. S., </w:t>
      </w:r>
      <w:proofErr w:type="spellStart"/>
      <w:r w:rsidRPr="006E3412">
        <w:rPr>
          <w:rFonts w:ascii="Arial" w:hAnsi="Arial" w:cs="Arial"/>
          <w:sz w:val="20"/>
          <w:szCs w:val="20"/>
        </w:rPr>
        <w:t>Mpandeli</w:t>
      </w:r>
      <w:proofErr w:type="spellEnd"/>
      <w:r w:rsidRPr="006E3412">
        <w:rPr>
          <w:rFonts w:ascii="Arial" w:hAnsi="Arial" w:cs="Arial"/>
          <w:sz w:val="20"/>
          <w:szCs w:val="20"/>
        </w:rPr>
        <w:t xml:space="preserve">, N. S., &amp; </w:t>
      </w:r>
      <w:proofErr w:type="spellStart"/>
      <w:r w:rsidRPr="006E3412">
        <w:rPr>
          <w:rFonts w:ascii="Arial" w:hAnsi="Arial" w:cs="Arial"/>
          <w:sz w:val="20"/>
          <w:szCs w:val="20"/>
        </w:rPr>
        <w:t>Chikoore</w:t>
      </w:r>
      <w:proofErr w:type="spellEnd"/>
      <w:r w:rsidRPr="006E3412">
        <w:rPr>
          <w:rFonts w:ascii="Arial" w:hAnsi="Arial" w:cs="Arial"/>
          <w:sz w:val="20"/>
          <w:szCs w:val="20"/>
        </w:rPr>
        <w:t xml:space="preserve">, H. (2020). Determinants of </w:t>
      </w:r>
      <w:proofErr w:type="spellStart"/>
      <w:r w:rsidRPr="006E3412">
        <w:rPr>
          <w:rFonts w:ascii="Arial" w:hAnsi="Arial" w:cs="Arial"/>
          <w:sz w:val="20"/>
          <w:szCs w:val="20"/>
        </w:rPr>
        <w:t>smallscale</w:t>
      </w:r>
      <w:proofErr w:type="spellEnd"/>
      <w:r w:rsidRPr="006E3412">
        <w:rPr>
          <w:rFonts w:ascii="Arial" w:hAnsi="Arial" w:cs="Arial"/>
          <w:sz w:val="20"/>
          <w:szCs w:val="20"/>
        </w:rPr>
        <w:t xml:space="preserve"> farmers’ choice and adaptive strategies in response to climatic shocks in Vhembe District, South Africa. </w:t>
      </w:r>
      <w:proofErr w:type="spellStart"/>
      <w:r w:rsidRPr="006E3412">
        <w:rPr>
          <w:rFonts w:ascii="Arial" w:hAnsi="Arial" w:cs="Arial"/>
          <w:sz w:val="20"/>
          <w:szCs w:val="20"/>
        </w:rPr>
        <w:t>GeoJournal</w:t>
      </w:r>
      <w:proofErr w:type="spellEnd"/>
      <w:r w:rsidRPr="006E3412">
        <w:rPr>
          <w:rFonts w:ascii="Arial" w:hAnsi="Arial" w:cs="Arial"/>
          <w:sz w:val="20"/>
          <w:szCs w:val="20"/>
        </w:rPr>
        <w:t>, 1-24.</w:t>
      </w:r>
      <w:hyperlink r:id="rId43" w:history="1">
        <w:r w:rsidRPr="006E3412">
          <w:rPr>
            <w:rStyle w:val="Hyperlink"/>
            <w:rFonts w:ascii="Arial" w:hAnsi="Arial" w:cs="Arial"/>
            <w:sz w:val="20"/>
            <w:szCs w:val="20"/>
          </w:rPr>
          <w:t xml:space="preserve"> https://doi.org/10.1007/s10708-020-10272-7</w:t>
        </w:r>
      </w:hyperlink>
      <w:r w:rsidRPr="006E3412">
        <w:rPr>
          <w:rFonts w:ascii="Arial" w:hAnsi="Arial" w:cs="Arial"/>
          <w:sz w:val="20"/>
          <w:szCs w:val="20"/>
        </w:rPr>
        <w:t> </w:t>
      </w:r>
    </w:p>
    <w:p w14:paraId="35BAE3C4"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Lau, F., &amp; Kuziemsky, C. (Eds.). (2017). </w:t>
      </w:r>
      <w:r w:rsidRPr="006E3412">
        <w:rPr>
          <w:rFonts w:ascii="Arial" w:hAnsi="Arial" w:cs="Arial"/>
          <w:i/>
          <w:iCs/>
          <w:sz w:val="20"/>
          <w:szCs w:val="20"/>
        </w:rPr>
        <w:t>Methods for correlational studies</w:t>
      </w:r>
      <w:r w:rsidRPr="006E3412">
        <w:rPr>
          <w:rFonts w:ascii="Arial" w:hAnsi="Arial" w:cs="Arial"/>
          <w:sz w:val="20"/>
          <w:szCs w:val="20"/>
        </w:rPr>
        <w:t xml:space="preserve"> (Chapter 12). In </w:t>
      </w:r>
      <w:r w:rsidRPr="006E3412">
        <w:rPr>
          <w:rFonts w:ascii="Arial" w:hAnsi="Arial" w:cs="Arial"/>
          <w:i/>
          <w:iCs/>
          <w:sz w:val="20"/>
          <w:szCs w:val="20"/>
        </w:rPr>
        <w:t>Handbook of eHealth Evaluation: An Evidence</w:t>
      </w:r>
      <w:r w:rsidRPr="006E3412">
        <w:rPr>
          <w:rFonts w:ascii="Arial" w:hAnsi="Arial" w:cs="Arial"/>
          <w:i/>
          <w:iCs/>
          <w:sz w:val="20"/>
          <w:szCs w:val="20"/>
        </w:rPr>
        <w:noBreakHyphen/>
        <w:t>based Approach</w:t>
      </w:r>
      <w:r w:rsidRPr="006E3412">
        <w:rPr>
          <w:rFonts w:ascii="Arial" w:hAnsi="Arial" w:cs="Arial"/>
          <w:sz w:val="20"/>
          <w:szCs w:val="20"/>
        </w:rPr>
        <w:t xml:space="preserve"> [Internet]. University of Victoria. </w:t>
      </w:r>
      <w:r w:rsidRPr="006E3412">
        <w:rPr>
          <w:rFonts w:ascii="Arial" w:hAnsi="Arial" w:cs="Arial"/>
          <w:i/>
          <w:iCs/>
          <w:sz w:val="20"/>
          <w:szCs w:val="20"/>
        </w:rPr>
        <w:t>National Center for Biotechnology Information</w:t>
      </w:r>
      <w:r w:rsidRPr="006E3412">
        <w:rPr>
          <w:rFonts w:ascii="Arial" w:hAnsi="Arial" w:cs="Arial"/>
          <w:sz w:val="20"/>
          <w:szCs w:val="20"/>
        </w:rPr>
        <w:t xml:space="preserve"> (US).</w:t>
      </w:r>
      <w:hyperlink r:id="rId44" w:history="1">
        <w:r w:rsidRPr="006E3412">
          <w:rPr>
            <w:rStyle w:val="Hyperlink"/>
            <w:rFonts w:ascii="Arial" w:hAnsi="Arial" w:cs="Arial"/>
            <w:sz w:val="20"/>
            <w:szCs w:val="20"/>
          </w:rPr>
          <w:t xml:space="preserve"> https://pubmed.ncbi.nlm.nih.gov/29431951/</w:t>
        </w:r>
      </w:hyperlink>
    </w:p>
    <w:p w14:paraId="5DC09A76" w14:textId="77777777" w:rsidR="002F1139" w:rsidRPr="006E3412" w:rsidRDefault="002F1139" w:rsidP="006E3412">
      <w:pPr>
        <w:ind w:left="720" w:hanging="360"/>
        <w:jc w:val="both"/>
        <w:rPr>
          <w:rFonts w:ascii="Arial" w:hAnsi="Arial" w:cs="Arial"/>
          <w:sz w:val="20"/>
          <w:szCs w:val="20"/>
        </w:rPr>
      </w:pPr>
      <w:proofErr w:type="spellStart"/>
      <w:r w:rsidRPr="006E3412">
        <w:rPr>
          <w:rFonts w:ascii="Arial" w:hAnsi="Arial" w:cs="Arial"/>
          <w:sz w:val="20"/>
          <w:szCs w:val="20"/>
        </w:rPr>
        <w:t>Listokin</w:t>
      </w:r>
      <w:proofErr w:type="spellEnd"/>
      <w:r w:rsidRPr="006E3412">
        <w:rPr>
          <w:rFonts w:ascii="Arial" w:hAnsi="Arial" w:cs="Arial"/>
          <w:sz w:val="20"/>
          <w:szCs w:val="20"/>
        </w:rPr>
        <w:t xml:space="preserve">, D. and Hattis, D.B. (2005) ‘Building codes and housing’, </w:t>
      </w:r>
      <w:r w:rsidRPr="006E3412">
        <w:rPr>
          <w:rFonts w:ascii="Arial" w:hAnsi="Arial" w:cs="Arial"/>
          <w:i/>
          <w:iCs/>
          <w:sz w:val="20"/>
          <w:szCs w:val="20"/>
        </w:rPr>
        <w:t>Cityscape</w:t>
      </w:r>
      <w:r w:rsidRPr="006E3412">
        <w:rPr>
          <w:rFonts w:ascii="Arial" w:hAnsi="Arial" w:cs="Arial"/>
          <w:sz w:val="20"/>
          <w:szCs w:val="20"/>
        </w:rPr>
        <w:t>, 8(1), pp. 21–67. Published by US Department of Housing and Urban Development. Available at:</w:t>
      </w:r>
      <w:hyperlink r:id="rId45" w:history="1">
        <w:r w:rsidRPr="006E3412">
          <w:rPr>
            <w:rStyle w:val="Hyperlink"/>
            <w:rFonts w:ascii="Arial" w:hAnsi="Arial" w:cs="Arial"/>
            <w:color w:val="auto"/>
            <w:sz w:val="20"/>
            <w:szCs w:val="20"/>
          </w:rPr>
          <w:t xml:space="preserve"> https://www.jstor.org/stable/20868571</w:t>
        </w:r>
      </w:hyperlink>
    </w:p>
    <w:p w14:paraId="40F28CEA"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Michael Addy, Emmanuel Adinyira, James Cofie Danku, Florence Dadzoe; Impediments to the development of the green building market in sub-Saharan Africa: the case of Ghana. Smart and Sustainable Built Environment 17 June 2021; 10 (2): 193–207.</w:t>
      </w:r>
      <w:hyperlink r:id="rId46" w:history="1">
        <w:r w:rsidRPr="006E3412">
          <w:rPr>
            <w:rStyle w:val="Hyperlink"/>
            <w:rFonts w:ascii="Arial" w:hAnsi="Arial" w:cs="Arial"/>
            <w:sz w:val="20"/>
            <w:szCs w:val="20"/>
          </w:rPr>
          <w:t xml:space="preserve"> https://doi.org/10.1108/SASBE-12-2019-0170</w:t>
        </w:r>
      </w:hyperlink>
    </w:p>
    <w:p w14:paraId="3414C400"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lastRenderedPageBreak/>
        <w:t xml:space="preserve">Ministry of Foreign Affairs. (2026). About Ghana: Regions. </w:t>
      </w:r>
      <w:hyperlink r:id="rId47" w:history="1">
        <w:r w:rsidRPr="006E3412">
          <w:rPr>
            <w:rStyle w:val="Hyperlink"/>
            <w:rFonts w:ascii="Arial" w:hAnsi="Arial" w:cs="Arial"/>
            <w:sz w:val="20"/>
            <w:szCs w:val="20"/>
          </w:rPr>
          <w:t>https://mfa.gov.gh/index.php/about-ghana/regions/</w:t>
        </w:r>
      </w:hyperlink>
      <w:r w:rsidRPr="006E3412">
        <w:rPr>
          <w:rFonts w:ascii="Arial" w:hAnsi="Arial" w:cs="Arial"/>
          <w:sz w:val="20"/>
          <w:szCs w:val="20"/>
        </w:rPr>
        <w:t> </w:t>
      </w:r>
    </w:p>
    <w:p w14:paraId="4B662A68"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Ofori-Boadu, A., Owusu-Manu, D., Edwards, D. J., &amp; Holt, G. D. (2018). Exploration of management practices for LEED projects: Lessons for green building projects in Ghana. Journal of Engineering, Design and Technology, 16(1), 121-141. </w:t>
      </w:r>
      <w:hyperlink r:id="rId48" w:history="1">
        <w:r w:rsidRPr="006E3412">
          <w:rPr>
            <w:rStyle w:val="Hyperlink"/>
            <w:rFonts w:ascii="Arial" w:hAnsi="Arial" w:cs="Arial"/>
            <w:sz w:val="20"/>
            <w:szCs w:val="20"/>
          </w:rPr>
          <w:t>https://doi.org/10.1108/02630801211228743</w:t>
        </w:r>
      </w:hyperlink>
    </w:p>
    <w:p w14:paraId="2975BE23"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Owusu, P. A., &amp; </w:t>
      </w:r>
      <w:proofErr w:type="spellStart"/>
      <w:r w:rsidRPr="006E3412">
        <w:rPr>
          <w:rFonts w:ascii="Arial" w:hAnsi="Arial" w:cs="Arial"/>
          <w:sz w:val="20"/>
          <w:szCs w:val="20"/>
        </w:rPr>
        <w:t>Asumadu</w:t>
      </w:r>
      <w:proofErr w:type="spellEnd"/>
      <w:r w:rsidRPr="006E3412">
        <w:rPr>
          <w:rFonts w:ascii="Arial" w:hAnsi="Arial" w:cs="Arial"/>
          <w:sz w:val="20"/>
          <w:szCs w:val="20"/>
        </w:rPr>
        <w:t>-Sarkodie, S. (2016). A review of renewable energy sources, sustainability issues and climate change mitigation. Cogent Engineering, 3(1),</w:t>
      </w:r>
      <w:hyperlink r:id="rId49" w:history="1">
        <w:r w:rsidRPr="006E3412">
          <w:rPr>
            <w:rStyle w:val="Hyperlink"/>
            <w:rFonts w:ascii="Arial" w:hAnsi="Arial" w:cs="Arial"/>
            <w:sz w:val="20"/>
            <w:szCs w:val="20"/>
          </w:rPr>
          <w:t xml:space="preserve"> https://doi.org/10.1080/23311916.2016.1167990</w:t>
        </w:r>
      </w:hyperlink>
    </w:p>
    <w:p w14:paraId="250BFCD7"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Owusu-Ansah, K.K. (2024) </w:t>
      </w:r>
      <w:r w:rsidRPr="006E3412">
        <w:rPr>
          <w:rFonts w:ascii="Arial" w:hAnsi="Arial" w:cs="Arial"/>
          <w:i/>
          <w:iCs/>
          <w:sz w:val="20"/>
          <w:szCs w:val="20"/>
        </w:rPr>
        <w:t>Sustainable development: implications for urban employment in emerging global cities – a case study of Accra, Ghana</w:t>
      </w:r>
      <w:r w:rsidRPr="006E3412">
        <w:rPr>
          <w:rFonts w:ascii="Arial" w:hAnsi="Arial" w:cs="Arial"/>
          <w:sz w:val="20"/>
          <w:szCs w:val="20"/>
        </w:rPr>
        <w:t xml:space="preserve">. MA thesis, University of Wyoming, School of Politics, Public Affairs, and International Studies, Laramie, WY. </w:t>
      </w:r>
      <w:hyperlink r:id="rId50" w:history="1">
        <w:r w:rsidRPr="006E3412">
          <w:rPr>
            <w:rStyle w:val="Hyperlink"/>
            <w:rFonts w:ascii="Arial" w:hAnsi="Arial" w:cs="Arial"/>
            <w:sz w:val="20"/>
            <w:szCs w:val="20"/>
          </w:rPr>
          <w:t>https://www.proquest.com/openview/df07bb1593ac3bfff24405ab92189b25/1?cbl=18750&amp;diss=y&amp;pq-origsite=gscholar</w:t>
        </w:r>
      </w:hyperlink>
    </w:p>
    <w:p w14:paraId="57EF7974"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Owusu-Manu, D. G., </w:t>
      </w:r>
      <w:proofErr w:type="spellStart"/>
      <w:r w:rsidRPr="006E3412">
        <w:rPr>
          <w:rFonts w:ascii="Arial" w:hAnsi="Arial" w:cs="Arial"/>
          <w:sz w:val="20"/>
          <w:szCs w:val="20"/>
        </w:rPr>
        <w:t>Babon-Ayeng</w:t>
      </w:r>
      <w:proofErr w:type="spellEnd"/>
      <w:r w:rsidRPr="006E3412">
        <w:rPr>
          <w:rFonts w:ascii="Arial" w:hAnsi="Arial" w:cs="Arial"/>
          <w:sz w:val="20"/>
          <w:szCs w:val="20"/>
        </w:rPr>
        <w:t xml:space="preserve">, P., Kissi, E., Edwards, D. J., Okyere-Antwi, D., &amp; Elgohary, H. (2023). Green construction and environmental performance: </w:t>
      </w:r>
      <w:proofErr w:type="spellStart"/>
      <w:r w:rsidRPr="006E3412">
        <w:rPr>
          <w:rFonts w:ascii="Arial" w:hAnsi="Arial" w:cs="Arial"/>
          <w:sz w:val="20"/>
          <w:szCs w:val="20"/>
        </w:rPr>
        <w:t>anassessment</w:t>
      </w:r>
      <w:proofErr w:type="spellEnd"/>
      <w:r w:rsidRPr="006E3412">
        <w:rPr>
          <w:rFonts w:ascii="Arial" w:hAnsi="Arial" w:cs="Arial"/>
          <w:sz w:val="20"/>
          <w:szCs w:val="20"/>
        </w:rPr>
        <w:t xml:space="preserve"> framework. Smart and Sustainable Built Environment, 12(3), 565–583. </w:t>
      </w:r>
      <w:hyperlink r:id="rId51" w:history="1">
        <w:r w:rsidRPr="006E3412">
          <w:rPr>
            <w:rStyle w:val="Hyperlink"/>
            <w:rFonts w:ascii="Arial" w:hAnsi="Arial" w:cs="Arial"/>
            <w:sz w:val="20"/>
            <w:szCs w:val="20"/>
          </w:rPr>
          <w:t>https://doi.org/10.1108/SASBE-07-2021-0120</w:t>
        </w:r>
      </w:hyperlink>
    </w:p>
    <w:p w14:paraId="19133D92"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Page, M. J., McKenzie, J. E., Bossuyt, P. M., et al. (2021). The PRISMA 2020 statement: An updated guideline for reporting systematic reviews. </w:t>
      </w:r>
      <w:r w:rsidRPr="006E3412">
        <w:rPr>
          <w:rFonts w:ascii="Arial" w:hAnsi="Arial" w:cs="Arial"/>
          <w:i/>
          <w:iCs/>
          <w:sz w:val="20"/>
          <w:szCs w:val="20"/>
        </w:rPr>
        <w:t>BMJ, 372</w:t>
      </w:r>
      <w:r w:rsidRPr="006E3412">
        <w:rPr>
          <w:rFonts w:ascii="Arial" w:hAnsi="Arial" w:cs="Arial"/>
          <w:sz w:val="20"/>
          <w:szCs w:val="20"/>
        </w:rPr>
        <w:t>, n71.</w:t>
      </w:r>
      <w:r w:rsidRPr="006E3412">
        <w:rPr>
          <w:rFonts w:ascii="Arial" w:hAnsi="Arial" w:cs="Arial"/>
          <w:sz w:val="20"/>
          <w:szCs w:val="20"/>
        </w:rPr>
        <w:br/>
      </w:r>
      <w:hyperlink r:id="rId52" w:history="1">
        <w:r w:rsidRPr="006E3412">
          <w:rPr>
            <w:rStyle w:val="Hyperlink"/>
            <w:rFonts w:ascii="Arial" w:hAnsi="Arial" w:cs="Arial"/>
            <w:sz w:val="20"/>
            <w:szCs w:val="20"/>
          </w:rPr>
          <w:t xml:space="preserve"> https://doi.org/10.1136/bmj.n71</w:t>
        </w:r>
      </w:hyperlink>
    </w:p>
    <w:p w14:paraId="122DC922"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Paré, G. &amp; </w:t>
      </w:r>
      <w:proofErr w:type="spellStart"/>
      <w:r w:rsidRPr="006E3412">
        <w:rPr>
          <w:rFonts w:ascii="Arial" w:hAnsi="Arial" w:cs="Arial"/>
          <w:sz w:val="20"/>
          <w:szCs w:val="20"/>
        </w:rPr>
        <w:t>Kitsiou</w:t>
      </w:r>
      <w:proofErr w:type="spellEnd"/>
      <w:r w:rsidRPr="006E3412">
        <w:rPr>
          <w:rFonts w:ascii="Arial" w:hAnsi="Arial" w:cs="Arial"/>
          <w:sz w:val="20"/>
          <w:szCs w:val="20"/>
        </w:rPr>
        <w:t xml:space="preserve">, S. (2017) ‘Chapter 9 Methods for Literature Reviews’, in Lau, F. &amp; Kuziemsky, C. (eds.) </w:t>
      </w:r>
      <w:r w:rsidRPr="006E3412">
        <w:rPr>
          <w:rFonts w:ascii="Arial" w:hAnsi="Arial" w:cs="Arial"/>
          <w:i/>
          <w:iCs/>
          <w:sz w:val="20"/>
          <w:szCs w:val="20"/>
        </w:rPr>
        <w:t>Handbook of eHealth Evaluation: An Evidence-Based Approach</w:t>
      </w:r>
      <w:r w:rsidRPr="006E3412">
        <w:rPr>
          <w:rFonts w:ascii="Arial" w:hAnsi="Arial" w:cs="Arial"/>
          <w:sz w:val="20"/>
          <w:szCs w:val="20"/>
        </w:rPr>
        <w:t xml:space="preserve">. Victoria, BC: University of Victoria. Available at: </w:t>
      </w:r>
      <w:hyperlink r:id="rId53" w:history="1">
        <w:r w:rsidRPr="006E3412">
          <w:rPr>
            <w:rStyle w:val="Hyperlink"/>
            <w:rFonts w:ascii="Arial" w:hAnsi="Arial" w:cs="Arial"/>
            <w:sz w:val="20"/>
            <w:szCs w:val="20"/>
          </w:rPr>
          <w:t>https://www.ncbi.nlm.nih.gov/books/NBK481583/</w:t>
        </w:r>
      </w:hyperlink>
    </w:p>
    <w:p w14:paraId="1EC6EA92" w14:textId="77777777" w:rsidR="002F1139" w:rsidRDefault="002F1139" w:rsidP="006E3412">
      <w:pPr>
        <w:ind w:left="720" w:hanging="360"/>
        <w:jc w:val="both"/>
      </w:pPr>
      <w:r w:rsidRPr="006E3412">
        <w:rPr>
          <w:rFonts w:ascii="Arial" w:hAnsi="Arial" w:cs="Arial"/>
          <w:sz w:val="20"/>
          <w:szCs w:val="20"/>
        </w:rPr>
        <w:t xml:space="preserve">Saleh, A., Saleh, N., Ali, O., Hasan, R., Ahmed, O., Alias, A., &amp; Yassin, K. (2024). Green building techniques: Under the umbrella of the climate framework agreement. Babylonian Journal of Machine Learning, 2024, 1–14 </w:t>
      </w:r>
      <w:hyperlink r:id="rId54" w:history="1">
        <w:r w:rsidRPr="006E3412">
          <w:rPr>
            <w:rStyle w:val="Hyperlink"/>
            <w:rFonts w:ascii="Arial" w:hAnsi="Arial" w:cs="Arial"/>
            <w:sz w:val="20"/>
            <w:szCs w:val="20"/>
          </w:rPr>
          <w:t>https://doi.org/10.58496/BJML/2024/001</w:t>
        </w:r>
      </w:hyperlink>
    </w:p>
    <w:p w14:paraId="50219E9C"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Schmidt, L., </w:t>
      </w:r>
      <w:proofErr w:type="spellStart"/>
      <w:r w:rsidRPr="006E3412">
        <w:rPr>
          <w:rFonts w:ascii="Arial" w:hAnsi="Arial" w:cs="Arial"/>
          <w:sz w:val="20"/>
          <w:szCs w:val="20"/>
        </w:rPr>
        <w:t>Olorisade</w:t>
      </w:r>
      <w:proofErr w:type="spellEnd"/>
      <w:r w:rsidRPr="006E3412">
        <w:rPr>
          <w:rFonts w:ascii="Arial" w:hAnsi="Arial" w:cs="Arial"/>
          <w:sz w:val="20"/>
          <w:szCs w:val="20"/>
        </w:rPr>
        <w:t xml:space="preserve">, B., McGuinness, L. A., Thomas, J., &amp; Higgins, J. (2021). Data extraction methods for systematic review (semi)automation: Update of a living systematic review. </w:t>
      </w:r>
      <w:r w:rsidRPr="006E3412">
        <w:rPr>
          <w:rFonts w:ascii="Arial" w:hAnsi="Arial" w:cs="Arial"/>
          <w:i/>
          <w:iCs/>
          <w:sz w:val="20"/>
          <w:szCs w:val="20"/>
        </w:rPr>
        <w:t>F1000Research, 10</w:t>
      </w:r>
      <w:r w:rsidRPr="006E3412">
        <w:rPr>
          <w:rFonts w:ascii="Arial" w:hAnsi="Arial" w:cs="Arial"/>
          <w:sz w:val="20"/>
          <w:szCs w:val="20"/>
        </w:rPr>
        <w:t>, 1074.</w:t>
      </w:r>
      <w:r w:rsidRPr="006E3412">
        <w:rPr>
          <w:rFonts w:ascii="Segoe UI" w:hAnsi="Segoe UI" w:cs="Segoe UI"/>
          <w:color w:val="1F2937"/>
          <w:sz w:val="21"/>
          <w:szCs w:val="21"/>
          <w:shd w:val="clear" w:color="auto" w:fill="FFFFFF"/>
        </w:rPr>
        <w:t xml:space="preserve"> </w:t>
      </w:r>
      <w:hyperlink r:id="rId55" w:history="1">
        <w:r w:rsidRPr="006E3412">
          <w:rPr>
            <w:rStyle w:val="Hyperlink"/>
            <w:rFonts w:ascii="Arial" w:hAnsi="Arial" w:cs="Arial"/>
            <w:sz w:val="20"/>
            <w:szCs w:val="20"/>
          </w:rPr>
          <w:t>https://doi.org/10.12688/f1000research.51117.3</w:t>
        </w:r>
      </w:hyperlink>
    </w:p>
    <w:p w14:paraId="34CE9529"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Shaheen N, Shaheen A, Ramadan A, </w:t>
      </w:r>
      <w:proofErr w:type="spellStart"/>
      <w:r w:rsidRPr="006E3412">
        <w:rPr>
          <w:rFonts w:ascii="Arial" w:hAnsi="Arial" w:cs="Arial"/>
          <w:sz w:val="20"/>
          <w:szCs w:val="20"/>
        </w:rPr>
        <w:t>Hefnawy</w:t>
      </w:r>
      <w:proofErr w:type="spellEnd"/>
      <w:r w:rsidRPr="006E3412">
        <w:rPr>
          <w:rFonts w:ascii="Arial" w:hAnsi="Arial" w:cs="Arial"/>
          <w:sz w:val="20"/>
          <w:szCs w:val="20"/>
        </w:rPr>
        <w:t xml:space="preserve"> MT, Ramadan A, Ibrahim IA, Hassanein ME, Ashour ME and </w:t>
      </w:r>
      <w:proofErr w:type="spellStart"/>
      <w:r w:rsidRPr="006E3412">
        <w:rPr>
          <w:rFonts w:ascii="Arial" w:hAnsi="Arial" w:cs="Arial"/>
          <w:sz w:val="20"/>
          <w:szCs w:val="20"/>
        </w:rPr>
        <w:t>Flouty</w:t>
      </w:r>
      <w:proofErr w:type="spellEnd"/>
      <w:r w:rsidRPr="006E3412">
        <w:rPr>
          <w:rFonts w:ascii="Arial" w:hAnsi="Arial" w:cs="Arial"/>
          <w:sz w:val="20"/>
          <w:szCs w:val="20"/>
        </w:rPr>
        <w:t xml:space="preserve"> O (2023) Appraising systematic reviews: a comprehensive guide to ensuring validity and reliability. Front. Res. </w:t>
      </w:r>
      <w:proofErr w:type="spellStart"/>
      <w:r w:rsidRPr="006E3412">
        <w:rPr>
          <w:rFonts w:ascii="Arial" w:hAnsi="Arial" w:cs="Arial"/>
          <w:sz w:val="20"/>
          <w:szCs w:val="20"/>
        </w:rPr>
        <w:t>Metr</w:t>
      </w:r>
      <w:proofErr w:type="spellEnd"/>
      <w:r w:rsidRPr="006E3412">
        <w:rPr>
          <w:rFonts w:ascii="Arial" w:hAnsi="Arial" w:cs="Arial"/>
          <w:sz w:val="20"/>
          <w:szCs w:val="20"/>
        </w:rPr>
        <w:t xml:space="preserve">. Anal. 8:1268045. Doi: </w:t>
      </w:r>
      <w:hyperlink r:id="rId56" w:history="1">
        <w:r w:rsidRPr="006E3412">
          <w:rPr>
            <w:rStyle w:val="Hyperlink"/>
            <w:rFonts w:ascii="Arial" w:hAnsi="Arial" w:cs="Arial"/>
            <w:sz w:val="20"/>
            <w:szCs w:val="20"/>
          </w:rPr>
          <w:t>https://doi.org/10.3389/frma.2023.1268045</w:t>
        </w:r>
      </w:hyperlink>
      <w:r w:rsidRPr="006E3412">
        <w:rPr>
          <w:rFonts w:ascii="Arial" w:hAnsi="Arial" w:cs="Arial"/>
          <w:sz w:val="20"/>
          <w:szCs w:val="20"/>
        </w:rPr>
        <w:t> </w:t>
      </w:r>
    </w:p>
    <w:p w14:paraId="743D16D0"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Tozer, L. (2020). Catalyzing political momentum for the effective implementation of decarbonization for urban buildings. </w:t>
      </w:r>
      <w:r w:rsidRPr="006E3412">
        <w:rPr>
          <w:rFonts w:ascii="Arial" w:hAnsi="Arial" w:cs="Arial"/>
          <w:i/>
          <w:iCs/>
          <w:sz w:val="20"/>
          <w:szCs w:val="20"/>
        </w:rPr>
        <w:t>Energy Policy</w:t>
      </w:r>
      <w:r w:rsidRPr="006E3412">
        <w:rPr>
          <w:rFonts w:ascii="Arial" w:hAnsi="Arial" w:cs="Arial"/>
          <w:sz w:val="20"/>
          <w:szCs w:val="20"/>
        </w:rPr>
        <w:t xml:space="preserve">, </w:t>
      </w:r>
      <w:r w:rsidRPr="006E3412">
        <w:rPr>
          <w:rFonts w:ascii="Arial" w:hAnsi="Arial" w:cs="Arial"/>
          <w:i/>
          <w:iCs/>
          <w:sz w:val="20"/>
          <w:szCs w:val="20"/>
        </w:rPr>
        <w:t>136</w:t>
      </w:r>
      <w:r w:rsidRPr="006E3412">
        <w:rPr>
          <w:rFonts w:ascii="Arial" w:hAnsi="Arial" w:cs="Arial"/>
          <w:sz w:val="20"/>
          <w:szCs w:val="20"/>
        </w:rPr>
        <w:t>, 111042.</w:t>
      </w:r>
      <w:hyperlink r:id="rId57" w:history="1">
        <w:r w:rsidRPr="006E3412">
          <w:rPr>
            <w:rStyle w:val="Hyperlink"/>
            <w:rFonts w:ascii="Arial" w:hAnsi="Arial" w:cs="Arial"/>
            <w:sz w:val="20"/>
            <w:szCs w:val="20"/>
          </w:rPr>
          <w:t xml:space="preserve"> https://doi.org/10.1016/j.enpol.2019.111042</w:t>
        </w:r>
      </w:hyperlink>
    </w:p>
    <w:p w14:paraId="66A1305B"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U.S. Environmental Protection Agency. (2023, May). Basic Information about Green Building. Retrieved from </w:t>
      </w:r>
      <w:hyperlink r:id="rId58" w:history="1">
        <w:r w:rsidRPr="006E3412">
          <w:rPr>
            <w:rStyle w:val="Hyperlink"/>
            <w:rFonts w:ascii="Arial" w:hAnsi="Arial" w:cs="Arial"/>
            <w:sz w:val="20"/>
            <w:szCs w:val="20"/>
          </w:rPr>
          <w:t>https://www.epa.gov/green-building/basic-information-about-green-building</w:t>
        </w:r>
      </w:hyperlink>
      <w:r w:rsidRPr="006E3412">
        <w:rPr>
          <w:rFonts w:ascii="Arial" w:hAnsi="Arial" w:cs="Arial"/>
          <w:sz w:val="20"/>
          <w:szCs w:val="20"/>
        </w:rPr>
        <w:t> </w:t>
      </w:r>
    </w:p>
    <w:p w14:paraId="50C90A92"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UN Environment </w:t>
      </w:r>
      <w:proofErr w:type="spellStart"/>
      <w:r w:rsidRPr="006E3412">
        <w:rPr>
          <w:rFonts w:ascii="Arial" w:hAnsi="Arial" w:cs="Arial"/>
          <w:sz w:val="20"/>
          <w:szCs w:val="20"/>
        </w:rPr>
        <w:t>Programme</w:t>
      </w:r>
      <w:proofErr w:type="spellEnd"/>
      <w:r w:rsidRPr="006E3412">
        <w:rPr>
          <w:rFonts w:ascii="Arial" w:hAnsi="Arial" w:cs="Arial"/>
          <w:sz w:val="20"/>
          <w:szCs w:val="20"/>
        </w:rPr>
        <w:t xml:space="preserve">. (2021). Adaptation Gap Report 2021: The gathering storm. UNEP. </w:t>
      </w:r>
      <w:hyperlink r:id="rId59" w:history="1">
        <w:r w:rsidRPr="006E3412">
          <w:rPr>
            <w:rStyle w:val="Hyperlink"/>
            <w:rFonts w:ascii="Arial" w:hAnsi="Arial" w:cs="Arial"/>
            <w:sz w:val="20"/>
            <w:szCs w:val="20"/>
          </w:rPr>
          <w:t>https://www.unep.org/resources/adaptation-gap-report-2021</w:t>
        </w:r>
      </w:hyperlink>
      <w:r w:rsidRPr="006E3412">
        <w:rPr>
          <w:rFonts w:ascii="Arial" w:hAnsi="Arial" w:cs="Arial"/>
          <w:sz w:val="20"/>
          <w:szCs w:val="20"/>
        </w:rPr>
        <w:t> </w:t>
      </w:r>
    </w:p>
    <w:p w14:paraId="4BA75203"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World Bank. (2020). Enhancing the Climate Resilience of Africa’s Infrastructure: The Power and Water Sectors. The World Bank. </w:t>
      </w:r>
      <w:hyperlink r:id="rId60" w:history="1">
        <w:r w:rsidRPr="006E3412">
          <w:rPr>
            <w:rStyle w:val="Hyperlink"/>
            <w:rFonts w:ascii="Arial" w:hAnsi="Arial" w:cs="Arial"/>
            <w:sz w:val="20"/>
            <w:szCs w:val="20"/>
          </w:rPr>
          <w:t>https://documents.worldbank.org/en/publication/documents-reports/documentdetail/857671468179354431</w:t>
        </w:r>
      </w:hyperlink>
      <w:r w:rsidRPr="006E3412">
        <w:rPr>
          <w:rFonts w:ascii="Arial" w:hAnsi="Arial" w:cs="Arial"/>
          <w:sz w:val="20"/>
          <w:szCs w:val="20"/>
        </w:rPr>
        <w:t> </w:t>
      </w:r>
    </w:p>
    <w:p w14:paraId="6D022829"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t xml:space="preserve">Xi, Z., Li, C., Zhou, L., Yang, H., &amp; Burghardt, R. (2022). Built environment influences on urban climate resilience: Evidence from extreme heat events in Macau. </w:t>
      </w:r>
      <w:r w:rsidRPr="006E3412">
        <w:rPr>
          <w:rFonts w:ascii="Arial" w:hAnsi="Arial" w:cs="Arial"/>
          <w:i/>
          <w:iCs/>
          <w:sz w:val="20"/>
          <w:szCs w:val="20"/>
        </w:rPr>
        <w:t>Science of the Total Environment, 848</w:t>
      </w:r>
      <w:r w:rsidRPr="006E3412">
        <w:rPr>
          <w:rFonts w:ascii="Arial" w:hAnsi="Arial" w:cs="Arial"/>
          <w:sz w:val="20"/>
          <w:szCs w:val="20"/>
        </w:rPr>
        <w:t xml:space="preserve">, 157698. </w:t>
      </w:r>
      <w:hyperlink r:id="rId61" w:history="1">
        <w:r w:rsidRPr="006E3412">
          <w:rPr>
            <w:rStyle w:val="Hyperlink"/>
            <w:rFonts w:ascii="Arial" w:hAnsi="Arial" w:cs="Arial"/>
            <w:sz w:val="20"/>
            <w:szCs w:val="20"/>
          </w:rPr>
          <w:t>https://doi.org/10.1016/j.scitotenv.2022.160270</w:t>
        </w:r>
      </w:hyperlink>
    </w:p>
    <w:p w14:paraId="06CB9C64" w14:textId="77777777" w:rsidR="002F1139" w:rsidRPr="006E3412" w:rsidRDefault="002F1139" w:rsidP="006E3412">
      <w:pPr>
        <w:ind w:left="720" w:hanging="360"/>
        <w:jc w:val="both"/>
        <w:rPr>
          <w:rFonts w:ascii="Arial" w:hAnsi="Arial" w:cs="Arial"/>
          <w:sz w:val="20"/>
          <w:szCs w:val="20"/>
        </w:rPr>
      </w:pPr>
      <w:r w:rsidRPr="006E3412">
        <w:rPr>
          <w:rFonts w:ascii="Arial" w:hAnsi="Arial" w:cs="Arial"/>
          <w:sz w:val="20"/>
          <w:szCs w:val="20"/>
        </w:rPr>
        <w:lastRenderedPageBreak/>
        <w:t xml:space="preserve">Younas, A., Shahzad, S., &amp; Inayat, S. (2021). Data analysis and presentation in integrative reviews: A narrative review. </w:t>
      </w:r>
      <w:r w:rsidRPr="006E3412">
        <w:rPr>
          <w:rFonts w:ascii="Arial" w:hAnsi="Arial" w:cs="Arial"/>
          <w:i/>
          <w:iCs/>
          <w:sz w:val="20"/>
          <w:szCs w:val="20"/>
        </w:rPr>
        <w:t>Western Journal of Nursing Research, 43</w:t>
      </w:r>
      <w:r w:rsidRPr="006E3412">
        <w:rPr>
          <w:rFonts w:ascii="Arial" w:hAnsi="Arial" w:cs="Arial"/>
          <w:sz w:val="20"/>
          <w:szCs w:val="20"/>
        </w:rPr>
        <w:t xml:space="preserve">(6), 451–460 </w:t>
      </w:r>
      <w:hyperlink r:id="rId62" w:history="1">
        <w:r w:rsidRPr="006E3412">
          <w:rPr>
            <w:rStyle w:val="Hyperlink"/>
            <w:rFonts w:ascii="Arial" w:hAnsi="Arial" w:cs="Arial"/>
            <w:sz w:val="20"/>
            <w:szCs w:val="20"/>
          </w:rPr>
          <w:t>https://doi.org/10.1177/01939459211030344</w:t>
        </w:r>
      </w:hyperlink>
    </w:p>
    <w:p w14:paraId="0562A376" w14:textId="77777777" w:rsidR="00AD4649" w:rsidRPr="001B5BC1" w:rsidRDefault="00AD4649" w:rsidP="001B5BC1">
      <w:pPr>
        <w:ind w:left="720" w:hanging="720"/>
        <w:jc w:val="both"/>
        <w:rPr>
          <w:rFonts w:ascii="Arial" w:hAnsi="Arial" w:cs="Arial"/>
          <w:sz w:val="20"/>
          <w:szCs w:val="20"/>
        </w:rPr>
      </w:pPr>
    </w:p>
    <w:p w14:paraId="46C26BBE" w14:textId="77777777" w:rsidR="0032160F" w:rsidRPr="00AD7332" w:rsidRDefault="0032160F" w:rsidP="001B5BC1">
      <w:pPr>
        <w:jc w:val="both"/>
        <w:rPr>
          <w:rFonts w:ascii="Arial" w:hAnsi="Arial" w:cs="Arial"/>
          <w:sz w:val="20"/>
          <w:szCs w:val="20"/>
        </w:rPr>
      </w:pPr>
    </w:p>
    <w:sectPr w:rsidR="0032160F" w:rsidRPr="00AD7332">
      <w:headerReference w:type="even" r:id="rId63"/>
      <w:headerReference w:type="default" r:id="rId64"/>
      <w:head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17F7E" w14:textId="77777777" w:rsidR="00EF2942" w:rsidRDefault="00EF2942" w:rsidP="005E4F62">
      <w:pPr>
        <w:spacing w:after="0" w:line="240" w:lineRule="auto"/>
      </w:pPr>
      <w:r>
        <w:separator/>
      </w:r>
    </w:p>
  </w:endnote>
  <w:endnote w:type="continuationSeparator" w:id="0">
    <w:p w14:paraId="78EE5F09" w14:textId="77777777" w:rsidR="00EF2942" w:rsidRDefault="00EF2942" w:rsidP="005E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62463" w14:textId="77777777" w:rsidR="00EF2942" w:rsidRDefault="00EF2942" w:rsidP="005E4F62">
      <w:pPr>
        <w:spacing w:after="0" w:line="240" w:lineRule="auto"/>
      </w:pPr>
      <w:r>
        <w:separator/>
      </w:r>
    </w:p>
  </w:footnote>
  <w:footnote w:type="continuationSeparator" w:id="0">
    <w:p w14:paraId="24FF4858" w14:textId="77777777" w:rsidR="00EF2942" w:rsidRDefault="00EF2942" w:rsidP="005E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AAC7" w14:textId="0935FDAF" w:rsidR="00D25BF4" w:rsidRDefault="00EF2942">
    <w:pPr>
      <w:pStyle w:val="Header"/>
    </w:pPr>
    <w:r>
      <w:rPr>
        <w:noProof/>
      </w:rPr>
      <w:pict w14:anchorId="03059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0890" w14:textId="4E30EE21" w:rsidR="00D25BF4" w:rsidRDefault="00EF2942">
    <w:pPr>
      <w:pStyle w:val="Header"/>
    </w:pPr>
    <w:r>
      <w:rPr>
        <w:noProof/>
      </w:rPr>
      <w:pict w14:anchorId="534D0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645B" w14:textId="206F8336" w:rsidR="00D25BF4" w:rsidRDefault="00EF2942">
    <w:pPr>
      <w:pStyle w:val="Header"/>
    </w:pPr>
    <w:r>
      <w:rPr>
        <w:noProof/>
      </w:rPr>
      <w:pict w14:anchorId="0161C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A07A0"/>
    <w:multiLevelType w:val="hybridMultilevel"/>
    <w:tmpl w:val="8F182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0tjSxsDQ3NTW1sLRQ0lEKTi0uzszPAykwrAUAiLL/xywAAAA="/>
  </w:docVars>
  <w:rsids>
    <w:rsidRoot w:val="00B72DE8"/>
    <w:rsid w:val="00011391"/>
    <w:rsid w:val="00042947"/>
    <w:rsid w:val="00067507"/>
    <w:rsid w:val="0007793C"/>
    <w:rsid w:val="00092F79"/>
    <w:rsid w:val="00141D4F"/>
    <w:rsid w:val="00154F45"/>
    <w:rsid w:val="0017412E"/>
    <w:rsid w:val="00193DBF"/>
    <w:rsid w:val="001B5BC1"/>
    <w:rsid w:val="001C5C32"/>
    <w:rsid w:val="00212E4F"/>
    <w:rsid w:val="00231105"/>
    <w:rsid w:val="00236BAF"/>
    <w:rsid w:val="00242087"/>
    <w:rsid w:val="002678A2"/>
    <w:rsid w:val="00271C83"/>
    <w:rsid w:val="00271D6F"/>
    <w:rsid w:val="0027214A"/>
    <w:rsid w:val="00276C51"/>
    <w:rsid w:val="00292473"/>
    <w:rsid w:val="002B34B4"/>
    <w:rsid w:val="002C4F80"/>
    <w:rsid w:val="002C60D8"/>
    <w:rsid w:val="002D055C"/>
    <w:rsid w:val="002F1139"/>
    <w:rsid w:val="002F7F5F"/>
    <w:rsid w:val="0032160F"/>
    <w:rsid w:val="00363D9F"/>
    <w:rsid w:val="003904BF"/>
    <w:rsid w:val="00390697"/>
    <w:rsid w:val="003D06A9"/>
    <w:rsid w:val="00490692"/>
    <w:rsid w:val="004F5A4B"/>
    <w:rsid w:val="004F73C3"/>
    <w:rsid w:val="005170D0"/>
    <w:rsid w:val="005333E2"/>
    <w:rsid w:val="00533F99"/>
    <w:rsid w:val="00551424"/>
    <w:rsid w:val="00571CD9"/>
    <w:rsid w:val="00592C96"/>
    <w:rsid w:val="005A020A"/>
    <w:rsid w:val="005A1DA6"/>
    <w:rsid w:val="005B0630"/>
    <w:rsid w:val="005C2A46"/>
    <w:rsid w:val="005C5381"/>
    <w:rsid w:val="005C62EC"/>
    <w:rsid w:val="005D6270"/>
    <w:rsid w:val="005D687D"/>
    <w:rsid w:val="005E2179"/>
    <w:rsid w:val="005E4F62"/>
    <w:rsid w:val="005E6494"/>
    <w:rsid w:val="005F2FD5"/>
    <w:rsid w:val="006019FA"/>
    <w:rsid w:val="0062079B"/>
    <w:rsid w:val="00662D64"/>
    <w:rsid w:val="006762AF"/>
    <w:rsid w:val="006867A9"/>
    <w:rsid w:val="006D62EC"/>
    <w:rsid w:val="006E3412"/>
    <w:rsid w:val="006E6B18"/>
    <w:rsid w:val="00715C31"/>
    <w:rsid w:val="00746DFE"/>
    <w:rsid w:val="007609E6"/>
    <w:rsid w:val="00770E94"/>
    <w:rsid w:val="007758C4"/>
    <w:rsid w:val="007A67BB"/>
    <w:rsid w:val="007B52BA"/>
    <w:rsid w:val="007E022F"/>
    <w:rsid w:val="00822987"/>
    <w:rsid w:val="008351BA"/>
    <w:rsid w:val="00841C37"/>
    <w:rsid w:val="00877640"/>
    <w:rsid w:val="00877A8E"/>
    <w:rsid w:val="008B7B6D"/>
    <w:rsid w:val="008E07AA"/>
    <w:rsid w:val="008E22B7"/>
    <w:rsid w:val="009079D3"/>
    <w:rsid w:val="009377C0"/>
    <w:rsid w:val="00987A28"/>
    <w:rsid w:val="009A16F4"/>
    <w:rsid w:val="009A7401"/>
    <w:rsid w:val="009C40FB"/>
    <w:rsid w:val="009D1C9C"/>
    <w:rsid w:val="009E0EB8"/>
    <w:rsid w:val="00A15BA7"/>
    <w:rsid w:val="00AC097F"/>
    <w:rsid w:val="00AC48AF"/>
    <w:rsid w:val="00AD4649"/>
    <w:rsid w:val="00AD7332"/>
    <w:rsid w:val="00B160CF"/>
    <w:rsid w:val="00B33077"/>
    <w:rsid w:val="00B639DD"/>
    <w:rsid w:val="00B72DE8"/>
    <w:rsid w:val="00B87C79"/>
    <w:rsid w:val="00B96D5C"/>
    <w:rsid w:val="00BB0393"/>
    <w:rsid w:val="00BF13AF"/>
    <w:rsid w:val="00BF3B06"/>
    <w:rsid w:val="00C07EF3"/>
    <w:rsid w:val="00C665B5"/>
    <w:rsid w:val="00C84875"/>
    <w:rsid w:val="00C95BBD"/>
    <w:rsid w:val="00CB3313"/>
    <w:rsid w:val="00CB4878"/>
    <w:rsid w:val="00CC4746"/>
    <w:rsid w:val="00CC6DAD"/>
    <w:rsid w:val="00CE36A3"/>
    <w:rsid w:val="00D24D68"/>
    <w:rsid w:val="00D25BF4"/>
    <w:rsid w:val="00D73FB5"/>
    <w:rsid w:val="00DA145E"/>
    <w:rsid w:val="00DF3C14"/>
    <w:rsid w:val="00DF683C"/>
    <w:rsid w:val="00E42610"/>
    <w:rsid w:val="00E526D9"/>
    <w:rsid w:val="00E54C8B"/>
    <w:rsid w:val="00E74560"/>
    <w:rsid w:val="00E76B24"/>
    <w:rsid w:val="00E77F28"/>
    <w:rsid w:val="00EA54CB"/>
    <w:rsid w:val="00EA7874"/>
    <w:rsid w:val="00EC269B"/>
    <w:rsid w:val="00EF2942"/>
    <w:rsid w:val="00F06E6C"/>
    <w:rsid w:val="00F1738D"/>
    <w:rsid w:val="00F23710"/>
    <w:rsid w:val="00F5150C"/>
    <w:rsid w:val="00F77399"/>
    <w:rsid w:val="00F861FF"/>
    <w:rsid w:val="00F90B85"/>
    <w:rsid w:val="00F9328A"/>
    <w:rsid w:val="00F96338"/>
    <w:rsid w:val="00FB7D84"/>
    <w:rsid w:val="00FC0A4D"/>
    <w:rsid w:val="00FE6277"/>
    <w:rsid w:val="00FF149E"/>
    <w:rsid w:val="00FF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6854D"/>
  <w15:chartTrackingRefBased/>
  <w15:docId w15:val="{2555CBE0-55AD-4B71-8F80-E9AFA072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F62"/>
  </w:style>
  <w:style w:type="paragraph" w:styleId="Footer">
    <w:name w:val="footer"/>
    <w:basedOn w:val="Normal"/>
    <w:link w:val="FooterChar"/>
    <w:uiPriority w:val="99"/>
    <w:unhideWhenUsed/>
    <w:rsid w:val="005E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62"/>
  </w:style>
  <w:style w:type="paragraph" w:styleId="NormalWeb">
    <w:name w:val="Normal (Web)"/>
    <w:basedOn w:val="Normal"/>
    <w:uiPriority w:val="99"/>
    <w:semiHidden/>
    <w:unhideWhenUsed/>
    <w:rsid w:val="009E0EB8"/>
    <w:rPr>
      <w:rFonts w:ascii="Times New Roman" w:hAnsi="Times New Roman" w:cs="Times New Roman"/>
      <w:sz w:val="24"/>
      <w:szCs w:val="24"/>
    </w:rPr>
  </w:style>
  <w:style w:type="character" w:styleId="Hyperlink">
    <w:name w:val="Hyperlink"/>
    <w:basedOn w:val="DefaultParagraphFont"/>
    <w:uiPriority w:val="99"/>
    <w:unhideWhenUsed/>
    <w:rsid w:val="003D06A9"/>
    <w:rPr>
      <w:color w:val="0563C1" w:themeColor="hyperlink"/>
      <w:u w:val="single"/>
    </w:rPr>
  </w:style>
  <w:style w:type="character" w:customStyle="1" w:styleId="UnresolvedMention1">
    <w:name w:val="Unresolved Mention1"/>
    <w:basedOn w:val="DefaultParagraphFont"/>
    <w:uiPriority w:val="99"/>
    <w:semiHidden/>
    <w:unhideWhenUsed/>
    <w:rsid w:val="003D06A9"/>
    <w:rPr>
      <w:color w:val="605E5C"/>
      <w:shd w:val="clear" w:color="auto" w:fill="E1DFDD"/>
    </w:rPr>
  </w:style>
  <w:style w:type="paragraph" w:styleId="ListParagraph">
    <w:name w:val="List Paragraph"/>
    <w:basedOn w:val="Normal"/>
    <w:uiPriority w:val="34"/>
    <w:qFormat/>
    <w:rsid w:val="00770E94"/>
    <w:pPr>
      <w:ind w:left="720"/>
      <w:contextualSpacing/>
    </w:pPr>
  </w:style>
  <w:style w:type="character" w:styleId="UnresolvedMention">
    <w:name w:val="Unresolved Mention"/>
    <w:basedOn w:val="DefaultParagraphFont"/>
    <w:uiPriority w:val="99"/>
    <w:semiHidden/>
    <w:unhideWhenUsed/>
    <w:rsid w:val="00231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2229">
      <w:bodyDiv w:val="1"/>
      <w:marLeft w:val="0"/>
      <w:marRight w:val="0"/>
      <w:marTop w:val="0"/>
      <w:marBottom w:val="0"/>
      <w:divBdr>
        <w:top w:val="none" w:sz="0" w:space="0" w:color="auto"/>
        <w:left w:val="none" w:sz="0" w:space="0" w:color="auto"/>
        <w:bottom w:val="none" w:sz="0" w:space="0" w:color="auto"/>
        <w:right w:val="none" w:sz="0" w:space="0" w:color="auto"/>
      </w:divBdr>
    </w:div>
    <w:div w:id="58091373">
      <w:bodyDiv w:val="1"/>
      <w:marLeft w:val="0"/>
      <w:marRight w:val="0"/>
      <w:marTop w:val="0"/>
      <w:marBottom w:val="0"/>
      <w:divBdr>
        <w:top w:val="none" w:sz="0" w:space="0" w:color="auto"/>
        <w:left w:val="none" w:sz="0" w:space="0" w:color="auto"/>
        <w:bottom w:val="none" w:sz="0" w:space="0" w:color="auto"/>
        <w:right w:val="none" w:sz="0" w:space="0" w:color="auto"/>
      </w:divBdr>
    </w:div>
    <w:div w:id="136269205">
      <w:bodyDiv w:val="1"/>
      <w:marLeft w:val="0"/>
      <w:marRight w:val="0"/>
      <w:marTop w:val="0"/>
      <w:marBottom w:val="0"/>
      <w:divBdr>
        <w:top w:val="none" w:sz="0" w:space="0" w:color="auto"/>
        <w:left w:val="none" w:sz="0" w:space="0" w:color="auto"/>
        <w:bottom w:val="none" w:sz="0" w:space="0" w:color="auto"/>
        <w:right w:val="none" w:sz="0" w:space="0" w:color="auto"/>
      </w:divBdr>
    </w:div>
    <w:div w:id="206457881">
      <w:bodyDiv w:val="1"/>
      <w:marLeft w:val="0"/>
      <w:marRight w:val="0"/>
      <w:marTop w:val="0"/>
      <w:marBottom w:val="0"/>
      <w:divBdr>
        <w:top w:val="none" w:sz="0" w:space="0" w:color="auto"/>
        <w:left w:val="none" w:sz="0" w:space="0" w:color="auto"/>
        <w:bottom w:val="none" w:sz="0" w:space="0" w:color="auto"/>
        <w:right w:val="none" w:sz="0" w:space="0" w:color="auto"/>
      </w:divBdr>
    </w:div>
    <w:div w:id="223638792">
      <w:bodyDiv w:val="1"/>
      <w:marLeft w:val="0"/>
      <w:marRight w:val="0"/>
      <w:marTop w:val="0"/>
      <w:marBottom w:val="0"/>
      <w:divBdr>
        <w:top w:val="none" w:sz="0" w:space="0" w:color="auto"/>
        <w:left w:val="none" w:sz="0" w:space="0" w:color="auto"/>
        <w:bottom w:val="none" w:sz="0" w:space="0" w:color="auto"/>
        <w:right w:val="none" w:sz="0" w:space="0" w:color="auto"/>
      </w:divBdr>
    </w:div>
    <w:div w:id="357127336">
      <w:bodyDiv w:val="1"/>
      <w:marLeft w:val="0"/>
      <w:marRight w:val="0"/>
      <w:marTop w:val="0"/>
      <w:marBottom w:val="0"/>
      <w:divBdr>
        <w:top w:val="none" w:sz="0" w:space="0" w:color="auto"/>
        <w:left w:val="none" w:sz="0" w:space="0" w:color="auto"/>
        <w:bottom w:val="none" w:sz="0" w:space="0" w:color="auto"/>
        <w:right w:val="none" w:sz="0" w:space="0" w:color="auto"/>
      </w:divBdr>
    </w:div>
    <w:div w:id="369261739">
      <w:bodyDiv w:val="1"/>
      <w:marLeft w:val="0"/>
      <w:marRight w:val="0"/>
      <w:marTop w:val="0"/>
      <w:marBottom w:val="0"/>
      <w:divBdr>
        <w:top w:val="none" w:sz="0" w:space="0" w:color="auto"/>
        <w:left w:val="none" w:sz="0" w:space="0" w:color="auto"/>
        <w:bottom w:val="none" w:sz="0" w:space="0" w:color="auto"/>
        <w:right w:val="none" w:sz="0" w:space="0" w:color="auto"/>
      </w:divBdr>
    </w:div>
    <w:div w:id="373190887">
      <w:bodyDiv w:val="1"/>
      <w:marLeft w:val="0"/>
      <w:marRight w:val="0"/>
      <w:marTop w:val="0"/>
      <w:marBottom w:val="0"/>
      <w:divBdr>
        <w:top w:val="none" w:sz="0" w:space="0" w:color="auto"/>
        <w:left w:val="none" w:sz="0" w:space="0" w:color="auto"/>
        <w:bottom w:val="none" w:sz="0" w:space="0" w:color="auto"/>
        <w:right w:val="none" w:sz="0" w:space="0" w:color="auto"/>
      </w:divBdr>
    </w:div>
    <w:div w:id="392385451">
      <w:bodyDiv w:val="1"/>
      <w:marLeft w:val="0"/>
      <w:marRight w:val="0"/>
      <w:marTop w:val="0"/>
      <w:marBottom w:val="0"/>
      <w:divBdr>
        <w:top w:val="none" w:sz="0" w:space="0" w:color="auto"/>
        <w:left w:val="none" w:sz="0" w:space="0" w:color="auto"/>
        <w:bottom w:val="none" w:sz="0" w:space="0" w:color="auto"/>
        <w:right w:val="none" w:sz="0" w:space="0" w:color="auto"/>
      </w:divBdr>
    </w:div>
    <w:div w:id="458766720">
      <w:bodyDiv w:val="1"/>
      <w:marLeft w:val="0"/>
      <w:marRight w:val="0"/>
      <w:marTop w:val="0"/>
      <w:marBottom w:val="0"/>
      <w:divBdr>
        <w:top w:val="none" w:sz="0" w:space="0" w:color="auto"/>
        <w:left w:val="none" w:sz="0" w:space="0" w:color="auto"/>
        <w:bottom w:val="none" w:sz="0" w:space="0" w:color="auto"/>
        <w:right w:val="none" w:sz="0" w:space="0" w:color="auto"/>
      </w:divBdr>
    </w:div>
    <w:div w:id="478882264">
      <w:bodyDiv w:val="1"/>
      <w:marLeft w:val="0"/>
      <w:marRight w:val="0"/>
      <w:marTop w:val="0"/>
      <w:marBottom w:val="0"/>
      <w:divBdr>
        <w:top w:val="none" w:sz="0" w:space="0" w:color="auto"/>
        <w:left w:val="none" w:sz="0" w:space="0" w:color="auto"/>
        <w:bottom w:val="none" w:sz="0" w:space="0" w:color="auto"/>
        <w:right w:val="none" w:sz="0" w:space="0" w:color="auto"/>
      </w:divBdr>
    </w:div>
    <w:div w:id="509763204">
      <w:bodyDiv w:val="1"/>
      <w:marLeft w:val="0"/>
      <w:marRight w:val="0"/>
      <w:marTop w:val="0"/>
      <w:marBottom w:val="0"/>
      <w:divBdr>
        <w:top w:val="none" w:sz="0" w:space="0" w:color="auto"/>
        <w:left w:val="none" w:sz="0" w:space="0" w:color="auto"/>
        <w:bottom w:val="none" w:sz="0" w:space="0" w:color="auto"/>
        <w:right w:val="none" w:sz="0" w:space="0" w:color="auto"/>
      </w:divBdr>
    </w:div>
    <w:div w:id="587154519">
      <w:bodyDiv w:val="1"/>
      <w:marLeft w:val="0"/>
      <w:marRight w:val="0"/>
      <w:marTop w:val="0"/>
      <w:marBottom w:val="0"/>
      <w:divBdr>
        <w:top w:val="none" w:sz="0" w:space="0" w:color="auto"/>
        <w:left w:val="none" w:sz="0" w:space="0" w:color="auto"/>
        <w:bottom w:val="none" w:sz="0" w:space="0" w:color="auto"/>
        <w:right w:val="none" w:sz="0" w:space="0" w:color="auto"/>
      </w:divBdr>
    </w:div>
    <w:div w:id="650838783">
      <w:bodyDiv w:val="1"/>
      <w:marLeft w:val="0"/>
      <w:marRight w:val="0"/>
      <w:marTop w:val="0"/>
      <w:marBottom w:val="0"/>
      <w:divBdr>
        <w:top w:val="none" w:sz="0" w:space="0" w:color="auto"/>
        <w:left w:val="none" w:sz="0" w:space="0" w:color="auto"/>
        <w:bottom w:val="none" w:sz="0" w:space="0" w:color="auto"/>
        <w:right w:val="none" w:sz="0" w:space="0" w:color="auto"/>
      </w:divBdr>
    </w:div>
    <w:div w:id="684358665">
      <w:bodyDiv w:val="1"/>
      <w:marLeft w:val="0"/>
      <w:marRight w:val="0"/>
      <w:marTop w:val="0"/>
      <w:marBottom w:val="0"/>
      <w:divBdr>
        <w:top w:val="none" w:sz="0" w:space="0" w:color="auto"/>
        <w:left w:val="none" w:sz="0" w:space="0" w:color="auto"/>
        <w:bottom w:val="none" w:sz="0" w:space="0" w:color="auto"/>
        <w:right w:val="none" w:sz="0" w:space="0" w:color="auto"/>
      </w:divBdr>
    </w:div>
    <w:div w:id="701980299">
      <w:bodyDiv w:val="1"/>
      <w:marLeft w:val="0"/>
      <w:marRight w:val="0"/>
      <w:marTop w:val="0"/>
      <w:marBottom w:val="0"/>
      <w:divBdr>
        <w:top w:val="none" w:sz="0" w:space="0" w:color="auto"/>
        <w:left w:val="none" w:sz="0" w:space="0" w:color="auto"/>
        <w:bottom w:val="none" w:sz="0" w:space="0" w:color="auto"/>
        <w:right w:val="none" w:sz="0" w:space="0" w:color="auto"/>
      </w:divBdr>
    </w:div>
    <w:div w:id="714815270">
      <w:bodyDiv w:val="1"/>
      <w:marLeft w:val="0"/>
      <w:marRight w:val="0"/>
      <w:marTop w:val="0"/>
      <w:marBottom w:val="0"/>
      <w:divBdr>
        <w:top w:val="none" w:sz="0" w:space="0" w:color="auto"/>
        <w:left w:val="none" w:sz="0" w:space="0" w:color="auto"/>
        <w:bottom w:val="none" w:sz="0" w:space="0" w:color="auto"/>
        <w:right w:val="none" w:sz="0" w:space="0" w:color="auto"/>
      </w:divBdr>
    </w:div>
    <w:div w:id="718167667">
      <w:bodyDiv w:val="1"/>
      <w:marLeft w:val="0"/>
      <w:marRight w:val="0"/>
      <w:marTop w:val="0"/>
      <w:marBottom w:val="0"/>
      <w:divBdr>
        <w:top w:val="none" w:sz="0" w:space="0" w:color="auto"/>
        <w:left w:val="none" w:sz="0" w:space="0" w:color="auto"/>
        <w:bottom w:val="none" w:sz="0" w:space="0" w:color="auto"/>
        <w:right w:val="none" w:sz="0" w:space="0" w:color="auto"/>
      </w:divBdr>
    </w:div>
    <w:div w:id="729696456">
      <w:bodyDiv w:val="1"/>
      <w:marLeft w:val="0"/>
      <w:marRight w:val="0"/>
      <w:marTop w:val="0"/>
      <w:marBottom w:val="0"/>
      <w:divBdr>
        <w:top w:val="none" w:sz="0" w:space="0" w:color="auto"/>
        <w:left w:val="none" w:sz="0" w:space="0" w:color="auto"/>
        <w:bottom w:val="none" w:sz="0" w:space="0" w:color="auto"/>
        <w:right w:val="none" w:sz="0" w:space="0" w:color="auto"/>
      </w:divBdr>
    </w:div>
    <w:div w:id="744104287">
      <w:bodyDiv w:val="1"/>
      <w:marLeft w:val="0"/>
      <w:marRight w:val="0"/>
      <w:marTop w:val="0"/>
      <w:marBottom w:val="0"/>
      <w:divBdr>
        <w:top w:val="none" w:sz="0" w:space="0" w:color="auto"/>
        <w:left w:val="none" w:sz="0" w:space="0" w:color="auto"/>
        <w:bottom w:val="none" w:sz="0" w:space="0" w:color="auto"/>
        <w:right w:val="none" w:sz="0" w:space="0" w:color="auto"/>
      </w:divBdr>
    </w:div>
    <w:div w:id="755829199">
      <w:bodyDiv w:val="1"/>
      <w:marLeft w:val="0"/>
      <w:marRight w:val="0"/>
      <w:marTop w:val="0"/>
      <w:marBottom w:val="0"/>
      <w:divBdr>
        <w:top w:val="none" w:sz="0" w:space="0" w:color="auto"/>
        <w:left w:val="none" w:sz="0" w:space="0" w:color="auto"/>
        <w:bottom w:val="none" w:sz="0" w:space="0" w:color="auto"/>
        <w:right w:val="none" w:sz="0" w:space="0" w:color="auto"/>
      </w:divBdr>
    </w:div>
    <w:div w:id="807433576">
      <w:bodyDiv w:val="1"/>
      <w:marLeft w:val="0"/>
      <w:marRight w:val="0"/>
      <w:marTop w:val="0"/>
      <w:marBottom w:val="0"/>
      <w:divBdr>
        <w:top w:val="none" w:sz="0" w:space="0" w:color="auto"/>
        <w:left w:val="none" w:sz="0" w:space="0" w:color="auto"/>
        <w:bottom w:val="none" w:sz="0" w:space="0" w:color="auto"/>
        <w:right w:val="none" w:sz="0" w:space="0" w:color="auto"/>
      </w:divBdr>
    </w:div>
    <w:div w:id="843282683">
      <w:bodyDiv w:val="1"/>
      <w:marLeft w:val="0"/>
      <w:marRight w:val="0"/>
      <w:marTop w:val="0"/>
      <w:marBottom w:val="0"/>
      <w:divBdr>
        <w:top w:val="none" w:sz="0" w:space="0" w:color="auto"/>
        <w:left w:val="none" w:sz="0" w:space="0" w:color="auto"/>
        <w:bottom w:val="none" w:sz="0" w:space="0" w:color="auto"/>
        <w:right w:val="none" w:sz="0" w:space="0" w:color="auto"/>
      </w:divBdr>
    </w:div>
    <w:div w:id="946737077">
      <w:bodyDiv w:val="1"/>
      <w:marLeft w:val="0"/>
      <w:marRight w:val="0"/>
      <w:marTop w:val="0"/>
      <w:marBottom w:val="0"/>
      <w:divBdr>
        <w:top w:val="none" w:sz="0" w:space="0" w:color="auto"/>
        <w:left w:val="none" w:sz="0" w:space="0" w:color="auto"/>
        <w:bottom w:val="none" w:sz="0" w:space="0" w:color="auto"/>
        <w:right w:val="none" w:sz="0" w:space="0" w:color="auto"/>
      </w:divBdr>
    </w:div>
    <w:div w:id="1014845541">
      <w:bodyDiv w:val="1"/>
      <w:marLeft w:val="0"/>
      <w:marRight w:val="0"/>
      <w:marTop w:val="0"/>
      <w:marBottom w:val="0"/>
      <w:divBdr>
        <w:top w:val="none" w:sz="0" w:space="0" w:color="auto"/>
        <w:left w:val="none" w:sz="0" w:space="0" w:color="auto"/>
        <w:bottom w:val="none" w:sz="0" w:space="0" w:color="auto"/>
        <w:right w:val="none" w:sz="0" w:space="0" w:color="auto"/>
      </w:divBdr>
    </w:div>
    <w:div w:id="1054428395">
      <w:bodyDiv w:val="1"/>
      <w:marLeft w:val="0"/>
      <w:marRight w:val="0"/>
      <w:marTop w:val="0"/>
      <w:marBottom w:val="0"/>
      <w:divBdr>
        <w:top w:val="none" w:sz="0" w:space="0" w:color="auto"/>
        <w:left w:val="none" w:sz="0" w:space="0" w:color="auto"/>
        <w:bottom w:val="none" w:sz="0" w:space="0" w:color="auto"/>
        <w:right w:val="none" w:sz="0" w:space="0" w:color="auto"/>
      </w:divBdr>
    </w:div>
    <w:div w:id="1078791848">
      <w:bodyDiv w:val="1"/>
      <w:marLeft w:val="0"/>
      <w:marRight w:val="0"/>
      <w:marTop w:val="0"/>
      <w:marBottom w:val="0"/>
      <w:divBdr>
        <w:top w:val="none" w:sz="0" w:space="0" w:color="auto"/>
        <w:left w:val="none" w:sz="0" w:space="0" w:color="auto"/>
        <w:bottom w:val="none" w:sz="0" w:space="0" w:color="auto"/>
        <w:right w:val="none" w:sz="0" w:space="0" w:color="auto"/>
      </w:divBdr>
    </w:div>
    <w:div w:id="1080130880">
      <w:bodyDiv w:val="1"/>
      <w:marLeft w:val="0"/>
      <w:marRight w:val="0"/>
      <w:marTop w:val="0"/>
      <w:marBottom w:val="0"/>
      <w:divBdr>
        <w:top w:val="none" w:sz="0" w:space="0" w:color="auto"/>
        <w:left w:val="none" w:sz="0" w:space="0" w:color="auto"/>
        <w:bottom w:val="none" w:sz="0" w:space="0" w:color="auto"/>
        <w:right w:val="none" w:sz="0" w:space="0" w:color="auto"/>
      </w:divBdr>
    </w:div>
    <w:div w:id="1227111631">
      <w:bodyDiv w:val="1"/>
      <w:marLeft w:val="0"/>
      <w:marRight w:val="0"/>
      <w:marTop w:val="0"/>
      <w:marBottom w:val="0"/>
      <w:divBdr>
        <w:top w:val="none" w:sz="0" w:space="0" w:color="auto"/>
        <w:left w:val="none" w:sz="0" w:space="0" w:color="auto"/>
        <w:bottom w:val="none" w:sz="0" w:space="0" w:color="auto"/>
        <w:right w:val="none" w:sz="0" w:space="0" w:color="auto"/>
      </w:divBdr>
    </w:div>
    <w:div w:id="1247232008">
      <w:bodyDiv w:val="1"/>
      <w:marLeft w:val="0"/>
      <w:marRight w:val="0"/>
      <w:marTop w:val="0"/>
      <w:marBottom w:val="0"/>
      <w:divBdr>
        <w:top w:val="none" w:sz="0" w:space="0" w:color="auto"/>
        <w:left w:val="none" w:sz="0" w:space="0" w:color="auto"/>
        <w:bottom w:val="none" w:sz="0" w:space="0" w:color="auto"/>
        <w:right w:val="none" w:sz="0" w:space="0" w:color="auto"/>
      </w:divBdr>
    </w:div>
    <w:div w:id="1278563969">
      <w:bodyDiv w:val="1"/>
      <w:marLeft w:val="0"/>
      <w:marRight w:val="0"/>
      <w:marTop w:val="0"/>
      <w:marBottom w:val="0"/>
      <w:divBdr>
        <w:top w:val="none" w:sz="0" w:space="0" w:color="auto"/>
        <w:left w:val="none" w:sz="0" w:space="0" w:color="auto"/>
        <w:bottom w:val="none" w:sz="0" w:space="0" w:color="auto"/>
        <w:right w:val="none" w:sz="0" w:space="0" w:color="auto"/>
      </w:divBdr>
    </w:div>
    <w:div w:id="1433821739">
      <w:bodyDiv w:val="1"/>
      <w:marLeft w:val="0"/>
      <w:marRight w:val="0"/>
      <w:marTop w:val="0"/>
      <w:marBottom w:val="0"/>
      <w:divBdr>
        <w:top w:val="none" w:sz="0" w:space="0" w:color="auto"/>
        <w:left w:val="none" w:sz="0" w:space="0" w:color="auto"/>
        <w:bottom w:val="none" w:sz="0" w:space="0" w:color="auto"/>
        <w:right w:val="none" w:sz="0" w:space="0" w:color="auto"/>
      </w:divBdr>
    </w:div>
    <w:div w:id="1578057546">
      <w:bodyDiv w:val="1"/>
      <w:marLeft w:val="0"/>
      <w:marRight w:val="0"/>
      <w:marTop w:val="0"/>
      <w:marBottom w:val="0"/>
      <w:divBdr>
        <w:top w:val="none" w:sz="0" w:space="0" w:color="auto"/>
        <w:left w:val="none" w:sz="0" w:space="0" w:color="auto"/>
        <w:bottom w:val="none" w:sz="0" w:space="0" w:color="auto"/>
        <w:right w:val="none" w:sz="0" w:space="0" w:color="auto"/>
      </w:divBdr>
    </w:div>
    <w:div w:id="1600330428">
      <w:bodyDiv w:val="1"/>
      <w:marLeft w:val="0"/>
      <w:marRight w:val="0"/>
      <w:marTop w:val="0"/>
      <w:marBottom w:val="0"/>
      <w:divBdr>
        <w:top w:val="none" w:sz="0" w:space="0" w:color="auto"/>
        <w:left w:val="none" w:sz="0" w:space="0" w:color="auto"/>
        <w:bottom w:val="none" w:sz="0" w:space="0" w:color="auto"/>
        <w:right w:val="none" w:sz="0" w:space="0" w:color="auto"/>
      </w:divBdr>
    </w:div>
    <w:div w:id="1607151412">
      <w:bodyDiv w:val="1"/>
      <w:marLeft w:val="0"/>
      <w:marRight w:val="0"/>
      <w:marTop w:val="0"/>
      <w:marBottom w:val="0"/>
      <w:divBdr>
        <w:top w:val="none" w:sz="0" w:space="0" w:color="auto"/>
        <w:left w:val="none" w:sz="0" w:space="0" w:color="auto"/>
        <w:bottom w:val="none" w:sz="0" w:space="0" w:color="auto"/>
        <w:right w:val="none" w:sz="0" w:space="0" w:color="auto"/>
      </w:divBdr>
    </w:div>
    <w:div w:id="1658074773">
      <w:bodyDiv w:val="1"/>
      <w:marLeft w:val="0"/>
      <w:marRight w:val="0"/>
      <w:marTop w:val="0"/>
      <w:marBottom w:val="0"/>
      <w:divBdr>
        <w:top w:val="none" w:sz="0" w:space="0" w:color="auto"/>
        <w:left w:val="none" w:sz="0" w:space="0" w:color="auto"/>
        <w:bottom w:val="none" w:sz="0" w:space="0" w:color="auto"/>
        <w:right w:val="none" w:sz="0" w:space="0" w:color="auto"/>
      </w:divBdr>
    </w:div>
    <w:div w:id="1702975542">
      <w:bodyDiv w:val="1"/>
      <w:marLeft w:val="0"/>
      <w:marRight w:val="0"/>
      <w:marTop w:val="0"/>
      <w:marBottom w:val="0"/>
      <w:divBdr>
        <w:top w:val="none" w:sz="0" w:space="0" w:color="auto"/>
        <w:left w:val="none" w:sz="0" w:space="0" w:color="auto"/>
        <w:bottom w:val="none" w:sz="0" w:space="0" w:color="auto"/>
        <w:right w:val="none" w:sz="0" w:space="0" w:color="auto"/>
      </w:divBdr>
    </w:div>
    <w:div w:id="1759255689">
      <w:bodyDiv w:val="1"/>
      <w:marLeft w:val="0"/>
      <w:marRight w:val="0"/>
      <w:marTop w:val="0"/>
      <w:marBottom w:val="0"/>
      <w:divBdr>
        <w:top w:val="none" w:sz="0" w:space="0" w:color="auto"/>
        <w:left w:val="none" w:sz="0" w:space="0" w:color="auto"/>
        <w:bottom w:val="none" w:sz="0" w:space="0" w:color="auto"/>
        <w:right w:val="none" w:sz="0" w:space="0" w:color="auto"/>
      </w:divBdr>
    </w:div>
    <w:div w:id="1797025108">
      <w:bodyDiv w:val="1"/>
      <w:marLeft w:val="0"/>
      <w:marRight w:val="0"/>
      <w:marTop w:val="0"/>
      <w:marBottom w:val="0"/>
      <w:divBdr>
        <w:top w:val="none" w:sz="0" w:space="0" w:color="auto"/>
        <w:left w:val="none" w:sz="0" w:space="0" w:color="auto"/>
        <w:bottom w:val="none" w:sz="0" w:space="0" w:color="auto"/>
        <w:right w:val="none" w:sz="0" w:space="0" w:color="auto"/>
      </w:divBdr>
    </w:div>
    <w:div w:id="1828747471">
      <w:bodyDiv w:val="1"/>
      <w:marLeft w:val="0"/>
      <w:marRight w:val="0"/>
      <w:marTop w:val="0"/>
      <w:marBottom w:val="0"/>
      <w:divBdr>
        <w:top w:val="none" w:sz="0" w:space="0" w:color="auto"/>
        <w:left w:val="none" w:sz="0" w:space="0" w:color="auto"/>
        <w:bottom w:val="none" w:sz="0" w:space="0" w:color="auto"/>
        <w:right w:val="none" w:sz="0" w:space="0" w:color="auto"/>
      </w:divBdr>
    </w:div>
    <w:div w:id="1908415024">
      <w:bodyDiv w:val="1"/>
      <w:marLeft w:val="0"/>
      <w:marRight w:val="0"/>
      <w:marTop w:val="0"/>
      <w:marBottom w:val="0"/>
      <w:divBdr>
        <w:top w:val="none" w:sz="0" w:space="0" w:color="auto"/>
        <w:left w:val="none" w:sz="0" w:space="0" w:color="auto"/>
        <w:bottom w:val="none" w:sz="0" w:space="0" w:color="auto"/>
        <w:right w:val="none" w:sz="0" w:space="0" w:color="auto"/>
      </w:divBdr>
    </w:div>
    <w:div w:id="1928609737">
      <w:bodyDiv w:val="1"/>
      <w:marLeft w:val="0"/>
      <w:marRight w:val="0"/>
      <w:marTop w:val="0"/>
      <w:marBottom w:val="0"/>
      <w:divBdr>
        <w:top w:val="none" w:sz="0" w:space="0" w:color="auto"/>
        <w:left w:val="none" w:sz="0" w:space="0" w:color="auto"/>
        <w:bottom w:val="none" w:sz="0" w:space="0" w:color="auto"/>
        <w:right w:val="none" w:sz="0" w:space="0" w:color="auto"/>
      </w:divBdr>
    </w:div>
    <w:div w:id="1959484450">
      <w:bodyDiv w:val="1"/>
      <w:marLeft w:val="0"/>
      <w:marRight w:val="0"/>
      <w:marTop w:val="0"/>
      <w:marBottom w:val="0"/>
      <w:divBdr>
        <w:top w:val="none" w:sz="0" w:space="0" w:color="auto"/>
        <w:left w:val="none" w:sz="0" w:space="0" w:color="auto"/>
        <w:bottom w:val="none" w:sz="0" w:space="0" w:color="auto"/>
        <w:right w:val="none" w:sz="0" w:space="0" w:color="auto"/>
      </w:divBdr>
    </w:div>
    <w:div w:id="2000037936">
      <w:bodyDiv w:val="1"/>
      <w:marLeft w:val="0"/>
      <w:marRight w:val="0"/>
      <w:marTop w:val="0"/>
      <w:marBottom w:val="0"/>
      <w:divBdr>
        <w:top w:val="none" w:sz="0" w:space="0" w:color="auto"/>
        <w:left w:val="none" w:sz="0" w:space="0" w:color="auto"/>
        <w:bottom w:val="none" w:sz="0" w:space="0" w:color="auto"/>
        <w:right w:val="none" w:sz="0" w:space="0" w:color="auto"/>
      </w:divBdr>
    </w:div>
    <w:div w:id="2001884518">
      <w:bodyDiv w:val="1"/>
      <w:marLeft w:val="0"/>
      <w:marRight w:val="0"/>
      <w:marTop w:val="0"/>
      <w:marBottom w:val="0"/>
      <w:divBdr>
        <w:top w:val="none" w:sz="0" w:space="0" w:color="auto"/>
        <w:left w:val="none" w:sz="0" w:space="0" w:color="auto"/>
        <w:bottom w:val="none" w:sz="0" w:space="0" w:color="auto"/>
        <w:right w:val="none" w:sz="0" w:space="0" w:color="auto"/>
      </w:divBdr>
    </w:div>
    <w:div w:id="2004160675">
      <w:bodyDiv w:val="1"/>
      <w:marLeft w:val="0"/>
      <w:marRight w:val="0"/>
      <w:marTop w:val="0"/>
      <w:marBottom w:val="0"/>
      <w:divBdr>
        <w:top w:val="none" w:sz="0" w:space="0" w:color="auto"/>
        <w:left w:val="none" w:sz="0" w:space="0" w:color="auto"/>
        <w:bottom w:val="none" w:sz="0" w:space="0" w:color="auto"/>
        <w:right w:val="none" w:sz="0" w:space="0" w:color="auto"/>
      </w:divBdr>
    </w:div>
    <w:div w:id="2050102363">
      <w:bodyDiv w:val="1"/>
      <w:marLeft w:val="0"/>
      <w:marRight w:val="0"/>
      <w:marTop w:val="0"/>
      <w:marBottom w:val="0"/>
      <w:divBdr>
        <w:top w:val="none" w:sz="0" w:space="0" w:color="auto"/>
        <w:left w:val="none" w:sz="0" w:space="0" w:color="auto"/>
        <w:bottom w:val="none" w:sz="0" w:space="0" w:color="auto"/>
        <w:right w:val="none" w:sz="0" w:space="0" w:color="auto"/>
      </w:divBdr>
    </w:div>
    <w:div w:id="21032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143624421991470" TargetMode="External"/><Relationship Id="rId21" Type="http://schemas.openxmlformats.org/officeDocument/2006/relationships/hyperlink" Target="https://onlinelibrary.wiley.com/doi/pdf/10.1111/rec.13170" TargetMode="External"/><Relationship Id="rId34" Type="http://schemas.openxmlformats.org/officeDocument/2006/relationships/hyperlink" Target="https://doi.org/10.3390/buildings11110534" TargetMode="External"/><Relationship Id="rId42" Type="http://schemas.openxmlformats.org/officeDocument/2006/relationships/hyperlink" Target="https://doi.org/10.3233/PRM-230019" TargetMode="External"/><Relationship Id="rId47" Type="http://schemas.openxmlformats.org/officeDocument/2006/relationships/hyperlink" Target="https://mfa.gov.gh/index.php/about-ghana/regions/" TargetMode="External"/><Relationship Id="rId50" Type="http://schemas.openxmlformats.org/officeDocument/2006/relationships/hyperlink" Target="https://www.proquest.com/openview/df07bb1593ac3bfff24405ab92189b25/1?cbl=18750&amp;diss=y&amp;pq-origsite=gscholar" TargetMode="External"/><Relationship Id="rId55" Type="http://schemas.openxmlformats.org/officeDocument/2006/relationships/hyperlink" Target="https://doi.org/10.12688/f1000research.51117.3"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9463138.2022.2066106" TargetMode="External"/><Relationship Id="rId29" Type="http://schemas.openxmlformats.org/officeDocument/2006/relationships/hyperlink" Target="https://doi.org/10.1016/j.enbuild.2017.03.060" TargetMode="External"/><Relationship Id="rId11" Type="http://schemas.openxmlformats.org/officeDocument/2006/relationships/diagramColors" Target="diagrams/colors1.xml"/><Relationship Id="rId24" Type="http://schemas.openxmlformats.org/officeDocument/2006/relationships/hyperlink" Target="https://doi.org/10.3390/publications11010002" TargetMode="External"/><Relationship Id="rId32" Type="http://schemas.openxmlformats.org/officeDocument/2006/relationships/hyperlink" Target="https://www.erjournal.net/index.php/erjournal/article/view/150" TargetMode="External"/><Relationship Id="rId37" Type="http://schemas.openxmlformats.org/officeDocument/2006/relationships/hyperlink" Target="https://doi.org/10.1111/aphw.12169" TargetMode="External"/><Relationship Id="rId40" Type="http://schemas.openxmlformats.org/officeDocument/2006/relationships/hyperlink" Target="https://doi.org/10.3390/en15197239" TargetMode="External"/><Relationship Id="rId45" Type="http://schemas.openxmlformats.org/officeDocument/2006/relationships/hyperlink" Target="https://www.jstor.org/stable/20868571" TargetMode="External"/><Relationship Id="rId53" Type="http://schemas.openxmlformats.org/officeDocument/2006/relationships/hyperlink" Target="https://www.ncbi.nlm.nih.gov/books/NBK481583/" TargetMode="External"/><Relationship Id="rId58" Type="http://schemas.openxmlformats.org/officeDocument/2006/relationships/hyperlink" Target="https://www.epa.gov/green-building/basic-information-about-green-building"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scitotenv.2022.160270" TargetMode="External"/><Relationship Id="rId19" Type="http://schemas.openxmlformats.org/officeDocument/2006/relationships/hyperlink" Target="https://doi.org/10.3390/app14010195" TargetMode="External"/><Relationship Id="rId14" Type="http://schemas.openxmlformats.org/officeDocument/2006/relationships/hyperlink" Target="https://www.researchgate.net/profile/Kelechi-Agwu/publication/381458797_EXPLORING_THE_IMPACTS_OF_SUSTAINABLE_DESIGN_PRACTICES_ON_CONSTRUCTION_COST/links/666df5c485a4ee7261c5af7c/EXPLORING-THE-IMPACTS-OF-SUSTAINABLE-DESIGN-PRACTICES-ON-CONSTRUCTION-COST.pdf" TargetMode="External"/><Relationship Id="rId22" Type="http://schemas.openxmlformats.org/officeDocument/2006/relationships/hyperlink" Target="https://doi.org/10.1016/j.enpol.2015.05.009" TargetMode="External"/><Relationship Id="rId27" Type="http://schemas.openxmlformats.org/officeDocument/2006/relationships/hyperlink" Target="https://doi.org/10.1016/j.jclepro.2020.121799" TargetMode="External"/><Relationship Id="rId30" Type="http://schemas.openxmlformats.org/officeDocument/2006/relationships/hyperlink" Target="https://doi.org/10.1162/crcj_a_00002" TargetMode="External"/><Relationship Id="rId35" Type="http://schemas.openxmlformats.org/officeDocument/2006/relationships/hyperlink" Target="https://statsghana.gov.gh/gssmain/fileUpload/pressrelease/2021%20PHC%20General%20Report%20Vol%203A_Population%20of%20Regions%20and%20Districts_181121.pdf" TargetMode="External"/><Relationship Id="rId43" Type="http://schemas.openxmlformats.org/officeDocument/2006/relationships/hyperlink" Target="https://doi.org/10.1007/s10708-020-10272-7" TargetMode="External"/><Relationship Id="rId48" Type="http://schemas.openxmlformats.org/officeDocument/2006/relationships/hyperlink" Target="https://doi.org/10.1108/02630801211228743" TargetMode="External"/><Relationship Id="rId56" Type="http://schemas.openxmlformats.org/officeDocument/2006/relationships/hyperlink" Target="https://doi.org/10.3389/frma.2023.1268045" TargetMode="External"/><Relationship Id="rId64" Type="http://schemas.openxmlformats.org/officeDocument/2006/relationships/header" Target="header2.xml"/><Relationship Id="rId8" Type="http://schemas.openxmlformats.org/officeDocument/2006/relationships/diagramData" Target="diagrams/data1.xml"/><Relationship Id="rId51" Type="http://schemas.openxmlformats.org/officeDocument/2006/relationships/hyperlink" Target="https://doi.org/10.1108/SASBE-07-2021-0120"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1016/j.jclepro.2022.131869" TargetMode="External"/><Relationship Id="rId25" Type="http://schemas.openxmlformats.org/officeDocument/2006/relationships/hyperlink" Target="https://doi.org/10.1080/10835547.2009.12091785" TargetMode="External"/><Relationship Id="rId33" Type="http://schemas.openxmlformats.org/officeDocument/2006/relationships/hyperlink" Target="https://www.formpl.us/blog/correlational-research" TargetMode="External"/><Relationship Id="rId38" Type="http://schemas.openxmlformats.org/officeDocument/2006/relationships/hyperlink" Target="https://doi.org/10.1016/j.jclepro.2021.129090" TargetMode="External"/><Relationship Id="rId46" Type="http://schemas.openxmlformats.org/officeDocument/2006/relationships/hyperlink" Target="https://doi.org/10.1108/SASBE-12-2019-0170" TargetMode="External"/><Relationship Id="rId59" Type="http://schemas.openxmlformats.org/officeDocument/2006/relationships/hyperlink" Target="https://www.unep.org/resources/adaptation-gap-report-2021" TargetMode="External"/><Relationship Id="rId67" Type="http://schemas.openxmlformats.org/officeDocument/2006/relationships/theme" Target="theme/theme1.xml"/><Relationship Id="rId20" Type="http://schemas.openxmlformats.org/officeDocument/2006/relationships/hyperlink" Target="https://doi.org/10.1016/j.sciaf.2021.e00756" TargetMode="External"/><Relationship Id="rId41" Type="http://schemas.openxmlformats.org/officeDocument/2006/relationships/hyperlink" Target="https://doi.org/10.1108/ECAM-02-2021-0131" TargetMode="External"/><Relationship Id="rId54" Type="http://schemas.openxmlformats.org/officeDocument/2006/relationships/hyperlink" Target="https://doi.org/10.58496/BJML/2024/001" TargetMode="External"/><Relationship Id="rId62" Type="http://schemas.openxmlformats.org/officeDocument/2006/relationships/hyperlink" Target="https://doi.org/10.1177/0193945921103034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201/9781003496656" TargetMode="External"/><Relationship Id="rId23" Type="http://schemas.openxmlformats.org/officeDocument/2006/relationships/hyperlink" Target="https://doi.org/10.1016/j.jclepro.2017.10.235" TargetMode="External"/><Relationship Id="rId28" Type="http://schemas.openxmlformats.org/officeDocument/2006/relationships/hyperlink" Target="https://skemman.is/bitstream/1946/46679/1/ROBERT%20APPIAH%20DANKWAK%20M.%20A%20FINAL%20THESIS.pdf" TargetMode="External"/><Relationship Id="rId36" Type="http://schemas.openxmlformats.org/officeDocument/2006/relationships/hyperlink" Target="https://wedocs.unep.org/20.500.11822/47798" TargetMode="External"/><Relationship Id="rId49" Type="http://schemas.openxmlformats.org/officeDocument/2006/relationships/hyperlink" Target="https://doi.org/10.1080/23311916.2016.1167990" TargetMode="External"/><Relationship Id="rId57" Type="http://schemas.openxmlformats.org/officeDocument/2006/relationships/hyperlink" Target="https://doi.org/10.1016/j.enpol.2019.111042" TargetMode="External"/><Relationship Id="rId10" Type="http://schemas.openxmlformats.org/officeDocument/2006/relationships/diagramQuickStyle" Target="diagrams/quickStyle1.xml"/><Relationship Id="rId31" Type="http://schemas.openxmlformats.org/officeDocument/2006/relationships/hyperlink" Target="https://erjournal.net/index.php/erjournal/issue/view/16" TargetMode="External"/><Relationship Id="rId44" Type="http://schemas.openxmlformats.org/officeDocument/2006/relationships/hyperlink" Target="https://pubmed.ncbi.nlm.nih.gov/29431951/?utm_source=chatgpt.com" TargetMode="External"/><Relationship Id="rId52" Type="http://schemas.openxmlformats.org/officeDocument/2006/relationships/hyperlink" Target="https://doi.org/10.1136/bmj.n71" TargetMode="External"/><Relationship Id="rId60" Type="http://schemas.openxmlformats.org/officeDocument/2006/relationships/hyperlink" Target="https://documents.worldbank.org/en/publication/documents-reports/documentdetail/857671468179354431"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1.png"/><Relationship Id="rId18" Type="http://schemas.openxmlformats.org/officeDocument/2006/relationships/hyperlink" Target="https://doi.org/10.38140/as.v32i1.9122" TargetMode="External"/><Relationship Id="rId39" Type="http://schemas.openxmlformats.org/officeDocument/2006/relationships/hyperlink" Target="https://doi.org/10.1017/9781009325844" TargetMode="Externa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B5694-CA9B-499A-B790-B729590753DC}" type="doc">
      <dgm:prSet loTypeId="urn:diagrams.loki3.com/VaryingWidthList" loCatId="list" qsTypeId="urn:microsoft.com/office/officeart/2005/8/quickstyle/simple2" qsCatId="simple" csTypeId="urn:microsoft.com/office/officeart/2005/8/colors/accent5_1" csCatId="accent5" phldr="1"/>
      <dgm:spPr/>
      <dgm:t>
        <a:bodyPr/>
        <a:lstStyle/>
        <a:p>
          <a:endParaRPr lang="en-US"/>
        </a:p>
      </dgm:t>
    </dgm:pt>
    <dgm:pt modelId="{75393825-0458-428A-B64C-D219739582D8}">
      <dgm:prSet phldrT="[Text]" custT="1"/>
      <dgm:spPr>
        <a:solidFill>
          <a:srgbClr val="0070C0">
            <a:alpha val="52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Record identified through other sources </a:t>
          </a:r>
        </a:p>
        <a:p>
          <a:pPr algn="ctr"/>
          <a:r>
            <a:rPr lang="en-US" sz="1200">
              <a:latin typeface="Times New Roman" panose="02020603050405020304" pitchFamily="18" charset="0"/>
              <a:cs typeface="Times New Roman" panose="02020603050405020304" pitchFamily="18" charset="0"/>
            </a:rPr>
            <a:t>(N=120)</a:t>
          </a:r>
        </a:p>
      </dgm:t>
    </dgm:pt>
    <dgm:pt modelId="{3ABE0FAA-E029-40AB-9807-E7F46B25EF4A}" type="par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6A77C5-E6C9-460E-9030-0ADE8A5E025E}" type="sib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5AA8031-BD92-4AC2-99A6-E789A2626654}">
      <dgm:prSet phldrT="[Tex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Duplicate records were removed (n=165)</a:t>
          </a:r>
        </a:p>
      </dgm:t>
    </dgm:pt>
    <dgm:pt modelId="{4760464B-C54A-463D-9E5B-90A6819279A9}" type="par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D11660-3874-4FAE-901B-2AE28C3CE80B}" type="sib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712B6B-A419-4E76-867D-A056757F1E8A}">
      <dgm:prSet phldrT="[Text]" custT="1"/>
      <dgm:spPr>
        <a:solidFill>
          <a:srgbClr val="0070C0">
            <a:alpha val="50000"/>
          </a:srgbClr>
        </a:solidFill>
        <a:ln w="25400">
          <a:solidFill>
            <a:schemeClr val="accent1"/>
          </a:solidFill>
        </a:ln>
      </dgm:spPr>
      <dgm:t>
        <a:bodyPr/>
        <a:lstStyle/>
        <a:p>
          <a:pPr algn="ctr"/>
          <a:r>
            <a:rPr lang="en-US" sz="1200">
              <a:solidFill>
                <a:schemeClr val="dk1">
                  <a:hueOff val="0"/>
                  <a:satOff val="0"/>
                  <a:lumOff val="0"/>
                </a:schemeClr>
              </a:solidFill>
              <a:latin typeface="Times New Roman" panose="02020603050405020304" pitchFamily="18" charset="0"/>
              <a:cs typeface="Times New Roman" panose="02020603050405020304" pitchFamily="18" charset="0"/>
            </a:rPr>
            <a:t>Titles and abstracts screened (n= 495)</a:t>
          </a:r>
        </a:p>
      </dgm:t>
    </dgm:pt>
    <dgm:pt modelId="{EA9E7AAD-02C2-4BF9-BE80-748B65636B1C}" type="par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84889F5-42F0-4F8B-B8A1-7A0C623F52B2}" type="sib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5AC6525-B511-48D5-A126-87C7E2D04DA7}">
      <dgm:prSet custT="1"/>
      <dgm:spPr>
        <a:solidFill>
          <a:srgbClr val="0070C0">
            <a:alpha val="50000"/>
          </a:srgbClr>
        </a:solidFill>
        <a:ln w="25400">
          <a:solidFill>
            <a:schemeClr val="accent1"/>
          </a:solidFill>
        </a:ln>
      </dgm:spPr>
      <dgm:t>
        <a:bodyPr/>
        <a:lstStyle/>
        <a:p>
          <a:pPr algn="ctr"/>
          <a:r>
            <a:rPr lang="en-US" sz="1200">
              <a:solidFill>
                <a:schemeClr val="dk1">
                  <a:hueOff val="0"/>
                  <a:satOff val="0"/>
                  <a:lumOff val="0"/>
                </a:schemeClr>
              </a:solidFill>
              <a:latin typeface="Times New Roman" panose="02020603050405020304" pitchFamily="18" charset="0"/>
              <a:cs typeface="Times New Roman" panose="02020603050405020304" pitchFamily="18" charset="0"/>
            </a:rPr>
            <a:t>Full-text versions of the selected studies </a:t>
          </a:r>
        </a:p>
        <a:p>
          <a:pPr algn="ctr"/>
          <a:r>
            <a:rPr lang="en-US" sz="1200">
              <a:solidFill>
                <a:schemeClr val="dk1">
                  <a:hueOff val="0"/>
                  <a:satOff val="0"/>
                  <a:lumOff val="0"/>
                </a:schemeClr>
              </a:solidFill>
              <a:latin typeface="Times New Roman" panose="02020603050405020304" pitchFamily="18" charset="0"/>
              <a:cs typeface="Times New Roman" panose="02020603050405020304" pitchFamily="18" charset="0"/>
            </a:rPr>
            <a:t>(n= 231)</a:t>
          </a:r>
        </a:p>
      </dgm:t>
    </dgm:pt>
    <dgm:pt modelId="{FAE21F81-730A-4CB8-A436-EB703ECBDD79}" type="par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CB7EBEF-6B5F-495D-8227-5FEE919200BD}" type="sib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D72D198-A99B-4309-9C1B-7CAD815C6070}">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Full-test articles excluded with reasons for exclusion (n=179)</a:t>
          </a:r>
        </a:p>
      </dgm:t>
    </dgm:pt>
    <dgm:pt modelId="{AC984230-A695-4C34-BFB1-8B6FD17CF6C0}" type="par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FFE083F-60F5-4A3E-A87C-953963FB8CDA}" type="sib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2668D89-ECFD-470F-8616-82F71858CCA5}">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Records excluded</a:t>
          </a:r>
        </a:p>
        <a:p>
          <a:pPr algn="ctr"/>
          <a:r>
            <a:rPr lang="en-US" sz="1200">
              <a:latin typeface="Times New Roman" panose="02020603050405020304" pitchFamily="18" charset="0"/>
              <a:cs typeface="Times New Roman" panose="02020603050405020304" pitchFamily="18" charset="0"/>
            </a:rPr>
            <a:t> (n=264)</a:t>
          </a:r>
        </a:p>
      </dgm:t>
    </dgm:pt>
    <dgm:pt modelId="{4B8A9087-09BD-417A-89C9-E7D34785A30E}" type="par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6B9546E-4867-41AB-9473-C4B8E9206776}" type="sib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1D4C3EC-96B6-4BDB-8638-E86F651EC62D}">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Studies assessing Green Buildings and Climate Change Adaptation</a:t>
          </a:r>
        </a:p>
      </dgm:t>
    </dgm:pt>
    <dgm:pt modelId="{9BA98E33-CC51-4824-89FC-FDE41AB5C552}" type="par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D3A2F59-499F-4520-844D-46C416D84638}" type="sib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B699020-9A4B-4C2C-9951-A4AFA6F2D3DE}">
      <dgm:prSet custT="1"/>
      <dgm:spPr>
        <a:solidFill>
          <a:srgbClr val="0070C0">
            <a:alpha val="50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Total records identified </a:t>
          </a:r>
        </a:p>
        <a:p>
          <a:pPr algn="ctr"/>
          <a:r>
            <a:rPr lang="en-US" sz="1200">
              <a:latin typeface="Times New Roman" panose="02020603050405020304" pitchFamily="18" charset="0"/>
              <a:cs typeface="Times New Roman" panose="02020603050405020304" pitchFamily="18" charset="0"/>
            </a:rPr>
            <a:t> (N=660) </a:t>
          </a:r>
          <a:endParaRPr lang="en-US" sz="1200"/>
        </a:p>
      </dgm:t>
    </dgm:pt>
    <dgm:pt modelId="{91FA436B-8CA0-4DBD-AD1D-C774DD96DE27}" type="parTrans" cxnId="{2CFFF2B0-5B78-4A6D-86F6-8B43005DAEB2}">
      <dgm:prSet/>
      <dgm:spPr/>
      <dgm:t>
        <a:bodyPr/>
        <a:lstStyle/>
        <a:p>
          <a:pPr algn="ctr"/>
          <a:endParaRPr lang="en-US" sz="1200"/>
        </a:p>
      </dgm:t>
    </dgm:pt>
    <dgm:pt modelId="{08A7C42A-3AC6-44DE-B704-B34E4C4176BF}" type="sibTrans" cxnId="{2CFFF2B0-5B78-4A6D-86F6-8B43005DAEB2}">
      <dgm:prSet/>
      <dgm:spPr/>
      <dgm:t>
        <a:bodyPr/>
        <a:lstStyle/>
        <a:p>
          <a:pPr algn="ctr"/>
          <a:endParaRPr lang="en-US" sz="1200"/>
        </a:p>
      </dgm:t>
    </dgm:pt>
    <dgm:pt modelId="{87DDAD38-EC40-4FB8-A882-AED61F9A8F16}">
      <dgm:prSet custT="1"/>
      <dgm:spPr>
        <a:solidFill>
          <a:srgbClr val="0070C0">
            <a:alpha val="49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Studies included in the review (n= 52)</a:t>
          </a:r>
        </a:p>
      </dgm:t>
    </dgm:pt>
    <dgm:pt modelId="{F5580054-3868-48B8-98E8-122D734814FC}" type="sib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04B5657-198C-4140-9EF1-050521D6A4FC}" type="par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E4DE35D-E653-4878-B48D-D4F7C0AA690A}">
      <dgm:prSet custT="1"/>
      <dgm:spPr>
        <a:solidFill>
          <a:srgbClr val="0070C0">
            <a:alpha val="55000"/>
          </a:srgbClr>
        </a:solidFill>
        <a:ln w="25400">
          <a:solidFill>
            <a:schemeClr val="accent1"/>
          </a:solidFill>
        </a:ln>
      </dgm:spPr>
      <dgm:t>
        <a:bodyPr/>
        <a:lstStyle/>
        <a:p>
          <a:pPr algn="ctr"/>
          <a:r>
            <a:rPr lang="en-US" sz="1200">
              <a:latin typeface="Times New Roman" panose="02020603050405020304" pitchFamily="18" charset="0"/>
              <a:cs typeface="Times New Roman" panose="02020603050405020304" pitchFamily="18" charset="0"/>
            </a:rPr>
            <a:t>Records identification through database searching</a:t>
          </a:r>
        </a:p>
        <a:p>
          <a:pPr algn="ctr"/>
          <a:r>
            <a:rPr lang="en-US" sz="1200">
              <a:latin typeface="Times New Roman" panose="02020603050405020304" pitchFamily="18" charset="0"/>
              <a:cs typeface="Times New Roman" panose="02020603050405020304" pitchFamily="18" charset="0"/>
            </a:rPr>
            <a:t> (N= 540)  </a:t>
          </a:r>
        </a:p>
      </dgm:t>
    </dgm:pt>
    <dgm:pt modelId="{26E8B0DA-7787-4D99-9AFC-60B8E074172B}" type="sib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83C287E-4BAD-44B4-87BD-0B3C303EC740}" type="par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439156F-AA6A-4DDB-A3D9-F3CDF30489F9}" type="pres">
      <dgm:prSet presAssocID="{0E9B5694-CA9B-499A-B790-B729590753DC}" presName="Name0" presStyleCnt="0">
        <dgm:presLayoutVars>
          <dgm:resizeHandles/>
        </dgm:presLayoutVars>
      </dgm:prSet>
      <dgm:spPr/>
    </dgm:pt>
    <dgm:pt modelId="{49060E47-25C4-4480-97EC-E383248309D7}" type="pres">
      <dgm:prSet presAssocID="{75393825-0458-428A-B64C-D219739582D8}" presName="text" presStyleLbl="node1" presStyleIdx="0" presStyleCnt="10" custScaleX="218226" custScaleY="505968" custLinFactX="30263" custLinFactY="19296" custLinFactNeighborX="100000" custLinFactNeighborY="100000">
        <dgm:presLayoutVars>
          <dgm:bulletEnabled val="1"/>
        </dgm:presLayoutVars>
      </dgm:prSet>
      <dgm:spPr>
        <a:prstGeom prst="roundRect">
          <a:avLst/>
        </a:prstGeom>
      </dgm:spPr>
    </dgm:pt>
    <dgm:pt modelId="{5587268E-C6CC-4955-885A-8E90011BB344}" type="pres">
      <dgm:prSet presAssocID="{546A77C5-E6C9-460E-9030-0ADE8A5E025E}" presName="space" presStyleCnt="0"/>
      <dgm:spPr/>
    </dgm:pt>
    <dgm:pt modelId="{0142DAA0-2AD6-4DC7-9BFD-B2AC880CC821}" type="pres">
      <dgm:prSet presAssocID="{AE4DE35D-E653-4878-B48D-D4F7C0AA690A}" presName="text" presStyleLbl="node1" presStyleIdx="1" presStyleCnt="10" custScaleX="199547" custScaleY="512095" custLinFactX="-26437" custLinFactY="-471221" custLinFactNeighborX="-100000" custLinFactNeighborY="-500000">
        <dgm:presLayoutVars>
          <dgm:bulletEnabled val="1"/>
        </dgm:presLayoutVars>
      </dgm:prSet>
      <dgm:spPr>
        <a:prstGeom prst="flowChartAlternateProcess">
          <a:avLst/>
        </a:prstGeom>
      </dgm:spPr>
    </dgm:pt>
    <dgm:pt modelId="{EA959CB0-06C8-4032-BD06-E0BDEBF51594}" type="pres">
      <dgm:prSet presAssocID="{26E8B0DA-7787-4D99-9AFC-60B8E074172B}" presName="space" presStyleCnt="0"/>
      <dgm:spPr/>
    </dgm:pt>
    <dgm:pt modelId="{7EF51B88-569A-4BF2-BCD1-CC3173FFF865}" type="pres">
      <dgm:prSet presAssocID="{6B699020-9A4B-4C2C-9951-A4AFA6F2D3DE}" presName="text" presStyleLbl="node1" presStyleIdx="2" presStyleCnt="10" custScaleX="360677" custScaleY="412756" custLinFactY="-332019" custLinFactNeighborX="-30543" custLinFactNeighborY="-400000">
        <dgm:presLayoutVars>
          <dgm:bulletEnabled val="1"/>
        </dgm:presLayoutVars>
      </dgm:prSet>
      <dgm:spPr>
        <a:prstGeom prst="roundRect">
          <a:avLst/>
        </a:prstGeom>
      </dgm:spPr>
    </dgm:pt>
    <dgm:pt modelId="{F83BBE74-5860-4FCE-9A1F-16990429BFB2}" type="pres">
      <dgm:prSet presAssocID="{08A7C42A-3AC6-44DE-B704-B34E4C4176BF}" presName="space" presStyleCnt="0"/>
      <dgm:spPr/>
    </dgm:pt>
    <dgm:pt modelId="{A47BC91D-EA57-4EBB-919C-E56CAF4CAA81}" type="pres">
      <dgm:prSet presAssocID="{55AA8031-BD92-4AC2-99A6-E789A2626654}" presName="text" presStyleLbl="node1" presStyleIdx="3" presStyleCnt="10" custScaleX="177241" custScaleY="256930" custLinFactY="-191539" custLinFactNeighborX="-97524" custLinFactNeighborY="-200000">
        <dgm:presLayoutVars>
          <dgm:bulletEnabled val="1"/>
        </dgm:presLayoutVars>
      </dgm:prSet>
      <dgm:spPr>
        <a:prstGeom prst="roundRect">
          <a:avLst/>
        </a:prstGeom>
      </dgm:spPr>
    </dgm:pt>
    <dgm:pt modelId="{B6E32C21-C444-40E3-BC1E-206F780F1EC9}" type="pres">
      <dgm:prSet presAssocID="{0AD11660-3874-4FAE-901B-2AE28C3CE80B}" presName="space" presStyleCnt="0"/>
      <dgm:spPr/>
    </dgm:pt>
    <dgm:pt modelId="{C8F4948C-AE7A-4960-B582-13A050B29D1A}" type="pres">
      <dgm:prSet presAssocID="{D2668D89-ECFD-470F-8616-82F71858CCA5}" presName="text" presStyleLbl="node1" presStyleIdx="4" presStyleCnt="10" custScaleX="376183" custScaleY="399535" custLinFactX="100000" custLinFactY="-118151" custLinFactNeighborX="123336" custLinFactNeighborY="-200000">
        <dgm:presLayoutVars>
          <dgm:bulletEnabled val="1"/>
        </dgm:presLayoutVars>
      </dgm:prSet>
      <dgm:spPr>
        <a:prstGeom prst="roundRect">
          <a:avLst/>
        </a:prstGeom>
      </dgm:spPr>
    </dgm:pt>
    <dgm:pt modelId="{3CD28FA8-7DD3-463B-B9A2-AEB36D2175EE}" type="pres">
      <dgm:prSet presAssocID="{86B9546E-4867-41AB-9473-C4B8E9206776}" presName="space" presStyleCnt="0"/>
      <dgm:spPr/>
    </dgm:pt>
    <dgm:pt modelId="{EE5DE3F0-B656-4C95-A92F-8A504B5534BC}" type="pres">
      <dgm:prSet presAssocID="{EB712B6B-A419-4E76-867D-A056757F1E8A}" presName="text" presStyleLbl="node1" presStyleIdx="5" presStyleCnt="10" custScaleX="210457" custScaleY="259014" custLinFactX="-18978" custLinFactY="-415440" custLinFactNeighborX="-100000" custLinFactNeighborY="-500000">
        <dgm:presLayoutVars>
          <dgm:bulletEnabled val="1"/>
        </dgm:presLayoutVars>
      </dgm:prSet>
      <dgm:spPr>
        <a:prstGeom prst="roundRect">
          <a:avLst/>
        </a:prstGeom>
      </dgm:spPr>
    </dgm:pt>
    <dgm:pt modelId="{3FAB145D-8DA8-417E-88EC-085BB27455B2}" type="pres">
      <dgm:prSet presAssocID="{084889F5-42F0-4F8B-B8A1-7A0C623F52B2}" presName="space" presStyleCnt="0"/>
      <dgm:spPr/>
    </dgm:pt>
    <dgm:pt modelId="{B544FAA4-26B6-4A88-8572-FC8026E3C886}" type="pres">
      <dgm:prSet presAssocID="{D5AC6525-B511-48D5-A126-87C7E2D04DA7}" presName="text" presStyleLbl="node1" presStyleIdx="6" presStyleCnt="10" custScaleX="196296" custScaleY="359065" custLinFactX="-9639" custLinFactY="-227913" custLinFactNeighborX="-100000" custLinFactNeighborY="-300000">
        <dgm:presLayoutVars>
          <dgm:bulletEnabled val="1"/>
        </dgm:presLayoutVars>
      </dgm:prSet>
      <dgm:spPr>
        <a:prstGeom prst="roundRect">
          <a:avLst/>
        </a:prstGeom>
      </dgm:spPr>
    </dgm:pt>
    <dgm:pt modelId="{27B0E429-2D78-49B8-B4AD-08BD3448AFB5}" type="pres">
      <dgm:prSet presAssocID="{7CB7EBEF-6B5F-495D-8227-5FEE919200BD}" presName="space" presStyleCnt="0"/>
      <dgm:spPr/>
    </dgm:pt>
    <dgm:pt modelId="{6383A5E7-4A3C-4234-811D-BA2E9EFA2E95}" type="pres">
      <dgm:prSet presAssocID="{7D72D198-A99B-4309-9C1B-7CAD815C6070}" presName="text" presStyleLbl="node1" presStyleIdx="7" presStyleCnt="10" custScaleX="214883" custScaleY="395426" custLinFactX="30304" custLinFactY="-600000" custLinFactNeighborX="100000" custLinFactNeighborY="-646349">
        <dgm:presLayoutVars>
          <dgm:bulletEnabled val="1"/>
        </dgm:presLayoutVars>
      </dgm:prSet>
      <dgm:spPr>
        <a:prstGeom prst="roundRect">
          <a:avLst/>
        </a:prstGeom>
      </dgm:spPr>
    </dgm:pt>
    <dgm:pt modelId="{6E45CE00-B3E9-4355-8906-C8A95D802C3F}" type="pres">
      <dgm:prSet presAssocID="{7FFE083F-60F5-4A3E-A87C-953963FB8CDA}" presName="space" presStyleCnt="0"/>
      <dgm:spPr/>
    </dgm:pt>
    <dgm:pt modelId="{504780DB-6D46-4BAC-8419-D8433BCFABCE}" type="pres">
      <dgm:prSet presAssocID="{91D4C3EC-96B6-4BDB-8638-E86F651EC62D}" presName="text" presStyleLbl="node1" presStyleIdx="8" presStyleCnt="10" custScaleX="167599" custScaleY="315158" custLinFactY="-329731" custLinFactNeighborX="-94834" custLinFactNeighborY="-400000">
        <dgm:presLayoutVars>
          <dgm:bulletEnabled val="1"/>
        </dgm:presLayoutVars>
      </dgm:prSet>
      <dgm:spPr>
        <a:prstGeom prst="roundRect">
          <a:avLst/>
        </a:prstGeom>
      </dgm:spPr>
    </dgm:pt>
    <dgm:pt modelId="{F0FA0D7D-1831-4BD9-835F-50130A6C4486}" type="pres">
      <dgm:prSet presAssocID="{CD3A2F59-499F-4520-844D-46C416D84638}" presName="space" presStyleCnt="0"/>
      <dgm:spPr/>
    </dgm:pt>
    <dgm:pt modelId="{5E448E02-D973-4E70-BBE9-66064DA1320C}" type="pres">
      <dgm:prSet presAssocID="{87DDAD38-EC40-4FB8-A882-AED61F9A8F16}" presName="text" presStyleLbl="node1" presStyleIdx="9" presStyleCnt="10" custScaleX="208469" custScaleY="293396" custLinFactX="-15658" custLinFactY="-69492" custLinFactNeighborX="-100000" custLinFactNeighborY="-100000">
        <dgm:presLayoutVars>
          <dgm:bulletEnabled val="1"/>
        </dgm:presLayoutVars>
      </dgm:prSet>
      <dgm:spPr>
        <a:prstGeom prst="roundRect">
          <a:avLst/>
        </a:prstGeom>
      </dgm:spPr>
    </dgm:pt>
  </dgm:ptLst>
  <dgm:cxnLst>
    <dgm:cxn modelId="{AD253604-D77D-4F4B-AF52-7B07C168F4F8}" srcId="{0E9B5694-CA9B-499A-B790-B729590753DC}" destId="{55AA8031-BD92-4AC2-99A6-E789A2626654}" srcOrd="3" destOrd="0" parTransId="{4760464B-C54A-463D-9E5B-90A6819279A9}" sibTransId="{0AD11660-3874-4FAE-901B-2AE28C3CE80B}"/>
    <dgm:cxn modelId="{9CBF0814-CEA2-4E3F-A4F5-6609C59DA597}" type="presOf" srcId="{AE4DE35D-E653-4878-B48D-D4F7C0AA690A}" destId="{0142DAA0-2AD6-4DC7-9BFD-B2AC880CC821}" srcOrd="0" destOrd="0" presId="urn:diagrams.loki3.com/VaryingWidthList"/>
    <dgm:cxn modelId="{03BE661E-8F96-4058-9695-3C13A172FD04}" srcId="{0E9B5694-CA9B-499A-B790-B729590753DC}" destId="{AE4DE35D-E653-4878-B48D-D4F7C0AA690A}" srcOrd="1" destOrd="0" parTransId="{B83C287E-4BAD-44B4-87BD-0B3C303EC740}" sibTransId="{26E8B0DA-7787-4D99-9AFC-60B8E074172B}"/>
    <dgm:cxn modelId="{DD68D41F-FCE8-4AF4-9CC7-B36152F4D05D}" type="presOf" srcId="{D2668D89-ECFD-470F-8616-82F71858CCA5}" destId="{C8F4948C-AE7A-4960-B582-13A050B29D1A}" srcOrd="0" destOrd="0" presId="urn:diagrams.loki3.com/VaryingWidthList"/>
    <dgm:cxn modelId="{3D61EF20-1D1B-4D4C-B867-900BB67824A4}" type="presOf" srcId="{EB712B6B-A419-4E76-867D-A056757F1E8A}" destId="{EE5DE3F0-B656-4C95-A92F-8A504B5534BC}" srcOrd="0" destOrd="0" presId="urn:diagrams.loki3.com/VaryingWidthList"/>
    <dgm:cxn modelId="{EBF83F27-F5C7-435A-B33F-8155EB5FB514}" type="presOf" srcId="{D5AC6525-B511-48D5-A126-87C7E2D04DA7}" destId="{B544FAA4-26B6-4A88-8572-FC8026E3C886}" srcOrd="0" destOrd="0" presId="urn:diagrams.loki3.com/VaryingWidthList"/>
    <dgm:cxn modelId="{75A3BD27-5520-42B8-8B35-BF83E94E8ABB}" srcId="{0E9B5694-CA9B-499A-B790-B729590753DC}" destId="{87DDAD38-EC40-4FB8-A882-AED61F9A8F16}" srcOrd="9" destOrd="0" parTransId="{D04B5657-198C-4140-9EF1-050521D6A4FC}" sibTransId="{F5580054-3868-48B8-98E8-122D734814FC}"/>
    <dgm:cxn modelId="{31F3532F-38E2-461B-87F2-ADA1B94E3E22}" srcId="{0E9B5694-CA9B-499A-B790-B729590753DC}" destId="{D2668D89-ECFD-470F-8616-82F71858CCA5}" srcOrd="4" destOrd="0" parTransId="{4B8A9087-09BD-417A-89C9-E7D34785A30E}" sibTransId="{86B9546E-4867-41AB-9473-C4B8E9206776}"/>
    <dgm:cxn modelId="{8C0B373C-DD98-4C42-B7EC-66133F33C63A}" type="presOf" srcId="{87DDAD38-EC40-4FB8-A882-AED61F9A8F16}" destId="{5E448E02-D973-4E70-BBE9-66064DA1320C}" srcOrd="0" destOrd="0" presId="urn:diagrams.loki3.com/VaryingWidthList"/>
    <dgm:cxn modelId="{76B7A13F-1607-440B-A3B4-3884AB4AD486}" type="presOf" srcId="{6B699020-9A4B-4C2C-9951-A4AFA6F2D3DE}" destId="{7EF51B88-569A-4BF2-BCD1-CC3173FFF865}" srcOrd="0" destOrd="0" presId="urn:diagrams.loki3.com/VaryingWidthList"/>
    <dgm:cxn modelId="{532F1790-6265-42D9-96E2-10755C03827D}" srcId="{0E9B5694-CA9B-499A-B790-B729590753DC}" destId="{75393825-0458-428A-B64C-D219739582D8}" srcOrd="0" destOrd="0" parTransId="{3ABE0FAA-E029-40AB-9807-E7F46B25EF4A}" sibTransId="{546A77C5-E6C9-460E-9030-0ADE8A5E025E}"/>
    <dgm:cxn modelId="{41EA87A1-D1AE-412A-8D4E-06271B718DE0}" type="presOf" srcId="{75393825-0458-428A-B64C-D219739582D8}" destId="{49060E47-25C4-4480-97EC-E383248309D7}" srcOrd="0" destOrd="0" presId="urn:diagrams.loki3.com/VaryingWidthList"/>
    <dgm:cxn modelId="{9E9342AA-A529-498C-A163-204E8B8515ED}" type="presOf" srcId="{55AA8031-BD92-4AC2-99A6-E789A2626654}" destId="{A47BC91D-EA57-4EBB-919C-E56CAF4CAA81}" srcOrd="0" destOrd="0" presId="urn:diagrams.loki3.com/VaryingWidthList"/>
    <dgm:cxn modelId="{7EB876AA-934C-4666-A240-7F67982E0F65}" type="presOf" srcId="{0E9B5694-CA9B-499A-B790-B729590753DC}" destId="{0439156F-AA6A-4DDB-A3D9-F3CDF30489F9}" srcOrd="0" destOrd="0" presId="urn:diagrams.loki3.com/VaryingWidthList"/>
    <dgm:cxn modelId="{2CFFF2B0-5B78-4A6D-86F6-8B43005DAEB2}" srcId="{0E9B5694-CA9B-499A-B790-B729590753DC}" destId="{6B699020-9A4B-4C2C-9951-A4AFA6F2D3DE}" srcOrd="2" destOrd="0" parTransId="{91FA436B-8CA0-4DBD-AD1D-C774DD96DE27}" sibTransId="{08A7C42A-3AC6-44DE-B704-B34E4C4176BF}"/>
    <dgm:cxn modelId="{FCDA28B9-A568-4CA5-A248-80A35C51C861}" type="presOf" srcId="{91D4C3EC-96B6-4BDB-8638-E86F651EC62D}" destId="{504780DB-6D46-4BAC-8419-D8433BCFABCE}" srcOrd="0" destOrd="0" presId="urn:diagrams.loki3.com/VaryingWidthList"/>
    <dgm:cxn modelId="{2AF89BD0-5B71-498A-ABB7-3FE7644F7733}" srcId="{0E9B5694-CA9B-499A-B790-B729590753DC}" destId="{D5AC6525-B511-48D5-A126-87C7E2D04DA7}" srcOrd="6" destOrd="0" parTransId="{FAE21F81-730A-4CB8-A436-EB703ECBDD79}" sibTransId="{7CB7EBEF-6B5F-495D-8227-5FEE919200BD}"/>
    <dgm:cxn modelId="{0BFC18DF-01B9-4DC0-A573-A0B3D4380189}" type="presOf" srcId="{7D72D198-A99B-4309-9C1B-7CAD815C6070}" destId="{6383A5E7-4A3C-4234-811D-BA2E9EFA2E95}" srcOrd="0" destOrd="0" presId="urn:diagrams.loki3.com/VaryingWidthList"/>
    <dgm:cxn modelId="{AC8AC9DF-5A3E-4CF3-82B4-F2B7A011F881}" srcId="{0E9B5694-CA9B-499A-B790-B729590753DC}" destId="{91D4C3EC-96B6-4BDB-8638-E86F651EC62D}" srcOrd="8" destOrd="0" parTransId="{9BA98E33-CC51-4824-89FC-FDE41AB5C552}" sibTransId="{CD3A2F59-499F-4520-844D-46C416D84638}"/>
    <dgm:cxn modelId="{44B206E3-F023-45BB-B5C1-D3F4237E05BD}" srcId="{0E9B5694-CA9B-499A-B790-B729590753DC}" destId="{7D72D198-A99B-4309-9C1B-7CAD815C6070}" srcOrd="7" destOrd="0" parTransId="{AC984230-A695-4C34-BFB1-8B6FD17CF6C0}" sibTransId="{7FFE083F-60F5-4A3E-A87C-953963FB8CDA}"/>
    <dgm:cxn modelId="{D680B0E8-816F-4043-B672-E784CB7CB771}" srcId="{0E9B5694-CA9B-499A-B790-B729590753DC}" destId="{EB712B6B-A419-4E76-867D-A056757F1E8A}" srcOrd="5" destOrd="0" parTransId="{EA9E7AAD-02C2-4BF9-BE80-748B65636B1C}" sibTransId="{084889F5-42F0-4F8B-B8A1-7A0C623F52B2}"/>
    <dgm:cxn modelId="{7B6BA383-D3F6-4B06-9B62-6B9CAEBA1B32}" type="presParOf" srcId="{0439156F-AA6A-4DDB-A3D9-F3CDF30489F9}" destId="{49060E47-25C4-4480-97EC-E383248309D7}" srcOrd="0" destOrd="0" presId="urn:diagrams.loki3.com/VaryingWidthList"/>
    <dgm:cxn modelId="{69A78ACE-ABA1-4888-AD66-3247C75B87C1}" type="presParOf" srcId="{0439156F-AA6A-4DDB-A3D9-F3CDF30489F9}" destId="{5587268E-C6CC-4955-885A-8E90011BB344}" srcOrd="1" destOrd="0" presId="urn:diagrams.loki3.com/VaryingWidthList"/>
    <dgm:cxn modelId="{55DBB7E4-3667-4DBB-ADC1-0113DCF00FAC}" type="presParOf" srcId="{0439156F-AA6A-4DDB-A3D9-F3CDF30489F9}" destId="{0142DAA0-2AD6-4DC7-9BFD-B2AC880CC821}" srcOrd="2" destOrd="0" presId="urn:diagrams.loki3.com/VaryingWidthList"/>
    <dgm:cxn modelId="{F2591692-8432-4CD5-B56D-02E6C6957F61}" type="presParOf" srcId="{0439156F-AA6A-4DDB-A3D9-F3CDF30489F9}" destId="{EA959CB0-06C8-4032-BD06-E0BDEBF51594}" srcOrd="3" destOrd="0" presId="urn:diagrams.loki3.com/VaryingWidthList"/>
    <dgm:cxn modelId="{C0C93B32-8439-4101-8363-8648ECFEEB4B}" type="presParOf" srcId="{0439156F-AA6A-4DDB-A3D9-F3CDF30489F9}" destId="{7EF51B88-569A-4BF2-BCD1-CC3173FFF865}" srcOrd="4" destOrd="0" presId="urn:diagrams.loki3.com/VaryingWidthList"/>
    <dgm:cxn modelId="{1A016B64-2CB8-4CD3-A926-72C364BA34CE}" type="presParOf" srcId="{0439156F-AA6A-4DDB-A3D9-F3CDF30489F9}" destId="{F83BBE74-5860-4FCE-9A1F-16990429BFB2}" srcOrd="5" destOrd="0" presId="urn:diagrams.loki3.com/VaryingWidthList"/>
    <dgm:cxn modelId="{0E723CF6-4E62-4ECD-81FA-91A3BB9C52D5}" type="presParOf" srcId="{0439156F-AA6A-4DDB-A3D9-F3CDF30489F9}" destId="{A47BC91D-EA57-4EBB-919C-E56CAF4CAA81}" srcOrd="6" destOrd="0" presId="urn:diagrams.loki3.com/VaryingWidthList"/>
    <dgm:cxn modelId="{ACF86A2A-8567-4606-B53F-9768600C0572}" type="presParOf" srcId="{0439156F-AA6A-4DDB-A3D9-F3CDF30489F9}" destId="{B6E32C21-C444-40E3-BC1E-206F780F1EC9}" srcOrd="7" destOrd="0" presId="urn:diagrams.loki3.com/VaryingWidthList"/>
    <dgm:cxn modelId="{29C61002-28AD-42F9-9860-055F962EF1E8}" type="presParOf" srcId="{0439156F-AA6A-4DDB-A3D9-F3CDF30489F9}" destId="{C8F4948C-AE7A-4960-B582-13A050B29D1A}" srcOrd="8" destOrd="0" presId="urn:diagrams.loki3.com/VaryingWidthList"/>
    <dgm:cxn modelId="{D0BD6022-527A-4093-B93F-9B21B3F99724}" type="presParOf" srcId="{0439156F-AA6A-4DDB-A3D9-F3CDF30489F9}" destId="{3CD28FA8-7DD3-463B-B9A2-AEB36D2175EE}" srcOrd="9" destOrd="0" presId="urn:diagrams.loki3.com/VaryingWidthList"/>
    <dgm:cxn modelId="{2A0A6CE7-1F90-4E28-9FD0-5B2DD9317930}" type="presParOf" srcId="{0439156F-AA6A-4DDB-A3D9-F3CDF30489F9}" destId="{EE5DE3F0-B656-4C95-A92F-8A504B5534BC}" srcOrd="10" destOrd="0" presId="urn:diagrams.loki3.com/VaryingWidthList"/>
    <dgm:cxn modelId="{C3E47BE3-64DA-448F-B62F-814E2343F95C}" type="presParOf" srcId="{0439156F-AA6A-4DDB-A3D9-F3CDF30489F9}" destId="{3FAB145D-8DA8-417E-88EC-085BB27455B2}" srcOrd="11" destOrd="0" presId="urn:diagrams.loki3.com/VaryingWidthList"/>
    <dgm:cxn modelId="{0110048F-DC80-487F-9F16-22880951D3E0}" type="presParOf" srcId="{0439156F-AA6A-4DDB-A3D9-F3CDF30489F9}" destId="{B544FAA4-26B6-4A88-8572-FC8026E3C886}" srcOrd="12" destOrd="0" presId="urn:diagrams.loki3.com/VaryingWidthList"/>
    <dgm:cxn modelId="{1C28BCF4-FBDC-4095-A090-07C01CE5468E}" type="presParOf" srcId="{0439156F-AA6A-4DDB-A3D9-F3CDF30489F9}" destId="{27B0E429-2D78-49B8-B4AD-08BD3448AFB5}" srcOrd="13" destOrd="0" presId="urn:diagrams.loki3.com/VaryingWidthList"/>
    <dgm:cxn modelId="{F3A3F9A5-FE47-4BBC-A687-9613F2085B08}" type="presParOf" srcId="{0439156F-AA6A-4DDB-A3D9-F3CDF30489F9}" destId="{6383A5E7-4A3C-4234-811D-BA2E9EFA2E95}" srcOrd="14" destOrd="0" presId="urn:diagrams.loki3.com/VaryingWidthList"/>
    <dgm:cxn modelId="{15FB446C-3291-491C-A517-B2BD4BBF757D}" type="presParOf" srcId="{0439156F-AA6A-4DDB-A3D9-F3CDF30489F9}" destId="{6E45CE00-B3E9-4355-8906-C8A95D802C3F}" srcOrd="15" destOrd="0" presId="urn:diagrams.loki3.com/VaryingWidthList"/>
    <dgm:cxn modelId="{911CBB91-CEA4-4E90-9019-3B75136D16DE}" type="presParOf" srcId="{0439156F-AA6A-4DDB-A3D9-F3CDF30489F9}" destId="{504780DB-6D46-4BAC-8419-D8433BCFABCE}" srcOrd="16" destOrd="0" presId="urn:diagrams.loki3.com/VaryingWidthList"/>
    <dgm:cxn modelId="{92626BB1-B684-49F9-9BC2-C176888AFD3C}" type="presParOf" srcId="{0439156F-AA6A-4DDB-A3D9-F3CDF30489F9}" destId="{F0FA0D7D-1831-4BD9-835F-50130A6C4486}" srcOrd="17" destOrd="0" presId="urn:diagrams.loki3.com/VaryingWidthList"/>
    <dgm:cxn modelId="{690AFFEE-5ED1-41E5-814A-62AF1E0B9446}" type="presParOf" srcId="{0439156F-AA6A-4DDB-A3D9-F3CDF30489F9}" destId="{5E448E02-D973-4E70-BBE9-66064DA1320C}" srcOrd="18" destOrd="0" presId="urn:diagrams.loki3.com/VaryingWidth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60E47-25C4-4480-97EC-E383248309D7}">
      <dsp:nvSpPr>
        <dsp:cNvPr id="0" name=""/>
        <dsp:cNvSpPr/>
      </dsp:nvSpPr>
      <dsp:spPr>
        <a:xfrm>
          <a:off x="3224003" y="51253"/>
          <a:ext cx="2700546" cy="996496"/>
        </a:xfrm>
        <a:prstGeom prst="roundRect">
          <a:avLst/>
        </a:prstGeom>
        <a:solidFill>
          <a:srgbClr val="0070C0">
            <a:alpha val="52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 identified through other sources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(N=120)</a:t>
          </a:r>
        </a:p>
      </dsp:txBody>
      <dsp:txXfrm>
        <a:off x="3272648" y="99898"/>
        <a:ext cx="2603256" cy="899206"/>
      </dsp:txXfrm>
    </dsp:sp>
    <dsp:sp modelId="{0142DAA0-2AD6-4DC7-9BFD-B2AC880CC821}">
      <dsp:nvSpPr>
        <dsp:cNvPr id="0" name=""/>
        <dsp:cNvSpPr/>
      </dsp:nvSpPr>
      <dsp:spPr>
        <a:xfrm>
          <a:off x="0" y="32446"/>
          <a:ext cx="2963272" cy="1008563"/>
        </a:xfrm>
        <a:prstGeom prst="flowChartAlternateProcess">
          <a:avLst/>
        </a:prstGeom>
        <a:solidFill>
          <a:srgbClr val="0070C0">
            <a:alpha val="55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identification through database searching</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(N= 540)  </a:t>
          </a:r>
        </a:p>
      </dsp:txBody>
      <dsp:txXfrm>
        <a:off x="49233" y="81679"/>
        <a:ext cx="2864806" cy="910097"/>
      </dsp:txXfrm>
    </dsp:sp>
    <dsp:sp modelId="{7EF51B88-569A-4BF2-BCD1-CC3173FFF865}">
      <dsp:nvSpPr>
        <dsp:cNvPr id="0" name=""/>
        <dsp:cNvSpPr/>
      </dsp:nvSpPr>
      <dsp:spPr>
        <a:xfrm>
          <a:off x="969444" y="1334860"/>
          <a:ext cx="3408397" cy="812916"/>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Total records identified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(N=660) </a:t>
          </a:r>
          <a:endParaRPr lang="en-US" sz="1200" kern="1200"/>
        </a:p>
      </dsp:txBody>
      <dsp:txXfrm>
        <a:off x="1009127" y="1374543"/>
        <a:ext cx="3329031" cy="733550"/>
      </dsp:txXfrm>
    </dsp:sp>
    <dsp:sp modelId="{A47BC91D-EA57-4EBB-919C-E56CAF4CAA81}">
      <dsp:nvSpPr>
        <dsp:cNvPr id="0" name=""/>
        <dsp:cNvSpPr/>
      </dsp:nvSpPr>
      <dsp:spPr>
        <a:xfrm>
          <a:off x="114264" y="2453992"/>
          <a:ext cx="2711787" cy="506019"/>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Duplicate records were removed (n=165)</a:t>
          </a:r>
        </a:p>
      </dsp:txBody>
      <dsp:txXfrm>
        <a:off x="138966" y="2478694"/>
        <a:ext cx="2662383" cy="456615"/>
      </dsp:txXfrm>
    </dsp:sp>
    <dsp:sp modelId="{C8F4948C-AE7A-4960-B582-13A050B29D1A}">
      <dsp:nvSpPr>
        <dsp:cNvPr id="0" name=""/>
        <dsp:cNvSpPr/>
      </dsp:nvSpPr>
      <dsp:spPr>
        <a:xfrm>
          <a:off x="3216032" y="3114396"/>
          <a:ext cx="2708517" cy="786877"/>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excluded</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(n=264)</a:t>
          </a:r>
        </a:p>
      </dsp:txBody>
      <dsp:txXfrm>
        <a:off x="3254444" y="3152808"/>
        <a:ext cx="2631693" cy="710053"/>
      </dsp:txXfrm>
    </dsp:sp>
    <dsp:sp modelId="{EE5DE3F0-B656-4C95-A92F-8A504B5534BC}">
      <dsp:nvSpPr>
        <dsp:cNvPr id="0" name=""/>
        <dsp:cNvSpPr/>
      </dsp:nvSpPr>
      <dsp:spPr>
        <a:xfrm>
          <a:off x="86826" y="3296073"/>
          <a:ext cx="2699111" cy="510124"/>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dk1">
                  <a:hueOff val="0"/>
                  <a:satOff val="0"/>
                  <a:lumOff val="0"/>
                </a:schemeClr>
              </a:solidFill>
              <a:latin typeface="Times New Roman" panose="02020603050405020304" pitchFamily="18" charset="0"/>
              <a:cs typeface="Times New Roman" panose="02020603050405020304" pitchFamily="18" charset="0"/>
            </a:rPr>
            <a:t>Titles and abstracts screened (n= 495)</a:t>
          </a:r>
        </a:p>
      </dsp:txBody>
      <dsp:txXfrm>
        <a:off x="111728" y="3320975"/>
        <a:ext cx="2649307" cy="460320"/>
      </dsp:txXfrm>
    </dsp:sp>
    <dsp:sp modelId="{B544FAA4-26B6-4A88-8572-FC8026E3C886}">
      <dsp:nvSpPr>
        <dsp:cNvPr id="0" name=""/>
        <dsp:cNvSpPr/>
      </dsp:nvSpPr>
      <dsp:spPr>
        <a:xfrm>
          <a:off x="114411" y="4205071"/>
          <a:ext cx="2690371" cy="707172"/>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dk1">
                  <a:hueOff val="0"/>
                  <a:satOff val="0"/>
                  <a:lumOff val="0"/>
                </a:schemeClr>
              </a:solidFill>
              <a:latin typeface="Times New Roman" panose="02020603050405020304" pitchFamily="18" charset="0"/>
              <a:cs typeface="Times New Roman" panose="02020603050405020304" pitchFamily="18" charset="0"/>
            </a:rPr>
            <a:t>Full-text versions of the selected studies </a:t>
          </a:r>
        </a:p>
        <a:p>
          <a:pPr marL="0" lvl="0" indent="0" algn="ctr" defTabSz="533400">
            <a:lnSpc>
              <a:spcPct val="90000"/>
            </a:lnSpc>
            <a:spcBef>
              <a:spcPct val="0"/>
            </a:spcBef>
            <a:spcAft>
              <a:spcPct val="35000"/>
            </a:spcAft>
            <a:buNone/>
          </a:pPr>
          <a:r>
            <a:rPr lang="en-US" sz="1200" kern="1200">
              <a:solidFill>
                <a:schemeClr val="dk1">
                  <a:hueOff val="0"/>
                  <a:satOff val="0"/>
                  <a:lumOff val="0"/>
                </a:schemeClr>
              </a:solidFill>
              <a:latin typeface="Times New Roman" panose="02020603050405020304" pitchFamily="18" charset="0"/>
              <a:cs typeface="Times New Roman" panose="02020603050405020304" pitchFamily="18" charset="0"/>
            </a:rPr>
            <a:t>(n= 231)</a:t>
          </a:r>
        </a:p>
      </dsp:txBody>
      <dsp:txXfrm>
        <a:off x="148932" y="4239592"/>
        <a:ext cx="2621329" cy="638130"/>
      </dsp:txXfrm>
    </dsp:sp>
    <dsp:sp modelId="{6383A5E7-4A3C-4234-811D-BA2E9EFA2E95}">
      <dsp:nvSpPr>
        <dsp:cNvPr id="0" name=""/>
        <dsp:cNvSpPr/>
      </dsp:nvSpPr>
      <dsp:spPr>
        <a:xfrm>
          <a:off x="3217024" y="4155165"/>
          <a:ext cx="2707525" cy="778785"/>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Full-test articles excluded with reasons for exclusion (n=179)</a:t>
          </a:r>
        </a:p>
      </dsp:txBody>
      <dsp:txXfrm>
        <a:off x="3255041" y="4193182"/>
        <a:ext cx="2631491" cy="702751"/>
      </dsp:txXfrm>
    </dsp:sp>
    <dsp:sp modelId="{504780DB-6D46-4BAC-8419-D8433BCFABCE}">
      <dsp:nvSpPr>
        <dsp:cNvPr id="0" name=""/>
        <dsp:cNvSpPr/>
      </dsp:nvSpPr>
      <dsp:spPr>
        <a:xfrm>
          <a:off x="68412" y="5500347"/>
          <a:ext cx="2715103" cy="620698"/>
        </a:xfrm>
        <a:prstGeom prst="roundRect">
          <a:avLst/>
        </a:prstGeom>
        <a:solidFill>
          <a:srgbClr val="0070C0">
            <a:alpha val="50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assessing Green Buildings and Climate Change Adaptation</a:t>
          </a:r>
        </a:p>
      </dsp:txBody>
      <dsp:txXfrm>
        <a:off x="98712" y="5530647"/>
        <a:ext cx="2654503" cy="560098"/>
      </dsp:txXfrm>
    </dsp:sp>
    <dsp:sp modelId="{5E448E02-D973-4E70-BBE9-66064DA1320C}">
      <dsp:nvSpPr>
        <dsp:cNvPr id="0" name=""/>
        <dsp:cNvSpPr/>
      </dsp:nvSpPr>
      <dsp:spPr>
        <a:xfrm>
          <a:off x="92677" y="6672972"/>
          <a:ext cx="2720520" cy="577838"/>
        </a:xfrm>
        <a:prstGeom prst="roundRect">
          <a:avLst/>
        </a:prstGeom>
        <a:solidFill>
          <a:srgbClr val="0070C0">
            <a:alpha val="49000"/>
          </a:srgb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included in the review (n= 52)</a:t>
          </a:r>
        </a:p>
      </dsp:txBody>
      <dsp:txXfrm>
        <a:off x="120885" y="6701180"/>
        <a:ext cx="2664104" cy="521422"/>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9EF19E8-3AE0-4DB1-B2F5-87AC0C81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8438</Words>
  <Characters>48103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dc:creator>
  <cp:keywords/>
  <dc:description/>
  <cp:lastModifiedBy>SDI 1158</cp:lastModifiedBy>
  <cp:revision>7</cp:revision>
  <dcterms:created xsi:type="dcterms:W3CDTF">2026-02-15T22:46:00Z</dcterms:created>
  <dcterms:modified xsi:type="dcterms:W3CDTF">2026-02-21T08:33:00Z</dcterms:modified>
</cp:coreProperties>
</file>