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483" w:rsidRDefault="000B4739">
      <w:pPr>
        <w:spacing w:before="240" w:after="240" w:line="240" w:lineRule="auto"/>
        <w:jc w:val="right"/>
        <w:rPr>
          <w:b/>
          <w:sz w:val="36"/>
          <w:szCs w:val="36"/>
        </w:rPr>
      </w:pPr>
      <w:bookmarkStart w:id="0" w:name="_gkbmnuy8f3d5" w:colFirst="0" w:colLast="0"/>
      <w:bookmarkEnd w:id="0"/>
      <w:r>
        <w:rPr>
          <w:b/>
          <w:sz w:val="36"/>
          <w:szCs w:val="36"/>
        </w:rPr>
        <w:t xml:space="preserve">Analyzing Job Motivation among Financial Institution Employees in Cateel: A Descriptive Study </w:t>
      </w:r>
    </w:p>
    <w:p w:rsidR="00EE3483" w:rsidRDefault="00EE3483">
      <w:pPr>
        <w:spacing w:before="240" w:after="240" w:line="240" w:lineRule="auto"/>
        <w:jc w:val="right"/>
        <w:rPr>
          <w:b/>
          <w:sz w:val="20"/>
          <w:szCs w:val="20"/>
        </w:rPr>
      </w:pPr>
    </w:p>
    <w:p w:rsidR="00EE3483" w:rsidRDefault="000B4739">
      <w:pPr>
        <w:spacing w:before="240" w:after="240" w:line="240" w:lineRule="auto"/>
        <w:jc w:val="right"/>
        <w:rPr>
          <w:b/>
          <w:sz w:val="20"/>
          <w:szCs w:val="20"/>
        </w:rPr>
      </w:pPr>
      <w:r>
        <w:rPr>
          <w:noProof/>
        </w:rPr>
        <mc:AlternateContent>
          <mc:Choice Requires="wps">
            <w:drawing>
              <wp:anchor distT="0" distB="0" distL="0" distR="0" simplePos="0" relativeHeight="2" behindDoc="0" locked="0" layoutInCell="1" allowOverlap="1">
                <wp:simplePos x="0" y="0"/>
                <wp:positionH relativeFrom="column">
                  <wp:posOffset>-12698</wp:posOffset>
                </wp:positionH>
                <wp:positionV relativeFrom="paragraph">
                  <wp:posOffset>165100</wp:posOffset>
                </wp:positionV>
                <wp:extent cx="5841999" cy="12857"/>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flipV="1">
                          <a:off x="0" y="0"/>
                          <a:ext cx="5841999" cy="12857"/>
                        </a:xfrm>
                        <a:prstGeom prst="straightConnector1">
                          <a:avLst/>
                        </a:prstGeom>
                        <a:ln w="254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1.0pt;margin-top:13.0pt;width:460.0pt;height:1.01pt;z-index:2;mso-position-horizontal-relative:text;mso-position-vertical-relative:text;mso-width-relative:page;mso-height-relative:page;mso-wrap-distance-left:0.0pt;mso-wrap-distance-right:0.0pt;visibility:visible;rotation:-11796480fd;flip:x y;">
                <v:stroke startarrowwidth="narrow" startarrowlength="short" endarrowwidth="narrow" endarrowlength="short" weight="2.0pt"/>
                <v:fill/>
              </v:shape>
            </w:pict>
          </mc:Fallback>
        </mc:AlternateContent>
      </w:r>
    </w:p>
    <w:p w:rsidR="00EE3483" w:rsidRDefault="000B4739">
      <w:pPr>
        <w:spacing w:before="240" w:after="240" w:line="240" w:lineRule="auto"/>
        <w:jc w:val="left"/>
        <w:rPr>
          <w:b/>
          <w:sz w:val="22"/>
          <w:szCs w:val="22"/>
        </w:rPr>
      </w:pPr>
      <w:r>
        <w:rPr>
          <w:b/>
          <w:sz w:val="22"/>
          <w:szCs w:val="22"/>
        </w:rPr>
        <w:t>ABSTRACT</w:t>
      </w:r>
    </w:p>
    <w:tbl>
      <w:tblPr>
        <w:tblStyle w:val="a"/>
        <w:tblW w:w="9319"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9"/>
      </w:tblGrid>
      <w:tr w:rsidR="00EE3483">
        <w:trPr>
          <w:trHeight w:val="2505"/>
        </w:trPr>
        <w:tc>
          <w:tcPr>
            <w:tcW w:w="9319" w:type="dxa"/>
          </w:tcPr>
          <w:p w:rsidR="00EE3483" w:rsidRDefault="000B4739">
            <w:pPr>
              <w:spacing w:before="240" w:after="240" w:line="240" w:lineRule="auto"/>
              <w:rPr>
                <w:sz w:val="20"/>
                <w:szCs w:val="20"/>
              </w:rPr>
            </w:pPr>
            <w:r>
              <w:rPr>
                <w:sz w:val="20"/>
                <w:szCs w:val="20"/>
              </w:rPr>
              <w:t>This study assessed job motivation among employees of financial institutions in Cateel, Davao Oriental, during the second semester of AY 2024–2025. Anchored on Maslow’s theory, the study employed a quantitative-descriptive design with 84 respondents selected through complete enumeration. Data were collected using a questionnaire adapted from Tan and Waheed (2011) and analyzed through descriptive statistics, independent-samples t-tests, and one-way ANOVA. Results revealed very high motivation levels regarding intrinsic ($M = 4.50, SD = 0.26$), extrinsic ($M = 4.40, SD = 0.41$), and work environment factors ($M = 4.45, SD = 0.43$), with an overall mean of 4.45 ($SD = 0.33$). No significant differences were found across demographic variables. The findings suggest that the financial institution workforce in Cateel is demographically balanced, with motivation levels remaining consistent across age, gender, position, and experience. These results indicate that universal motivational strategies effectively mitigate demographic disparities, suggesting that organizational policy should prioritize formalizing mentorship and agile feedback systems to sustain this high-engagement climate. Furthermore, the study establishes a high-motivation benchmark for future comparative research between provincial financial sectors and metropolitan banking hubs. The findings indicate a supportive and inclusive work environment, and the study recommends mentorship programs, personalized development plans, and agile feedback systems to further enhance employee motivation.</w:t>
            </w:r>
          </w:p>
        </w:tc>
      </w:tr>
    </w:tbl>
    <w:p w:rsidR="003E2EB4" w:rsidRDefault="003E2EB4">
      <w:pPr>
        <w:spacing w:line="240" w:lineRule="auto"/>
        <w:rPr>
          <w:i/>
          <w:sz w:val="20"/>
          <w:szCs w:val="20"/>
        </w:rPr>
      </w:pPr>
    </w:p>
    <w:p w:rsidR="00EE3483" w:rsidRDefault="000B4739">
      <w:pPr>
        <w:spacing w:line="240" w:lineRule="auto"/>
        <w:rPr>
          <w:b/>
          <w:sz w:val="20"/>
          <w:szCs w:val="20"/>
        </w:rPr>
      </w:pPr>
      <w:r w:rsidRPr="003E2EB4">
        <w:rPr>
          <w:b/>
          <w:i/>
          <w:sz w:val="20"/>
          <w:szCs w:val="20"/>
        </w:rPr>
        <w:t>Keywords:</w:t>
      </w:r>
      <w:r>
        <w:rPr>
          <w:i/>
          <w:sz w:val="20"/>
          <w:szCs w:val="20"/>
        </w:rPr>
        <w:t xml:space="preserve"> </w:t>
      </w:r>
      <w:r>
        <w:rPr>
          <w:i/>
          <w:iCs/>
          <w:szCs w:val="22"/>
          <w:lang w:val="en-PH"/>
        </w:rPr>
        <w:t>employee engagement, extrinsic motivation, financial institutions, intrinsic motivation, job motivation,</w:t>
      </w:r>
      <w:r>
        <w:rPr>
          <w:i/>
          <w:iCs/>
          <w:szCs w:val="22"/>
        </w:rPr>
        <w:t xml:space="preserve"> </w:t>
      </w:r>
      <w:r>
        <w:rPr>
          <w:i/>
          <w:iCs/>
          <w:szCs w:val="22"/>
          <w:lang w:val="en-PH"/>
        </w:rPr>
        <w:t>work environment,</w:t>
      </w:r>
    </w:p>
    <w:p w:rsidR="00EE3483" w:rsidRDefault="00EE3483">
      <w:pPr>
        <w:spacing w:line="240" w:lineRule="auto"/>
        <w:rPr>
          <w:b/>
          <w:sz w:val="20"/>
          <w:szCs w:val="20"/>
        </w:rPr>
      </w:pPr>
    </w:p>
    <w:p w:rsidR="00EE3483" w:rsidRDefault="000B4739">
      <w:pPr>
        <w:spacing w:line="240" w:lineRule="auto"/>
        <w:rPr>
          <w:sz w:val="20"/>
          <w:szCs w:val="20"/>
        </w:rPr>
      </w:pPr>
      <w:r>
        <w:rPr>
          <w:b/>
          <w:sz w:val="20"/>
          <w:szCs w:val="20"/>
        </w:rPr>
        <w:t>1.0 INTRODUCTION</w:t>
      </w:r>
      <w:r>
        <w:rPr>
          <w:sz w:val="20"/>
          <w:szCs w:val="20"/>
        </w:rPr>
        <w:t xml:space="preserve">              </w:t>
      </w:r>
    </w:p>
    <w:p w:rsidR="00EE3483" w:rsidRDefault="000B4739">
      <w:pPr>
        <w:spacing w:before="240" w:after="240" w:line="240" w:lineRule="auto"/>
        <w:rPr>
          <w:sz w:val="20"/>
          <w:szCs w:val="20"/>
        </w:rPr>
      </w:pPr>
      <w:r>
        <w:rPr>
          <w:sz w:val="20"/>
          <w:szCs w:val="20"/>
        </w:rPr>
        <w:t xml:space="preserve">Employees in financial institutions often experience diminished job motivation due to limited opportunities for growth and career advancement, leading to reduced engagement and increased turnover (Ng et al., 2024; Minzlaff et al., 2024). Existing literature indicates that investing in professional development enhances motivation, supports employee growth, and strengthens workforce stability (Shiri et al., 2023; Shahid, 2017). </w:t>
      </w:r>
    </w:p>
    <w:p w:rsidR="00EE3483" w:rsidRDefault="000B4739">
      <w:pPr>
        <w:spacing w:before="240" w:after="240" w:line="240" w:lineRule="auto"/>
        <w:rPr>
          <w:sz w:val="20"/>
          <w:szCs w:val="20"/>
        </w:rPr>
      </w:pPr>
      <w:r>
        <w:rPr>
          <w:sz w:val="20"/>
          <w:szCs w:val="20"/>
        </w:rPr>
        <w:t xml:space="preserve">In competitive markets such as Vietnam and the Philippines, employee turnover remains a significant challenge, frequently linked to unmet expectations and low motivation (Hoang et al., 2023; Ngan et al., 2019; Dutta &amp; Banerjee, 2014; IBPAP &amp; Team Asia, 2014; Fazio et al., 2017). </w:t>
      </w:r>
    </w:p>
    <w:p w:rsidR="00EE3483" w:rsidRDefault="000B4739">
      <w:pPr>
        <w:spacing w:before="240" w:after="240" w:line="240" w:lineRule="auto"/>
        <w:rPr>
          <w:sz w:val="20"/>
          <w:szCs w:val="20"/>
        </w:rPr>
      </w:pPr>
      <w:r>
        <w:rPr>
          <w:sz w:val="20"/>
          <w:szCs w:val="20"/>
        </w:rPr>
        <w:t xml:space="preserve">Research consistently indicates that motivated employees exhibit higher productivity, commitment, and positive workplace behaviors, particularly in service-oriented sectors like finance (Azzam &amp; Harsono, 2021; Calamba, 2019; Blanco &amp; Sison, 2020; Onia, 2021; Robbins &amp; Judge, 2017; Nguyen et al., 2020). </w:t>
      </w:r>
    </w:p>
    <w:p w:rsidR="00EE3483" w:rsidRDefault="000B4739">
      <w:pPr>
        <w:spacing w:before="240" w:after="240" w:line="240" w:lineRule="auto"/>
        <w:rPr>
          <w:sz w:val="20"/>
          <w:szCs w:val="20"/>
        </w:rPr>
      </w:pPr>
      <w:r>
        <w:rPr>
          <w:sz w:val="20"/>
          <w:szCs w:val="20"/>
        </w:rPr>
        <w:t>Despite growing awareness of these issues, localized studies remain limited, especially in Cateel, Davao Oriental. Grounded in Maslow’s Hierarchy of Needs, this study aims to examine job motivation among financial institution employees in Cateel to inform strategies that enhance retention, satisfaction, and long-term organizational performance.</w:t>
      </w:r>
    </w:p>
    <w:p w:rsidR="00EE3483" w:rsidRDefault="000B4739">
      <w:pPr>
        <w:spacing w:before="240" w:after="240" w:line="240" w:lineRule="auto"/>
        <w:rPr>
          <w:b/>
          <w:sz w:val="20"/>
          <w:szCs w:val="20"/>
        </w:rPr>
      </w:pPr>
      <w:r>
        <w:rPr>
          <w:b/>
          <w:sz w:val="20"/>
          <w:szCs w:val="20"/>
        </w:rPr>
        <w:lastRenderedPageBreak/>
        <w:t xml:space="preserve">2. OBJECTIVES </w:t>
      </w:r>
    </w:p>
    <w:p w:rsidR="00EE3483" w:rsidRDefault="000B4739">
      <w:pPr>
        <w:spacing w:before="240" w:after="240" w:line="240" w:lineRule="auto"/>
        <w:rPr>
          <w:sz w:val="20"/>
          <w:szCs w:val="20"/>
        </w:rPr>
      </w:pPr>
      <w:r>
        <w:rPr>
          <w:b/>
          <w:sz w:val="20"/>
          <w:szCs w:val="20"/>
        </w:rPr>
        <w:t xml:space="preserve">  </w:t>
      </w:r>
      <w:bookmarkStart w:id="1" w:name="_GoBack"/>
      <w:bookmarkEnd w:id="1"/>
      <w:r>
        <w:rPr>
          <w:sz w:val="20"/>
          <w:szCs w:val="20"/>
        </w:rPr>
        <w:t>This study aimed to determine the level of job motivators among financial institution workers in Cateel, Davao Oriental, specifically:</w:t>
      </w:r>
    </w:p>
    <w:p w:rsidR="00EE3483" w:rsidRDefault="000B4739">
      <w:pPr>
        <w:spacing w:before="240" w:after="240" w:line="240" w:lineRule="auto"/>
        <w:rPr>
          <w:sz w:val="20"/>
          <w:szCs w:val="20"/>
        </w:rPr>
      </w:pPr>
      <w:r>
        <w:rPr>
          <w:sz w:val="20"/>
          <w:szCs w:val="20"/>
        </w:rPr>
        <w:t>1. To identify the profile of the respondents in terms of</w:t>
      </w:r>
      <w:r w:rsidR="002515CC">
        <w:rPr>
          <w:sz w:val="20"/>
          <w:szCs w:val="20"/>
        </w:rPr>
        <w:t xml:space="preserve"> </w:t>
      </w:r>
      <w:r>
        <w:rPr>
          <w:sz w:val="20"/>
          <w:szCs w:val="20"/>
        </w:rPr>
        <w:t>age;</w:t>
      </w:r>
      <w:r w:rsidR="002515CC">
        <w:rPr>
          <w:sz w:val="20"/>
          <w:szCs w:val="20"/>
        </w:rPr>
        <w:t xml:space="preserve"> </w:t>
      </w:r>
      <w:r>
        <w:rPr>
          <w:sz w:val="20"/>
          <w:szCs w:val="20"/>
        </w:rPr>
        <w:t>sex;</w:t>
      </w:r>
      <w:r w:rsidR="002515CC">
        <w:rPr>
          <w:sz w:val="20"/>
          <w:szCs w:val="20"/>
        </w:rPr>
        <w:t xml:space="preserve"> </w:t>
      </w:r>
      <w:r>
        <w:rPr>
          <w:sz w:val="20"/>
          <w:szCs w:val="20"/>
        </w:rPr>
        <w:t>position;</w:t>
      </w:r>
      <w:r w:rsidR="002515CC">
        <w:rPr>
          <w:sz w:val="20"/>
          <w:szCs w:val="20"/>
        </w:rPr>
        <w:t xml:space="preserve"> </w:t>
      </w:r>
      <w:r>
        <w:rPr>
          <w:sz w:val="20"/>
          <w:szCs w:val="20"/>
        </w:rPr>
        <w:t>status; and</w:t>
      </w:r>
      <w:r w:rsidR="002515CC">
        <w:rPr>
          <w:sz w:val="20"/>
          <w:szCs w:val="20"/>
        </w:rPr>
        <w:t xml:space="preserve"> </w:t>
      </w:r>
      <w:r>
        <w:rPr>
          <w:sz w:val="20"/>
          <w:szCs w:val="20"/>
        </w:rPr>
        <w:t>number of years of employment.</w:t>
      </w:r>
    </w:p>
    <w:p w:rsidR="00EE3483" w:rsidRDefault="000B4739">
      <w:pPr>
        <w:spacing w:before="240" w:after="240" w:line="240" w:lineRule="auto"/>
        <w:rPr>
          <w:sz w:val="20"/>
          <w:szCs w:val="20"/>
        </w:rPr>
      </w:pPr>
      <w:r>
        <w:rPr>
          <w:sz w:val="20"/>
          <w:szCs w:val="20"/>
        </w:rPr>
        <w:t>2. To determine the level of job motivators of financial institution employees in terms of</w:t>
      </w:r>
      <w:r w:rsidR="002515CC">
        <w:rPr>
          <w:sz w:val="20"/>
          <w:szCs w:val="20"/>
        </w:rPr>
        <w:t xml:space="preserve"> </w:t>
      </w:r>
      <w:r>
        <w:rPr>
          <w:sz w:val="20"/>
          <w:szCs w:val="20"/>
        </w:rPr>
        <w:t>intrinsic motivation;</w:t>
      </w:r>
      <w:r w:rsidR="002515CC">
        <w:rPr>
          <w:sz w:val="20"/>
          <w:szCs w:val="20"/>
        </w:rPr>
        <w:t xml:space="preserve"> </w:t>
      </w:r>
      <w:r>
        <w:rPr>
          <w:sz w:val="20"/>
          <w:szCs w:val="20"/>
        </w:rPr>
        <w:t>extrinsic motivation; and</w:t>
      </w:r>
      <w:r w:rsidR="002515CC">
        <w:rPr>
          <w:sz w:val="20"/>
          <w:szCs w:val="20"/>
        </w:rPr>
        <w:t xml:space="preserve"> </w:t>
      </w:r>
      <w:r>
        <w:rPr>
          <w:sz w:val="20"/>
          <w:szCs w:val="20"/>
        </w:rPr>
        <w:t xml:space="preserve">work environment. </w:t>
      </w:r>
    </w:p>
    <w:p w:rsidR="00EE3483" w:rsidRDefault="000B4739">
      <w:pPr>
        <w:spacing w:before="240" w:after="240" w:line="240" w:lineRule="auto"/>
        <w:rPr>
          <w:b/>
          <w:sz w:val="20"/>
          <w:szCs w:val="20"/>
        </w:rPr>
      </w:pPr>
      <w:r>
        <w:rPr>
          <w:sz w:val="20"/>
          <w:szCs w:val="20"/>
        </w:rPr>
        <w:t>3. To identify if there is a significant difference in the level of job motivators among financial institution workers in Cateel when respondents are grouped according to profile.</w:t>
      </w:r>
    </w:p>
    <w:p w:rsidR="00EE3483" w:rsidRDefault="000B4739">
      <w:pPr>
        <w:spacing w:before="240" w:after="240" w:line="240" w:lineRule="auto"/>
        <w:rPr>
          <w:b/>
          <w:sz w:val="20"/>
          <w:szCs w:val="20"/>
        </w:rPr>
        <w:sectPr w:rsidR="00EE3483">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pgNumType w:start="1"/>
          <w:cols w:space="720"/>
        </w:sectPr>
      </w:pPr>
      <w:r>
        <w:rPr>
          <w:b/>
          <w:sz w:val="20"/>
          <w:szCs w:val="20"/>
        </w:rPr>
        <w:t xml:space="preserve">3. METHODOLOGY </w:t>
      </w:r>
    </w:p>
    <w:p w:rsidR="00EE3483" w:rsidRDefault="000B4739">
      <w:pPr>
        <w:spacing w:line="240" w:lineRule="auto"/>
        <w:rPr>
          <w:sz w:val="20"/>
          <w:szCs w:val="20"/>
        </w:rPr>
      </w:pPr>
      <w:r>
        <w:rPr>
          <w:b/>
          <w:sz w:val="20"/>
          <w:szCs w:val="20"/>
        </w:rPr>
        <w:t>3.1 Research Design</w:t>
      </w:r>
    </w:p>
    <w:p w:rsidR="00EE3483" w:rsidRDefault="000B4739">
      <w:pPr>
        <w:spacing w:line="240" w:lineRule="auto"/>
        <w:rPr>
          <w:sz w:val="20"/>
          <w:szCs w:val="20"/>
        </w:rPr>
      </w:pPr>
      <w:r>
        <w:rPr>
          <w:sz w:val="20"/>
          <w:szCs w:val="20"/>
        </w:rPr>
        <w:t xml:space="preserve">            This study used a descriptive quantitative research design to systematically describe characteristics of a specific population without manipulating variables (Ghanad, 2023). Quantitative research involves measuring variables numerically and analyzing them statistically to test ideas and generate generalizations (Mohajan, 2020). Descriptive research focuses on accurately presenting attributes, behaviors, or perceptions of a group (Doyle et al., 2023). Accordingly, this design was suitable for examining the job motivators of bank and pawnshop workers in Cateel, Davao Oriental by analyzing numerical data on intrinsic motivation, extrinsic motivation, and perceptions of the work environment.</w:t>
      </w:r>
    </w:p>
    <w:p w:rsidR="00EE3483" w:rsidRDefault="00EE3483">
      <w:pPr>
        <w:spacing w:line="240" w:lineRule="auto"/>
        <w:rPr>
          <w:sz w:val="20"/>
          <w:szCs w:val="20"/>
        </w:rPr>
      </w:pPr>
    </w:p>
    <w:p w:rsidR="00EE3483" w:rsidRDefault="000B4739">
      <w:pPr>
        <w:spacing w:line="240" w:lineRule="auto"/>
        <w:rPr>
          <w:sz w:val="20"/>
          <w:szCs w:val="20"/>
        </w:rPr>
      </w:pPr>
      <w:r>
        <w:rPr>
          <w:b/>
          <w:sz w:val="20"/>
          <w:szCs w:val="20"/>
        </w:rPr>
        <w:t>3.2 Research Locale</w:t>
      </w:r>
    </w:p>
    <w:p w:rsidR="00EE3483" w:rsidRDefault="000B4739">
      <w:pPr>
        <w:spacing w:line="240" w:lineRule="auto"/>
        <w:rPr>
          <w:sz w:val="20"/>
          <w:szCs w:val="20"/>
        </w:rPr>
      </w:pPr>
      <w:r>
        <w:rPr>
          <w:sz w:val="20"/>
          <w:szCs w:val="20"/>
        </w:rPr>
        <w:t xml:space="preserve">             The research study primarily focused on employees of financial institutions and was conducted in the Municipality of Cateel, Davao Oriental. The respondents primarily came from pawnshops, banks, and other financial institutions located in Cateel, Davao Oriental, namely RD Pawnshop, M-Lhuillier, Palawan Pawnshop, Cebuana Lhuillier, Cantilan Bank, Baybank, Enterprise Bank, Card Inc., BDO Network Bank, BanKo, and Pantukan Chess Club. Additionally, the investigation was completed in April 2025.</w:t>
      </w:r>
    </w:p>
    <w:p w:rsidR="00EE3483" w:rsidRDefault="00EE3483">
      <w:pPr>
        <w:spacing w:line="240" w:lineRule="auto"/>
        <w:rPr>
          <w:sz w:val="20"/>
          <w:szCs w:val="20"/>
        </w:rPr>
      </w:pPr>
    </w:p>
    <w:p w:rsidR="00EE3483" w:rsidRDefault="000B4739">
      <w:pPr>
        <w:spacing w:line="240" w:lineRule="auto"/>
        <w:rPr>
          <w:b/>
          <w:sz w:val="20"/>
          <w:szCs w:val="20"/>
        </w:rPr>
      </w:pPr>
      <w:r>
        <w:rPr>
          <w:b/>
          <w:sz w:val="20"/>
          <w:szCs w:val="20"/>
        </w:rPr>
        <w:t>3.3 Research Participants</w:t>
      </w:r>
    </w:p>
    <w:p w:rsidR="00EE3483" w:rsidRDefault="000B4739">
      <w:pPr>
        <w:spacing w:line="240" w:lineRule="auto"/>
        <w:rPr>
          <w:sz w:val="20"/>
          <w:szCs w:val="20"/>
        </w:rPr>
      </w:pPr>
      <w:r>
        <w:rPr>
          <w:b/>
          <w:sz w:val="20"/>
          <w:szCs w:val="20"/>
        </w:rPr>
        <w:t xml:space="preserve">        </w:t>
      </w:r>
      <w:r>
        <w:rPr>
          <w:sz w:val="20"/>
          <w:szCs w:val="20"/>
        </w:rPr>
        <w:t xml:space="preserve">The study involved 84 employees from financial institutions in Cateel, Davao Oriental, selected through stratified and purposive sampling. Participants were required to have at least two years of work experience. Consent and background information were provided to ensure informed participation, and only individuals with the specified qualifications were included due to their relevant knowledge and experience. </w:t>
      </w:r>
    </w:p>
    <w:tbl>
      <w:tblPr>
        <w:tblStyle w:val="a0"/>
        <w:tblpPr w:leftFromText="180" w:rightFromText="180" w:vertAnchor="text" w:horzAnchor="page" w:tblpX="1534" w:tblpY="129"/>
        <w:tblW w:w="91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7"/>
        <w:gridCol w:w="4428"/>
        <w:gridCol w:w="2151"/>
      </w:tblGrid>
      <w:tr w:rsidR="00EE3483">
        <w:trPr>
          <w:trHeight w:val="467"/>
        </w:trPr>
        <w:tc>
          <w:tcPr>
            <w:tcW w:w="2567"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b/>
                <w:sz w:val="20"/>
                <w:szCs w:val="20"/>
              </w:rPr>
            </w:pPr>
            <w:r>
              <w:rPr>
                <w:rFonts w:ascii="Arial" w:eastAsia="Arial" w:hAnsi="Arial" w:cs="Arial"/>
                <w:b/>
                <w:sz w:val="20"/>
                <w:szCs w:val="20"/>
              </w:rPr>
              <w:t>Respondents</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b/>
                <w:sz w:val="20"/>
                <w:szCs w:val="20"/>
              </w:rPr>
            </w:pPr>
            <w:r>
              <w:rPr>
                <w:rFonts w:ascii="Arial" w:eastAsia="Arial" w:hAnsi="Arial" w:cs="Arial"/>
                <w:b/>
                <w:sz w:val="20"/>
                <w:szCs w:val="20"/>
              </w:rPr>
              <w:t>Population</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b/>
                <w:sz w:val="20"/>
                <w:szCs w:val="20"/>
              </w:rPr>
            </w:pPr>
            <w:r>
              <w:rPr>
                <w:rFonts w:ascii="Arial" w:eastAsia="Arial" w:hAnsi="Arial" w:cs="Arial"/>
                <w:b/>
                <w:sz w:val="20"/>
                <w:szCs w:val="20"/>
              </w:rPr>
              <w:t>Sample Size (n</w:t>
            </w:r>
            <w:r>
              <w:rPr>
                <w:rFonts w:ascii="Arial" w:eastAsia="Arial" w:hAnsi="Arial" w:cs="Arial"/>
                <w:b/>
                <w:i/>
                <w:sz w:val="20"/>
                <w:szCs w:val="20"/>
              </w:rPr>
              <w:t>i</w:t>
            </w:r>
            <w:r>
              <w:rPr>
                <w:rFonts w:ascii="Arial" w:eastAsia="Arial" w:hAnsi="Arial" w:cs="Arial"/>
                <w:b/>
                <w:sz w:val="20"/>
                <w:szCs w:val="20"/>
              </w:rPr>
              <w:t>)</w:t>
            </w:r>
          </w:p>
        </w:tc>
      </w:tr>
      <w:tr w:rsidR="00EE3483">
        <w:trPr>
          <w:trHeight w:val="327"/>
        </w:trPr>
        <w:tc>
          <w:tcPr>
            <w:tcW w:w="2567" w:type="dxa"/>
            <w:tcBorders>
              <w:top w:val="single" w:sz="4" w:space="0" w:color="000000"/>
              <w:left w:val="nil"/>
              <w:bottom w:val="nil"/>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 xml:space="preserve">RD Pawnshop </w:t>
            </w:r>
          </w:p>
        </w:tc>
        <w:tc>
          <w:tcPr>
            <w:tcW w:w="4428" w:type="dxa"/>
            <w:tcBorders>
              <w:top w:val="single" w:sz="4" w:space="0" w:color="000000"/>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6</w:t>
            </w:r>
          </w:p>
        </w:tc>
        <w:tc>
          <w:tcPr>
            <w:tcW w:w="2151" w:type="dxa"/>
            <w:tcBorders>
              <w:top w:val="single" w:sz="4" w:space="0" w:color="000000"/>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4</w:t>
            </w:r>
          </w:p>
        </w:tc>
      </w:tr>
      <w:tr w:rsidR="00EE3483">
        <w:tc>
          <w:tcPr>
            <w:tcW w:w="2567" w:type="dxa"/>
            <w:tcBorders>
              <w:top w:val="nil"/>
              <w:left w:val="nil"/>
              <w:bottom w:val="nil"/>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M-Lhuillier</w:t>
            </w:r>
          </w:p>
        </w:tc>
        <w:tc>
          <w:tcPr>
            <w:tcW w:w="4428" w:type="dxa"/>
            <w:tcBorders>
              <w:top w:val="nil"/>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9</w:t>
            </w:r>
          </w:p>
        </w:tc>
        <w:tc>
          <w:tcPr>
            <w:tcW w:w="2151" w:type="dxa"/>
            <w:tcBorders>
              <w:top w:val="nil"/>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6</w:t>
            </w:r>
          </w:p>
        </w:tc>
      </w:tr>
      <w:tr w:rsidR="00EE3483">
        <w:tc>
          <w:tcPr>
            <w:tcW w:w="2567" w:type="dxa"/>
            <w:tcBorders>
              <w:top w:val="nil"/>
              <w:left w:val="nil"/>
              <w:bottom w:val="nil"/>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 xml:space="preserve">Palawan Pawnshop </w:t>
            </w:r>
          </w:p>
        </w:tc>
        <w:tc>
          <w:tcPr>
            <w:tcW w:w="4428" w:type="dxa"/>
            <w:tcBorders>
              <w:top w:val="nil"/>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11</w:t>
            </w:r>
          </w:p>
        </w:tc>
        <w:tc>
          <w:tcPr>
            <w:tcW w:w="2151" w:type="dxa"/>
            <w:tcBorders>
              <w:top w:val="nil"/>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8</w:t>
            </w:r>
          </w:p>
        </w:tc>
      </w:tr>
      <w:tr w:rsidR="00EE3483">
        <w:tc>
          <w:tcPr>
            <w:tcW w:w="2567" w:type="dxa"/>
            <w:tcBorders>
              <w:top w:val="nil"/>
              <w:left w:val="nil"/>
              <w:bottom w:val="nil"/>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 xml:space="preserve">Cebuana Lhuillier </w:t>
            </w:r>
          </w:p>
        </w:tc>
        <w:tc>
          <w:tcPr>
            <w:tcW w:w="4428" w:type="dxa"/>
            <w:tcBorders>
              <w:top w:val="nil"/>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8</w:t>
            </w:r>
          </w:p>
        </w:tc>
        <w:tc>
          <w:tcPr>
            <w:tcW w:w="2151" w:type="dxa"/>
            <w:tcBorders>
              <w:top w:val="nil"/>
              <w:left w:val="nil"/>
              <w:bottom w:val="nil"/>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5</w:t>
            </w:r>
          </w:p>
        </w:tc>
      </w:tr>
      <w:tr w:rsidR="00EE3483">
        <w:tc>
          <w:tcPr>
            <w:tcW w:w="2567" w:type="dxa"/>
            <w:tcBorders>
              <w:top w:val="nil"/>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Cantilan Bank</w:t>
            </w:r>
          </w:p>
        </w:tc>
        <w:tc>
          <w:tcPr>
            <w:tcW w:w="4428" w:type="dxa"/>
            <w:tcBorders>
              <w:top w:val="nil"/>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15</w:t>
            </w:r>
          </w:p>
        </w:tc>
        <w:tc>
          <w:tcPr>
            <w:tcW w:w="2151" w:type="dxa"/>
            <w:tcBorders>
              <w:top w:val="nil"/>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10</w:t>
            </w:r>
          </w:p>
        </w:tc>
      </w:tr>
      <w:tr w:rsidR="00EE3483">
        <w:trPr>
          <w:trHeight w:val="242"/>
        </w:trPr>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Baybank</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15</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10</w:t>
            </w:r>
          </w:p>
        </w:tc>
      </w:tr>
      <w:tr w:rsidR="00EE3483">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Enterprise Bank</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13</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9</w:t>
            </w:r>
          </w:p>
        </w:tc>
      </w:tr>
      <w:tr w:rsidR="00EE3483">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Card Inc.</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18</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12</w:t>
            </w:r>
          </w:p>
        </w:tc>
      </w:tr>
      <w:tr w:rsidR="00EE3483">
        <w:trPr>
          <w:trHeight w:val="286"/>
        </w:trPr>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BDO Network Bank</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7</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4</w:t>
            </w:r>
          </w:p>
        </w:tc>
      </w:tr>
      <w:tr w:rsidR="00EE3483">
        <w:trPr>
          <w:trHeight w:val="237"/>
        </w:trPr>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Pantukan Chess Club</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12</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9</w:t>
            </w:r>
          </w:p>
        </w:tc>
      </w:tr>
      <w:tr w:rsidR="00EE3483">
        <w:trPr>
          <w:trHeight w:val="300"/>
        </w:trPr>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sz w:val="20"/>
                <w:szCs w:val="20"/>
              </w:rPr>
            </w:pPr>
            <w:r>
              <w:rPr>
                <w:rFonts w:ascii="Arial" w:eastAsia="Arial" w:hAnsi="Arial" w:cs="Arial"/>
                <w:sz w:val="20"/>
                <w:szCs w:val="20"/>
              </w:rPr>
              <w:t>BanKo (a subsidiary of BPI)</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10</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7</w:t>
            </w:r>
          </w:p>
        </w:tc>
      </w:tr>
      <w:tr w:rsidR="00EE3483">
        <w:trPr>
          <w:trHeight w:val="345"/>
        </w:trPr>
        <w:tc>
          <w:tcPr>
            <w:tcW w:w="2567" w:type="dxa"/>
            <w:tcBorders>
              <w:top w:val="single" w:sz="4" w:space="0" w:color="000000"/>
              <w:left w:val="nil"/>
              <w:bottom w:val="single" w:sz="4" w:space="0" w:color="000000"/>
              <w:right w:val="nil"/>
            </w:tcBorders>
            <w:vAlign w:val="center"/>
          </w:tcPr>
          <w:p w:rsidR="00EE3483" w:rsidRDefault="000B4739">
            <w:pPr>
              <w:spacing w:line="240" w:lineRule="auto"/>
              <w:rPr>
                <w:rFonts w:ascii="Arial" w:eastAsia="Arial" w:hAnsi="Arial" w:cs="Arial"/>
                <w:b/>
                <w:sz w:val="20"/>
                <w:szCs w:val="20"/>
              </w:rPr>
            </w:pPr>
            <w:r>
              <w:rPr>
                <w:rFonts w:ascii="Arial" w:eastAsia="Arial" w:hAnsi="Arial" w:cs="Arial"/>
                <w:b/>
                <w:sz w:val="20"/>
                <w:szCs w:val="20"/>
              </w:rPr>
              <w:t>TOTAL</w:t>
            </w:r>
          </w:p>
        </w:tc>
        <w:tc>
          <w:tcPr>
            <w:tcW w:w="4428"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b/>
                <w:bCs/>
                <w:sz w:val="20"/>
                <w:szCs w:val="20"/>
              </w:rPr>
            </w:pPr>
            <w:r>
              <w:rPr>
                <w:rFonts w:ascii="Arial" w:eastAsia="Arial" w:hAnsi="Arial" w:cs="Arial"/>
                <w:b/>
                <w:bCs/>
                <w:sz w:val="20"/>
                <w:szCs w:val="20"/>
              </w:rPr>
              <w:t>113</w:t>
            </w:r>
          </w:p>
        </w:tc>
        <w:tc>
          <w:tcPr>
            <w:tcW w:w="2151" w:type="dxa"/>
            <w:tcBorders>
              <w:top w:val="single" w:sz="4" w:space="0" w:color="000000"/>
              <w:left w:val="nil"/>
              <w:bottom w:val="single" w:sz="4" w:space="0" w:color="000000"/>
              <w:right w:val="nil"/>
            </w:tcBorders>
            <w:vAlign w:val="center"/>
          </w:tcPr>
          <w:p w:rsidR="00EE3483" w:rsidRDefault="000B4739">
            <w:pPr>
              <w:spacing w:line="240" w:lineRule="auto"/>
              <w:jc w:val="center"/>
              <w:rPr>
                <w:rFonts w:ascii="Arial" w:eastAsia="Arial" w:hAnsi="Arial" w:cs="Arial"/>
                <w:b/>
                <w:sz w:val="20"/>
                <w:szCs w:val="20"/>
              </w:rPr>
            </w:pPr>
            <w:r>
              <w:rPr>
                <w:rFonts w:ascii="Arial" w:eastAsia="Arial" w:hAnsi="Arial" w:cs="Arial"/>
                <w:b/>
                <w:sz w:val="20"/>
                <w:szCs w:val="20"/>
              </w:rPr>
              <w:t>84</w:t>
            </w:r>
          </w:p>
        </w:tc>
      </w:tr>
    </w:tbl>
    <w:p w:rsidR="00EE3483" w:rsidRDefault="000B4739">
      <w:pPr>
        <w:spacing w:line="240" w:lineRule="auto"/>
        <w:rPr>
          <w:sz w:val="20"/>
          <w:szCs w:val="20"/>
        </w:rPr>
        <w:sectPr w:rsidR="00EE3483">
          <w:type w:val="continuous"/>
          <w:pgSz w:w="12240" w:h="15840"/>
          <w:pgMar w:top="1440" w:right="1440" w:bottom="1440" w:left="1440" w:header="720" w:footer="720" w:gutter="0"/>
          <w:cols w:space="720"/>
        </w:sectPr>
      </w:pPr>
      <w:r>
        <w:rPr>
          <w:b/>
          <w:sz w:val="20"/>
          <w:szCs w:val="20"/>
        </w:rPr>
        <w:t>Table 1.</w:t>
      </w:r>
      <w:r>
        <w:rPr>
          <w:sz w:val="20"/>
          <w:szCs w:val="20"/>
        </w:rPr>
        <w:t xml:space="preserve"> Distribution of respondents</w:t>
      </w:r>
    </w:p>
    <w:p w:rsidR="00EE3483" w:rsidRDefault="00EE3483">
      <w:pPr>
        <w:spacing w:line="240" w:lineRule="auto"/>
        <w:rPr>
          <w:b/>
          <w:sz w:val="20"/>
          <w:szCs w:val="20"/>
        </w:rPr>
      </w:pPr>
    </w:p>
    <w:p w:rsidR="00EE3483" w:rsidRDefault="000B4739">
      <w:pPr>
        <w:spacing w:line="240" w:lineRule="auto"/>
        <w:rPr>
          <w:sz w:val="20"/>
          <w:szCs w:val="20"/>
        </w:rPr>
      </w:pPr>
      <w:r>
        <w:rPr>
          <w:b/>
          <w:sz w:val="20"/>
          <w:szCs w:val="20"/>
        </w:rPr>
        <w:t>3.4 Research Instrument</w:t>
      </w:r>
    </w:p>
    <w:p w:rsidR="00EE3483" w:rsidRDefault="000B4739">
      <w:pPr>
        <w:spacing w:line="240" w:lineRule="auto"/>
        <w:rPr>
          <w:sz w:val="20"/>
          <w:szCs w:val="20"/>
        </w:rPr>
      </w:pPr>
      <w:r>
        <w:rPr>
          <w:sz w:val="20"/>
          <w:szCs w:val="20"/>
        </w:rPr>
        <w:t xml:space="preserve">             The key instrument used in the data gathering procedures was a 38-item questionnaire derived from "Herzberg's Motivation-Hygiene and Job Satisfaction in the Malaysian Retail Sector: Mediating Effect of Love and Money" by Tan and Waheed (2011). This study identified three indicators: intrinsic motivation, extrinsic motivation, and work environment. A Likert scale was employed to evaluate the responses.</w:t>
      </w:r>
    </w:p>
    <w:p w:rsidR="00EE3483" w:rsidRDefault="00EE3483">
      <w:pPr>
        <w:spacing w:line="240" w:lineRule="auto"/>
        <w:rPr>
          <w:sz w:val="20"/>
          <w:szCs w:val="20"/>
        </w:rPr>
      </w:pPr>
    </w:p>
    <w:p w:rsidR="00EE3483" w:rsidRDefault="000B4739">
      <w:pPr>
        <w:spacing w:line="240" w:lineRule="auto"/>
        <w:rPr>
          <w:b/>
          <w:sz w:val="20"/>
          <w:szCs w:val="20"/>
        </w:rPr>
      </w:pPr>
      <w:r>
        <w:rPr>
          <w:b/>
          <w:sz w:val="20"/>
          <w:szCs w:val="20"/>
        </w:rPr>
        <w:t xml:space="preserve">3.5 Data Gathering Procedure </w:t>
      </w:r>
    </w:p>
    <w:p w:rsidR="00EE3483" w:rsidRDefault="000B4739">
      <w:pPr>
        <w:spacing w:line="240" w:lineRule="auto"/>
        <w:ind w:firstLine="720"/>
        <w:rPr>
          <w:sz w:val="20"/>
          <w:szCs w:val="20"/>
        </w:rPr>
      </w:pPr>
      <w:r>
        <w:rPr>
          <w:sz w:val="20"/>
          <w:szCs w:val="20"/>
        </w:rPr>
        <w:t>In gathering the data, the researchers first secured ethical clearance and institutional approval before conducting the study. They identified eligible respondents from financial institutions in Cateel, Davao Oriental and determined the sample size using Slovin’s formula. After obtaining informed consent, questionnaires were distributed at convenient times for participants. The completed surveys were then collected, compiled, and analyzed using appropriate statistical methods while ensuring confidentiality and ethical compliance.</w:t>
      </w:r>
    </w:p>
    <w:p w:rsidR="00EE3483" w:rsidRDefault="00EE3483">
      <w:pPr>
        <w:spacing w:line="240" w:lineRule="auto"/>
        <w:rPr>
          <w:sz w:val="20"/>
          <w:szCs w:val="20"/>
        </w:rPr>
      </w:pPr>
    </w:p>
    <w:p w:rsidR="00EE3483" w:rsidRDefault="000B4739">
      <w:pPr>
        <w:spacing w:line="240" w:lineRule="auto"/>
        <w:rPr>
          <w:b/>
          <w:sz w:val="20"/>
          <w:szCs w:val="20"/>
        </w:rPr>
      </w:pPr>
      <w:r>
        <w:rPr>
          <w:b/>
          <w:sz w:val="20"/>
          <w:szCs w:val="20"/>
        </w:rPr>
        <w:t>3.6 Data Analysis</w:t>
      </w:r>
    </w:p>
    <w:p w:rsidR="00EE3483" w:rsidRDefault="000B4739">
      <w:pPr>
        <w:spacing w:line="240" w:lineRule="auto"/>
        <w:rPr>
          <w:sz w:val="20"/>
          <w:szCs w:val="20"/>
        </w:rPr>
      </w:pPr>
      <w:r>
        <w:rPr>
          <w:sz w:val="20"/>
          <w:szCs w:val="20"/>
        </w:rPr>
        <w:t xml:space="preserve">           The study used frequency counts and percentages to describe respondents’ demographic profiles. The mean and standard deviation were applied to assess perceptions of job motivators and organizational commitment, as well as the variability of these perceptions. An independent sample t-test was used to determine differences based on sex, while ANOVA was employed to identify significant differences in job motivation across multiple profile variables.</w:t>
      </w:r>
    </w:p>
    <w:p w:rsidR="00EE3483" w:rsidRDefault="00EE3483">
      <w:pPr>
        <w:spacing w:line="240" w:lineRule="auto"/>
        <w:rPr>
          <w:b/>
          <w:sz w:val="20"/>
          <w:szCs w:val="20"/>
        </w:rPr>
      </w:pPr>
    </w:p>
    <w:p w:rsidR="00EE3483" w:rsidRDefault="000B4739">
      <w:pPr>
        <w:spacing w:line="240" w:lineRule="auto"/>
        <w:rPr>
          <w:sz w:val="20"/>
          <w:szCs w:val="20"/>
        </w:rPr>
      </w:pPr>
      <w:r>
        <w:rPr>
          <w:b/>
          <w:sz w:val="20"/>
          <w:szCs w:val="20"/>
        </w:rPr>
        <w:t>Table 2.</w:t>
      </w:r>
      <w:r>
        <w:rPr>
          <w:sz w:val="20"/>
          <w:szCs w:val="20"/>
        </w:rPr>
        <w:t xml:space="preserve"> Interpretation of the level of job motivators</w:t>
      </w:r>
    </w:p>
    <w:tbl>
      <w:tblPr>
        <w:tblStyle w:val="a1"/>
        <w:tblpPr w:leftFromText="180" w:rightFromText="180" w:vertAnchor="text" w:horzAnchor="page" w:tblpX="1764" w:tblpY="153"/>
        <w:tblW w:w="877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875"/>
        <w:gridCol w:w="2045"/>
        <w:gridCol w:w="4855"/>
      </w:tblGrid>
      <w:tr w:rsidR="00EE3483">
        <w:trPr>
          <w:trHeight w:val="412"/>
        </w:trPr>
        <w:tc>
          <w:tcPr>
            <w:tcW w:w="1875" w:type="dxa"/>
            <w:tcBorders>
              <w:top w:val="single" w:sz="4" w:space="0" w:color="000000"/>
              <w:bottom w:val="single" w:sz="4" w:space="0" w:color="000000"/>
            </w:tcBorders>
            <w:vAlign w:val="center"/>
          </w:tcPr>
          <w:p w:rsidR="00EE3483" w:rsidRDefault="000B4739">
            <w:pPr>
              <w:widowControl w:val="0"/>
              <w:pBdr>
                <w:top w:val="nil"/>
                <w:left w:val="nil"/>
                <w:bottom w:val="nil"/>
                <w:right w:val="nil"/>
                <w:between w:val="nil"/>
              </w:pBdr>
              <w:spacing w:line="240" w:lineRule="auto"/>
              <w:jc w:val="center"/>
              <w:rPr>
                <w:rFonts w:ascii="Arial" w:eastAsia="Arial" w:hAnsi="Arial" w:cs="Arial"/>
                <w:b/>
                <w:color w:val="000000"/>
                <w:sz w:val="20"/>
                <w:szCs w:val="20"/>
              </w:rPr>
            </w:pPr>
            <w:bookmarkStart w:id="2" w:name="_74d4chpcgmqa" w:colFirst="0" w:colLast="0"/>
            <w:bookmarkEnd w:id="2"/>
            <w:r>
              <w:rPr>
                <w:rFonts w:ascii="Arial" w:eastAsia="Arial" w:hAnsi="Arial" w:cs="Arial"/>
                <w:b/>
                <w:color w:val="000000"/>
                <w:sz w:val="20"/>
                <w:szCs w:val="20"/>
              </w:rPr>
              <w:t>Range of Means</w:t>
            </w:r>
          </w:p>
        </w:tc>
        <w:tc>
          <w:tcPr>
            <w:tcW w:w="2045" w:type="dxa"/>
            <w:tcBorders>
              <w:top w:val="single" w:sz="4" w:space="0" w:color="000000"/>
              <w:bottom w:val="single" w:sz="4" w:space="0" w:color="000000"/>
            </w:tcBorders>
            <w:vAlign w:val="center"/>
          </w:tcPr>
          <w:p w:rsidR="00EE3483" w:rsidRDefault="000B4739">
            <w:pPr>
              <w:widowControl w:val="0"/>
              <w:pBdr>
                <w:top w:val="nil"/>
                <w:left w:val="nil"/>
                <w:bottom w:val="nil"/>
                <w:right w:val="nil"/>
                <w:between w:val="nil"/>
              </w:pBd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Verbal</w:t>
            </w:r>
          </w:p>
          <w:p w:rsidR="00EE3483" w:rsidRDefault="000B4739">
            <w:pPr>
              <w:widowControl w:val="0"/>
              <w:pBdr>
                <w:top w:val="nil"/>
                <w:left w:val="nil"/>
                <w:bottom w:val="nil"/>
                <w:right w:val="nil"/>
                <w:between w:val="nil"/>
              </w:pBd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Description</w:t>
            </w:r>
          </w:p>
        </w:tc>
        <w:tc>
          <w:tcPr>
            <w:tcW w:w="4855" w:type="dxa"/>
            <w:tcBorders>
              <w:top w:val="single" w:sz="4" w:space="0" w:color="000000"/>
              <w:bottom w:val="single" w:sz="4" w:space="0" w:color="000000"/>
            </w:tcBorders>
            <w:vAlign w:val="center"/>
          </w:tcPr>
          <w:p w:rsidR="00EE3483" w:rsidRDefault="000B4739">
            <w:pPr>
              <w:widowControl w:val="0"/>
              <w:pBdr>
                <w:top w:val="nil"/>
                <w:left w:val="nil"/>
                <w:bottom w:val="nil"/>
                <w:right w:val="nil"/>
                <w:between w:val="nil"/>
              </w:pBdr>
              <w:spacing w:line="240" w:lineRule="auto"/>
              <w:ind w:left="192"/>
              <w:jc w:val="center"/>
              <w:rPr>
                <w:rFonts w:ascii="Arial" w:eastAsia="Arial" w:hAnsi="Arial" w:cs="Arial"/>
                <w:b/>
                <w:color w:val="000000"/>
                <w:sz w:val="20"/>
                <w:szCs w:val="20"/>
              </w:rPr>
            </w:pPr>
            <w:r>
              <w:rPr>
                <w:rFonts w:ascii="Arial" w:eastAsia="Arial" w:hAnsi="Arial" w:cs="Arial"/>
                <w:b/>
                <w:color w:val="000000"/>
                <w:sz w:val="20"/>
                <w:szCs w:val="20"/>
              </w:rPr>
              <w:t>Remarks</w:t>
            </w:r>
          </w:p>
        </w:tc>
      </w:tr>
      <w:tr w:rsidR="00EE3483">
        <w:tc>
          <w:tcPr>
            <w:tcW w:w="1875" w:type="dxa"/>
            <w:tcBorders>
              <w:top w:val="single" w:sz="4" w:space="0" w:color="000000"/>
            </w:tcBorders>
            <w:vAlign w:val="center"/>
          </w:tcPr>
          <w:p w:rsidR="00EE3483" w:rsidRDefault="000B4739">
            <w:pPr>
              <w:spacing w:line="240" w:lineRule="auto"/>
              <w:rPr>
                <w:rFonts w:ascii="Arial" w:eastAsia="Arial" w:hAnsi="Arial" w:cs="Arial"/>
                <w:sz w:val="20"/>
                <w:szCs w:val="20"/>
              </w:rPr>
            </w:pPr>
            <w:r>
              <w:rPr>
                <w:rFonts w:ascii="Arial" w:eastAsia="Arial" w:hAnsi="Arial" w:cs="Arial"/>
                <w:color w:val="000000"/>
                <w:highlight w:val="white"/>
                <w:lang w:val="en-PH"/>
              </w:rPr>
              <w:t>4.20 – 5.00</w:t>
            </w:r>
          </w:p>
        </w:tc>
        <w:tc>
          <w:tcPr>
            <w:tcW w:w="2045" w:type="dxa"/>
            <w:tcBorders>
              <w:top w:val="single" w:sz="4" w:space="0" w:color="000000"/>
            </w:tcBorders>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Very High</w:t>
            </w:r>
          </w:p>
        </w:tc>
        <w:tc>
          <w:tcPr>
            <w:tcW w:w="4855" w:type="dxa"/>
            <w:tcBorders>
              <w:top w:val="single" w:sz="4" w:space="0" w:color="000000"/>
            </w:tcBorders>
            <w:vAlign w:val="center"/>
          </w:tcPr>
          <w:p w:rsidR="00EE3483" w:rsidRDefault="000B4739">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highly evident among financial institution workers.</w:t>
            </w:r>
          </w:p>
        </w:tc>
      </w:tr>
      <w:tr w:rsidR="00EE3483">
        <w:trPr>
          <w:trHeight w:val="181"/>
        </w:trPr>
        <w:tc>
          <w:tcPr>
            <w:tcW w:w="1875" w:type="dxa"/>
            <w:vAlign w:val="center"/>
          </w:tcPr>
          <w:p w:rsidR="00EE3483" w:rsidRDefault="000B4739">
            <w:pPr>
              <w:spacing w:line="240" w:lineRule="auto"/>
              <w:rPr>
                <w:rFonts w:ascii="Arial" w:eastAsia="Arial" w:hAnsi="Arial" w:cs="Arial"/>
                <w:sz w:val="20"/>
                <w:szCs w:val="20"/>
              </w:rPr>
            </w:pPr>
            <w:r>
              <w:rPr>
                <w:rFonts w:ascii="Arial" w:eastAsia="Arial" w:hAnsi="Arial" w:cs="Arial"/>
                <w:color w:val="000000"/>
                <w:highlight w:val="white"/>
                <w:lang w:val="en-PH"/>
              </w:rPr>
              <w:t>3.50 – 4.19</w:t>
            </w:r>
          </w:p>
        </w:tc>
        <w:tc>
          <w:tcPr>
            <w:tcW w:w="2045" w:type="dxa"/>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High</w:t>
            </w:r>
          </w:p>
        </w:tc>
        <w:tc>
          <w:tcPr>
            <w:tcW w:w="4855" w:type="dxa"/>
            <w:vAlign w:val="center"/>
          </w:tcPr>
          <w:p w:rsidR="00EE3483" w:rsidRDefault="000B4739">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evident among financial institution workers.</w:t>
            </w:r>
          </w:p>
        </w:tc>
      </w:tr>
      <w:tr w:rsidR="00EE3483">
        <w:trPr>
          <w:trHeight w:val="542"/>
        </w:trPr>
        <w:tc>
          <w:tcPr>
            <w:tcW w:w="1875" w:type="dxa"/>
            <w:vAlign w:val="center"/>
          </w:tcPr>
          <w:p w:rsidR="00EE3483" w:rsidRDefault="000B4739">
            <w:pPr>
              <w:spacing w:line="240" w:lineRule="auto"/>
              <w:rPr>
                <w:rFonts w:ascii="Arial" w:eastAsia="Arial" w:hAnsi="Arial" w:cs="Arial"/>
                <w:sz w:val="20"/>
                <w:szCs w:val="20"/>
              </w:rPr>
            </w:pPr>
            <w:r>
              <w:rPr>
                <w:rFonts w:ascii="Arial" w:eastAsia="Arial" w:hAnsi="Arial" w:cs="Arial"/>
                <w:color w:val="000000"/>
                <w:highlight w:val="white"/>
                <w:lang w:val="en-PH"/>
              </w:rPr>
              <w:t>2.60 – 3.49</w:t>
            </w:r>
          </w:p>
        </w:tc>
        <w:tc>
          <w:tcPr>
            <w:tcW w:w="2045" w:type="dxa"/>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Moderate</w:t>
            </w:r>
          </w:p>
        </w:tc>
        <w:tc>
          <w:tcPr>
            <w:tcW w:w="4855" w:type="dxa"/>
            <w:vAlign w:val="center"/>
          </w:tcPr>
          <w:p w:rsidR="00EE3483" w:rsidRDefault="000B4739">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moderately evident among financial institution workers.</w:t>
            </w:r>
          </w:p>
        </w:tc>
      </w:tr>
      <w:tr w:rsidR="00EE3483">
        <w:trPr>
          <w:trHeight w:val="404"/>
        </w:trPr>
        <w:tc>
          <w:tcPr>
            <w:tcW w:w="1875" w:type="dxa"/>
            <w:vAlign w:val="center"/>
          </w:tcPr>
          <w:p w:rsidR="00EE3483" w:rsidRDefault="000B4739">
            <w:pPr>
              <w:spacing w:line="240" w:lineRule="auto"/>
              <w:rPr>
                <w:rFonts w:ascii="Arial" w:eastAsia="Arial" w:hAnsi="Arial" w:cs="Arial"/>
                <w:sz w:val="20"/>
                <w:szCs w:val="20"/>
              </w:rPr>
            </w:pPr>
            <w:r>
              <w:rPr>
                <w:rFonts w:ascii="Arial" w:eastAsia="Arial" w:hAnsi="Arial" w:cs="Arial"/>
                <w:color w:val="000000"/>
                <w:highlight w:val="white"/>
                <w:lang w:val="en-PH"/>
              </w:rPr>
              <w:t>1.80 – 2.59</w:t>
            </w:r>
          </w:p>
        </w:tc>
        <w:tc>
          <w:tcPr>
            <w:tcW w:w="2045" w:type="dxa"/>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Low</w:t>
            </w:r>
          </w:p>
        </w:tc>
        <w:tc>
          <w:tcPr>
            <w:tcW w:w="4855" w:type="dxa"/>
            <w:vAlign w:val="center"/>
          </w:tcPr>
          <w:p w:rsidR="00EE3483" w:rsidRDefault="000B4739">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rarely evident among financial institution workers.</w:t>
            </w:r>
          </w:p>
        </w:tc>
      </w:tr>
      <w:tr w:rsidR="00EE3483">
        <w:trPr>
          <w:trHeight w:val="650"/>
        </w:trPr>
        <w:tc>
          <w:tcPr>
            <w:tcW w:w="1875" w:type="dxa"/>
            <w:vAlign w:val="center"/>
          </w:tcPr>
          <w:p w:rsidR="00EE3483" w:rsidRDefault="000B4739">
            <w:pPr>
              <w:spacing w:line="240" w:lineRule="auto"/>
              <w:rPr>
                <w:rFonts w:ascii="Arial" w:eastAsia="Arial" w:hAnsi="Arial" w:cs="Arial"/>
                <w:sz w:val="20"/>
                <w:szCs w:val="20"/>
              </w:rPr>
            </w:pPr>
            <w:r>
              <w:rPr>
                <w:rFonts w:ascii="Arial" w:eastAsia="Arial" w:hAnsi="Arial" w:cs="Arial"/>
                <w:color w:val="000000"/>
                <w:highlight w:val="white"/>
                <w:lang w:val="en-PH"/>
              </w:rPr>
              <w:t>1.00 – 1.79</w:t>
            </w:r>
          </w:p>
        </w:tc>
        <w:tc>
          <w:tcPr>
            <w:tcW w:w="2045" w:type="dxa"/>
            <w:vAlign w:val="center"/>
          </w:tcPr>
          <w:p w:rsidR="00EE3483" w:rsidRDefault="000B4739">
            <w:pPr>
              <w:spacing w:line="240" w:lineRule="auto"/>
              <w:jc w:val="center"/>
              <w:rPr>
                <w:rFonts w:ascii="Arial" w:eastAsia="Arial" w:hAnsi="Arial" w:cs="Arial"/>
                <w:sz w:val="20"/>
                <w:szCs w:val="20"/>
              </w:rPr>
            </w:pPr>
            <w:r>
              <w:rPr>
                <w:rFonts w:ascii="Arial" w:eastAsia="Arial" w:hAnsi="Arial" w:cs="Arial"/>
                <w:sz w:val="20"/>
                <w:szCs w:val="20"/>
              </w:rPr>
              <w:t>Very Low</w:t>
            </w:r>
          </w:p>
        </w:tc>
        <w:tc>
          <w:tcPr>
            <w:tcW w:w="4855" w:type="dxa"/>
            <w:vAlign w:val="center"/>
          </w:tcPr>
          <w:p w:rsidR="00EE3483" w:rsidRDefault="000B4739">
            <w:pPr>
              <w:widowControl w:val="0"/>
              <w:pBdr>
                <w:top w:val="nil"/>
                <w:left w:val="nil"/>
                <w:bottom w:val="nil"/>
                <w:right w:val="nil"/>
                <w:between w:val="nil"/>
              </w:pBdr>
              <w:spacing w:before="11" w:line="240" w:lineRule="auto"/>
              <w:rPr>
                <w:rFonts w:ascii="Arial" w:eastAsia="Arial" w:hAnsi="Arial" w:cs="Arial"/>
                <w:color w:val="000000"/>
                <w:sz w:val="20"/>
                <w:szCs w:val="20"/>
              </w:rPr>
            </w:pPr>
            <w:r>
              <w:rPr>
                <w:rFonts w:ascii="Arial" w:eastAsia="Arial" w:hAnsi="Arial" w:cs="Arial"/>
                <w:color w:val="000000"/>
                <w:highlight w:val="white"/>
                <w:lang w:val="en-PH"/>
              </w:rPr>
              <w:t>This means that the level of job motivators is not evident among financial institution workers.</w:t>
            </w:r>
          </w:p>
        </w:tc>
      </w:tr>
    </w:tbl>
    <w:p w:rsidR="00EE3483" w:rsidRDefault="000B4739">
      <w:pPr>
        <w:spacing w:before="240" w:after="240" w:line="240" w:lineRule="auto"/>
        <w:rPr>
          <w:b/>
          <w:sz w:val="20"/>
          <w:szCs w:val="20"/>
        </w:rPr>
      </w:pPr>
      <w:r>
        <w:rPr>
          <w:b/>
          <w:sz w:val="20"/>
          <w:szCs w:val="20"/>
        </w:rPr>
        <w:t>4. RESULTS AND DISCUSSION</w:t>
      </w:r>
    </w:p>
    <w:p w:rsidR="00EE3483" w:rsidRDefault="000B4739">
      <w:pPr>
        <w:spacing w:before="240" w:after="240" w:line="240" w:lineRule="auto"/>
        <w:rPr>
          <w:sz w:val="20"/>
          <w:szCs w:val="20"/>
        </w:rPr>
      </w:pPr>
      <w:r>
        <w:rPr>
          <w:sz w:val="20"/>
          <w:szCs w:val="20"/>
        </w:rPr>
        <w:t xml:space="preserve">         This chapter provides a comprehensive analysis and discussion of the research findings. To enhance clarity and understanding, tables have been utilized to organize and interpret the collected data. The data encompasses the demographic profiles of the respondents, their levels of job motivation, and the differences in job motivation among employees in financial institutions based on factors such as age, gender, years of experience, position, and employment status.</w:t>
      </w:r>
    </w:p>
    <w:p w:rsidR="00EE3483" w:rsidRDefault="000B4739">
      <w:pPr>
        <w:spacing w:before="240" w:after="240" w:line="240" w:lineRule="auto"/>
        <w:rPr>
          <w:sz w:val="20"/>
          <w:szCs w:val="20"/>
        </w:rPr>
      </w:pPr>
      <w:r>
        <w:rPr>
          <w:b/>
          <w:sz w:val="20"/>
          <w:szCs w:val="20"/>
        </w:rPr>
        <w:t>4.1 Profile of the Respondents</w:t>
      </w:r>
    </w:p>
    <w:p w:rsidR="00EE3483" w:rsidRDefault="000B4739">
      <w:pPr>
        <w:spacing w:before="240" w:after="240" w:line="240" w:lineRule="auto"/>
        <w:ind w:firstLineChars="200" w:firstLine="400"/>
        <w:rPr>
          <w:sz w:val="20"/>
          <w:szCs w:val="20"/>
        </w:rPr>
      </w:pPr>
      <w:r>
        <w:rPr>
          <w:sz w:val="20"/>
          <w:szCs w:val="20"/>
        </w:rPr>
        <w:t xml:space="preserve">This part presents the data on the demographic profile of the financial institution workers in terms of their age, sex, years of experience, position, and status. </w:t>
      </w:r>
    </w:p>
    <w:p w:rsidR="00EE3483" w:rsidRDefault="000B4739">
      <w:pPr>
        <w:spacing w:before="240" w:after="240" w:line="240" w:lineRule="auto"/>
        <w:rPr>
          <w:sz w:val="20"/>
          <w:szCs w:val="20"/>
        </w:rPr>
      </w:pPr>
      <w:r>
        <w:rPr>
          <w:sz w:val="20"/>
          <w:szCs w:val="20"/>
        </w:rPr>
        <w:lastRenderedPageBreak/>
        <w:t xml:space="preserve">         Table 3 presents the demographic profile of the respondents in terms of age. Results indicate that the majority of the respondents who participated in the study were financial institution workers aged 31 years and above, comprising 51.19% of the total population. On the other hand, 48.81% were respondents aged 21 to 30 years old. The narrow gap between the two age groups indicates that the age distribution of the respondents is remarkably balanced, with a slight majority aligning with the older age group. </w:t>
      </w:r>
    </w:p>
    <w:p w:rsidR="00EE3483" w:rsidRDefault="000B4739">
      <w:pPr>
        <w:spacing w:before="240" w:after="240" w:line="240" w:lineRule="auto"/>
        <w:rPr>
          <w:b/>
          <w:sz w:val="20"/>
          <w:szCs w:val="20"/>
        </w:rPr>
      </w:pPr>
      <w:r>
        <w:rPr>
          <w:b/>
          <w:sz w:val="20"/>
          <w:szCs w:val="20"/>
        </w:rPr>
        <w:t>Table 3. Profile of the respondent in terms of age</w:t>
      </w:r>
    </w:p>
    <w:tbl>
      <w:tblPr>
        <w:tblStyle w:val="a2"/>
        <w:tblW w:w="9154" w:type="dxa"/>
        <w:tblInd w:w="8" w:type="dxa"/>
        <w:tblBorders>
          <w:top w:val="nil"/>
          <w:left w:val="nil"/>
          <w:bottom w:val="nil"/>
          <w:right w:val="nil"/>
          <w:insideH w:val="nil"/>
          <w:insideV w:val="nil"/>
        </w:tblBorders>
        <w:tblLayout w:type="fixed"/>
        <w:tblLook w:val="0000" w:firstRow="0" w:lastRow="0" w:firstColumn="0" w:lastColumn="0" w:noHBand="0" w:noVBand="0"/>
      </w:tblPr>
      <w:tblGrid>
        <w:gridCol w:w="2879"/>
        <w:gridCol w:w="3181"/>
        <w:gridCol w:w="3094"/>
      </w:tblGrid>
      <w:tr w:rsidR="00EE3483">
        <w:trPr>
          <w:trHeight w:val="417"/>
        </w:trPr>
        <w:tc>
          <w:tcPr>
            <w:tcW w:w="287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Age</w:t>
            </w:r>
          </w:p>
        </w:tc>
        <w:tc>
          <w:tcPr>
            <w:tcW w:w="3181"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Frequency</w:t>
            </w:r>
          </w:p>
        </w:tc>
        <w:tc>
          <w:tcPr>
            <w:tcW w:w="309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Percentage (%)</w:t>
            </w:r>
          </w:p>
        </w:tc>
      </w:tr>
      <w:tr w:rsidR="00EE3483">
        <w:trPr>
          <w:trHeight w:val="300"/>
        </w:trPr>
        <w:tc>
          <w:tcPr>
            <w:tcW w:w="2879" w:type="dxa"/>
            <w:tcBorders>
              <w:top w:val="single" w:sz="4" w:space="0" w:color="000000"/>
            </w:tcBorders>
            <w:shd w:val="clear" w:color="auto" w:fill="auto"/>
            <w:vAlign w:val="center"/>
          </w:tcPr>
          <w:p w:rsidR="00EE3483" w:rsidRDefault="000B4739">
            <w:pPr>
              <w:widowControl w:val="0"/>
              <w:spacing w:line="240" w:lineRule="auto"/>
              <w:jc w:val="center"/>
              <w:rPr>
                <w:sz w:val="20"/>
                <w:szCs w:val="20"/>
              </w:rPr>
            </w:pPr>
            <w:r>
              <w:rPr>
                <w:sz w:val="20"/>
                <w:szCs w:val="20"/>
              </w:rPr>
              <w:t>21-30 years old</w:t>
            </w:r>
          </w:p>
        </w:tc>
        <w:tc>
          <w:tcPr>
            <w:tcW w:w="3181"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41</w:t>
            </w:r>
          </w:p>
        </w:tc>
        <w:tc>
          <w:tcPr>
            <w:tcW w:w="3094"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48.81</w:t>
            </w:r>
          </w:p>
        </w:tc>
      </w:tr>
      <w:tr w:rsidR="00EE3483">
        <w:tc>
          <w:tcPr>
            <w:tcW w:w="2879" w:type="dxa"/>
            <w:shd w:val="clear" w:color="auto" w:fill="auto"/>
            <w:vAlign w:val="center"/>
          </w:tcPr>
          <w:p w:rsidR="00EE3483" w:rsidRDefault="000B4739">
            <w:pPr>
              <w:widowControl w:val="0"/>
              <w:spacing w:line="240" w:lineRule="auto"/>
              <w:jc w:val="center"/>
              <w:rPr>
                <w:sz w:val="20"/>
                <w:szCs w:val="20"/>
              </w:rPr>
            </w:pPr>
            <w:r>
              <w:rPr>
                <w:sz w:val="20"/>
                <w:szCs w:val="20"/>
              </w:rPr>
              <w:t>3 years old and above</w:t>
            </w:r>
          </w:p>
        </w:tc>
        <w:tc>
          <w:tcPr>
            <w:tcW w:w="3181" w:type="dxa"/>
            <w:shd w:val="clear" w:color="auto" w:fill="auto"/>
            <w:vAlign w:val="center"/>
          </w:tcPr>
          <w:p w:rsidR="00EE3483" w:rsidRDefault="000B4739">
            <w:pPr>
              <w:spacing w:line="240" w:lineRule="auto"/>
              <w:jc w:val="center"/>
              <w:rPr>
                <w:sz w:val="20"/>
                <w:szCs w:val="20"/>
              </w:rPr>
            </w:pPr>
            <w:r>
              <w:rPr>
                <w:sz w:val="20"/>
                <w:szCs w:val="20"/>
              </w:rPr>
              <w:t>43</w:t>
            </w:r>
          </w:p>
        </w:tc>
        <w:tc>
          <w:tcPr>
            <w:tcW w:w="3094" w:type="dxa"/>
            <w:shd w:val="clear" w:color="auto" w:fill="auto"/>
            <w:vAlign w:val="center"/>
          </w:tcPr>
          <w:p w:rsidR="00EE3483" w:rsidRDefault="000B4739">
            <w:pPr>
              <w:spacing w:line="240" w:lineRule="auto"/>
              <w:jc w:val="center"/>
              <w:rPr>
                <w:sz w:val="20"/>
                <w:szCs w:val="20"/>
              </w:rPr>
            </w:pPr>
            <w:r>
              <w:rPr>
                <w:sz w:val="20"/>
                <w:szCs w:val="20"/>
              </w:rPr>
              <w:t>51.19</w:t>
            </w:r>
          </w:p>
        </w:tc>
      </w:tr>
      <w:tr w:rsidR="00EE3483">
        <w:trPr>
          <w:trHeight w:val="300"/>
        </w:trPr>
        <w:tc>
          <w:tcPr>
            <w:tcW w:w="287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Total</w:t>
            </w:r>
          </w:p>
        </w:tc>
        <w:tc>
          <w:tcPr>
            <w:tcW w:w="3181"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84</w:t>
            </w:r>
          </w:p>
        </w:tc>
        <w:tc>
          <w:tcPr>
            <w:tcW w:w="309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100.00</w:t>
            </w:r>
          </w:p>
        </w:tc>
      </w:tr>
    </w:tbl>
    <w:p w:rsidR="00EE3483" w:rsidRDefault="000B4739">
      <w:pPr>
        <w:spacing w:before="240" w:after="240" w:line="240" w:lineRule="auto"/>
        <w:rPr>
          <w:sz w:val="20"/>
          <w:szCs w:val="20"/>
        </w:rPr>
      </w:pPr>
      <w:r>
        <w:rPr>
          <w:sz w:val="20"/>
          <w:szCs w:val="20"/>
        </w:rPr>
        <w:t xml:space="preserve">            Age significantly influences job performance, motivation, adaptability, and workplace satisfaction (Varianou-Mikellidou et al., 2020). Younger employees are often characterized by high energy, technological proficiency, openness to innovation, and a preference for career development, continuous learning, and flexibility (Oleka-Onyewuchi, 2023; Blokker et al., 2019). In contrast, older employees tend to bring greater experience, emotional maturity, responsibility, and a stronger focus on job security and long-term stability (Alcover et al., 2021). Employee engagement also varies by age, with older workers frequently showing higher commitment and loyalty, particularly in structured organizations such as financial institutions (Mistrean, 2023). Furthermore, balanced intergenerational collaboration can enhance organizational effectiveness through mutual mentoring and knowledge transfer (Nurani, 2025).</w:t>
      </w:r>
    </w:p>
    <w:p w:rsidR="00EE3483" w:rsidRDefault="000B4739">
      <w:pPr>
        <w:spacing w:before="240" w:after="240" w:line="240" w:lineRule="auto"/>
        <w:ind w:firstLineChars="200" w:firstLine="400"/>
        <w:rPr>
          <w:sz w:val="20"/>
          <w:szCs w:val="20"/>
        </w:rPr>
      </w:pPr>
      <w:r>
        <w:rPr>
          <w:sz w:val="20"/>
          <w:szCs w:val="20"/>
        </w:rPr>
        <w:t>Table 4 indicates that males slightly outnumber females among respondents, with 44 males (52.38%) and 40 females (47.62%), suggesting that most responses—by a narrow margin—came from male financial institution workers in Cateel, Davao Oriental.</w:t>
      </w:r>
    </w:p>
    <w:p w:rsidR="00EE3483" w:rsidRDefault="000B4739">
      <w:pPr>
        <w:spacing w:before="240" w:after="240" w:line="240" w:lineRule="auto"/>
        <w:ind w:firstLineChars="200" w:firstLine="402"/>
        <w:rPr>
          <w:b/>
          <w:sz w:val="20"/>
          <w:szCs w:val="20"/>
        </w:rPr>
      </w:pPr>
      <w:r>
        <w:rPr>
          <w:b/>
          <w:sz w:val="20"/>
          <w:szCs w:val="20"/>
        </w:rPr>
        <w:t>Table 4. Profile of the respondent in terms of sex</w:t>
      </w:r>
    </w:p>
    <w:tbl>
      <w:tblPr>
        <w:tblStyle w:val="a3"/>
        <w:tblW w:w="9284" w:type="dxa"/>
        <w:tblInd w:w="38" w:type="dxa"/>
        <w:tblLayout w:type="fixed"/>
        <w:tblLook w:val="0000" w:firstRow="0" w:lastRow="0" w:firstColumn="0" w:lastColumn="0" w:noHBand="0" w:noVBand="0"/>
      </w:tblPr>
      <w:tblGrid>
        <w:gridCol w:w="3167"/>
        <w:gridCol w:w="2644"/>
        <w:gridCol w:w="3473"/>
      </w:tblGrid>
      <w:tr w:rsidR="00EE3483">
        <w:trPr>
          <w:trHeight w:val="307"/>
        </w:trPr>
        <w:tc>
          <w:tcPr>
            <w:tcW w:w="3167" w:type="dxa"/>
            <w:tcBorders>
              <w:top w:val="single" w:sz="4" w:space="0" w:color="000000"/>
              <w:left w:val="nil"/>
              <w:bottom w:val="single" w:sz="4" w:space="0" w:color="000000"/>
              <w:right w:val="nil"/>
            </w:tcBorders>
            <w:shd w:val="clear" w:color="auto" w:fill="auto"/>
            <w:vAlign w:val="center"/>
          </w:tcPr>
          <w:p w:rsidR="00EE3483" w:rsidRDefault="000B4739">
            <w:pPr>
              <w:spacing w:line="240" w:lineRule="auto"/>
              <w:jc w:val="center"/>
              <w:rPr>
                <w:b/>
                <w:bCs/>
                <w:sz w:val="20"/>
                <w:szCs w:val="20"/>
              </w:rPr>
            </w:pPr>
            <w:r>
              <w:rPr>
                <w:b/>
                <w:bCs/>
                <w:sz w:val="20"/>
                <w:szCs w:val="20"/>
              </w:rPr>
              <w:t>Sex</w:t>
            </w:r>
          </w:p>
        </w:tc>
        <w:tc>
          <w:tcPr>
            <w:tcW w:w="2644" w:type="dxa"/>
            <w:tcBorders>
              <w:top w:val="single" w:sz="4" w:space="0" w:color="000000"/>
              <w:left w:val="nil"/>
              <w:bottom w:val="single" w:sz="4" w:space="0" w:color="000000"/>
              <w:right w:val="nil"/>
            </w:tcBorders>
            <w:shd w:val="clear" w:color="auto" w:fill="auto"/>
            <w:vAlign w:val="center"/>
          </w:tcPr>
          <w:p w:rsidR="00EE3483" w:rsidRDefault="000B4739">
            <w:pPr>
              <w:spacing w:line="240" w:lineRule="auto"/>
              <w:jc w:val="center"/>
              <w:rPr>
                <w:sz w:val="20"/>
                <w:szCs w:val="20"/>
              </w:rPr>
            </w:pPr>
            <w:r>
              <w:rPr>
                <w:b/>
                <w:bCs/>
                <w:sz w:val="20"/>
                <w:szCs w:val="20"/>
              </w:rPr>
              <w:t>Frequency</w:t>
            </w:r>
            <w:r>
              <w:rPr>
                <w:sz w:val="20"/>
                <w:szCs w:val="20"/>
              </w:rPr>
              <w:t xml:space="preserve"> </w:t>
            </w:r>
          </w:p>
        </w:tc>
        <w:tc>
          <w:tcPr>
            <w:tcW w:w="3473" w:type="dxa"/>
            <w:tcBorders>
              <w:top w:val="single" w:sz="4" w:space="0" w:color="000000"/>
              <w:left w:val="nil"/>
              <w:bottom w:val="single" w:sz="4" w:space="0" w:color="000000"/>
              <w:right w:val="nil"/>
            </w:tcBorders>
            <w:shd w:val="clear" w:color="auto" w:fill="auto"/>
            <w:vAlign w:val="center"/>
          </w:tcPr>
          <w:p w:rsidR="00EE3483" w:rsidRDefault="000B4739">
            <w:pPr>
              <w:spacing w:line="240" w:lineRule="auto"/>
              <w:jc w:val="center"/>
              <w:rPr>
                <w:b/>
                <w:bCs/>
                <w:sz w:val="20"/>
                <w:szCs w:val="20"/>
              </w:rPr>
            </w:pPr>
            <w:r>
              <w:rPr>
                <w:b/>
                <w:bCs/>
                <w:sz w:val="20"/>
                <w:szCs w:val="20"/>
              </w:rPr>
              <w:t>Percent</w:t>
            </w:r>
          </w:p>
        </w:tc>
      </w:tr>
      <w:tr w:rsidR="00EE3483">
        <w:trPr>
          <w:trHeight w:val="300"/>
        </w:trPr>
        <w:tc>
          <w:tcPr>
            <w:tcW w:w="3167" w:type="dxa"/>
            <w:tcBorders>
              <w:top w:val="single" w:sz="4" w:space="0" w:color="000000"/>
              <w:left w:val="nil"/>
              <w:bottom w:val="nil"/>
              <w:right w:val="nil"/>
            </w:tcBorders>
            <w:shd w:val="clear" w:color="auto" w:fill="auto"/>
            <w:vAlign w:val="center"/>
          </w:tcPr>
          <w:p w:rsidR="00EE3483" w:rsidRDefault="000B4739">
            <w:pPr>
              <w:widowControl w:val="0"/>
              <w:spacing w:line="240" w:lineRule="auto"/>
              <w:jc w:val="left"/>
              <w:rPr>
                <w:sz w:val="20"/>
                <w:szCs w:val="20"/>
              </w:rPr>
            </w:pPr>
            <w:r>
              <w:rPr>
                <w:sz w:val="20"/>
                <w:szCs w:val="20"/>
              </w:rPr>
              <w:t>Female</w:t>
            </w:r>
          </w:p>
        </w:tc>
        <w:tc>
          <w:tcPr>
            <w:tcW w:w="2644" w:type="dxa"/>
            <w:tcBorders>
              <w:top w:val="single" w:sz="4" w:space="0" w:color="000000"/>
              <w:left w:val="nil"/>
              <w:bottom w:val="nil"/>
              <w:right w:val="nil"/>
            </w:tcBorders>
            <w:shd w:val="clear" w:color="auto" w:fill="auto"/>
            <w:vAlign w:val="center"/>
          </w:tcPr>
          <w:p w:rsidR="00EE3483" w:rsidRDefault="000B4739">
            <w:pPr>
              <w:spacing w:line="240" w:lineRule="auto"/>
              <w:jc w:val="center"/>
              <w:rPr>
                <w:sz w:val="20"/>
                <w:szCs w:val="20"/>
              </w:rPr>
            </w:pPr>
            <w:r>
              <w:rPr>
                <w:sz w:val="20"/>
                <w:szCs w:val="20"/>
              </w:rPr>
              <w:t>40</w:t>
            </w:r>
          </w:p>
        </w:tc>
        <w:tc>
          <w:tcPr>
            <w:tcW w:w="3473" w:type="dxa"/>
            <w:tcBorders>
              <w:top w:val="single" w:sz="4" w:space="0" w:color="000000"/>
              <w:left w:val="nil"/>
              <w:bottom w:val="nil"/>
              <w:right w:val="nil"/>
            </w:tcBorders>
            <w:shd w:val="clear" w:color="auto" w:fill="auto"/>
            <w:vAlign w:val="center"/>
          </w:tcPr>
          <w:p w:rsidR="00EE3483" w:rsidRDefault="000B4739">
            <w:pPr>
              <w:spacing w:line="240" w:lineRule="auto"/>
              <w:jc w:val="center"/>
              <w:rPr>
                <w:sz w:val="20"/>
                <w:szCs w:val="20"/>
              </w:rPr>
            </w:pPr>
            <w:r>
              <w:rPr>
                <w:sz w:val="20"/>
                <w:szCs w:val="20"/>
              </w:rPr>
              <w:t>47.62</w:t>
            </w:r>
          </w:p>
        </w:tc>
      </w:tr>
      <w:tr w:rsidR="00EE3483">
        <w:trPr>
          <w:trHeight w:val="300"/>
        </w:trPr>
        <w:tc>
          <w:tcPr>
            <w:tcW w:w="3167" w:type="dxa"/>
            <w:tcBorders>
              <w:top w:val="nil"/>
              <w:left w:val="nil"/>
              <w:bottom w:val="nil"/>
              <w:right w:val="nil"/>
            </w:tcBorders>
            <w:shd w:val="clear" w:color="auto" w:fill="auto"/>
            <w:vAlign w:val="center"/>
          </w:tcPr>
          <w:p w:rsidR="00EE3483" w:rsidRDefault="000B4739">
            <w:pPr>
              <w:widowControl w:val="0"/>
              <w:spacing w:line="240" w:lineRule="auto"/>
              <w:jc w:val="left"/>
              <w:rPr>
                <w:sz w:val="20"/>
                <w:szCs w:val="20"/>
              </w:rPr>
            </w:pPr>
            <w:r>
              <w:rPr>
                <w:sz w:val="20"/>
                <w:szCs w:val="20"/>
              </w:rPr>
              <w:t>Male</w:t>
            </w:r>
          </w:p>
        </w:tc>
        <w:tc>
          <w:tcPr>
            <w:tcW w:w="2644" w:type="dxa"/>
            <w:tcBorders>
              <w:top w:val="nil"/>
              <w:left w:val="nil"/>
              <w:bottom w:val="nil"/>
              <w:right w:val="nil"/>
            </w:tcBorders>
            <w:shd w:val="clear" w:color="auto" w:fill="auto"/>
            <w:vAlign w:val="center"/>
          </w:tcPr>
          <w:p w:rsidR="00EE3483" w:rsidRDefault="000B4739">
            <w:pPr>
              <w:spacing w:line="240" w:lineRule="auto"/>
              <w:jc w:val="center"/>
              <w:rPr>
                <w:sz w:val="20"/>
                <w:szCs w:val="20"/>
              </w:rPr>
            </w:pPr>
            <w:r>
              <w:rPr>
                <w:sz w:val="20"/>
                <w:szCs w:val="20"/>
              </w:rPr>
              <w:t>44</w:t>
            </w:r>
          </w:p>
        </w:tc>
        <w:tc>
          <w:tcPr>
            <w:tcW w:w="3473" w:type="dxa"/>
            <w:tcBorders>
              <w:top w:val="nil"/>
              <w:left w:val="nil"/>
              <w:bottom w:val="nil"/>
              <w:right w:val="nil"/>
            </w:tcBorders>
            <w:shd w:val="clear" w:color="auto" w:fill="auto"/>
            <w:vAlign w:val="center"/>
          </w:tcPr>
          <w:p w:rsidR="00EE3483" w:rsidRDefault="000B4739">
            <w:pPr>
              <w:spacing w:line="240" w:lineRule="auto"/>
              <w:jc w:val="center"/>
              <w:rPr>
                <w:sz w:val="20"/>
                <w:szCs w:val="20"/>
              </w:rPr>
            </w:pPr>
            <w:r>
              <w:rPr>
                <w:sz w:val="20"/>
                <w:szCs w:val="20"/>
              </w:rPr>
              <w:t>52.38</w:t>
            </w:r>
          </w:p>
        </w:tc>
      </w:tr>
      <w:tr w:rsidR="00EE3483">
        <w:trPr>
          <w:trHeight w:val="300"/>
        </w:trPr>
        <w:tc>
          <w:tcPr>
            <w:tcW w:w="3167" w:type="dxa"/>
            <w:tcBorders>
              <w:top w:val="single" w:sz="4" w:space="0" w:color="000000"/>
              <w:left w:val="nil"/>
              <w:bottom w:val="single" w:sz="4" w:space="0" w:color="000000"/>
              <w:right w:val="nil"/>
            </w:tcBorders>
            <w:shd w:val="clear" w:color="auto" w:fill="auto"/>
            <w:vAlign w:val="center"/>
          </w:tcPr>
          <w:p w:rsidR="00EE3483" w:rsidRDefault="000B4739">
            <w:pPr>
              <w:spacing w:line="240" w:lineRule="auto"/>
              <w:jc w:val="center"/>
              <w:rPr>
                <w:b/>
                <w:sz w:val="20"/>
                <w:szCs w:val="20"/>
              </w:rPr>
            </w:pPr>
            <w:r>
              <w:rPr>
                <w:b/>
                <w:sz w:val="20"/>
                <w:szCs w:val="20"/>
              </w:rPr>
              <w:t xml:space="preserve">Total </w:t>
            </w:r>
          </w:p>
        </w:tc>
        <w:tc>
          <w:tcPr>
            <w:tcW w:w="2644" w:type="dxa"/>
            <w:tcBorders>
              <w:top w:val="single" w:sz="4" w:space="0" w:color="000000"/>
              <w:left w:val="nil"/>
              <w:bottom w:val="single" w:sz="4" w:space="0" w:color="000000"/>
              <w:right w:val="nil"/>
            </w:tcBorders>
            <w:shd w:val="clear" w:color="auto" w:fill="auto"/>
            <w:vAlign w:val="center"/>
          </w:tcPr>
          <w:p w:rsidR="00EE3483" w:rsidRDefault="000B4739">
            <w:pPr>
              <w:spacing w:line="240" w:lineRule="auto"/>
              <w:jc w:val="center"/>
              <w:rPr>
                <w:b/>
                <w:sz w:val="20"/>
                <w:szCs w:val="20"/>
              </w:rPr>
            </w:pPr>
            <w:r>
              <w:rPr>
                <w:b/>
                <w:sz w:val="20"/>
                <w:szCs w:val="20"/>
              </w:rPr>
              <w:t>84</w:t>
            </w:r>
          </w:p>
        </w:tc>
        <w:tc>
          <w:tcPr>
            <w:tcW w:w="3473" w:type="dxa"/>
            <w:tcBorders>
              <w:top w:val="single" w:sz="4" w:space="0" w:color="000000"/>
              <w:left w:val="nil"/>
              <w:bottom w:val="single" w:sz="4" w:space="0" w:color="000000"/>
              <w:right w:val="nil"/>
            </w:tcBorders>
            <w:shd w:val="clear" w:color="auto" w:fill="auto"/>
            <w:vAlign w:val="center"/>
          </w:tcPr>
          <w:p w:rsidR="00EE3483" w:rsidRDefault="000B4739">
            <w:pPr>
              <w:spacing w:line="240" w:lineRule="auto"/>
              <w:jc w:val="center"/>
              <w:rPr>
                <w:b/>
                <w:sz w:val="20"/>
                <w:szCs w:val="20"/>
              </w:rPr>
            </w:pPr>
            <w:r>
              <w:rPr>
                <w:b/>
                <w:sz w:val="20"/>
                <w:szCs w:val="20"/>
              </w:rPr>
              <w:t>100.00</w:t>
            </w:r>
          </w:p>
        </w:tc>
      </w:tr>
    </w:tbl>
    <w:p w:rsidR="00EE3483" w:rsidRDefault="000B4739">
      <w:pPr>
        <w:spacing w:before="240" w:after="240" w:line="240" w:lineRule="auto"/>
        <w:ind w:firstLineChars="200" w:firstLine="400"/>
        <w:rPr>
          <w:sz w:val="20"/>
          <w:szCs w:val="20"/>
        </w:rPr>
      </w:pPr>
      <w:r>
        <w:rPr>
          <w:sz w:val="20"/>
          <w:szCs w:val="20"/>
        </w:rPr>
        <w:t xml:space="preserve">The literature suggests that gender distribution in financial institutions reflects broader labor patterns, with women’s participation increasing but men still slightly dominating managerial and technical roles, especially in rural or developing areas (Kabeer, 2021; Mroczek-Dąbrowska and Gawel, 2019; Hendytio and Barany, 2022). </w:t>
      </w:r>
    </w:p>
    <w:p w:rsidR="00EE3483" w:rsidRDefault="000B4739">
      <w:pPr>
        <w:spacing w:before="240" w:after="240" w:line="240" w:lineRule="auto"/>
        <w:ind w:firstLineChars="200" w:firstLine="400"/>
        <w:rPr>
          <w:sz w:val="20"/>
          <w:szCs w:val="20"/>
        </w:rPr>
      </w:pPr>
      <w:r>
        <w:rPr>
          <w:sz w:val="20"/>
          <w:szCs w:val="20"/>
        </w:rPr>
        <w:t>Although female employees often perform as well as or better than males, they continue to face barriers to advancement (Biswas and Saha, 2025), while overall performance differences by sex are minimal and more influenced by workplace policies than gender itself (Koskela, 2022).</w:t>
      </w:r>
    </w:p>
    <w:p w:rsidR="00EE3483" w:rsidRDefault="000B4739">
      <w:pPr>
        <w:spacing w:before="240" w:after="240" w:line="240" w:lineRule="auto"/>
        <w:ind w:firstLineChars="200" w:firstLine="400"/>
        <w:rPr>
          <w:sz w:val="20"/>
          <w:szCs w:val="20"/>
        </w:rPr>
      </w:pPr>
      <w:r>
        <w:rPr>
          <w:sz w:val="20"/>
          <w:szCs w:val="20"/>
        </w:rPr>
        <w:t>Table 5 shows that most financial institution workers in Cateel, Davao Oriental have 3–6 years of experience, while those with 7 years or more are equal in number to those with 2 years or less of experience.</w:t>
      </w:r>
    </w:p>
    <w:p w:rsidR="00EE3483" w:rsidRDefault="000B4739">
      <w:pPr>
        <w:spacing w:before="240" w:after="240" w:line="240" w:lineRule="auto"/>
        <w:ind w:firstLineChars="200" w:firstLine="402"/>
        <w:rPr>
          <w:b/>
          <w:sz w:val="20"/>
          <w:szCs w:val="20"/>
        </w:rPr>
      </w:pPr>
      <w:r>
        <w:rPr>
          <w:b/>
          <w:sz w:val="20"/>
          <w:szCs w:val="20"/>
        </w:rPr>
        <w:t>Table 5. Profile of the respondent in terms of years of experience</w:t>
      </w:r>
    </w:p>
    <w:tbl>
      <w:tblPr>
        <w:tblStyle w:val="a4"/>
        <w:tblW w:w="9286" w:type="dxa"/>
        <w:tblInd w:w="98" w:type="dxa"/>
        <w:tblBorders>
          <w:top w:val="nil"/>
          <w:left w:val="nil"/>
          <w:bottom w:val="nil"/>
          <w:right w:val="nil"/>
          <w:insideH w:val="nil"/>
          <w:insideV w:val="nil"/>
        </w:tblBorders>
        <w:tblLayout w:type="fixed"/>
        <w:tblLook w:val="0000" w:firstRow="0" w:lastRow="0" w:firstColumn="0" w:lastColumn="0" w:noHBand="0" w:noVBand="0"/>
      </w:tblPr>
      <w:tblGrid>
        <w:gridCol w:w="3041"/>
        <w:gridCol w:w="3384"/>
        <w:gridCol w:w="2861"/>
      </w:tblGrid>
      <w:tr w:rsidR="00EE3483">
        <w:tc>
          <w:tcPr>
            <w:tcW w:w="304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bCs/>
                <w:sz w:val="20"/>
                <w:szCs w:val="20"/>
              </w:rPr>
            </w:pPr>
            <w:r>
              <w:rPr>
                <w:b/>
                <w:bCs/>
                <w:sz w:val="20"/>
                <w:szCs w:val="20"/>
              </w:rPr>
              <w:t>Experience</w:t>
            </w:r>
          </w:p>
        </w:tc>
        <w:tc>
          <w:tcPr>
            <w:tcW w:w="3384"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bCs/>
                <w:sz w:val="20"/>
                <w:szCs w:val="20"/>
              </w:rPr>
            </w:pPr>
            <w:r>
              <w:rPr>
                <w:b/>
                <w:bCs/>
                <w:sz w:val="20"/>
                <w:szCs w:val="20"/>
              </w:rPr>
              <w:t>Frequency</w:t>
            </w:r>
          </w:p>
        </w:tc>
        <w:tc>
          <w:tcPr>
            <w:tcW w:w="286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bCs/>
                <w:sz w:val="20"/>
                <w:szCs w:val="20"/>
              </w:rPr>
            </w:pPr>
            <w:r>
              <w:rPr>
                <w:b/>
                <w:bCs/>
                <w:sz w:val="20"/>
                <w:szCs w:val="20"/>
              </w:rPr>
              <w:t>Percent (%)</w:t>
            </w:r>
          </w:p>
        </w:tc>
      </w:tr>
      <w:tr w:rsidR="00EE3483">
        <w:trPr>
          <w:trHeight w:val="214"/>
        </w:trPr>
        <w:tc>
          <w:tcPr>
            <w:tcW w:w="3041" w:type="dxa"/>
            <w:tcBorders>
              <w:top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2 years or less</w:t>
            </w:r>
          </w:p>
        </w:tc>
        <w:tc>
          <w:tcPr>
            <w:tcW w:w="3384"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22</w:t>
            </w:r>
          </w:p>
        </w:tc>
        <w:tc>
          <w:tcPr>
            <w:tcW w:w="2861"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26.19</w:t>
            </w:r>
          </w:p>
        </w:tc>
      </w:tr>
      <w:tr w:rsidR="00EE3483">
        <w:trPr>
          <w:trHeight w:val="65"/>
        </w:trPr>
        <w:tc>
          <w:tcPr>
            <w:tcW w:w="3041" w:type="dxa"/>
            <w:shd w:val="clear" w:color="auto" w:fill="auto"/>
            <w:vAlign w:val="center"/>
          </w:tcPr>
          <w:p w:rsidR="00EE3483" w:rsidRDefault="000B4739">
            <w:pPr>
              <w:widowControl w:val="0"/>
              <w:spacing w:line="240" w:lineRule="auto"/>
              <w:rPr>
                <w:sz w:val="20"/>
                <w:szCs w:val="20"/>
              </w:rPr>
            </w:pPr>
            <w:r>
              <w:rPr>
                <w:sz w:val="20"/>
                <w:szCs w:val="20"/>
              </w:rPr>
              <w:t>3 to 6 years</w:t>
            </w:r>
          </w:p>
        </w:tc>
        <w:tc>
          <w:tcPr>
            <w:tcW w:w="3384" w:type="dxa"/>
            <w:shd w:val="clear" w:color="auto" w:fill="auto"/>
            <w:vAlign w:val="center"/>
          </w:tcPr>
          <w:p w:rsidR="00EE3483" w:rsidRDefault="000B4739">
            <w:pPr>
              <w:spacing w:line="240" w:lineRule="auto"/>
              <w:jc w:val="center"/>
              <w:rPr>
                <w:sz w:val="20"/>
                <w:szCs w:val="20"/>
              </w:rPr>
            </w:pPr>
            <w:r>
              <w:rPr>
                <w:sz w:val="20"/>
                <w:szCs w:val="20"/>
              </w:rPr>
              <w:t>40</w:t>
            </w:r>
          </w:p>
        </w:tc>
        <w:tc>
          <w:tcPr>
            <w:tcW w:w="2861" w:type="dxa"/>
            <w:shd w:val="clear" w:color="auto" w:fill="auto"/>
            <w:vAlign w:val="center"/>
          </w:tcPr>
          <w:p w:rsidR="00EE3483" w:rsidRDefault="000B4739">
            <w:pPr>
              <w:spacing w:line="240" w:lineRule="auto"/>
              <w:jc w:val="center"/>
              <w:rPr>
                <w:sz w:val="20"/>
                <w:szCs w:val="20"/>
              </w:rPr>
            </w:pPr>
            <w:r>
              <w:rPr>
                <w:sz w:val="20"/>
                <w:szCs w:val="20"/>
              </w:rPr>
              <w:t>47.62</w:t>
            </w:r>
          </w:p>
        </w:tc>
      </w:tr>
      <w:tr w:rsidR="00EE3483">
        <w:trPr>
          <w:trHeight w:val="110"/>
        </w:trPr>
        <w:tc>
          <w:tcPr>
            <w:tcW w:w="3041" w:type="dxa"/>
            <w:tcBorders>
              <w:bottom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lastRenderedPageBreak/>
              <w:t>7 years and above</w:t>
            </w:r>
          </w:p>
        </w:tc>
        <w:tc>
          <w:tcPr>
            <w:tcW w:w="3384"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22</w:t>
            </w:r>
          </w:p>
        </w:tc>
        <w:tc>
          <w:tcPr>
            <w:tcW w:w="2861"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26.19</w:t>
            </w:r>
          </w:p>
        </w:tc>
      </w:tr>
      <w:tr w:rsidR="00EE3483">
        <w:trPr>
          <w:trHeight w:val="300"/>
        </w:trPr>
        <w:tc>
          <w:tcPr>
            <w:tcW w:w="3041" w:type="dxa"/>
            <w:tcBorders>
              <w:top w:val="single" w:sz="4" w:space="0" w:color="000000"/>
              <w:bottom w:val="single" w:sz="4" w:space="0" w:color="000000"/>
            </w:tcBorders>
            <w:shd w:val="clear" w:color="auto" w:fill="auto"/>
            <w:vAlign w:val="center"/>
          </w:tcPr>
          <w:p w:rsidR="00EE3483" w:rsidRDefault="000B4739">
            <w:pPr>
              <w:spacing w:line="240" w:lineRule="auto"/>
              <w:rPr>
                <w:b/>
                <w:sz w:val="20"/>
                <w:szCs w:val="20"/>
              </w:rPr>
            </w:pPr>
            <w:r>
              <w:rPr>
                <w:b/>
                <w:sz w:val="20"/>
                <w:szCs w:val="20"/>
              </w:rPr>
              <w:t>Average</w:t>
            </w:r>
          </w:p>
        </w:tc>
        <w:tc>
          <w:tcPr>
            <w:tcW w:w="3384"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84</w:t>
            </w:r>
          </w:p>
        </w:tc>
        <w:tc>
          <w:tcPr>
            <w:tcW w:w="286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100.00</w:t>
            </w:r>
          </w:p>
        </w:tc>
      </w:tr>
    </w:tbl>
    <w:p w:rsidR="00EE3483" w:rsidRDefault="000B4739">
      <w:pPr>
        <w:spacing w:before="240" w:after="240" w:line="240" w:lineRule="auto"/>
        <w:ind w:firstLineChars="200" w:firstLine="400"/>
        <w:rPr>
          <w:sz w:val="20"/>
          <w:szCs w:val="20"/>
        </w:rPr>
      </w:pPr>
      <w:r>
        <w:rPr>
          <w:sz w:val="20"/>
          <w:szCs w:val="20"/>
        </w:rPr>
        <w:t>Novice employees (&lt;2 years) are mainly motivated by extrinsic factors such as pay, support, and clear career paths, with early positive experiences shaping their commitment (Siregar, 2022). Mid-career workers are more driven by intrinsic motivators, and their job engagement strongly predicts all forms of commitment—affective, continuance, and normative (Traje &amp; Sulayon, 2022). Veteran employees (7+ years) tend to value job security, legacy, and mentoring, and they maintain motivation and commitment when they continue to feel respected (Tudlong, 2025).</w:t>
      </w:r>
    </w:p>
    <w:p w:rsidR="00EE3483" w:rsidRDefault="000B4739">
      <w:pPr>
        <w:spacing w:before="240" w:after="240" w:line="240" w:lineRule="auto"/>
        <w:ind w:firstLineChars="200" w:firstLine="400"/>
        <w:rPr>
          <w:sz w:val="20"/>
          <w:szCs w:val="20"/>
        </w:rPr>
      </w:pPr>
      <w:r>
        <w:rPr>
          <w:sz w:val="20"/>
          <w:szCs w:val="20"/>
        </w:rPr>
        <w:t>The result in Table 6 indicate that the majority of respondents were tellers (55.95%), followed by other staff (29.76%) and managers (14.29%). This distribution suggests a higher propensity for survey participation among tellers within financial institutions.</w:t>
      </w:r>
    </w:p>
    <w:p w:rsidR="00EE3483" w:rsidRDefault="000B4739">
      <w:pPr>
        <w:spacing w:before="240" w:after="240" w:line="240" w:lineRule="auto"/>
        <w:ind w:firstLineChars="200" w:firstLine="400"/>
        <w:rPr>
          <w:sz w:val="20"/>
          <w:szCs w:val="20"/>
        </w:rPr>
      </w:pPr>
      <w:r>
        <w:rPr>
          <w:sz w:val="20"/>
          <w:szCs w:val="20"/>
        </w:rPr>
        <w:t xml:space="preserve">Table 6. Profile of the respondent in terms of position  </w:t>
      </w:r>
    </w:p>
    <w:tbl>
      <w:tblPr>
        <w:tblStyle w:val="a5"/>
        <w:tblW w:w="9339"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3267"/>
        <w:gridCol w:w="3098"/>
        <w:gridCol w:w="2974"/>
      </w:tblGrid>
      <w:tr w:rsidR="00EE3483">
        <w:trPr>
          <w:trHeight w:val="212"/>
        </w:trPr>
        <w:tc>
          <w:tcPr>
            <w:tcW w:w="3267"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Position</w:t>
            </w:r>
          </w:p>
        </w:tc>
        <w:tc>
          <w:tcPr>
            <w:tcW w:w="30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Frequency</w:t>
            </w:r>
          </w:p>
        </w:tc>
        <w:tc>
          <w:tcPr>
            <w:tcW w:w="29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Percent (%)</w:t>
            </w:r>
          </w:p>
        </w:tc>
      </w:tr>
      <w:tr w:rsidR="00EE3483">
        <w:trPr>
          <w:trHeight w:val="125"/>
        </w:trPr>
        <w:tc>
          <w:tcPr>
            <w:tcW w:w="3267" w:type="dxa"/>
            <w:tcBorders>
              <w:top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Manager</w:t>
            </w:r>
          </w:p>
        </w:tc>
        <w:tc>
          <w:tcPr>
            <w:tcW w:w="3098"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12</w:t>
            </w:r>
          </w:p>
        </w:tc>
        <w:tc>
          <w:tcPr>
            <w:tcW w:w="2974"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14.29</w:t>
            </w:r>
          </w:p>
        </w:tc>
      </w:tr>
      <w:tr w:rsidR="00EE3483">
        <w:trPr>
          <w:trHeight w:val="224"/>
        </w:trPr>
        <w:tc>
          <w:tcPr>
            <w:tcW w:w="3267" w:type="dxa"/>
            <w:shd w:val="clear" w:color="auto" w:fill="auto"/>
            <w:vAlign w:val="center"/>
          </w:tcPr>
          <w:p w:rsidR="00EE3483" w:rsidRDefault="000B4739">
            <w:pPr>
              <w:widowControl w:val="0"/>
              <w:spacing w:line="240" w:lineRule="auto"/>
              <w:rPr>
                <w:sz w:val="20"/>
                <w:szCs w:val="20"/>
              </w:rPr>
            </w:pPr>
            <w:r>
              <w:rPr>
                <w:sz w:val="20"/>
                <w:szCs w:val="20"/>
              </w:rPr>
              <w:t>Teller</w:t>
            </w:r>
          </w:p>
        </w:tc>
        <w:tc>
          <w:tcPr>
            <w:tcW w:w="3098" w:type="dxa"/>
            <w:shd w:val="clear" w:color="auto" w:fill="auto"/>
            <w:vAlign w:val="center"/>
          </w:tcPr>
          <w:p w:rsidR="00EE3483" w:rsidRDefault="000B4739">
            <w:pPr>
              <w:spacing w:line="240" w:lineRule="auto"/>
              <w:jc w:val="center"/>
              <w:rPr>
                <w:sz w:val="20"/>
                <w:szCs w:val="20"/>
              </w:rPr>
            </w:pPr>
            <w:r>
              <w:rPr>
                <w:sz w:val="20"/>
                <w:szCs w:val="20"/>
              </w:rPr>
              <w:t>47</w:t>
            </w:r>
          </w:p>
        </w:tc>
        <w:tc>
          <w:tcPr>
            <w:tcW w:w="2974" w:type="dxa"/>
            <w:shd w:val="clear" w:color="auto" w:fill="auto"/>
            <w:vAlign w:val="center"/>
          </w:tcPr>
          <w:p w:rsidR="00EE3483" w:rsidRDefault="000B4739">
            <w:pPr>
              <w:spacing w:line="240" w:lineRule="auto"/>
              <w:jc w:val="center"/>
              <w:rPr>
                <w:sz w:val="20"/>
                <w:szCs w:val="20"/>
              </w:rPr>
            </w:pPr>
            <w:r>
              <w:rPr>
                <w:sz w:val="20"/>
                <w:szCs w:val="20"/>
              </w:rPr>
              <w:t>55.95</w:t>
            </w:r>
          </w:p>
        </w:tc>
      </w:tr>
      <w:tr w:rsidR="00EE3483">
        <w:trPr>
          <w:trHeight w:val="111"/>
        </w:trPr>
        <w:tc>
          <w:tcPr>
            <w:tcW w:w="3267" w:type="dxa"/>
            <w:tcBorders>
              <w:bottom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Staff</w:t>
            </w:r>
          </w:p>
        </w:tc>
        <w:tc>
          <w:tcPr>
            <w:tcW w:w="3098"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25</w:t>
            </w:r>
          </w:p>
        </w:tc>
        <w:tc>
          <w:tcPr>
            <w:tcW w:w="2974"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29.76</w:t>
            </w:r>
          </w:p>
        </w:tc>
      </w:tr>
      <w:tr w:rsidR="00EE3483">
        <w:trPr>
          <w:trHeight w:val="300"/>
        </w:trPr>
        <w:tc>
          <w:tcPr>
            <w:tcW w:w="3267" w:type="dxa"/>
            <w:tcBorders>
              <w:top w:val="single" w:sz="4" w:space="0" w:color="000000"/>
              <w:bottom w:val="single" w:sz="4" w:space="0" w:color="000000"/>
            </w:tcBorders>
            <w:shd w:val="clear" w:color="auto" w:fill="auto"/>
            <w:vAlign w:val="center"/>
          </w:tcPr>
          <w:p w:rsidR="00EE3483" w:rsidRDefault="000B4739">
            <w:pPr>
              <w:spacing w:line="240" w:lineRule="auto"/>
              <w:rPr>
                <w:b/>
                <w:sz w:val="20"/>
                <w:szCs w:val="20"/>
              </w:rPr>
            </w:pPr>
            <w:r>
              <w:rPr>
                <w:b/>
                <w:sz w:val="20"/>
                <w:szCs w:val="20"/>
              </w:rPr>
              <w:t>Total</w:t>
            </w:r>
          </w:p>
        </w:tc>
        <w:tc>
          <w:tcPr>
            <w:tcW w:w="30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84</w:t>
            </w:r>
          </w:p>
        </w:tc>
        <w:tc>
          <w:tcPr>
            <w:tcW w:w="29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100.00</w:t>
            </w:r>
          </w:p>
        </w:tc>
      </w:tr>
    </w:tbl>
    <w:p w:rsidR="00EE3483" w:rsidRDefault="000B4739">
      <w:pPr>
        <w:spacing w:before="240" w:after="240" w:line="240" w:lineRule="auto"/>
        <w:rPr>
          <w:sz w:val="20"/>
          <w:szCs w:val="20"/>
        </w:rPr>
      </w:pPr>
      <w:r>
        <w:rPr>
          <w:sz w:val="20"/>
          <w:szCs w:val="20"/>
        </w:rPr>
        <w:t xml:space="preserve">       Occupational roles in financial institutions differ in responsibility, stress, and customer interaction, which influence employee engagement and participation (Islam et al., 2023). Tellers are often overrepresented in studies due to their customer-facing roles, accessibility, and involvement in operational tasks (Hoang, 2024). </w:t>
      </w:r>
    </w:p>
    <w:p w:rsidR="00EE3483" w:rsidRDefault="000B4739">
      <w:pPr>
        <w:spacing w:before="240" w:after="240" w:line="240" w:lineRule="auto"/>
        <w:ind w:firstLineChars="200" w:firstLine="400"/>
        <w:rPr>
          <w:sz w:val="20"/>
          <w:szCs w:val="20"/>
        </w:rPr>
      </w:pPr>
      <w:r>
        <w:rPr>
          <w:sz w:val="20"/>
          <w:szCs w:val="20"/>
        </w:rPr>
        <w:t>Managers, though fewer, play key roles in strategic decision-making and policy implementation (Tabesh et al., 2019), while support staff contribute to organizational efficiency but may feel less recognized, affecting their participation in assessments (Gilal et al., 2019). Job position also shapes commitment, with tellers showing higher continuance commitment and managers demonstrating stronger affective commitment (Shockley, 2022).</w:t>
      </w:r>
    </w:p>
    <w:p w:rsidR="00EE3483" w:rsidRDefault="000B4739">
      <w:pPr>
        <w:spacing w:before="240" w:after="240" w:line="240" w:lineRule="auto"/>
        <w:ind w:firstLineChars="200" w:firstLine="400"/>
        <w:rPr>
          <w:sz w:val="20"/>
          <w:szCs w:val="20"/>
        </w:rPr>
      </w:pPr>
      <w:r>
        <w:rPr>
          <w:sz w:val="20"/>
          <w:szCs w:val="20"/>
        </w:rPr>
        <w:t>Table 7 shows that among 84 respondents, exactly half (50%, n = 42) are regular or permanent employees, and the other half (50%, n = 42) are non-regular employees. The 1:1 ratio from both employment groups is equally represented, which suggests that any comparison between both employment statuses will have balanced sample sizes.</w:t>
      </w:r>
    </w:p>
    <w:p w:rsidR="00EE3483" w:rsidRDefault="000B4739">
      <w:pPr>
        <w:spacing w:before="240" w:after="240" w:line="240" w:lineRule="auto"/>
        <w:ind w:firstLineChars="200" w:firstLine="402"/>
        <w:rPr>
          <w:b/>
          <w:sz w:val="20"/>
          <w:szCs w:val="20"/>
        </w:rPr>
      </w:pPr>
      <w:r>
        <w:rPr>
          <w:b/>
          <w:sz w:val="20"/>
          <w:szCs w:val="20"/>
        </w:rPr>
        <w:t>Table 7. Profile of the respondent in terms of employment status</w:t>
      </w:r>
    </w:p>
    <w:tbl>
      <w:tblPr>
        <w:tblStyle w:val="a6"/>
        <w:tblW w:w="9411"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3371"/>
        <w:gridCol w:w="2812"/>
        <w:gridCol w:w="3228"/>
      </w:tblGrid>
      <w:tr w:rsidR="00EE3483">
        <w:trPr>
          <w:trHeight w:val="317"/>
        </w:trPr>
        <w:tc>
          <w:tcPr>
            <w:tcW w:w="337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Status</w:t>
            </w:r>
          </w:p>
        </w:tc>
        <w:tc>
          <w:tcPr>
            <w:tcW w:w="2812"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Frequency</w:t>
            </w:r>
          </w:p>
        </w:tc>
        <w:tc>
          <w:tcPr>
            <w:tcW w:w="322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Percent (%)</w:t>
            </w:r>
          </w:p>
        </w:tc>
      </w:tr>
      <w:tr w:rsidR="00EE3483">
        <w:trPr>
          <w:trHeight w:val="300"/>
        </w:trPr>
        <w:tc>
          <w:tcPr>
            <w:tcW w:w="3371" w:type="dxa"/>
            <w:tcBorders>
              <w:top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Regular Employee</w:t>
            </w:r>
          </w:p>
        </w:tc>
        <w:tc>
          <w:tcPr>
            <w:tcW w:w="2812"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42</w:t>
            </w:r>
          </w:p>
        </w:tc>
        <w:tc>
          <w:tcPr>
            <w:tcW w:w="3228"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50.00</w:t>
            </w:r>
          </w:p>
        </w:tc>
      </w:tr>
      <w:tr w:rsidR="00EE3483">
        <w:tc>
          <w:tcPr>
            <w:tcW w:w="3371" w:type="dxa"/>
            <w:shd w:val="clear" w:color="auto" w:fill="auto"/>
            <w:vAlign w:val="center"/>
          </w:tcPr>
          <w:p w:rsidR="00EE3483" w:rsidRDefault="000B4739">
            <w:pPr>
              <w:widowControl w:val="0"/>
              <w:spacing w:line="240" w:lineRule="auto"/>
              <w:rPr>
                <w:sz w:val="20"/>
                <w:szCs w:val="20"/>
              </w:rPr>
            </w:pPr>
            <w:r>
              <w:rPr>
                <w:sz w:val="20"/>
                <w:szCs w:val="20"/>
              </w:rPr>
              <w:t>Non-regular Employee</w:t>
            </w:r>
          </w:p>
        </w:tc>
        <w:tc>
          <w:tcPr>
            <w:tcW w:w="2812" w:type="dxa"/>
            <w:shd w:val="clear" w:color="auto" w:fill="auto"/>
            <w:vAlign w:val="center"/>
          </w:tcPr>
          <w:p w:rsidR="00EE3483" w:rsidRDefault="000B4739">
            <w:pPr>
              <w:spacing w:line="240" w:lineRule="auto"/>
              <w:jc w:val="center"/>
              <w:rPr>
                <w:sz w:val="20"/>
                <w:szCs w:val="20"/>
              </w:rPr>
            </w:pPr>
            <w:r>
              <w:rPr>
                <w:sz w:val="20"/>
                <w:szCs w:val="20"/>
              </w:rPr>
              <w:t>42</w:t>
            </w:r>
          </w:p>
        </w:tc>
        <w:tc>
          <w:tcPr>
            <w:tcW w:w="3228" w:type="dxa"/>
            <w:shd w:val="clear" w:color="auto" w:fill="auto"/>
            <w:vAlign w:val="center"/>
          </w:tcPr>
          <w:p w:rsidR="00EE3483" w:rsidRDefault="000B4739">
            <w:pPr>
              <w:spacing w:line="240" w:lineRule="auto"/>
              <w:jc w:val="center"/>
              <w:rPr>
                <w:sz w:val="20"/>
                <w:szCs w:val="20"/>
              </w:rPr>
            </w:pPr>
            <w:r>
              <w:rPr>
                <w:sz w:val="20"/>
                <w:szCs w:val="20"/>
              </w:rPr>
              <w:t>50.00</w:t>
            </w:r>
          </w:p>
        </w:tc>
      </w:tr>
      <w:tr w:rsidR="00EE3483">
        <w:trPr>
          <w:trHeight w:val="300"/>
        </w:trPr>
        <w:tc>
          <w:tcPr>
            <w:tcW w:w="3371" w:type="dxa"/>
            <w:tcBorders>
              <w:top w:val="single" w:sz="4" w:space="0" w:color="000000"/>
              <w:bottom w:val="single" w:sz="4" w:space="0" w:color="000000"/>
            </w:tcBorders>
            <w:shd w:val="clear" w:color="auto" w:fill="auto"/>
            <w:vAlign w:val="center"/>
          </w:tcPr>
          <w:p w:rsidR="00EE3483" w:rsidRDefault="000B4739">
            <w:pPr>
              <w:spacing w:line="240" w:lineRule="auto"/>
              <w:rPr>
                <w:b/>
                <w:sz w:val="20"/>
                <w:szCs w:val="20"/>
              </w:rPr>
            </w:pPr>
            <w:r>
              <w:rPr>
                <w:b/>
                <w:sz w:val="20"/>
                <w:szCs w:val="20"/>
              </w:rPr>
              <w:t>Total</w:t>
            </w:r>
          </w:p>
        </w:tc>
        <w:tc>
          <w:tcPr>
            <w:tcW w:w="2812"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84</w:t>
            </w:r>
          </w:p>
        </w:tc>
        <w:tc>
          <w:tcPr>
            <w:tcW w:w="322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100.00</w:t>
            </w:r>
          </w:p>
        </w:tc>
      </w:tr>
    </w:tbl>
    <w:p w:rsidR="00EE3483" w:rsidRDefault="000B4739">
      <w:pPr>
        <w:spacing w:before="240" w:after="240" w:line="240" w:lineRule="auto"/>
        <w:ind w:firstLineChars="200" w:firstLine="400"/>
        <w:rPr>
          <w:sz w:val="20"/>
          <w:szCs w:val="20"/>
        </w:rPr>
      </w:pPr>
      <w:r>
        <w:rPr>
          <w:sz w:val="20"/>
          <w:szCs w:val="20"/>
        </w:rPr>
        <w:t xml:space="preserve">Employment status significantly influences employees’ job satisfaction, motivation, and productivity (Kang and Lee, 2021). Regular employees generally report higher satisfaction due to job stability and benefits (Neirotti et al., 2019), while non-regular employees may experience income insecurity and inconsistent schedules that affect engagement (Kang and Lee, 2019). </w:t>
      </w:r>
    </w:p>
    <w:p w:rsidR="00EE3483" w:rsidRDefault="000B4739">
      <w:pPr>
        <w:spacing w:before="240" w:after="240" w:line="240" w:lineRule="auto"/>
        <w:ind w:firstLineChars="200" w:firstLine="400"/>
        <w:rPr>
          <w:sz w:val="20"/>
          <w:szCs w:val="20"/>
        </w:rPr>
      </w:pPr>
      <w:r>
        <w:rPr>
          <w:sz w:val="20"/>
          <w:szCs w:val="20"/>
        </w:rPr>
        <w:t xml:space="preserve">However, supportive management practices can enable non-regular workers to achieve comparable performance levels (Kim and Cho, 2020). In financial institutions, inclusive policies and incentives help align </w:t>
      </w:r>
      <w:r>
        <w:rPr>
          <w:sz w:val="20"/>
          <w:szCs w:val="20"/>
        </w:rPr>
        <w:lastRenderedPageBreak/>
        <w:t>motivation and productivity across employment types, making balanced representation important for meaningful comparison (Adinew, 2024).</w:t>
      </w:r>
    </w:p>
    <w:p w:rsidR="00EE3483" w:rsidRDefault="000B4739">
      <w:pPr>
        <w:spacing w:before="240" w:after="240" w:line="240" w:lineRule="auto"/>
        <w:rPr>
          <w:b/>
          <w:bCs/>
          <w:sz w:val="20"/>
          <w:szCs w:val="20"/>
        </w:rPr>
      </w:pPr>
      <w:r>
        <w:rPr>
          <w:b/>
          <w:bCs/>
          <w:sz w:val="20"/>
          <w:szCs w:val="20"/>
        </w:rPr>
        <w:t>4.2 Level of Job Motivators of Financial Institution Workers</w:t>
      </w:r>
    </w:p>
    <w:p w:rsidR="00EE3483" w:rsidRDefault="000B4739">
      <w:pPr>
        <w:spacing w:before="240" w:after="240" w:line="240" w:lineRule="auto"/>
        <w:ind w:firstLineChars="200" w:firstLine="400"/>
        <w:rPr>
          <w:sz w:val="20"/>
          <w:szCs w:val="20"/>
        </w:rPr>
      </w:pPr>
      <w:r>
        <w:rPr>
          <w:sz w:val="20"/>
          <w:szCs w:val="20"/>
        </w:rPr>
        <w:t>This part of the discussion shows the data on the level of job motivators of the respondents/financial institution workers from Cateel, Davao Oriental, in the aspects of intrinsic motivation, extrinsic motivation, and work environment.</w:t>
      </w:r>
    </w:p>
    <w:p w:rsidR="00EE3483" w:rsidRDefault="000B4739">
      <w:pPr>
        <w:spacing w:before="240" w:after="240" w:line="240" w:lineRule="auto"/>
        <w:rPr>
          <w:b/>
          <w:bCs/>
          <w:sz w:val="20"/>
          <w:szCs w:val="20"/>
        </w:rPr>
      </w:pPr>
      <w:r>
        <w:rPr>
          <w:b/>
          <w:bCs/>
          <w:sz w:val="20"/>
          <w:szCs w:val="20"/>
        </w:rPr>
        <w:t>Intrinsic Motivation</w:t>
      </w:r>
    </w:p>
    <w:p w:rsidR="00EE3483" w:rsidRDefault="000B4739">
      <w:pPr>
        <w:spacing w:before="240" w:after="240" w:line="240" w:lineRule="auto"/>
        <w:rPr>
          <w:sz w:val="20"/>
          <w:szCs w:val="20"/>
        </w:rPr>
      </w:pPr>
      <w:r>
        <w:rPr>
          <w:sz w:val="20"/>
          <w:szCs w:val="20"/>
        </w:rPr>
        <w:t xml:space="preserve">     Table 8 indicates that intrinsic job motivators among employees of financial institutions in Cateel, Davao Oriental are highly evident, with all eleven indicators receiving high mean scores ranging from 4.43 to 4.69, reflecting a strong positive perception of intrinsic motivation.</w:t>
      </w:r>
    </w:p>
    <w:p w:rsidR="00EE3483" w:rsidRDefault="000B4739">
      <w:pPr>
        <w:spacing w:before="240" w:after="240" w:line="240" w:lineRule="auto"/>
        <w:rPr>
          <w:sz w:val="20"/>
          <w:szCs w:val="20"/>
        </w:rPr>
      </w:pPr>
      <w:r>
        <w:rPr>
          <w:sz w:val="20"/>
          <w:szCs w:val="20"/>
        </w:rPr>
        <w:t>Table 8. Level of job motivators in terms of intrinsic motivation</w:t>
      </w:r>
    </w:p>
    <w:tbl>
      <w:tblPr>
        <w:tblStyle w:val="a7"/>
        <w:tblW w:w="9240"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690"/>
        <w:gridCol w:w="4636"/>
        <w:gridCol w:w="1174"/>
        <w:gridCol w:w="1149"/>
        <w:gridCol w:w="1591"/>
      </w:tblGrid>
      <w:tr w:rsidR="00EE3483">
        <w:tc>
          <w:tcPr>
            <w:tcW w:w="690"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No.</w:t>
            </w:r>
          </w:p>
        </w:tc>
        <w:tc>
          <w:tcPr>
            <w:tcW w:w="463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Indicators</w:t>
            </w:r>
          </w:p>
        </w:tc>
        <w:tc>
          <w:tcPr>
            <w:tcW w:w="11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Mean</w:t>
            </w:r>
          </w:p>
        </w:tc>
        <w:tc>
          <w:tcPr>
            <w:tcW w:w="114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Std. Deviation</w:t>
            </w:r>
          </w:p>
        </w:tc>
        <w:tc>
          <w:tcPr>
            <w:tcW w:w="1591"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Interpretation</w:t>
            </w:r>
          </w:p>
        </w:tc>
      </w:tr>
      <w:tr w:rsidR="00EE3483">
        <w:trPr>
          <w:trHeight w:val="300"/>
        </w:trPr>
        <w:tc>
          <w:tcPr>
            <w:tcW w:w="690" w:type="dxa"/>
            <w:tcBorders>
              <w:top w:val="single" w:sz="4" w:space="0" w:color="000000"/>
            </w:tcBorders>
            <w:shd w:val="clear" w:color="auto" w:fill="auto"/>
            <w:vAlign w:val="center"/>
          </w:tcPr>
          <w:p w:rsidR="00EE3483" w:rsidRDefault="000B4739">
            <w:pPr>
              <w:spacing w:line="240" w:lineRule="auto"/>
              <w:rPr>
                <w:sz w:val="20"/>
                <w:szCs w:val="20"/>
              </w:rPr>
            </w:pPr>
            <w:r>
              <w:rPr>
                <w:sz w:val="20"/>
                <w:szCs w:val="20"/>
              </w:rPr>
              <w:t>1</w:t>
            </w:r>
          </w:p>
        </w:tc>
        <w:tc>
          <w:tcPr>
            <w:tcW w:w="4636" w:type="dxa"/>
            <w:tcBorders>
              <w:top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The organization offers many professional opportunities for promotion.</w:t>
            </w:r>
          </w:p>
        </w:tc>
        <w:tc>
          <w:tcPr>
            <w:tcW w:w="1174"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4.69</w:t>
            </w:r>
          </w:p>
        </w:tc>
        <w:tc>
          <w:tcPr>
            <w:tcW w:w="1149"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0.54</w:t>
            </w:r>
          </w:p>
        </w:tc>
        <w:tc>
          <w:tcPr>
            <w:tcW w:w="1591"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shd w:val="clear" w:color="auto" w:fill="auto"/>
            <w:vAlign w:val="center"/>
          </w:tcPr>
          <w:p w:rsidR="00EE3483" w:rsidRDefault="000B4739">
            <w:pPr>
              <w:spacing w:line="240" w:lineRule="auto"/>
              <w:rPr>
                <w:sz w:val="20"/>
                <w:szCs w:val="20"/>
              </w:rPr>
            </w:pPr>
            <w:r>
              <w:rPr>
                <w:sz w:val="20"/>
                <w:szCs w:val="20"/>
              </w:rPr>
              <w:t>2</w:t>
            </w:r>
          </w:p>
        </w:tc>
        <w:tc>
          <w:tcPr>
            <w:tcW w:w="4636" w:type="dxa"/>
            <w:shd w:val="clear" w:color="auto" w:fill="auto"/>
            <w:vAlign w:val="center"/>
          </w:tcPr>
          <w:p w:rsidR="00EE3483" w:rsidRDefault="000B4739">
            <w:pPr>
              <w:widowControl w:val="0"/>
              <w:spacing w:line="240" w:lineRule="auto"/>
              <w:rPr>
                <w:sz w:val="20"/>
                <w:szCs w:val="20"/>
              </w:rPr>
            </w:pPr>
            <w:r>
              <w:rPr>
                <w:sz w:val="20"/>
                <w:szCs w:val="20"/>
              </w:rPr>
              <w:t>Employees know the requirements of professional development.</w:t>
            </w:r>
          </w:p>
        </w:tc>
        <w:tc>
          <w:tcPr>
            <w:tcW w:w="1174" w:type="dxa"/>
            <w:shd w:val="clear" w:color="auto" w:fill="auto"/>
            <w:vAlign w:val="center"/>
          </w:tcPr>
          <w:p w:rsidR="00EE3483" w:rsidRDefault="000B4739">
            <w:pPr>
              <w:spacing w:line="240" w:lineRule="auto"/>
              <w:jc w:val="center"/>
              <w:rPr>
                <w:sz w:val="20"/>
                <w:szCs w:val="20"/>
              </w:rPr>
            </w:pPr>
            <w:r>
              <w:rPr>
                <w:sz w:val="20"/>
                <w:szCs w:val="20"/>
              </w:rPr>
              <w:t>4.44</w:t>
            </w:r>
          </w:p>
        </w:tc>
        <w:tc>
          <w:tcPr>
            <w:tcW w:w="1149" w:type="dxa"/>
            <w:shd w:val="clear" w:color="auto" w:fill="auto"/>
            <w:vAlign w:val="center"/>
          </w:tcPr>
          <w:p w:rsidR="00EE3483" w:rsidRDefault="000B4739">
            <w:pPr>
              <w:spacing w:line="240" w:lineRule="auto"/>
              <w:jc w:val="center"/>
              <w:rPr>
                <w:sz w:val="20"/>
                <w:szCs w:val="20"/>
              </w:rPr>
            </w:pPr>
            <w:r>
              <w:rPr>
                <w:sz w:val="20"/>
                <w:szCs w:val="20"/>
              </w:rPr>
              <w:t>0.55</w:t>
            </w:r>
          </w:p>
        </w:tc>
        <w:tc>
          <w:tcPr>
            <w:tcW w:w="1591" w:type="dxa"/>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194"/>
        </w:trPr>
        <w:tc>
          <w:tcPr>
            <w:tcW w:w="690" w:type="dxa"/>
            <w:shd w:val="clear" w:color="auto" w:fill="auto"/>
            <w:vAlign w:val="center"/>
          </w:tcPr>
          <w:p w:rsidR="00EE3483" w:rsidRDefault="000B4739">
            <w:pPr>
              <w:spacing w:line="240" w:lineRule="auto"/>
              <w:rPr>
                <w:sz w:val="20"/>
                <w:szCs w:val="20"/>
              </w:rPr>
            </w:pPr>
            <w:r>
              <w:rPr>
                <w:sz w:val="20"/>
                <w:szCs w:val="20"/>
              </w:rPr>
              <w:t>3</w:t>
            </w:r>
          </w:p>
        </w:tc>
        <w:tc>
          <w:tcPr>
            <w:tcW w:w="4636" w:type="dxa"/>
            <w:shd w:val="clear" w:color="auto" w:fill="auto"/>
            <w:vAlign w:val="center"/>
          </w:tcPr>
          <w:p w:rsidR="00EE3483" w:rsidRDefault="000B4739">
            <w:pPr>
              <w:widowControl w:val="0"/>
              <w:spacing w:line="240" w:lineRule="auto"/>
              <w:rPr>
                <w:sz w:val="20"/>
                <w:szCs w:val="20"/>
              </w:rPr>
            </w:pPr>
            <w:r>
              <w:rPr>
                <w:sz w:val="20"/>
                <w:szCs w:val="20"/>
              </w:rPr>
              <w:t>The organization offers clear plans for training and professional development.</w:t>
            </w:r>
          </w:p>
        </w:tc>
        <w:tc>
          <w:tcPr>
            <w:tcW w:w="1174" w:type="dxa"/>
            <w:shd w:val="clear" w:color="auto" w:fill="auto"/>
            <w:vAlign w:val="center"/>
          </w:tcPr>
          <w:p w:rsidR="00EE3483" w:rsidRDefault="000B4739">
            <w:pPr>
              <w:spacing w:line="240" w:lineRule="auto"/>
              <w:jc w:val="center"/>
              <w:rPr>
                <w:sz w:val="20"/>
                <w:szCs w:val="20"/>
              </w:rPr>
            </w:pPr>
            <w:r>
              <w:rPr>
                <w:sz w:val="20"/>
                <w:szCs w:val="20"/>
              </w:rPr>
              <w:t>4.52</w:t>
            </w:r>
          </w:p>
        </w:tc>
        <w:tc>
          <w:tcPr>
            <w:tcW w:w="1149" w:type="dxa"/>
            <w:shd w:val="clear" w:color="auto" w:fill="auto"/>
            <w:vAlign w:val="center"/>
          </w:tcPr>
          <w:p w:rsidR="00EE3483" w:rsidRDefault="000B4739">
            <w:pPr>
              <w:spacing w:line="240" w:lineRule="auto"/>
              <w:jc w:val="center"/>
              <w:rPr>
                <w:sz w:val="20"/>
                <w:szCs w:val="20"/>
              </w:rPr>
            </w:pPr>
            <w:r>
              <w:rPr>
                <w:sz w:val="20"/>
                <w:szCs w:val="20"/>
              </w:rPr>
              <w:t>0.50</w:t>
            </w:r>
          </w:p>
        </w:tc>
        <w:tc>
          <w:tcPr>
            <w:tcW w:w="1591" w:type="dxa"/>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shd w:val="clear" w:color="auto" w:fill="auto"/>
            <w:vAlign w:val="center"/>
          </w:tcPr>
          <w:p w:rsidR="00EE3483" w:rsidRDefault="000B4739">
            <w:pPr>
              <w:spacing w:line="240" w:lineRule="auto"/>
              <w:rPr>
                <w:sz w:val="20"/>
                <w:szCs w:val="20"/>
              </w:rPr>
            </w:pPr>
            <w:r>
              <w:rPr>
                <w:sz w:val="20"/>
                <w:szCs w:val="20"/>
              </w:rPr>
              <w:t>4</w:t>
            </w:r>
          </w:p>
        </w:tc>
        <w:tc>
          <w:tcPr>
            <w:tcW w:w="4636" w:type="dxa"/>
            <w:shd w:val="clear" w:color="auto" w:fill="auto"/>
            <w:vAlign w:val="center"/>
          </w:tcPr>
          <w:p w:rsidR="00EE3483" w:rsidRDefault="000B4739">
            <w:pPr>
              <w:widowControl w:val="0"/>
              <w:spacing w:line="240" w:lineRule="auto"/>
              <w:rPr>
                <w:sz w:val="20"/>
                <w:szCs w:val="20"/>
              </w:rPr>
            </w:pPr>
            <w:r>
              <w:rPr>
                <w:sz w:val="20"/>
                <w:szCs w:val="20"/>
              </w:rPr>
              <w:t>The organization offers employees a policy for professional development fairly.</w:t>
            </w:r>
          </w:p>
        </w:tc>
        <w:tc>
          <w:tcPr>
            <w:tcW w:w="1174" w:type="dxa"/>
            <w:shd w:val="clear" w:color="auto" w:fill="auto"/>
            <w:vAlign w:val="center"/>
          </w:tcPr>
          <w:p w:rsidR="00EE3483" w:rsidRDefault="000B4739">
            <w:pPr>
              <w:spacing w:line="240" w:lineRule="auto"/>
              <w:jc w:val="center"/>
              <w:rPr>
                <w:sz w:val="20"/>
                <w:szCs w:val="20"/>
              </w:rPr>
            </w:pPr>
            <w:r>
              <w:rPr>
                <w:sz w:val="20"/>
                <w:szCs w:val="20"/>
              </w:rPr>
              <w:t>4.57</w:t>
            </w:r>
          </w:p>
        </w:tc>
        <w:tc>
          <w:tcPr>
            <w:tcW w:w="1149" w:type="dxa"/>
            <w:shd w:val="clear" w:color="auto" w:fill="auto"/>
            <w:vAlign w:val="center"/>
          </w:tcPr>
          <w:p w:rsidR="00EE3483" w:rsidRDefault="000B4739">
            <w:pPr>
              <w:spacing w:line="240" w:lineRule="auto"/>
              <w:jc w:val="center"/>
              <w:rPr>
                <w:sz w:val="20"/>
                <w:szCs w:val="20"/>
              </w:rPr>
            </w:pPr>
            <w:r>
              <w:rPr>
                <w:sz w:val="20"/>
                <w:szCs w:val="20"/>
              </w:rPr>
              <w:t>0.50</w:t>
            </w:r>
          </w:p>
        </w:tc>
        <w:tc>
          <w:tcPr>
            <w:tcW w:w="1591" w:type="dxa"/>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shd w:val="clear" w:color="auto" w:fill="auto"/>
            <w:vAlign w:val="center"/>
          </w:tcPr>
          <w:p w:rsidR="00EE3483" w:rsidRDefault="000B4739">
            <w:pPr>
              <w:spacing w:line="240" w:lineRule="auto"/>
              <w:rPr>
                <w:sz w:val="20"/>
                <w:szCs w:val="20"/>
              </w:rPr>
            </w:pPr>
            <w:r>
              <w:rPr>
                <w:sz w:val="20"/>
                <w:szCs w:val="20"/>
              </w:rPr>
              <w:t>5</w:t>
            </w:r>
          </w:p>
        </w:tc>
        <w:tc>
          <w:tcPr>
            <w:tcW w:w="4636" w:type="dxa"/>
            <w:shd w:val="clear" w:color="auto" w:fill="auto"/>
            <w:vAlign w:val="center"/>
          </w:tcPr>
          <w:p w:rsidR="00EE3483" w:rsidRDefault="000B4739">
            <w:pPr>
              <w:widowControl w:val="0"/>
              <w:spacing w:line="240" w:lineRule="auto"/>
              <w:rPr>
                <w:sz w:val="20"/>
                <w:szCs w:val="20"/>
              </w:rPr>
            </w:pPr>
            <w:r>
              <w:rPr>
                <w:sz w:val="20"/>
                <w:szCs w:val="20"/>
              </w:rPr>
              <w:t>The organization offers many opportunities to promote capability.</w:t>
            </w:r>
          </w:p>
        </w:tc>
        <w:tc>
          <w:tcPr>
            <w:tcW w:w="1174" w:type="dxa"/>
            <w:shd w:val="clear" w:color="auto" w:fill="auto"/>
            <w:vAlign w:val="center"/>
          </w:tcPr>
          <w:p w:rsidR="00EE3483" w:rsidRDefault="000B4739">
            <w:pPr>
              <w:spacing w:line="240" w:lineRule="auto"/>
              <w:jc w:val="center"/>
              <w:rPr>
                <w:sz w:val="20"/>
                <w:szCs w:val="20"/>
              </w:rPr>
            </w:pPr>
            <w:r>
              <w:rPr>
                <w:sz w:val="20"/>
                <w:szCs w:val="20"/>
              </w:rPr>
              <w:t>4.44</w:t>
            </w:r>
          </w:p>
        </w:tc>
        <w:tc>
          <w:tcPr>
            <w:tcW w:w="1149" w:type="dxa"/>
            <w:shd w:val="clear" w:color="auto" w:fill="auto"/>
            <w:vAlign w:val="center"/>
          </w:tcPr>
          <w:p w:rsidR="00EE3483" w:rsidRDefault="000B4739">
            <w:pPr>
              <w:spacing w:line="240" w:lineRule="auto"/>
              <w:jc w:val="center"/>
              <w:rPr>
                <w:sz w:val="20"/>
                <w:szCs w:val="20"/>
              </w:rPr>
            </w:pPr>
            <w:r>
              <w:rPr>
                <w:sz w:val="20"/>
                <w:szCs w:val="20"/>
              </w:rPr>
              <w:t>0.57</w:t>
            </w:r>
          </w:p>
        </w:tc>
        <w:tc>
          <w:tcPr>
            <w:tcW w:w="1591" w:type="dxa"/>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shd w:val="clear" w:color="auto" w:fill="auto"/>
            <w:vAlign w:val="center"/>
          </w:tcPr>
          <w:p w:rsidR="00EE3483" w:rsidRDefault="000B4739">
            <w:pPr>
              <w:spacing w:line="240" w:lineRule="auto"/>
              <w:rPr>
                <w:sz w:val="20"/>
                <w:szCs w:val="20"/>
              </w:rPr>
            </w:pPr>
            <w:r>
              <w:rPr>
                <w:sz w:val="20"/>
                <w:szCs w:val="20"/>
              </w:rPr>
              <w:t>6</w:t>
            </w:r>
          </w:p>
        </w:tc>
        <w:tc>
          <w:tcPr>
            <w:tcW w:w="4636" w:type="dxa"/>
            <w:shd w:val="clear" w:color="auto" w:fill="auto"/>
            <w:vAlign w:val="center"/>
          </w:tcPr>
          <w:p w:rsidR="00EE3483" w:rsidRDefault="000B4739">
            <w:pPr>
              <w:widowControl w:val="0"/>
              <w:spacing w:line="240" w:lineRule="auto"/>
              <w:rPr>
                <w:sz w:val="20"/>
                <w:szCs w:val="20"/>
              </w:rPr>
            </w:pPr>
            <w:r>
              <w:rPr>
                <w:sz w:val="20"/>
                <w:szCs w:val="20"/>
              </w:rPr>
              <w:t>The organization trains with the knowledge and skills necessary for work.</w:t>
            </w:r>
          </w:p>
        </w:tc>
        <w:tc>
          <w:tcPr>
            <w:tcW w:w="1174" w:type="dxa"/>
            <w:shd w:val="clear" w:color="auto" w:fill="auto"/>
            <w:vAlign w:val="center"/>
          </w:tcPr>
          <w:p w:rsidR="00EE3483" w:rsidRDefault="000B4739">
            <w:pPr>
              <w:spacing w:line="240" w:lineRule="auto"/>
              <w:jc w:val="center"/>
              <w:rPr>
                <w:sz w:val="20"/>
                <w:szCs w:val="20"/>
              </w:rPr>
            </w:pPr>
            <w:r>
              <w:rPr>
                <w:sz w:val="20"/>
                <w:szCs w:val="20"/>
              </w:rPr>
              <w:t>4.44</w:t>
            </w:r>
          </w:p>
        </w:tc>
        <w:tc>
          <w:tcPr>
            <w:tcW w:w="1149" w:type="dxa"/>
            <w:shd w:val="clear" w:color="auto" w:fill="auto"/>
            <w:vAlign w:val="center"/>
          </w:tcPr>
          <w:p w:rsidR="00EE3483" w:rsidRDefault="000B4739">
            <w:pPr>
              <w:spacing w:line="240" w:lineRule="auto"/>
              <w:jc w:val="center"/>
              <w:rPr>
                <w:sz w:val="20"/>
                <w:szCs w:val="20"/>
              </w:rPr>
            </w:pPr>
            <w:r>
              <w:rPr>
                <w:sz w:val="20"/>
                <w:szCs w:val="20"/>
              </w:rPr>
              <w:t>0.52</w:t>
            </w:r>
          </w:p>
        </w:tc>
        <w:tc>
          <w:tcPr>
            <w:tcW w:w="1591" w:type="dxa"/>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tcBorders>
              <w:bottom w:val="single" w:sz="4" w:space="0" w:color="000000"/>
            </w:tcBorders>
            <w:shd w:val="clear" w:color="auto" w:fill="auto"/>
            <w:vAlign w:val="center"/>
          </w:tcPr>
          <w:p w:rsidR="00EE3483" w:rsidRDefault="000B4739">
            <w:pPr>
              <w:spacing w:line="240" w:lineRule="auto"/>
              <w:rPr>
                <w:sz w:val="20"/>
                <w:szCs w:val="20"/>
              </w:rPr>
            </w:pPr>
            <w:r>
              <w:rPr>
                <w:sz w:val="20"/>
                <w:szCs w:val="20"/>
              </w:rPr>
              <w:t>7</w:t>
            </w:r>
          </w:p>
        </w:tc>
        <w:tc>
          <w:tcPr>
            <w:tcW w:w="4636" w:type="dxa"/>
            <w:tcBorders>
              <w:bottom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Employees can be trained further to work better.</w:t>
            </w:r>
          </w:p>
        </w:tc>
        <w:tc>
          <w:tcPr>
            <w:tcW w:w="1174"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4.50</w:t>
            </w:r>
          </w:p>
        </w:tc>
        <w:tc>
          <w:tcPr>
            <w:tcW w:w="1149"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0.53</w:t>
            </w:r>
          </w:p>
        </w:tc>
        <w:tc>
          <w:tcPr>
            <w:tcW w:w="1591"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26"/>
        </w:trPr>
        <w:tc>
          <w:tcPr>
            <w:tcW w:w="690"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8</w:t>
            </w:r>
          </w:p>
        </w:tc>
        <w:tc>
          <w:tcPr>
            <w:tcW w:w="4636"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When there is a job to be done, energy is devoted to getting it done.</w:t>
            </w:r>
          </w:p>
        </w:tc>
        <w:tc>
          <w:tcPr>
            <w:tcW w:w="11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4.44</w:t>
            </w:r>
          </w:p>
        </w:tc>
        <w:tc>
          <w:tcPr>
            <w:tcW w:w="114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0.55</w:t>
            </w:r>
          </w:p>
        </w:tc>
        <w:tc>
          <w:tcPr>
            <w:tcW w:w="1591"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9</w:t>
            </w:r>
          </w:p>
        </w:tc>
        <w:tc>
          <w:tcPr>
            <w:tcW w:w="4636"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Work is interesting and challenging.</w:t>
            </w:r>
          </w:p>
        </w:tc>
        <w:tc>
          <w:tcPr>
            <w:tcW w:w="11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4.54</w:t>
            </w:r>
          </w:p>
        </w:tc>
        <w:tc>
          <w:tcPr>
            <w:tcW w:w="114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0.53</w:t>
            </w:r>
          </w:p>
        </w:tc>
        <w:tc>
          <w:tcPr>
            <w:tcW w:w="159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sz w:val="20"/>
                <w:szCs w:val="20"/>
              </w:rPr>
              <w:t>Highly Evident</w:t>
            </w:r>
            <w:r>
              <w:rPr>
                <w:b/>
                <w:sz w:val="20"/>
                <w:szCs w:val="20"/>
              </w:rPr>
              <w:t xml:space="preserve"> </w:t>
            </w:r>
          </w:p>
        </w:tc>
      </w:tr>
      <w:tr w:rsidR="00EE3483">
        <w:trPr>
          <w:trHeight w:val="300"/>
        </w:trPr>
        <w:tc>
          <w:tcPr>
            <w:tcW w:w="690"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10</w:t>
            </w:r>
          </w:p>
        </w:tc>
        <w:tc>
          <w:tcPr>
            <w:tcW w:w="4636"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Capabilities are used well for the current job.</w:t>
            </w:r>
          </w:p>
        </w:tc>
        <w:tc>
          <w:tcPr>
            <w:tcW w:w="11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4.44</w:t>
            </w:r>
          </w:p>
        </w:tc>
        <w:tc>
          <w:tcPr>
            <w:tcW w:w="114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0.52</w:t>
            </w:r>
          </w:p>
        </w:tc>
        <w:tc>
          <w:tcPr>
            <w:tcW w:w="159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sz w:val="20"/>
                <w:szCs w:val="20"/>
              </w:rPr>
              <w:t>Highly Evident</w:t>
            </w:r>
            <w:r>
              <w:rPr>
                <w:b/>
                <w:sz w:val="20"/>
                <w:szCs w:val="20"/>
              </w:rPr>
              <w:t xml:space="preserve"> </w:t>
            </w:r>
          </w:p>
        </w:tc>
      </w:tr>
      <w:tr w:rsidR="00EE3483">
        <w:trPr>
          <w:trHeight w:val="300"/>
        </w:trPr>
        <w:tc>
          <w:tcPr>
            <w:tcW w:w="690"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11</w:t>
            </w:r>
          </w:p>
        </w:tc>
        <w:tc>
          <w:tcPr>
            <w:tcW w:w="4636"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The job suits expertise.</w:t>
            </w:r>
          </w:p>
        </w:tc>
        <w:tc>
          <w:tcPr>
            <w:tcW w:w="11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4.43</w:t>
            </w:r>
          </w:p>
        </w:tc>
        <w:tc>
          <w:tcPr>
            <w:tcW w:w="1149"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0.52</w:t>
            </w:r>
          </w:p>
        </w:tc>
        <w:tc>
          <w:tcPr>
            <w:tcW w:w="1591"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90" w:type="dxa"/>
            <w:tcBorders>
              <w:top w:val="single" w:sz="4" w:space="0" w:color="000000"/>
              <w:bottom w:val="single" w:sz="4" w:space="0" w:color="000000"/>
            </w:tcBorders>
            <w:shd w:val="clear" w:color="auto" w:fill="auto"/>
            <w:vAlign w:val="center"/>
          </w:tcPr>
          <w:p w:rsidR="00EE3483" w:rsidRDefault="00EE3483">
            <w:pPr>
              <w:spacing w:line="240" w:lineRule="auto"/>
              <w:rPr>
                <w:sz w:val="20"/>
                <w:szCs w:val="20"/>
              </w:rPr>
            </w:pPr>
          </w:p>
        </w:tc>
        <w:tc>
          <w:tcPr>
            <w:tcW w:w="4636" w:type="dxa"/>
            <w:tcBorders>
              <w:top w:val="single" w:sz="4" w:space="0" w:color="000000"/>
              <w:bottom w:val="single" w:sz="4" w:space="0" w:color="000000"/>
            </w:tcBorders>
            <w:shd w:val="clear" w:color="auto" w:fill="auto"/>
            <w:vAlign w:val="center"/>
          </w:tcPr>
          <w:p w:rsidR="00EE3483" w:rsidRDefault="000B4739">
            <w:pPr>
              <w:spacing w:line="240" w:lineRule="auto"/>
              <w:rPr>
                <w:b/>
                <w:sz w:val="20"/>
                <w:szCs w:val="20"/>
              </w:rPr>
            </w:pPr>
            <w:r>
              <w:rPr>
                <w:b/>
                <w:sz w:val="20"/>
                <w:szCs w:val="20"/>
              </w:rPr>
              <w:t>Average</w:t>
            </w:r>
          </w:p>
        </w:tc>
        <w:tc>
          <w:tcPr>
            <w:tcW w:w="1174"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4.50</w:t>
            </w:r>
          </w:p>
        </w:tc>
        <w:tc>
          <w:tcPr>
            <w:tcW w:w="1149"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0.26</w:t>
            </w:r>
          </w:p>
        </w:tc>
        <w:tc>
          <w:tcPr>
            <w:tcW w:w="1591"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 xml:space="preserve">Highly Evident </w:t>
            </w:r>
          </w:p>
        </w:tc>
      </w:tr>
    </w:tbl>
    <w:p w:rsidR="00EE3483" w:rsidRDefault="000B4739">
      <w:pPr>
        <w:spacing w:before="240" w:after="240" w:line="240" w:lineRule="auto"/>
        <w:rPr>
          <w:sz w:val="20"/>
          <w:szCs w:val="20"/>
        </w:rPr>
      </w:pPr>
      <w:r>
        <w:rPr>
          <w:sz w:val="20"/>
          <w:szCs w:val="20"/>
        </w:rPr>
        <w:t xml:space="preserve">         Opportunities for promotion emerged as the strongest intrinsic motivator, reflecting employees’ belief in clear and attainable career advancement paths, which enhance achievement, job involvement, morale, and retention (Sulayon and Traje, 2022; Ospina, 2019; Urme, 2023). Although still highly evident, job–expertise fit received the lowest mean, supporting findings that intrinsic motivation and engagement are strongest when tasks align with employees’ skills and qualifications (Tudlong, 2025; Shevchuk et al., 2019; Ortega and Wallin et al., 2022). The high overall mean indicates very strong intrinsic motivation driven by structured development plans, training, and engaging work, consistent with studies linking aligned skill development to sustained motivation and engagement (Emon and Chowdhury, 2023; Khan et al., 2020; Pougajendy et al., 2024). </w:t>
      </w:r>
    </w:p>
    <w:p w:rsidR="00EE3483" w:rsidRDefault="000B4739">
      <w:pPr>
        <w:spacing w:before="240" w:after="240" w:line="240" w:lineRule="auto"/>
        <w:ind w:firstLineChars="200" w:firstLine="400"/>
        <w:rPr>
          <w:sz w:val="20"/>
          <w:szCs w:val="20"/>
        </w:rPr>
      </w:pPr>
      <w:r>
        <w:rPr>
          <w:sz w:val="20"/>
          <w:szCs w:val="20"/>
        </w:rPr>
        <w:t xml:space="preserve">These findings also align with higher-order needs in Maslow’s Hierarchy, particularly esteem and self-actualization, where advancement opportunities, challenging tasks, and skill utilization foster competence, fulfillment, and self-realization (Maslow, 1943 as cited in Noltemeyer et al., 2021; Thornhill-Miller et al., 2023; Tahir, 2021). </w:t>
      </w:r>
    </w:p>
    <w:p w:rsidR="00EE3483" w:rsidRDefault="000B4739">
      <w:pPr>
        <w:spacing w:before="240" w:after="240" w:line="240" w:lineRule="auto"/>
        <w:rPr>
          <w:sz w:val="20"/>
          <w:szCs w:val="20"/>
        </w:rPr>
      </w:pPr>
      <w:r>
        <w:rPr>
          <w:b/>
          <w:bCs/>
          <w:sz w:val="20"/>
          <w:szCs w:val="20"/>
        </w:rPr>
        <w:lastRenderedPageBreak/>
        <w:t xml:space="preserve">Extrinsic Motivation </w:t>
      </w:r>
    </w:p>
    <w:p w:rsidR="00EE3483" w:rsidRDefault="000B4739">
      <w:pPr>
        <w:spacing w:before="240" w:after="240" w:line="240" w:lineRule="auto"/>
        <w:rPr>
          <w:sz w:val="20"/>
          <w:szCs w:val="20"/>
        </w:rPr>
      </w:pPr>
      <w:r>
        <w:rPr>
          <w:sz w:val="20"/>
          <w:szCs w:val="20"/>
        </w:rPr>
        <w:t xml:space="preserve">Table 9 presents the level of extrinsic job motivators among financial institution employees in Cateel, Davao Oriental. </w:t>
      </w:r>
    </w:p>
    <w:p w:rsidR="00EE3483" w:rsidRDefault="000B4739">
      <w:pPr>
        <w:spacing w:before="240" w:after="240" w:line="240" w:lineRule="auto"/>
        <w:rPr>
          <w:sz w:val="20"/>
          <w:szCs w:val="20"/>
        </w:rPr>
      </w:pPr>
      <w:r>
        <w:rPr>
          <w:sz w:val="20"/>
          <w:szCs w:val="20"/>
        </w:rPr>
        <w:t xml:space="preserve">Table 9. Level of job motivators in terms of extrinsic motivation  </w:t>
      </w:r>
    </w:p>
    <w:tbl>
      <w:tblPr>
        <w:tblStyle w:val="a8"/>
        <w:tblW w:w="9315"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645"/>
        <w:gridCol w:w="5134"/>
        <w:gridCol w:w="998"/>
        <w:gridCol w:w="1156"/>
        <w:gridCol w:w="1382"/>
      </w:tblGrid>
      <w:tr w:rsidR="00EE3483">
        <w:tc>
          <w:tcPr>
            <w:tcW w:w="645"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No.</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Indicators</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Mean</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Std. Deviation</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Interpretation</w:t>
            </w:r>
          </w:p>
        </w:tc>
      </w:tr>
      <w:tr w:rsidR="00EE3483">
        <w:trPr>
          <w:trHeight w:val="300"/>
        </w:trPr>
        <w:tc>
          <w:tcPr>
            <w:tcW w:w="645" w:type="dxa"/>
            <w:tcBorders>
              <w:top w:val="single" w:sz="4" w:space="0" w:color="000000"/>
            </w:tcBorders>
            <w:shd w:val="clear" w:color="auto" w:fill="auto"/>
            <w:vAlign w:val="center"/>
          </w:tcPr>
          <w:p w:rsidR="00EE3483" w:rsidRDefault="000B4739">
            <w:pPr>
              <w:spacing w:line="240" w:lineRule="auto"/>
              <w:rPr>
                <w:sz w:val="20"/>
                <w:szCs w:val="20"/>
              </w:rPr>
            </w:pPr>
            <w:r>
              <w:rPr>
                <w:sz w:val="20"/>
                <w:szCs w:val="20"/>
              </w:rPr>
              <w:t>1</w:t>
            </w:r>
          </w:p>
        </w:tc>
        <w:tc>
          <w:tcPr>
            <w:tcW w:w="5134" w:type="dxa"/>
            <w:tcBorders>
              <w:top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The organization pays fairly.</w:t>
            </w:r>
          </w:p>
        </w:tc>
        <w:tc>
          <w:tcPr>
            <w:tcW w:w="998"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4.62</w:t>
            </w:r>
          </w:p>
        </w:tc>
        <w:tc>
          <w:tcPr>
            <w:tcW w:w="1156"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0.54</w:t>
            </w:r>
          </w:p>
        </w:tc>
        <w:tc>
          <w:tcPr>
            <w:tcW w:w="1382"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Highly Evident</w:t>
            </w:r>
          </w:p>
        </w:tc>
      </w:tr>
      <w:tr w:rsidR="00EE3483">
        <w:trPr>
          <w:trHeight w:val="300"/>
        </w:trPr>
        <w:tc>
          <w:tcPr>
            <w:tcW w:w="645" w:type="dxa"/>
            <w:shd w:val="clear" w:color="auto" w:fill="auto"/>
            <w:vAlign w:val="center"/>
          </w:tcPr>
          <w:p w:rsidR="00EE3483" w:rsidRDefault="000B4739">
            <w:pPr>
              <w:spacing w:line="240" w:lineRule="auto"/>
              <w:rPr>
                <w:sz w:val="20"/>
                <w:szCs w:val="20"/>
              </w:rPr>
            </w:pPr>
            <w:r>
              <w:rPr>
                <w:sz w:val="20"/>
                <w:szCs w:val="20"/>
              </w:rPr>
              <w:t>2</w:t>
            </w:r>
          </w:p>
        </w:tc>
        <w:tc>
          <w:tcPr>
            <w:tcW w:w="5134" w:type="dxa"/>
            <w:shd w:val="clear" w:color="auto" w:fill="auto"/>
            <w:vAlign w:val="center"/>
          </w:tcPr>
          <w:p w:rsidR="00EE3483" w:rsidRDefault="000B4739">
            <w:pPr>
              <w:widowControl w:val="0"/>
              <w:spacing w:line="240" w:lineRule="auto"/>
              <w:rPr>
                <w:sz w:val="20"/>
                <w:szCs w:val="20"/>
              </w:rPr>
            </w:pPr>
            <w:r>
              <w:rPr>
                <w:sz w:val="20"/>
                <w:szCs w:val="20"/>
              </w:rPr>
              <w:t>Wages are commensurate with work</w:t>
            </w:r>
          </w:p>
          <w:p w:rsidR="00EE3483" w:rsidRDefault="000B4739">
            <w:pPr>
              <w:widowControl w:val="0"/>
              <w:spacing w:line="240" w:lineRule="auto"/>
              <w:rPr>
                <w:sz w:val="20"/>
                <w:szCs w:val="20"/>
              </w:rPr>
            </w:pPr>
            <w:r>
              <w:rPr>
                <w:sz w:val="20"/>
                <w:szCs w:val="20"/>
              </w:rPr>
              <w:t>performances.</w:t>
            </w:r>
          </w:p>
        </w:tc>
        <w:tc>
          <w:tcPr>
            <w:tcW w:w="998" w:type="dxa"/>
            <w:shd w:val="clear" w:color="auto" w:fill="auto"/>
            <w:vAlign w:val="center"/>
          </w:tcPr>
          <w:p w:rsidR="00EE3483" w:rsidRDefault="000B4739">
            <w:pPr>
              <w:spacing w:line="240" w:lineRule="auto"/>
              <w:jc w:val="center"/>
              <w:rPr>
                <w:sz w:val="20"/>
                <w:szCs w:val="20"/>
              </w:rPr>
            </w:pPr>
            <w:r>
              <w:rPr>
                <w:sz w:val="20"/>
                <w:szCs w:val="20"/>
              </w:rPr>
              <w:t>4.46</w:t>
            </w:r>
          </w:p>
        </w:tc>
        <w:tc>
          <w:tcPr>
            <w:tcW w:w="1156" w:type="dxa"/>
            <w:shd w:val="clear" w:color="auto" w:fill="auto"/>
            <w:vAlign w:val="center"/>
          </w:tcPr>
          <w:p w:rsidR="00EE3483" w:rsidRDefault="000B4739">
            <w:pPr>
              <w:spacing w:line="240" w:lineRule="auto"/>
              <w:jc w:val="center"/>
              <w:rPr>
                <w:sz w:val="20"/>
                <w:szCs w:val="20"/>
              </w:rPr>
            </w:pPr>
            <w:r>
              <w:rPr>
                <w:sz w:val="20"/>
                <w:szCs w:val="20"/>
              </w:rPr>
              <w:t>0.55</w:t>
            </w:r>
          </w:p>
        </w:tc>
        <w:tc>
          <w:tcPr>
            <w:tcW w:w="1382" w:type="dxa"/>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shd w:val="clear" w:color="auto" w:fill="auto"/>
            <w:vAlign w:val="center"/>
          </w:tcPr>
          <w:p w:rsidR="00EE3483" w:rsidRDefault="000B4739">
            <w:pPr>
              <w:spacing w:line="240" w:lineRule="auto"/>
              <w:rPr>
                <w:sz w:val="20"/>
                <w:szCs w:val="20"/>
              </w:rPr>
            </w:pPr>
            <w:r>
              <w:rPr>
                <w:sz w:val="20"/>
                <w:szCs w:val="20"/>
              </w:rPr>
              <w:t>3</w:t>
            </w:r>
          </w:p>
        </w:tc>
        <w:tc>
          <w:tcPr>
            <w:tcW w:w="5134" w:type="dxa"/>
            <w:shd w:val="clear" w:color="auto" w:fill="auto"/>
            <w:vAlign w:val="center"/>
          </w:tcPr>
          <w:p w:rsidR="00EE3483" w:rsidRDefault="000B4739">
            <w:pPr>
              <w:widowControl w:val="0"/>
              <w:spacing w:line="240" w:lineRule="auto"/>
              <w:rPr>
                <w:sz w:val="20"/>
                <w:szCs w:val="20"/>
              </w:rPr>
            </w:pPr>
            <w:r>
              <w:rPr>
                <w:sz w:val="20"/>
                <w:szCs w:val="20"/>
              </w:rPr>
              <w:t>Employees can totally depend on the income from the organization for their living.</w:t>
            </w:r>
          </w:p>
        </w:tc>
        <w:tc>
          <w:tcPr>
            <w:tcW w:w="998" w:type="dxa"/>
            <w:shd w:val="clear" w:color="auto" w:fill="auto"/>
            <w:vAlign w:val="center"/>
          </w:tcPr>
          <w:p w:rsidR="00EE3483" w:rsidRDefault="000B4739">
            <w:pPr>
              <w:spacing w:line="240" w:lineRule="auto"/>
              <w:jc w:val="center"/>
              <w:rPr>
                <w:sz w:val="20"/>
                <w:szCs w:val="20"/>
              </w:rPr>
            </w:pPr>
            <w:r>
              <w:rPr>
                <w:sz w:val="20"/>
                <w:szCs w:val="20"/>
              </w:rPr>
              <w:t>4.29</w:t>
            </w:r>
          </w:p>
        </w:tc>
        <w:tc>
          <w:tcPr>
            <w:tcW w:w="1156" w:type="dxa"/>
            <w:shd w:val="clear" w:color="auto" w:fill="auto"/>
            <w:vAlign w:val="center"/>
          </w:tcPr>
          <w:p w:rsidR="00EE3483" w:rsidRDefault="000B4739">
            <w:pPr>
              <w:spacing w:line="240" w:lineRule="auto"/>
              <w:jc w:val="center"/>
              <w:rPr>
                <w:sz w:val="20"/>
                <w:szCs w:val="20"/>
              </w:rPr>
            </w:pPr>
            <w:r>
              <w:rPr>
                <w:sz w:val="20"/>
                <w:szCs w:val="20"/>
              </w:rPr>
              <w:t>0.63</w:t>
            </w:r>
          </w:p>
        </w:tc>
        <w:tc>
          <w:tcPr>
            <w:tcW w:w="1382" w:type="dxa"/>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shd w:val="clear" w:color="auto" w:fill="auto"/>
            <w:vAlign w:val="center"/>
          </w:tcPr>
          <w:p w:rsidR="00EE3483" w:rsidRDefault="000B4739">
            <w:pPr>
              <w:spacing w:line="240" w:lineRule="auto"/>
              <w:rPr>
                <w:sz w:val="20"/>
                <w:szCs w:val="20"/>
              </w:rPr>
            </w:pPr>
            <w:r>
              <w:rPr>
                <w:sz w:val="20"/>
                <w:szCs w:val="20"/>
              </w:rPr>
              <w:t>4</w:t>
            </w:r>
          </w:p>
        </w:tc>
        <w:tc>
          <w:tcPr>
            <w:tcW w:w="5134" w:type="dxa"/>
            <w:shd w:val="clear" w:color="auto" w:fill="auto"/>
            <w:vAlign w:val="center"/>
          </w:tcPr>
          <w:p w:rsidR="00EE3483" w:rsidRDefault="000B4739">
            <w:pPr>
              <w:widowControl w:val="0"/>
              <w:spacing w:line="240" w:lineRule="auto"/>
              <w:rPr>
                <w:sz w:val="20"/>
                <w:szCs w:val="20"/>
              </w:rPr>
            </w:pPr>
            <w:r>
              <w:rPr>
                <w:sz w:val="20"/>
                <w:szCs w:val="20"/>
              </w:rPr>
              <w:t>The organization offers a higher salary than other organizations.</w:t>
            </w:r>
          </w:p>
        </w:tc>
        <w:tc>
          <w:tcPr>
            <w:tcW w:w="998" w:type="dxa"/>
            <w:shd w:val="clear" w:color="auto" w:fill="auto"/>
            <w:vAlign w:val="center"/>
          </w:tcPr>
          <w:p w:rsidR="00EE3483" w:rsidRDefault="000B4739">
            <w:pPr>
              <w:spacing w:line="240" w:lineRule="auto"/>
              <w:jc w:val="center"/>
              <w:rPr>
                <w:sz w:val="20"/>
                <w:szCs w:val="20"/>
              </w:rPr>
            </w:pPr>
            <w:r>
              <w:rPr>
                <w:sz w:val="20"/>
                <w:szCs w:val="20"/>
              </w:rPr>
              <w:t>4.35</w:t>
            </w:r>
          </w:p>
        </w:tc>
        <w:tc>
          <w:tcPr>
            <w:tcW w:w="1156" w:type="dxa"/>
            <w:shd w:val="clear" w:color="auto" w:fill="auto"/>
            <w:vAlign w:val="center"/>
          </w:tcPr>
          <w:p w:rsidR="00EE3483" w:rsidRDefault="000B4739">
            <w:pPr>
              <w:spacing w:line="240" w:lineRule="auto"/>
              <w:jc w:val="center"/>
              <w:rPr>
                <w:sz w:val="20"/>
                <w:szCs w:val="20"/>
              </w:rPr>
            </w:pPr>
            <w:r>
              <w:rPr>
                <w:sz w:val="20"/>
                <w:szCs w:val="20"/>
              </w:rPr>
              <w:t>0.72</w:t>
            </w:r>
          </w:p>
        </w:tc>
        <w:tc>
          <w:tcPr>
            <w:tcW w:w="1382" w:type="dxa"/>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bottom w:val="single" w:sz="4" w:space="0" w:color="000000"/>
            </w:tcBorders>
            <w:shd w:val="clear" w:color="auto" w:fill="auto"/>
            <w:vAlign w:val="center"/>
          </w:tcPr>
          <w:p w:rsidR="00EE3483" w:rsidRDefault="000B4739">
            <w:pPr>
              <w:spacing w:line="240" w:lineRule="auto"/>
              <w:rPr>
                <w:sz w:val="20"/>
                <w:szCs w:val="20"/>
              </w:rPr>
            </w:pPr>
            <w:r>
              <w:rPr>
                <w:sz w:val="20"/>
                <w:szCs w:val="20"/>
              </w:rPr>
              <w:t>5</w:t>
            </w:r>
          </w:p>
        </w:tc>
        <w:tc>
          <w:tcPr>
            <w:tcW w:w="5134" w:type="dxa"/>
            <w:tcBorders>
              <w:bottom w:val="single" w:sz="4" w:space="0" w:color="000000"/>
            </w:tcBorders>
            <w:shd w:val="clear" w:color="auto" w:fill="auto"/>
            <w:vAlign w:val="center"/>
          </w:tcPr>
          <w:p w:rsidR="00EE3483" w:rsidRDefault="000B4739">
            <w:pPr>
              <w:widowControl w:val="0"/>
              <w:spacing w:line="240" w:lineRule="auto"/>
              <w:rPr>
                <w:sz w:val="20"/>
                <w:szCs w:val="20"/>
              </w:rPr>
            </w:pPr>
            <w:r>
              <w:rPr>
                <w:sz w:val="20"/>
                <w:szCs w:val="20"/>
              </w:rPr>
              <w:t>Higher-ups usually ask for suggestions when something happens related to work.</w:t>
            </w:r>
          </w:p>
        </w:tc>
        <w:tc>
          <w:tcPr>
            <w:tcW w:w="998"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4.40</w:t>
            </w:r>
          </w:p>
        </w:tc>
        <w:tc>
          <w:tcPr>
            <w:tcW w:w="1156"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0.75</w:t>
            </w:r>
          </w:p>
        </w:tc>
        <w:tc>
          <w:tcPr>
            <w:tcW w:w="1382"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6</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Labor union officers usually help to solve conflicts with higher-ups and with coworkers.</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4.32</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0.81</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7</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Employees are treated fairly and indiscriminately in my organization.</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4.36</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0.69</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8</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Employees are respected and trusted at work.</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4.48</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0.63</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9</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The organization offers a good policy for retirement.</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4.27</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0.73</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10</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The organization offers a good policy for social insurance and health insurance.</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4.55</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0.52</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11</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The organization often arranges for the employees’ periodic health examinations.</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4.55</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0.55</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12</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The organization offers good policies and subsidies for hazardous/dangerous work.</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4.35</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0.69</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13</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The organization offers a good subsidy for overtime work.</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4.30</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0.79</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14</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I am glad about choosing this organization to work with.</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4.44</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0.65</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15</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I tend to work for this organization longer.</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4.36</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0.67</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16</w:t>
            </w: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sz w:val="20"/>
                <w:szCs w:val="20"/>
              </w:rPr>
            </w:pPr>
            <w:r>
              <w:rPr>
                <w:sz w:val="20"/>
                <w:szCs w:val="20"/>
              </w:rPr>
              <w:t>I feel as if my organization’s problems are my own, and I am willing to share the difficulties with this organization.</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4.31</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0.71</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High Evident</w:t>
            </w:r>
          </w:p>
        </w:tc>
      </w:tr>
      <w:tr w:rsidR="00EE3483">
        <w:trPr>
          <w:trHeight w:val="300"/>
        </w:trPr>
        <w:tc>
          <w:tcPr>
            <w:tcW w:w="645" w:type="dxa"/>
            <w:tcBorders>
              <w:top w:val="single" w:sz="4" w:space="0" w:color="000000"/>
              <w:bottom w:val="single" w:sz="4" w:space="0" w:color="000000"/>
            </w:tcBorders>
            <w:shd w:val="clear" w:color="auto" w:fill="auto"/>
            <w:vAlign w:val="center"/>
          </w:tcPr>
          <w:p w:rsidR="00EE3483" w:rsidRDefault="00EE3483">
            <w:pPr>
              <w:spacing w:line="240" w:lineRule="auto"/>
              <w:rPr>
                <w:b/>
                <w:sz w:val="20"/>
                <w:szCs w:val="20"/>
              </w:rPr>
            </w:pPr>
          </w:p>
        </w:tc>
        <w:tc>
          <w:tcPr>
            <w:tcW w:w="5134" w:type="dxa"/>
            <w:tcBorders>
              <w:top w:val="single" w:sz="4" w:space="0" w:color="000000"/>
              <w:bottom w:val="single" w:sz="4" w:space="0" w:color="000000"/>
            </w:tcBorders>
            <w:shd w:val="clear" w:color="auto" w:fill="auto"/>
            <w:vAlign w:val="center"/>
          </w:tcPr>
          <w:p w:rsidR="00EE3483" w:rsidRDefault="000B4739">
            <w:pPr>
              <w:spacing w:line="240" w:lineRule="auto"/>
              <w:rPr>
                <w:b/>
                <w:sz w:val="20"/>
                <w:szCs w:val="20"/>
              </w:rPr>
            </w:pPr>
            <w:r>
              <w:rPr>
                <w:b/>
                <w:sz w:val="20"/>
                <w:szCs w:val="20"/>
              </w:rPr>
              <w:t>Average</w:t>
            </w:r>
          </w:p>
        </w:tc>
        <w:tc>
          <w:tcPr>
            <w:tcW w:w="9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4.40</w:t>
            </w:r>
          </w:p>
        </w:tc>
        <w:tc>
          <w:tcPr>
            <w:tcW w:w="1156"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0.41</w:t>
            </w:r>
          </w:p>
        </w:tc>
        <w:tc>
          <w:tcPr>
            <w:tcW w:w="1382"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High Evident</w:t>
            </w:r>
          </w:p>
        </w:tc>
      </w:tr>
    </w:tbl>
    <w:p w:rsidR="00EE3483" w:rsidRDefault="000B4739">
      <w:pPr>
        <w:spacing w:before="240" w:after="240" w:line="240" w:lineRule="auto"/>
        <w:rPr>
          <w:sz w:val="20"/>
          <w:szCs w:val="20"/>
        </w:rPr>
      </w:pPr>
      <w:r>
        <w:rPr>
          <w:sz w:val="20"/>
          <w:szCs w:val="20"/>
        </w:rPr>
        <w:t xml:space="preserve">           All extrinsic motivator indicators were rated “highly evident,” with mean scores between 4.27 and 4.62, showing strong agreement that fair compensation, benefits, respect, and participation in decision-making are present and satisfactory. The highest-rated indicator was fair pay (M = 4.62), reflecting employees’ perception of equitable and competitive compensation, consistent with findings that link pay fairness to motivation, trust, engagement, and retention (Presbitero, 2017; Haddad et al., 2023; Lee &amp; Rhee, 2023). The lowest-rated item, retirement policy (M = 4.27), though still highly evident, suggests it is less motivating than immediate rewards, aligning with views that retirement benefits function more as hygiene factors than active motivators (Alam, 2021; Valentine, 2020; Hansamali et al., 2024).</w:t>
      </w:r>
    </w:p>
    <w:p w:rsidR="00EE3483" w:rsidRDefault="000B4739">
      <w:pPr>
        <w:spacing w:before="240" w:after="240" w:line="240" w:lineRule="auto"/>
        <w:rPr>
          <w:sz w:val="20"/>
          <w:szCs w:val="20"/>
        </w:rPr>
      </w:pPr>
      <w:r>
        <w:rPr>
          <w:sz w:val="20"/>
          <w:szCs w:val="20"/>
        </w:rPr>
        <w:t xml:space="preserve">         The overall mean of approximately 4.40 indicates a consistently high level of external motivational support across compensation, healthcare, respect, fair treatment, and participatory management. This supports research emphasizing the importance of respect, trust, involvement in decision-making, and comprehensive benefits in enhancing engagement, satisfaction, loyalty, and retention (Zhao et al., 2022; Blanchflower, 2021; Haddad et al., 2023; Lee &amp; Rhee, 2023).</w:t>
      </w:r>
    </w:p>
    <w:p w:rsidR="00EE3483" w:rsidRDefault="000B4739">
      <w:pPr>
        <w:spacing w:before="240" w:after="240" w:line="240" w:lineRule="auto"/>
        <w:ind w:firstLineChars="200" w:firstLine="400"/>
        <w:rPr>
          <w:sz w:val="20"/>
          <w:szCs w:val="20"/>
        </w:rPr>
      </w:pPr>
      <w:r>
        <w:rPr>
          <w:sz w:val="20"/>
          <w:szCs w:val="20"/>
        </w:rPr>
        <w:lastRenderedPageBreak/>
        <w:t>These findings also align with the lower to middle levels of Maslow’s Hierarchy of Needs, as high ratings for wages, benefits, security, and participation suggest fulfillment of physiological, safety, and belongingness needs (Maslow, 1943 as cited in Downes, 2020; Kerr-McCurry, 2020). By ensuring fair compensation, benefits, and inclusive structures, organizations provide the foundation for psychological security and higher-level motivation, enabling employees to progress toward greater engagement, commitment, and internal fulfillment (Sebete, 2020; Touma, 2021; Paroli, 2025).</w:t>
      </w:r>
    </w:p>
    <w:p w:rsidR="00EE3483" w:rsidRDefault="000B4739">
      <w:pPr>
        <w:spacing w:before="240" w:after="240" w:line="240" w:lineRule="auto"/>
        <w:rPr>
          <w:b/>
          <w:sz w:val="20"/>
          <w:szCs w:val="20"/>
        </w:rPr>
      </w:pPr>
      <w:r>
        <w:rPr>
          <w:b/>
          <w:sz w:val="20"/>
          <w:szCs w:val="20"/>
        </w:rPr>
        <w:t>4.3 Work Environment</w:t>
      </w:r>
    </w:p>
    <w:p w:rsidR="00EE3483" w:rsidRDefault="000B4739">
      <w:pPr>
        <w:spacing w:before="240" w:after="240" w:line="240" w:lineRule="auto"/>
        <w:rPr>
          <w:sz w:val="20"/>
          <w:szCs w:val="20"/>
        </w:rPr>
      </w:pPr>
      <w:r>
        <w:rPr>
          <w:sz w:val="20"/>
          <w:szCs w:val="20"/>
        </w:rPr>
        <w:t xml:space="preserve">       Table 10 presents the respondents’ perception of job motivators related to the work environment. All eleven indicators were rated “Highly Evident”, with mean scores ranging from 4.24 to 4.61. The overall composite </w:t>
      </w:r>
      <w:proofErr w:type="gramStart"/>
      <w:r>
        <w:rPr>
          <w:sz w:val="20"/>
          <w:szCs w:val="20"/>
        </w:rPr>
        <w:t>mean</w:t>
      </w:r>
      <w:proofErr w:type="gramEnd"/>
      <w:r>
        <w:rPr>
          <w:sz w:val="20"/>
          <w:szCs w:val="20"/>
        </w:rPr>
        <w:t xml:space="preserve"> of 4.45 and a standard deviation of 0.43 indicate a generally strong and consistent agreement among employees that their work environment is safe, supportive, comfortable, and conducive to productivity.</w:t>
      </w:r>
    </w:p>
    <w:p w:rsidR="00EE3483" w:rsidRDefault="000B4739">
      <w:pPr>
        <w:spacing w:before="240" w:after="240" w:line="240" w:lineRule="auto"/>
        <w:rPr>
          <w:b/>
          <w:sz w:val="20"/>
          <w:szCs w:val="20"/>
        </w:rPr>
      </w:pPr>
      <w:r>
        <w:rPr>
          <w:b/>
          <w:sz w:val="20"/>
          <w:szCs w:val="20"/>
        </w:rPr>
        <w:t xml:space="preserve">Table 10.  Level of job motivators in terms of work environment  </w:t>
      </w:r>
    </w:p>
    <w:tbl>
      <w:tblPr>
        <w:tblStyle w:val="a9"/>
        <w:tblW w:w="9405" w:type="dxa"/>
        <w:tblInd w:w="-22" w:type="dxa"/>
        <w:tblBorders>
          <w:top w:val="nil"/>
          <w:left w:val="nil"/>
          <w:bottom w:val="nil"/>
          <w:right w:val="nil"/>
          <w:insideH w:val="nil"/>
          <w:insideV w:val="nil"/>
        </w:tblBorders>
        <w:tblLayout w:type="fixed"/>
        <w:tblLook w:val="0000" w:firstRow="0" w:lastRow="0" w:firstColumn="0" w:lastColumn="0" w:noHBand="0" w:noVBand="0"/>
      </w:tblPr>
      <w:tblGrid>
        <w:gridCol w:w="660"/>
        <w:gridCol w:w="4980"/>
        <w:gridCol w:w="1162"/>
        <w:gridCol w:w="1105"/>
        <w:gridCol w:w="1498"/>
      </w:tblGrid>
      <w:tr w:rsidR="00EE3483">
        <w:trPr>
          <w:trHeight w:val="493"/>
        </w:trPr>
        <w:tc>
          <w:tcPr>
            <w:tcW w:w="660"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No.</w:t>
            </w:r>
          </w:p>
        </w:tc>
        <w:tc>
          <w:tcPr>
            <w:tcW w:w="4980"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Statement</w:t>
            </w:r>
          </w:p>
        </w:tc>
        <w:tc>
          <w:tcPr>
            <w:tcW w:w="1162"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Mean</w:t>
            </w:r>
          </w:p>
        </w:tc>
        <w:tc>
          <w:tcPr>
            <w:tcW w:w="1105"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Std. Deviation</w:t>
            </w:r>
          </w:p>
        </w:tc>
        <w:tc>
          <w:tcPr>
            <w:tcW w:w="1498"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Interpretation</w:t>
            </w:r>
          </w:p>
        </w:tc>
      </w:tr>
      <w:tr w:rsidR="00EE3483">
        <w:trPr>
          <w:trHeight w:val="300"/>
        </w:trPr>
        <w:tc>
          <w:tcPr>
            <w:tcW w:w="660" w:type="dxa"/>
            <w:tcBorders>
              <w:top w:val="single" w:sz="4" w:space="0" w:color="000000"/>
            </w:tcBorders>
            <w:shd w:val="clear" w:color="auto" w:fill="auto"/>
            <w:vAlign w:val="center"/>
          </w:tcPr>
          <w:p w:rsidR="00EE3483" w:rsidRDefault="000B4739">
            <w:pPr>
              <w:spacing w:line="240" w:lineRule="auto"/>
              <w:rPr>
                <w:sz w:val="20"/>
                <w:szCs w:val="20"/>
              </w:rPr>
            </w:pPr>
            <w:r>
              <w:rPr>
                <w:sz w:val="20"/>
                <w:szCs w:val="20"/>
              </w:rPr>
              <w:t>1</w:t>
            </w:r>
          </w:p>
        </w:tc>
        <w:tc>
          <w:tcPr>
            <w:tcW w:w="4980" w:type="dxa"/>
            <w:tcBorders>
              <w:top w:val="single" w:sz="4" w:space="0" w:color="000000"/>
            </w:tcBorders>
            <w:shd w:val="clear" w:color="auto" w:fill="auto"/>
          </w:tcPr>
          <w:p w:rsidR="00EE3483" w:rsidRDefault="000B4739">
            <w:pPr>
              <w:widowControl w:val="0"/>
              <w:spacing w:line="240" w:lineRule="auto"/>
              <w:rPr>
                <w:sz w:val="20"/>
                <w:szCs w:val="20"/>
              </w:rPr>
            </w:pPr>
            <w:r>
              <w:rPr>
                <w:sz w:val="20"/>
                <w:szCs w:val="20"/>
              </w:rPr>
              <w:t>Employees work well together.</w:t>
            </w:r>
          </w:p>
        </w:tc>
        <w:tc>
          <w:tcPr>
            <w:tcW w:w="1162"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4.50</w:t>
            </w:r>
          </w:p>
        </w:tc>
        <w:tc>
          <w:tcPr>
            <w:tcW w:w="1105" w:type="dxa"/>
            <w:tcBorders>
              <w:top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0.72</w:t>
            </w:r>
          </w:p>
        </w:tc>
        <w:tc>
          <w:tcPr>
            <w:tcW w:w="1498" w:type="dxa"/>
            <w:tcBorders>
              <w:top w:val="single" w:sz="4" w:space="0" w:color="000000"/>
            </w:tcBorders>
            <w:shd w:val="clear" w:color="auto" w:fill="auto"/>
            <w:vAlign w:val="bottom"/>
          </w:tcPr>
          <w:p w:rsidR="00EE3483" w:rsidRDefault="000B4739">
            <w:pPr>
              <w:spacing w:line="240" w:lineRule="auto"/>
              <w:jc w:val="center"/>
              <w:rPr>
                <w:sz w:val="20"/>
                <w:szCs w:val="20"/>
              </w:rPr>
            </w:pPr>
            <w:r>
              <w:rPr>
                <w:sz w:val="20"/>
                <w:szCs w:val="20"/>
              </w:rPr>
              <w:t>Highly Evident</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2</w:t>
            </w:r>
          </w:p>
        </w:tc>
        <w:tc>
          <w:tcPr>
            <w:tcW w:w="4980" w:type="dxa"/>
            <w:shd w:val="clear" w:color="auto" w:fill="auto"/>
          </w:tcPr>
          <w:p w:rsidR="00EE3483" w:rsidRDefault="000B4739">
            <w:pPr>
              <w:widowControl w:val="0"/>
              <w:spacing w:line="240" w:lineRule="auto"/>
              <w:rPr>
                <w:sz w:val="20"/>
                <w:szCs w:val="20"/>
              </w:rPr>
            </w:pPr>
            <w:r>
              <w:rPr>
                <w:sz w:val="20"/>
                <w:szCs w:val="20"/>
              </w:rPr>
              <w:t>Employees help each other.</w:t>
            </w:r>
          </w:p>
        </w:tc>
        <w:tc>
          <w:tcPr>
            <w:tcW w:w="1162" w:type="dxa"/>
            <w:shd w:val="clear" w:color="auto" w:fill="auto"/>
            <w:vAlign w:val="center"/>
          </w:tcPr>
          <w:p w:rsidR="00EE3483" w:rsidRDefault="000B4739">
            <w:pPr>
              <w:spacing w:line="240" w:lineRule="auto"/>
              <w:jc w:val="center"/>
              <w:rPr>
                <w:sz w:val="20"/>
                <w:szCs w:val="20"/>
              </w:rPr>
            </w:pPr>
            <w:r>
              <w:rPr>
                <w:sz w:val="20"/>
                <w:szCs w:val="20"/>
              </w:rPr>
              <w:t>4.24</w:t>
            </w:r>
          </w:p>
        </w:tc>
        <w:tc>
          <w:tcPr>
            <w:tcW w:w="1105" w:type="dxa"/>
            <w:shd w:val="clear" w:color="auto" w:fill="auto"/>
            <w:vAlign w:val="center"/>
          </w:tcPr>
          <w:p w:rsidR="00EE3483" w:rsidRDefault="000B4739">
            <w:pPr>
              <w:spacing w:line="240" w:lineRule="auto"/>
              <w:jc w:val="center"/>
              <w:rPr>
                <w:sz w:val="20"/>
                <w:szCs w:val="20"/>
              </w:rPr>
            </w:pPr>
            <w:r>
              <w:rPr>
                <w:sz w:val="20"/>
                <w:szCs w:val="20"/>
              </w:rPr>
              <w:t>0.70</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3</w:t>
            </w:r>
          </w:p>
        </w:tc>
        <w:tc>
          <w:tcPr>
            <w:tcW w:w="4980" w:type="dxa"/>
            <w:shd w:val="clear" w:color="auto" w:fill="auto"/>
          </w:tcPr>
          <w:p w:rsidR="00EE3483" w:rsidRDefault="000B4739">
            <w:pPr>
              <w:widowControl w:val="0"/>
              <w:spacing w:line="240" w:lineRule="auto"/>
              <w:rPr>
                <w:sz w:val="20"/>
                <w:szCs w:val="20"/>
              </w:rPr>
            </w:pPr>
            <w:r>
              <w:rPr>
                <w:sz w:val="20"/>
                <w:szCs w:val="20"/>
              </w:rPr>
              <w:t>Co-workers are polite, gentle, and friendly.</w:t>
            </w:r>
          </w:p>
        </w:tc>
        <w:tc>
          <w:tcPr>
            <w:tcW w:w="1162" w:type="dxa"/>
            <w:shd w:val="clear" w:color="auto" w:fill="auto"/>
            <w:vAlign w:val="center"/>
          </w:tcPr>
          <w:p w:rsidR="00EE3483" w:rsidRDefault="000B4739">
            <w:pPr>
              <w:spacing w:line="240" w:lineRule="auto"/>
              <w:jc w:val="center"/>
              <w:rPr>
                <w:sz w:val="20"/>
                <w:szCs w:val="20"/>
              </w:rPr>
            </w:pPr>
            <w:r>
              <w:rPr>
                <w:sz w:val="20"/>
                <w:szCs w:val="20"/>
              </w:rPr>
              <w:t>4.37</w:t>
            </w:r>
          </w:p>
        </w:tc>
        <w:tc>
          <w:tcPr>
            <w:tcW w:w="1105" w:type="dxa"/>
            <w:shd w:val="clear" w:color="auto" w:fill="auto"/>
            <w:vAlign w:val="center"/>
          </w:tcPr>
          <w:p w:rsidR="00EE3483" w:rsidRDefault="000B4739">
            <w:pPr>
              <w:spacing w:line="240" w:lineRule="auto"/>
              <w:jc w:val="center"/>
              <w:rPr>
                <w:sz w:val="20"/>
                <w:szCs w:val="20"/>
              </w:rPr>
            </w:pPr>
            <w:r>
              <w:rPr>
                <w:sz w:val="20"/>
                <w:szCs w:val="20"/>
              </w:rPr>
              <w:t>0.69</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4</w:t>
            </w:r>
          </w:p>
        </w:tc>
        <w:tc>
          <w:tcPr>
            <w:tcW w:w="4980" w:type="dxa"/>
            <w:shd w:val="clear" w:color="auto" w:fill="auto"/>
          </w:tcPr>
          <w:p w:rsidR="00EE3483" w:rsidRDefault="000B4739">
            <w:pPr>
              <w:widowControl w:val="0"/>
              <w:spacing w:line="240" w:lineRule="auto"/>
              <w:rPr>
                <w:sz w:val="20"/>
                <w:szCs w:val="20"/>
              </w:rPr>
            </w:pPr>
            <w:r>
              <w:rPr>
                <w:sz w:val="20"/>
                <w:szCs w:val="20"/>
              </w:rPr>
              <w:t>Equipment at the workplace is safe and clean.</w:t>
            </w:r>
          </w:p>
        </w:tc>
        <w:tc>
          <w:tcPr>
            <w:tcW w:w="1162" w:type="dxa"/>
            <w:shd w:val="clear" w:color="auto" w:fill="auto"/>
            <w:vAlign w:val="center"/>
          </w:tcPr>
          <w:p w:rsidR="00EE3483" w:rsidRDefault="000B4739">
            <w:pPr>
              <w:spacing w:line="240" w:lineRule="auto"/>
              <w:jc w:val="center"/>
              <w:rPr>
                <w:sz w:val="20"/>
                <w:szCs w:val="20"/>
              </w:rPr>
            </w:pPr>
            <w:r>
              <w:rPr>
                <w:sz w:val="20"/>
                <w:szCs w:val="20"/>
              </w:rPr>
              <w:t>4.38</w:t>
            </w:r>
          </w:p>
        </w:tc>
        <w:tc>
          <w:tcPr>
            <w:tcW w:w="1105" w:type="dxa"/>
            <w:shd w:val="clear" w:color="auto" w:fill="auto"/>
            <w:vAlign w:val="center"/>
          </w:tcPr>
          <w:p w:rsidR="00EE3483" w:rsidRDefault="000B4739">
            <w:pPr>
              <w:spacing w:line="240" w:lineRule="auto"/>
              <w:jc w:val="center"/>
              <w:rPr>
                <w:sz w:val="20"/>
                <w:szCs w:val="20"/>
              </w:rPr>
            </w:pPr>
            <w:r>
              <w:rPr>
                <w:sz w:val="20"/>
                <w:szCs w:val="20"/>
              </w:rPr>
              <w:t>0.62</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5</w:t>
            </w:r>
          </w:p>
        </w:tc>
        <w:tc>
          <w:tcPr>
            <w:tcW w:w="4980" w:type="dxa"/>
            <w:shd w:val="clear" w:color="auto" w:fill="auto"/>
          </w:tcPr>
          <w:p w:rsidR="00EE3483" w:rsidRDefault="000B4739">
            <w:pPr>
              <w:widowControl w:val="0"/>
              <w:spacing w:line="240" w:lineRule="auto"/>
              <w:rPr>
                <w:sz w:val="20"/>
                <w:szCs w:val="20"/>
              </w:rPr>
            </w:pPr>
            <w:r>
              <w:rPr>
                <w:sz w:val="20"/>
                <w:szCs w:val="20"/>
              </w:rPr>
              <w:t>Work physical environment (temperature, light, noise…) is favorable.</w:t>
            </w:r>
          </w:p>
        </w:tc>
        <w:tc>
          <w:tcPr>
            <w:tcW w:w="1162" w:type="dxa"/>
            <w:shd w:val="clear" w:color="auto" w:fill="auto"/>
            <w:vAlign w:val="center"/>
          </w:tcPr>
          <w:p w:rsidR="00EE3483" w:rsidRDefault="000B4739">
            <w:pPr>
              <w:spacing w:line="240" w:lineRule="auto"/>
              <w:jc w:val="center"/>
              <w:rPr>
                <w:sz w:val="20"/>
                <w:szCs w:val="20"/>
              </w:rPr>
            </w:pPr>
            <w:r>
              <w:rPr>
                <w:sz w:val="20"/>
                <w:szCs w:val="20"/>
              </w:rPr>
              <w:t>4.42</w:t>
            </w:r>
          </w:p>
        </w:tc>
        <w:tc>
          <w:tcPr>
            <w:tcW w:w="1105" w:type="dxa"/>
            <w:shd w:val="clear" w:color="auto" w:fill="auto"/>
            <w:vAlign w:val="center"/>
          </w:tcPr>
          <w:p w:rsidR="00EE3483" w:rsidRDefault="000B4739">
            <w:pPr>
              <w:spacing w:line="240" w:lineRule="auto"/>
              <w:jc w:val="center"/>
              <w:rPr>
                <w:sz w:val="20"/>
                <w:szCs w:val="20"/>
              </w:rPr>
            </w:pPr>
            <w:r>
              <w:rPr>
                <w:sz w:val="20"/>
                <w:szCs w:val="20"/>
              </w:rPr>
              <w:t>0.70</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6</w:t>
            </w:r>
          </w:p>
        </w:tc>
        <w:tc>
          <w:tcPr>
            <w:tcW w:w="4980" w:type="dxa"/>
            <w:shd w:val="clear" w:color="auto" w:fill="auto"/>
          </w:tcPr>
          <w:p w:rsidR="00EE3483" w:rsidRDefault="000B4739">
            <w:pPr>
              <w:widowControl w:val="0"/>
              <w:spacing w:line="240" w:lineRule="auto"/>
              <w:rPr>
                <w:sz w:val="20"/>
                <w:szCs w:val="20"/>
              </w:rPr>
            </w:pPr>
            <w:r>
              <w:rPr>
                <w:sz w:val="20"/>
                <w:szCs w:val="20"/>
              </w:rPr>
              <w:t>Machinery and equipment are modern.</w:t>
            </w:r>
          </w:p>
        </w:tc>
        <w:tc>
          <w:tcPr>
            <w:tcW w:w="1162" w:type="dxa"/>
            <w:shd w:val="clear" w:color="auto" w:fill="auto"/>
            <w:vAlign w:val="center"/>
          </w:tcPr>
          <w:p w:rsidR="00EE3483" w:rsidRDefault="000B4739">
            <w:pPr>
              <w:spacing w:line="240" w:lineRule="auto"/>
              <w:jc w:val="center"/>
              <w:rPr>
                <w:sz w:val="20"/>
                <w:szCs w:val="20"/>
              </w:rPr>
            </w:pPr>
            <w:r>
              <w:rPr>
                <w:sz w:val="20"/>
                <w:szCs w:val="20"/>
              </w:rPr>
              <w:t>4.52</w:t>
            </w:r>
          </w:p>
        </w:tc>
        <w:tc>
          <w:tcPr>
            <w:tcW w:w="1105" w:type="dxa"/>
            <w:shd w:val="clear" w:color="auto" w:fill="auto"/>
            <w:vAlign w:val="center"/>
          </w:tcPr>
          <w:p w:rsidR="00EE3483" w:rsidRDefault="000B4739">
            <w:pPr>
              <w:spacing w:line="240" w:lineRule="auto"/>
              <w:jc w:val="center"/>
              <w:rPr>
                <w:sz w:val="20"/>
                <w:szCs w:val="20"/>
              </w:rPr>
            </w:pPr>
            <w:r>
              <w:rPr>
                <w:sz w:val="20"/>
                <w:szCs w:val="20"/>
              </w:rPr>
              <w:t>0.55</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7</w:t>
            </w:r>
          </w:p>
        </w:tc>
        <w:tc>
          <w:tcPr>
            <w:tcW w:w="4980" w:type="dxa"/>
            <w:shd w:val="clear" w:color="auto" w:fill="auto"/>
          </w:tcPr>
          <w:p w:rsidR="00EE3483" w:rsidRDefault="000B4739">
            <w:pPr>
              <w:widowControl w:val="0"/>
              <w:spacing w:line="240" w:lineRule="auto"/>
              <w:rPr>
                <w:sz w:val="20"/>
                <w:szCs w:val="20"/>
              </w:rPr>
            </w:pPr>
            <w:r>
              <w:rPr>
                <w:sz w:val="20"/>
                <w:szCs w:val="20"/>
              </w:rPr>
              <w:t>Employees can work safely at my workplace.</w:t>
            </w:r>
          </w:p>
        </w:tc>
        <w:tc>
          <w:tcPr>
            <w:tcW w:w="1162" w:type="dxa"/>
            <w:shd w:val="clear" w:color="auto" w:fill="auto"/>
            <w:vAlign w:val="center"/>
          </w:tcPr>
          <w:p w:rsidR="00EE3483" w:rsidRDefault="000B4739">
            <w:pPr>
              <w:spacing w:line="240" w:lineRule="auto"/>
              <w:jc w:val="center"/>
              <w:rPr>
                <w:sz w:val="20"/>
                <w:szCs w:val="20"/>
              </w:rPr>
            </w:pPr>
            <w:r>
              <w:rPr>
                <w:sz w:val="20"/>
                <w:szCs w:val="20"/>
              </w:rPr>
              <w:t>4.61</w:t>
            </w:r>
          </w:p>
        </w:tc>
        <w:tc>
          <w:tcPr>
            <w:tcW w:w="1105" w:type="dxa"/>
            <w:shd w:val="clear" w:color="auto" w:fill="auto"/>
            <w:vAlign w:val="center"/>
          </w:tcPr>
          <w:p w:rsidR="00EE3483" w:rsidRDefault="000B4739">
            <w:pPr>
              <w:spacing w:line="240" w:lineRule="auto"/>
              <w:jc w:val="center"/>
              <w:rPr>
                <w:sz w:val="20"/>
                <w:szCs w:val="20"/>
              </w:rPr>
            </w:pPr>
            <w:r>
              <w:rPr>
                <w:sz w:val="20"/>
                <w:szCs w:val="20"/>
              </w:rPr>
              <w:t>0.56</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8</w:t>
            </w:r>
          </w:p>
        </w:tc>
        <w:tc>
          <w:tcPr>
            <w:tcW w:w="4980" w:type="dxa"/>
            <w:shd w:val="clear" w:color="auto" w:fill="auto"/>
          </w:tcPr>
          <w:p w:rsidR="00EE3483" w:rsidRDefault="000B4739">
            <w:pPr>
              <w:widowControl w:val="0"/>
              <w:spacing w:line="240" w:lineRule="auto"/>
              <w:rPr>
                <w:sz w:val="20"/>
                <w:szCs w:val="20"/>
              </w:rPr>
            </w:pPr>
            <w:r>
              <w:rPr>
                <w:sz w:val="20"/>
                <w:szCs w:val="20"/>
              </w:rPr>
              <w:t>The job is secure.</w:t>
            </w:r>
          </w:p>
        </w:tc>
        <w:tc>
          <w:tcPr>
            <w:tcW w:w="1162" w:type="dxa"/>
            <w:shd w:val="clear" w:color="auto" w:fill="auto"/>
            <w:vAlign w:val="center"/>
          </w:tcPr>
          <w:p w:rsidR="00EE3483" w:rsidRDefault="000B4739">
            <w:pPr>
              <w:spacing w:line="240" w:lineRule="auto"/>
              <w:jc w:val="center"/>
              <w:rPr>
                <w:sz w:val="20"/>
                <w:szCs w:val="20"/>
              </w:rPr>
            </w:pPr>
            <w:r>
              <w:rPr>
                <w:sz w:val="20"/>
                <w:szCs w:val="20"/>
              </w:rPr>
              <w:t>4.52</w:t>
            </w:r>
          </w:p>
        </w:tc>
        <w:tc>
          <w:tcPr>
            <w:tcW w:w="1105" w:type="dxa"/>
            <w:shd w:val="clear" w:color="auto" w:fill="auto"/>
            <w:vAlign w:val="center"/>
          </w:tcPr>
          <w:p w:rsidR="00EE3483" w:rsidRDefault="000B4739">
            <w:pPr>
              <w:spacing w:line="240" w:lineRule="auto"/>
              <w:jc w:val="center"/>
              <w:rPr>
                <w:sz w:val="20"/>
                <w:szCs w:val="20"/>
              </w:rPr>
            </w:pPr>
            <w:r>
              <w:rPr>
                <w:sz w:val="20"/>
                <w:szCs w:val="20"/>
              </w:rPr>
              <w:t>0.59</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9</w:t>
            </w:r>
          </w:p>
        </w:tc>
        <w:tc>
          <w:tcPr>
            <w:tcW w:w="4980" w:type="dxa"/>
            <w:shd w:val="clear" w:color="auto" w:fill="auto"/>
          </w:tcPr>
          <w:p w:rsidR="00EE3483" w:rsidRDefault="000B4739">
            <w:pPr>
              <w:widowControl w:val="0"/>
              <w:spacing w:line="240" w:lineRule="auto"/>
              <w:rPr>
                <w:sz w:val="20"/>
                <w:szCs w:val="20"/>
              </w:rPr>
            </w:pPr>
            <w:r>
              <w:rPr>
                <w:sz w:val="20"/>
                <w:szCs w:val="20"/>
              </w:rPr>
              <w:t>Workplace is in an area where employees feel comfortable.</w:t>
            </w:r>
          </w:p>
        </w:tc>
        <w:tc>
          <w:tcPr>
            <w:tcW w:w="1162" w:type="dxa"/>
            <w:shd w:val="clear" w:color="auto" w:fill="auto"/>
            <w:vAlign w:val="center"/>
          </w:tcPr>
          <w:p w:rsidR="00EE3483" w:rsidRDefault="000B4739">
            <w:pPr>
              <w:spacing w:line="240" w:lineRule="auto"/>
              <w:jc w:val="center"/>
              <w:rPr>
                <w:sz w:val="20"/>
                <w:szCs w:val="20"/>
              </w:rPr>
            </w:pPr>
            <w:r>
              <w:rPr>
                <w:sz w:val="20"/>
                <w:szCs w:val="20"/>
              </w:rPr>
              <w:t>4.37</w:t>
            </w:r>
          </w:p>
        </w:tc>
        <w:tc>
          <w:tcPr>
            <w:tcW w:w="1105" w:type="dxa"/>
            <w:shd w:val="clear" w:color="auto" w:fill="auto"/>
            <w:vAlign w:val="center"/>
          </w:tcPr>
          <w:p w:rsidR="00EE3483" w:rsidRDefault="000B4739">
            <w:pPr>
              <w:spacing w:line="240" w:lineRule="auto"/>
              <w:jc w:val="center"/>
              <w:rPr>
                <w:sz w:val="20"/>
                <w:szCs w:val="20"/>
              </w:rPr>
            </w:pPr>
            <w:r>
              <w:rPr>
                <w:sz w:val="20"/>
                <w:szCs w:val="20"/>
              </w:rPr>
              <w:t>0.60</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shd w:val="clear" w:color="auto" w:fill="auto"/>
            <w:vAlign w:val="center"/>
          </w:tcPr>
          <w:p w:rsidR="00EE3483" w:rsidRDefault="000B4739">
            <w:pPr>
              <w:spacing w:line="240" w:lineRule="auto"/>
              <w:rPr>
                <w:sz w:val="20"/>
                <w:szCs w:val="20"/>
              </w:rPr>
            </w:pPr>
            <w:r>
              <w:rPr>
                <w:sz w:val="20"/>
                <w:szCs w:val="20"/>
              </w:rPr>
              <w:t>4</w:t>
            </w:r>
          </w:p>
        </w:tc>
        <w:tc>
          <w:tcPr>
            <w:tcW w:w="4980" w:type="dxa"/>
            <w:shd w:val="clear" w:color="auto" w:fill="auto"/>
          </w:tcPr>
          <w:p w:rsidR="00EE3483" w:rsidRDefault="000B4739">
            <w:pPr>
              <w:widowControl w:val="0"/>
              <w:spacing w:line="240" w:lineRule="auto"/>
              <w:rPr>
                <w:sz w:val="20"/>
                <w:szCs w:val="20"/>
              </w:rPr>
            </w:pPr>
            <w:r>
              <w:rPr>
                <w:sz w:val="20"/>
                <w:szCs w:val="20"/>
              </w:rPr>
              <w:t>Employees feel satisfied because of the comfort provided at work.</w:t>
            </w:r>
          </w:p>
        </w:tc>
        <w:tc>
          <w:tcPr>
            <w:tcW w:w="1162" w:type="dxa"/>
            <w:shd w:val="clear" w:color="auto" w:fill="auto"/>
            <w:vAlign w:val="center"/>
          </w:tcPr>
          <w:p w:rsidR="00EE3483" w:rsidRDefault="000B4739">
            <w:pPr>
              <w:spacing w:line="240" w:lineRule="auto"/>
              <w:jc w:val="center"/>
              <w:rPr>
                <w:sz w:val="20"/>
                <w:szCs w:val="20"/>
              </w:rPr>
            </w:pPr>
            <w:r>
              <w:rPr>
                <w:sz w:val="20"/>
                <w:szCs w:val="20"/>
              </w:rPr>
              <w:t>4.45</w:t>
            </w:r>
          </w:p>
        </w:tc>
        <w:tc>
          <w:tcPr>
            <w:tcW w:w="1105" w:type="dxa"/>
            <w:shd w:val="clear" w:color="auto" w:fill="auto"/>
            <w:vAlign w:val="center"/>
          </w:tcPr>
          <w:p w:rsidR="00EE3483" w:rsidRDefault="000B4739">
            <w:pPr>
              <w:spacing w:line="240" w:lineRule="auto"/>
              <w:jc w:val="center"/>
              <w:rPr>
                <w:sz w:val="20"/>
                <w:szCs w:val="20"/>
              </w:rPr>
            </w:pPr>
            <w:r>
              <w:rPr>
                <w:sz w:val="20"/>
                <w:szCs w:val="20"/>
              </w:rPr>
              <w:t>0.63</w:t>
            </w:r>
          </w:p>
        </w:tc>
        <w:tc>
          <w:tcPr>
            <w:tcW w:w="1498" w:type="dxa"/>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25"/>
        </w:trPr>
        <w:tc>
          <w:tcPr>
            <w:tcW w:w="660" w:type="dxa"/>
            <w:tcBorders>
              <w:bottom w:val="single" w:sz="4" w:space="0" w:color="000000"/>
            </w:tcBorders>
            <w:shd w:val="clear" w:color="auto" w:fill="auto"/>
            <w:vAlign w:val="center"/>
          </w:tcPr>
          <w:p w:rsidR="00EE3483" w:rsidRDefault="000B4739">
            <w:pPr>
              <w:spacing w:line="240" w:lineRule="auto"/>
              <w:rPr>
                <w:sz w:val="20"/>
                <w:szCs w:val="20"/>
              </w:rPr>
            </w:pPr>
            <w:r>
              <w:rPr>
                <w:sz w:val="20"/>
                <w:szCs w:val="20"/>
              </w:rPr>
              <w:t>5</w:t>
            </w:r>
          </w:p>
        </w:tc>
        <w:tc>
          <w:tcPr>
            <w:tcW w:w="4980" w:type="dxa"/>
            <w:tcBorders>
              <w:bottom w:val="single" w:sz="4" w:space="0" w:color="000000"/>
            </w:tcBorders>
            <w:shd w:val="clear" w:color="auto" w:fill="auto"/>
          </w:tcPr>
          <w:p w:rsidR="00EE3483" w:rsidRDefault="000B4739">
            <w:pPr>
              <w:widowControl w:val="0"/>
              <w:spacing w:line="240" w:lineRule="auto"/>
              <w:rPr>
                <w:sz w:val="20"/>
                <w:szCs w:val="20"/>
              </w:rPr>
            </w:pPr>
            <w:r>
              <w:rPr>
                <w:sz w:val="20"/>
                <w:szCs w:val="20"/>
              </w:rPr>
              <w:t>Employees are proud to work for my company because of the pleasant working conditions.</w:t>
            </w:r>
          </w:p>
        </w:tc>
        <w:tc>
          <w:tcPr>
            <w:tcW w:w="1162"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4.57</w:t>
            </w:r>
          </w:p>
        </w:tc>
        <w:tc>
          <w:tcPr>
            <w:tcW w:w="1105" w:type="dxa"/>
            <w:tcBorders>
              <w:bottom w:val="single" w:sz="4" w:space="0" w:color="000000"/>
            </w:tcBorders>
            <w:shd w:val="clear" w:color="auto" w:fill="auto"/>
            <w:vAlign w:val="center"/>
          </w:tcPr>
          <w:p w:rsidR="00EE3483" w:rsidRDefault="000B4739">
            <w:pPr>
              <w:spacing w:line="240" w:lineRule="auto"/>
              <w:jc w:val="center"/>
              <w:rPr>
                <w:sz w:val="20"/>
                <w:szCs w:val="20"/>
              </w:rPr>
            </w:pPr>
            <w:r>
              <w:rPr>
                <w:sz w:val="20"/>
                <w:szCs w:val="20"/>
              </w:rPr>
              <w:t>0.65</w:t>
            </w:r>
          </w:p>
        </w:tc>
        <w:tc>
          <w:tcPr>
            <w:tcW w:w="1498" w:type="dxa"/>
            <w:tcBorders>
              <w:bottom w:val="single" w:sz="4" w:space="0" w:color="000000"/>
            </w:tcBorders>
            <w:shd w:val="clear" w:color="auto" w:fill="auto"/>
            <w:vAlign w:val="bottom"/>
          </w:tcPr>
          <w:p w:rsidR="00EE3483" w:rsidRDefault="000B4739">
            <w:pPr>
              <w:spacing w:line="240" w:lineRule="auto"/>
              <w:jc w:val="center"/>
              <w:rPr>
                <w:sz w:val="20"/>
                <w:szCs w:val="20"/>
              </w:rPr>
            </w:pPr>
            <w:r>
              <w:rPr>
                <w:sz w:val="20"/>
                <w:szCs w:val="20"/>
              </w:rPr>
              <w:t xml:space="preserve">Highly Evident </w:t>
            </w:r>
          </w:p>
        </w:tc>
      </w:tr>
      <w:tr w:rsidR="00EE3483">
        <w:trPr>
          <w:trHeight w:val="300"/>
        </w:trPr>
        <w:tc>
          <w:tcPr>
            <w:tcW w:w="660" w:type="dxa"/>
            <w:tcBorders>
              <w:top w:val="single" w:sz="4" w:space="0" w:color="000000"/>
              <w:bottom w:val="single" w:sz="4" w:space="0" w:color="000000"/>
            </w:tcBorders>
            <w:shd w:val="clear" w:color="auto" w:fill="auto"/>
          </w:tcPr>
          <w:p w:rsidR="00EE3483" w:rsidRDefault="00EE3483">
            <w:pPr>
              <w:spacing w:line="240" w:lineRule="auto"/>
              <w:rPr>
                <w:b/>
                <w:sz w:val="20"/>
                <w:szCs w:val="20"/>
              </w:rPr>
            </w:pPr>
          </w:p>
        </w:tc>
        <w:tc>
          <w:tcPr>
            <w:tcW w:w="4980" w:type="dxa"/>
            <w:tcBorders>
              <w:top w:val="single" w:sz="4" w:space="0" w:color="000000"/>
              <w:bottom w:val="single" w:sz="4" w:space="0" w:color="000000"/>
            </w:tcBorders>
            <w:shd w:val="clear" w:color="auto" w:fill="auto"/>
          </w:tcPr>
          <w:p w:rsidR="00EE3483" w:rsidRDefault="000B4739">
            <w:pPr>
              <w:spacing w:line="240" w:lineRule="auto"/>
              <w:rPr>
                <w:b/>
                <w:sz w:val="20"/>
                <w:szCs w:val="20"/>
              </w:rPr>
            </w:pPr>
            <w:r>
              <w:rPr>
                <w:b/>
                <w:sz w:val="20"/>
                <w:szCs w:val="20"/>
              </w:rPr>
              <w:t>Average</w:t>
            </w:r>
          </w:p>
        </w:tc>
        <w:tc>
          <w:tcPr>
            <w:tcW w:w="1162"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4.45</w:t>
            </w:r>
          </w:p>
        </w:tc>
        <w:tc>
          <w:tcPr>
            <w:tcW w:w="1105" w:type="dxa"/>
            <w:tcBorders>
              <w:top w:val="single" w:sz="4" w:space="0" w:color="000000"/>
              <w:bottom w:val="single" w:sz="4" w:space="0" w:color="000000"/>
            </w:tcBorders>
            <w:shd w:val="clear" w:color="auto" w:fill="auto"/>
            <w:vAlign w:val="center"/>
          </w:tcPr>
          <w:p w:rsidR="00EE3483" w:rsidRDefault="000B4739">
            <w:pPr>
              <w:spacing w:line="240" w:lineRule="auto"/>
              <w:jc w:val="center"/>
              <w:rPr>
                <w:b/>
                <w:sz w:val="20"/>
                <w:szCs w:val="20"/>
              </w:rPr>
            </w:pPr>
            <w:r>
              <w:rPr>
                <w:b/>
                <w:sz w:val="20"/>
                <w:szCs w:val="20"/>
              </w:rPr>
              <w:t>0.43</w:t>
            </w:r>
          </w:p>
        </w:tc>
        <w:tc>
          <w:tcPr>
            <w:tcW w:w="1498" w:type="dxa"/>
            <w:tcBorders>
              <w:top w:val="single" w:sz="4" w:space="0" w:color="000000"/>
              <w:bottom w:val="single" w:sz="4" w:space="0" w:color="000000"/>
            </w:tcBorders>
            <w:shd w:val="clear" w:color="auto" w:fill="auto"/>
            <w:vAlign w:val="bottom"/>
          </w:tcPr>
          <w:p w:rsidR="00EE3483" w:rsidRDefault="000B4739">
            <w:pPr>
              <w:spacing w:line="240" w:lineRule="auto"/>
              <w:jc w:val="center"/>
              <w:rPr>
                <w:b/>
                <w:sz w:val="20"/>
                <w:szCs w:val="20"/>
              </w:rPr>
            </w:pPr>
            <w:r>
              <w:rPr>
                <w:b/>
                <w:sz w:val="20"/>
                <w:szCs w:val="20"/>
              </w:rPr>
              <w:t xml:space="preserve">Highly Evident </w:t>
            </w:r>
          </w:p>
        </w:tc>
      </w:tr>
    </w:tbl>
    <w:p w:rsidR="00EE3483" w:rsidRDefault="000B4739">
      <w:pPr>
        <w:spacing w:before="240" w:after="240" w:line="240" w:lineRule="auto"/>
        <w:ind w:firstLineChars="200" w:firstLine="400"/>
        <w:rPr>
          <w:sz w:val="20"/>
          <w:szCs w:val="20"/>
        </w:rPr>
      </w:pPr>
      <w:r>
        <w:rPr>
          <w:sz w:val="20"/>
          <w:szCs w:val="20"/>
        </w:rPr>
        <w:t>The work environment indicators were rated very positively, with the highest mean score for workplace safety (M = 4.61), reflecting employees’ strong perception of physical security. Research supports this finding, emphasizing that workplace safety enhances trust, commitment, job satisfaction, performance, and retention (Zhenjing &amp; Chupradit, 2022; Soliman, 2023; Taheri et al., 2020). The lowest-rated indicator, coworker support (M = 4.24), though still “highly evident,” suggests that helping behavior among employees may vary across teams, aligning with studies highlighting the influence of team culture, trust, communication, and individual dynamics on collaboration (Yap et al., 2024; Reddin, 2024; Hughes, 2022).</w:t>
      </w:r>
    </w:p>
    <w:p w:rsidR="00EE3483" w:rsidRDefault="000B4739">
      <w:pPr>
        <w:spacing w:before="240" w:after="240" w:line="240" w:lineRule="auto"/>
        <w:ind w:firstLineChars="200" w:firstLine="400"/>
        <w:rPr>
          <w:sz w:val="20"/>
          <w:szCs w:val="20"/>
        </w:rPr>
      </w:pPr>
      <w:r>
        <w:rPr>
          <w:sz w:val="20"/>
          <w:szCs w:val="20"/>
        </w:rPr>
        <w:t xml:space="preserve"> The overall mean of 4.45 indicates a very favorable perception of both physical and social work conditions, including modern equipment, suitable lighting and temperature, job security, and pride in the workplace. These results are consistent with findings that link comfort, aesthetics, cleanliness, and ergonomic design to higher engagement, morale, performance, and reduced fatigue (Budie et al., 2019; Taheri et al., 2020; Soliman, 2023).</w:t>
      </w:r>
    </w:p>
    <w:p w:rsidR="00EE3483" w:rsidRDefault="000B4739">
      <w:pPr>
        <w:spacing w:before="240" w:after="240" w:line="240" w:lineRule="auto"/>
        <w:ind w:firstLineChars="200" w:firstLine="400"/>
        <w:rPr>
          <w:b/>
          <w:sz w:val="20"/>
          <w:szCs w:val="20"/>
        </w:rPr>
      </w:pPr>
      <w:r>
        <w:rPr>
          <w:sz w:val="20"/>
          <w:szCs w:val="20"/>
        </w:rPr>
        <w:lastRenderedPageBreak/>
        <w:t>Viewed through Maslow’s Hierarchy of Needs, the positive assessments suggest that employees’ safety, belonging, and esteem needs are being met through secure, comfortable, and socially supportive environments (Maslow, 1943 as cited in Zhao et al., 2024; Qasim &amp; Laghari, 2025; Waller, 2021). Satisfaction with both physical and social aspects of the workplace provides a foundation for higher motivation and psychological growth (Kim et al., 2019).</w:t>
      </w:r>
    </w:p>
    <w:p w:rsidR="00EE3483" w:rsidRDefault="000B4739">
      <w:pPr>
        <w:spacing w:before="240" w:after="240" w:line="240" w:lineRule="auto"/>
        <w:ind w:firstLineChars="200" w:firstLine="400"/>
        <w:rPr>
          <w:sz w:val="20"/>
          <w:szCs w:val="20"/>
        </w:rPr>
      </w:pPr>
      <w:r>
        <w:rPr>
          <w:sz w:val="20"/>
          <w:szCs w:val="20"/>
        </w:rPr>
        <w:t>If the survey mean for intrinsic motivation is near the scale's top (e.g., &gt;4 on a 5-point scale with a small SD), it indicates a very high intrinsic drive; if around 3–4, it would still be high. In practice, employees who score high in intrinsic motivation enjoy the work itself, find personal growth and recognition satisfying, and thus stay engaged.</w:t>
      </w:r>
    </w:p>
    <w:p w:rsidR="00EE3483" w:rsidRDefault="000B4739">
      <w:pPr>
        <w:spacing w:before="240" w:after="240" w:line="240" w:lineRule="auto"/>
        <w:ind w:firstLineChars="200" w:firstLine="400"/>
        <w:rPr>
          <w:sz w:val="20"/>
          <w:szCs w:val="20"/>
        </w:rPr>
      </w:pPr>
      <w:r>
        <w:rPr>
          <w:sz w:val="20"/>
          <w:szCs w:val="20"/>
        </w:rPr>
        <w:t>Table 11. Level of job motivators of financial institution workers</w:t>
      </w:r>
    </w:p>
    <w:tbl>
      <w:tblPr>
        <w:tblW w:w="9576" w:type="dxa"/>
        <w:tblInd w:w="-22" w:type="dxa"/>
        <w:tblLayout w:type="fixed"/>
        <w:tblLook w:val="04A0" w:firstRow="1" w:lastRow="0" w:firstColumn="1" w:lastColumn="0" w:noHBand="0" w:noVBand="1"/>
      </w:tblPr>
      <w:tblGrid>
        <w:gridCol w:w="4873"/>
        <w:gridCol w:w="1742"/>
        <w:gridCol w:w="1186"/>
        <w:gridCol w:w="1775"/>
      </w:tblGrid>
      <w:tr w:rsidR="00EE3483">
        <w:trPr>
          <w:trHeight w:val="570"/>
        </w:trPr>
        <w:tc>
          <w:tcPr>
            <w:tcW w:w="4873"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b/>
                <w:bCs/>
                <w:sz w:val="20"/>
                <w:szCs w:val="20"/>
              </w:rPr>
            </w:pPr>
            <w:r>
              <w:rPr>
                <w:b/>
                <w:bCs/>
                <w:sz w:val="20"/>
                <w:szCs w:val="20"/>
              </w:rPr>
              <w:t xml:space="preserve">Factors of Job Motivation </w:t>
            </w:r>
          </w:p>
        </w:tc>
        <w:tc>
          <w:tcPr>
            <w:tcW w:w="1742"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b/>
                <w:bCs/>
                <w:sz w:val="20"/>
                <w:szCs w:val="20"/>
              </w:rPr>
            </w:pPr>
            <w:r>
              <w:rPr>
                <w:b/>
                <w:bCs/>
                <w:sz w:val="20"/>
                <w:szCs w:val="20"/>
              </w:rPr>
              <w:t>Mean</w:t>
            </w:r>
          </w:p>
        </w:tc>
        <w:tc>
          <w:tcPr>
            <w:tcW w:w="1186"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b/>
                <w:bCs/>
                <w:sz w:val="20"/>
                <w:szCs w:val="20"/>
              </w:rPr>
            </w:pPr>
            <w:r>
              <w:rPr>
                <w:b/>
                <w:bCs/>
                <w:sz w:val="20"/>
                <w:szCs w:val="20"/>
              </w:rPr>
              <w:t xml:space="preserve">Standard Deviation </w:t>
            </w:r>
          </w:p>
        </w:tc>
        <w:tc>
          <w:tcPr>
            <w:tcW w:w="1775" w:type="dxa"/>
            <w:tcBorders>
              <w:top w:val="single" w:sz="4" w:space="0" w:color="000000"/>
              <w:bottom w:val="single" w:sz="4" w:space="0" w:color="000000"/>
            </w:tcBorders>
            <w:shd w:val="clear" w:color="FFFFFF" w:fill="auto"/>
            <w:vAlign w:val="center"/>
          </w:tcPr>
          <w:p w:rsidR="00EE3483" w:rsidRDefault="000B4739">
            <w:pPr>
              <w:spacing w:line="240" w:lineRule="auto"/>
              <w:jc w:val="center"/>
              <w:rPr>
                <w:sz w:val="20"/>
                <w:szCs w:val="20"/>
              </w:rPr>
            </w:pPr>
            <w:r>
              <w:rPr>
                <w:b/>
                <w:bCs/>
                <w:sz w:val="20"/>
                <w:szCs w:val="20"/>
              </w:rPr>
              <w:t>Interpretation</w:t>
            </w:r>
          </w:p>
        </w:tc>
      </w:tr>
      <w:tr w:rsidR="00EE3483">
        <w:trPr>
          <w:trHeight w:val="300"/>
        </w:trPr>
        <w:tc>
          <w:tcPr>
            <w:tcW w:w="4873" w:type="dxa"/>
            <w:tcBorders>
              <w:top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rPr>
                <w:sz w:val="20"/>
                <w:szCs w:val="20"/>
              </w:rPr>
            </w:pPr>
            <w:r>
              <w:rPr>
                <w:sz w:val="20"/>
                <w:szCs w:val="20"/>
              </w:rPr>
              <w:t>Manager</w:t>
            </w:r>
          </w:p>
        </w:tc>
        <w:tc>
          <w:tcPr>
            <w:tcW w:w="1742" w:type="dxa"/>
            <w:tcBorders>
              <w:top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sz w:val="20"/>
                <w:szCs w:val="20"/>
              </w:rPr>
              <w:t>4.50</w:t>
            </w:r>
          </w:p>
        </w:tc>
        <w:tc>
          <w:tcPr>
            <w:tcW w:w="1186" w:type="dxa"/>
            <w:tcBorders>
              <w:top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sz w:val="20"/>
                <w:szCs w:val="20"/>
              </w:rPr>
              <w:t>0.26</w:t>
            </w:r>
          </w:p>
        </w:tc>
        <w:tc>
          <w:tcPr>
            <w:tcW w:w="1775" w:type="dxa"/>
            <w:tcBorders>
              <w:top w:val="single" w:sz="4" w:space="0" w:color="000000"/>
            </w:tcBorders>
            <w:shd w:val="clear" w:color="FFFFFF" w:fill="auto"/>
            <w:vAlign w:val="center"/>
          </w:tcPr>
          <w:p w:rsidR="00EE3483" w:rsidRDefault="000B4739">
            <w:pPr>
              <w:spacing w:line="240" w:lineRule="auto"/>
              <w:jc w:val="center"/>
              <w:rPr>
                <w:sz w:val="20"/>
                <w:szCs w:val="20"/>
              </w:rPr>
            </w:pPr>
            <w:r>
              <w:rPr>
                <w:sz w:val="20"/>
                <w:szCs w:val="20"/>
              </w:rPr>
              <w:t xml:space="preserve">Very High </w:t>
            </w:r>
          </w:p>
        </w:tc>
      </w:tr>
      <w:tr w:rsidR="00EE3483">
        <w:trPr>
          <w:trHeight w:val="300"/>
        </w:trPr>
        <w:tc>
          <w:tcPr>
            <w:tcW w:w="4873" w:type="dxa"/>
            <w:shd w:val="clear" w:color="FFFFFF" w:fill="auto"/>
            <w:tcMar>
              <w:top w:w="0" w:type="dxa"/>
              <w:left w:w="108" w:type="dxa"/>
              <w:bottom w:w="0" w:type="dxa"/>
              <w:right w:w="108" w:type="dxa"/>
            </w:tcMar>
            <w:vAlign w:val="center"/>
          </w:tcPr>
          <w:p w:rsidR="00EE3483" w:rsidRDefault="000B4739">
            <w:pPr>
              <w:spacing w:line="240" w:lineRule="auto"/>
              <w:rPr>
                <w:sz w:val="20"/>
                <w:szCs w:val="20"/>
              </w:rPr>
            </w:pPr>
            <w:r>
              <w:rPr>
                <w:sz w:val="20"/>
                <w:szCs w:val="20"/>
              </w:rPr>
              <w:t>Teller</w:t>
            </w:r>
          </w:p>
        </w:tc>
        <w:tc>
          <w:tcPr>
            <w:tcW w:w="1742" w:type="dxa"/>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sz w:val="20"/>
                <w:szCs w:val="20"/>
              </w:rPr>
              <w:t>4.40</w:t>
            </w:r>
          </w:p>
        </w:tc>
        <w:tc>
          <w:tcPr>
            <w:tcW w:w="1186" w:type="dxa"/>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sz w:val="20"/>
                <w:szCs w:val="20"/>
              </w:rPr>
              <w:t>0.41</w:t>
            </w:r>
          </w:p>
        </w:tc>
        <w:tc>
          <w:tcPr>
            <w:tcW w:w="1775" w:type="dxa"/>
            <w:shd w:val="clear" w:color="FFFFFF" w:fill="auto"/>
            <w:vAlign w:val="center"/>
          </w:tcPr>
          <w:p w:rsidR="00EE3483" w:rsidRDefault="000B4739">
            <w:pPr>
              <w:spacing w:line="240" w:lineRule="auto"/>
              <w:jc w:val="center"/>
              <w:rPr>
                <w:sz w:val="20"/>
                <w:szCs w:val="20"/>
              </w:rPr>
            </w:pPr>
            <w:r>
              <w:rPr>
                <w:sz w:val="20"/>
                <w:szCs w:val="20"/>
              </w:rPr>
              <w:t xml:space="preserve">Very High </w:t>
            </w:r>
          </w:p>
        </w:tc>
      </w:tr>
      <w:tr w:rsidR="00EE3483">
        <w:trPr>
          <w:trHeight w:val="300"/>
        </w:trPr>
        <w:tc>
          <w:tcPr>
            <w:tcW w:w="4873" w:type="dxa"/>
            <w:tcBorders>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rPr>
                <w:sz w:val="20"/>
                <w:szCs w:val="20"/>
              </w:rPr>
            </w:pPr>
            <w:r>
              <w:rPr>
                <w:sz w:val="20"/>
                <w:szCs w:val="20"/>
              </w:rPr>
              <w:t>Staff</w:t>
            </w:r>
          </w:p>
        </w:tc>
        <w:tc>
          <w:tcPr>
            <w:tcW w:w="1742" w:type="dxa"/>
            <w:tcBorders>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sz w:val="20"/>
                <w:szCs w:val="20"/>
              </w:rPr>
              <w:t>4.45</w:t>
            </w:r>
          </w:p>
        </w:tc>
        <w:tc>
          <w:tcPr>
            <w:tcW w:w="1186" w:type="dxa"/>
            <w:tcBorders>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sz w:val="20"/>
                <w:szCs w:val="20"/>
              </w:rPr>
              <w:t>0.43</w:t>
            </w:r>
          </w:p>
        </w:tc>
        <w:tc>
          <w:tcPr>
            <w:tcW w:w="1775" w:type="dxa"/>
            <w:tcBorders>
              <w:bottom w:val="single" w:sz="4" w:space="0" w:color="000000"/>
            </w:tcBorders>
            <w:shd w:val="clear" w:color="FFFFFF" w:fill="auto"/>
            <w:vAlign w:val="center"/>
          </w:tcPr>
          <w:p w:rsidR="00EE3483" w:rsidRDefault="000B4739">
            <w:pPr>
              <w:spacing w:line="240" w:lineRule="auto"/>
              <w:jc w:val="center"/>
              <w:rPr>
                <w:sz w:val="20"/>
                <w:szCs w:val="20"/>
              </w:rPr>
            </w:pPr>
            <w:r>
              <w:rPr>
                <w:sz w:val="20"/>
                <w:szCs w:val="20"/>
              </w:rPr>
              <w:t xml:space="preserve">Very High </w:t>
            </w:r>
          </w:p>
        </w:tc>
      </w:tr>
      <w:tr w:rsidR="00EE3483">
        <w:trPr>
          <w:trHeight w:val="300"/>
        </w:trPr>
        <w:tc>
          <w:tcPr>
            <w:tcW w:w="4873"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sz w:val="20"/>
                <w:szCs w:val="20"/>
              </w:rPr>
            </w:pPr>
            <w:r>
              <w:rPr>
                <w:b/>
                <w:bCs/>
                <w:sz w:val="20"/>
                <w:szCs w:val="20"/>
              </w:rPr>
              <w:t>Total</w:t>
            </w:r>
          </w:p>
        </w:tc>
        <w:tc>
          <w:tcPr>
            <w:tcW w:w="1742"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b/>
                <w:bCs/>
                <w:sz w:val="20"/>
                <w:szCs w:val="20"/>
              </w:rPr>
            </w:pPr>
            <w:r>
              <w:rPr>
                <w:b/>
                <w:bCs/>
                <w:sz w:val="20"/>
                <w:szCs w:val="20"/>
              </w:rPr>
              <w:t>4.45</w:t>
            </w:r>
          </w:p>
        </w:tc>
        <w:tc>
          <w:tcPr>
            <w:tcW w:w="1186" w:type="dxa"/>
            <w:tcBorders>
              <w:top w:val="single" w:sz="4" w:space="0" w:color="000000"/>
              <w:bottom w:val="single" w:sz="4" w:space="0" w:color="000000"/>
            </w:tcBorders>
            <w:shd w:val="clear" w:color="FFFFFF" w:fill="auto"/>
            <w:tcMar>
              <w:top w:w="0" w:type="dxa"/>
              <w:left w:w="108" w:type="dxa"/>
              <w:bottom w:w="0" w:type="dxa"/>
              <w:right w:w="108" w:type="dxa"/>
            </w:tcMar>
            <w:vAlign w:val="center"/>
          </w:tcPr>
          <w:p w:rsidR="00EE3483" w:rsidRDefault="000B4739">
            <w:pPr>
              <w:spacing w:line="240" w:lineRule="auto"/>
              <w:jc w:val="center"/>
              <w:rPr>
                <w:b/>
                <w:bCs/>
                <w:sz w:val="20"/>
                <w:szCs w:val="20"/>
              </w:rPr>
            </w:pPr>
            <w:r>
              <w:rPr>
                <w:b/>
                <w:bCs/>
                <w:sz w:val="20"/>
                <w:szCs w:val="20"/>
              </w:rPr>
              <w:t>0.33</w:t>
            </w:r>
          </w:p>
        </w:tc>
        <w:tc>
          <w:tcPr>
            <w:tcW w:w="1775" w:type="dxa"/>
            <w:tcBorders>
              <w:top w:val="single" w:sz="4" w:space="0" w:color="000000"/>
              <w:bottom w:val="single" w:sz="4" w:space="0" w:color="000000"/>
            </w:tcBorders>
            <w:shd w:val="clear" w:color="FFFFFF" w:fill="auto"/>
            <w:vAlign w:val="center"/>
          </w:tcPr>
          <w:p w:rsidR="00EE3483" w:rsidRDefault="000B4739">
            <w:pPr>
              <w:spacing w:line="240" w:lineRule="auto"/>
              <w:jc w:val="center"/>
              <w:rPr>
                <w:b/>
                <w:bCs/>
                <w:sz w:val="20"/>
                <w:szCs w:val="20"/>
              </w:rPr>
            </w:pPr>
            <w:r>
              <w:rPr>
                <w:b/>
                <w:bCs/>
                <w:sz w:val="20"/>
                <w:szCs w:val="20"/>
              </w:rPr>
              <w:t xml:space="preserve">Very High </w:t>
            </w:r>
          </w:p>
        </w:tc>
      </w:tr>
    </w:tbl>
    <w:p w:rsidR="00EE3483" w:rsidRDefault="000B4739">
      <w:pPr>
        <w:spacing w:before="240" w:after="240" w:line="240" w:lineRule="auto"/>
        <w:ind w:firstLineChars="200" w:firstLine="400"/>
        <w:rPr>
          <w:sz w:val="20"/>
          <w:szCs w:val="20"/>
        </w:rPr>
      </w:pPr>
      <w:r>
        <w:rPr>
          <w:sz w:val="20"/>
          <w:szCs w:val="20"/>
        </w:rPr>
        <w:t>Intrinsic motivation is often rated higher than extrinsic motivation in Philippine studies, fostering strong affective commitment as employees find purpose and meaning in their work (Fugoso, 2019; Silud et al., 2024). In Cateel’s financial institutions, a high intrinsic mean suggests employees are motivated by personal fulfillment and community service, strengthening job motivation and commitment.</w:t>
      </w:r>
    </w:p>
    <w:p w:rsidR="00EE3483" w:rsidRDefault="000B4739">
      <w:pPr>
        <w:spacing w:before="240" w:after="240" w:line="240" w:lineRule="auto"/>
        <w:ind w:firstLineChars="200" w:firstLine="400"/>
        <w:rPr>
          <w:sz w:val="20"/>
          <w:szCs w:val="20"/>
        </w:rPr>
      </w:pPr>
      <w:r>
        <w:rPr>
          <w:sz w:val="20"/>
          <w:szCs w:val="20"/>
        </w:rPr>
        <w:t>Extrinsic motivation, reflected in pay, benefits, and job security, remains essential for sustaining commitment. Higher extrinsic means indicate satisfaction, while lower scores may signal areas for improvement, consistent with Philippine findings on financial concerns among workers (Wheeler &amp; Cabigas, 2024; Onaolapo, 2024). Fair compensation and promotion opportunities directly enhance organizational commitment and retention (Siregar, 2022; Onaolapo, 2024).</w:t>
      </w:r>
    </w:p>
    <w:p w:rsidR="00EE3483" w:rsidRDefault="000B4739">
      <w:pPr>
        <w:spacing w:before="240" w:after="240" w:line="240" w:lineRule="auto"/>
        <w:ind w:firstLineChars="200" w:firstLine="400"/>
        <w:rPr>
          <w:sz w:val="20"/>
          <w:szCs w:val="20"/>
        </w:rPr>
      </w:pPr>
      <w:r>
        <w:rPr>
          <w:sz w:val="20"/>
          <w:szCs w:val="20"/>
        </w:rPr>
        <w:t>A high work-environment mean reflects a supportive and comfortable workplace that enhances motivation, satisfaction, and commitment by reducing stress and fostering belonging (Silud et al., 2024; Zhenjing et al., 2022). Positive physical conditions, teamwork, and leadership strengthen overall employee morale and performance.</w:t>
      </w:r>
    </w:p>
    <w:p w:rsidR="00EE3483" w:rsidRDefault="000B4739">
      <w:pPr>
        <w:spacing w:before="240" w:after="240" w:line="240" w:lineRule="auto"/>
        <w:ind w:firstLineChars="200" w:firstLine="400"/>
        <w:rPr>
          <w:sz w:val="20"/>
          <w:szCs w:val="20"/>
        </w:rPr>
      </w:pPr>
      <w:r>
        <w:rPr>
          <w:sz w:val="20"/>
          <w:szCs w:val="20"/>
        </w:rPr>
        <w:t xml:space="preserve">Overall job motivation is shaped by the interaction of intrinsic motivation, extrinsic rewards, and work environment. Intrinsic factors drive affective commitment, extrinsic rewards influence continuance commitment, and the work environment supports all motivational dimensions (Onaolapo, 2024; Silud et al., 2024; Zhenjing et al., 2022). Viewed through Maslow’s Hierarchy of Needs, these findings suggest that multiple employee needs are met, resulting in stable and sustained motivation (Hoang, 2024; Ned &amp; Umesi, 2023; Mardanov, 2021; Durmus et al., 2024).           </w:t>
      </w:r>
    </w:p>
    <w:p w:rsidR="00EE3483" w:rsidRDefault="000B4739">
      <w:pPr>
        <w:keepNext/>
        <w:keepLines/>
        <w:spacing w:line="240" w:lineRule="auto"/>
        <w:rPr>
          <w:b/>
          <w:sz w:val="20"/>
          <w:szCs w:val="20"/>
        </w:rPr>
      </w:pPr>
      <w:r>
        <w:rPr>
          <w:b/>
          <w:sz w:val="20"/>
          <w:szCs w:val="20"/>
        </w:rPr>
        <w:t xml:space="preserve">4.4 </w:t>
      </w:r>
      <w:bookmarkStart w:id="3" w:name="_qr7iwkbek6ep"/>
      <w:bookmarkEnd w:id="3"/>
      <w:r>
        <w:rPr>
          <w:b/>
          <w:bCs/>
          <w:szCs w:val="22"/>
          <w:lang w:val="en-PH"/>
        </w:rPr>
        <w:t>Significant Difference on the Level of Job Motivation Among Financial Institution Workers Grouped According to Profile</w:t>
      </w:r>
    </w:p>
    <w:p w:rsidR="00EE3483" w:rsidRDefault="00EE3483">
      <w:pPr>
        <w:spacing w:after="160" w:line="240" w:lineRule="auto"/>
        <w:rPr>
          <w:b/>
          <w:bCs/>
          <w:sz w:val="20"/>
          <w:szCs w:val="20"/>
        </w:rPr>
      </w:pPr>
    </w:p>
    <w:p w:rsidR="00EE3483" w:rsidRDefault="000B4739">
      <w:pPr>
        <w:spacing w:after="160" w:line="240" w:lineRule="auto"/>
        <w:rPr>
          <w:b/>
          <w:bCs/>
          <w:sz w:val="20"/>
          <w:szCs w:val="20"/>
        </w:rPr>
      </w:pPr>
      <w:r>
        <w:rPr>
          <w:b/>
          <w:bCs/>
          <w:sz w:val="20"/>
          <w:szCs w:val="20"/>
        </w:rPr>
        <w:t>Table 12</w:t>
      </w:r>
      <w:r>
        <w:rPr>
          <w:sz w:val="20"/>
          <w:szCs w:val="20"/>
        </w:rPr>
        <w:t xml:space="preserve">. </w:t>
      </w:r>
      <w:r>
        <w:rPr>
          <w:b/>
          <w:bCs/>
          <w:szCs w:val="22"/>
          <w:lang w:val="en-PH"/>
        </w:rPr>
        <w:t>Significant difference in the level of job motivators in terms of age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9"/>
        <w:gridCol w:w="1168"/>
        <w:gridCol w:w="1166"/>
        <w:gridCol w:w="1168"/>
        <w:gridCol w:w="1170"/>
        <w:gridCol w:w="1170"/>
        <w:gridCol w:w="1127"/>
        <w:gridCol w:w="1212"/>
      </w:tblGrid>
      <w:tr w:rsidR="00EE3483">
        <w:trPr>
          <w:trHeight w:val="404"/>
        </w:trPr>
        <w:tc>
          <w:tcPr>
            <w:tcW w:w="9363" w:type="dxa"/>
            <w:gridSpan w:val="8"/>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rPr>
                <w:sz w:val="20"/>
                <w:szCs w:val="20"/>
              </w:rPr>
            </w:pPr>
            <w:r>
              <w:rPr>
                <w:sz w:val="20"/>
                <w:szCs w:val="20"/>
              </w:rPr>
              <w:t>Independent Sample Test</w:t>
            </w:r>
          </w:p>
        </w:tc>
      </w:tr>
      <w:tr w:rsidR="00EE3483">
        <w:trPr>
          <w:trHeight w:val="221"/>
        </w:trPr>
        <w:tc>
          <w:tcPr>
            <w:tcW w:w="1170" w:type="dxa"/>
            <w:vMerge w:val="restart"/>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rPr>
                <w:sz w:val="20"/>
                <w:szCs w:val="20"/>
              </w:rPr>
            </w:pPr>
            <w:r>
              <w:rPr>
                <w:sz w:val="20"/>
                <w:szCs w:val="20"/>
              </w:rPr>
              <w:t>t-test for equality of means</w:t>
            </w:r>
          </w:p>
        </w:tc>
      </w:tr>
      <w:tr w:rsidR="00EE3483">
        <w:trPr>
          <w:trHeight w:val="270"/>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Sig. (2-tailed)</w:t>
            </w:r>
          </w:p>
        </w:tc>
        <w:tc>
          <w:tcPr>
            <w:tcW w:w="1170" w:type="dxa"/>
            <w:vMerge w:val="restart"/>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Mean Difference</w:t>
            </w:r>
          </w:p>
        </w:tc>
        <w:tc>
          <w:tcPr>
            <w:tcW w:w="1170" w:type="dxa"/>
            <w:vMerge w:val="restart"/>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95% Confidence Interval of the Difference</w:t>
            </w:r>
          </w:p>
        </w:tc>
      </w:tr>
      <w:tr w:rsidR="00EE3483">
        <w:trPr>
          <w:trHeight w:val="583"/>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29"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rPr>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rPr>
                <w:sz w:val="20"/>
                <w:szCs w:val="20"/>
              </w:rPr>
            </w:pPr>
            <w:r>
              <w:rPr>
                <w:sz w:val="20"/>
                <w:szCs w:val="20"/>
              </w:rPr>
              <w:t>Upper</w:t>
            </w:r>
          </w:p>
        </w:tc>
      </w:tr>
      <w:tr w:rsidR="00EE3483">
        <w:trPr>
          <w:trHeight w:val="610"/>
        </w:trPr>
        <w:tc>
          <w:tcPr>
            <w:tcW w:w="117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 xml:space="preserve">Overall Motivation </w:t>
            </w:r>
          </w:p>
        </w:tc>
        <w:tc>
          <w:tcPr>
            <w:tcW w:w="117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-0.263</w:t>
            </w:r>
          </w:p>
        </w:tc>
        <w:tc>
          <w:tcPr>
            <w:tcW w:w="117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82</w:t>
            </w:r>
          </w:p>
        </w:tc>
        <w:tc>
          <w:tcPr>
            <w:tcW w:w="117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0.793</w:t>
            </w:r>
          </w:p>
        </w:tc>
        <w:tc>
          <w:tcPr>
            <w:tcW w:w="117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- 0.019</w:t>
            </w:r>
          </w:p>
        </w:tc>
        <w:tc>
          <w:tcPr>
            <w:tcW w:w="117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0.072</w:t>
            </w:r>
          </w:p>
        </w:tc>
        <w:tc>
          <w:tcPr>
            <w:tcW w:w="1129"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- 0.163</w:t>
            </w:r>
          </w:p>
        </w:tc>
        <w:tc>
          <w:tcPr>
            <w:tcW w:w="1211"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0.125</w:t>
            </w:r>
          </w:p>
        </w:tc>
      </w:tr>
    </w:tbl>
    <w:p w:rsidR="00EE3483" w:rsidRDefault="000B4739">
      <w:pPr>
        <w:spacing w:before="240" w:after="240" w:line="240" w:lineRule="auto"/>
        <w:ind w:firstLineChars="200" w:firstLine="400"/>
        <w:rPr>
          <w:sz w:val="20"/>
          <w:szCs w:val="20"/>
        </w:rPr>
      </w:pPr>
      <w:r>
        <w:rPr>
          <w:sz w:val="20"/>
          <w:szCs w:val="20"/>
        </w:rPr>
        <w:t>The t-test results showed no significant difference in overall motivation between younger and older employees (p = 0.793), indicating similar motivation levels across age groups. In a close-knit community like Cateel, shared cultural values and common work goals may reduce generational differences, suggesting that uniform motivational initiatives such as fair pay, recognition, and teamwork are effective for employees of all ages.</w:t>
      </w:r>
    </w:p>
    <w:p w:rsidR="00EE3483" w:rsidRDefault="000B4739">
      <w:pPr>
        <w:spacing w:before="240" w:after="240" w:line="240" w:lineRule="auto"/>
        <w:ind w:firstLineChars="200" w:firstLine="400"/>
        <w:rPr>
          <w:sz w:val="20"/>
          <w:szCs w:val="20"/>
        </w:rPr>
      </w:pPr>
      <w:r>
        <w:rPr>
          <w:sz w:val="20"/>
          <w:szCs w:val="20"/>
        </w:rPr>
        <w:t>Consistent with these findings, prior studies indicate that employee motivation is influenced more by workplace culture, inclusivity, and organizational support than by age (Hitka et al., 2019; Portaankorva, 2024). A supportive and equitable environment promotes high motivation across age groups, as employees respond similarly to fair compensation, recognition, involvement, and a sense of belonging (Ann &amp; Blum, 2020; Rahn et al., 2021).</w:t>
      </w:r>
    </w:p>
    <w:p w:rsidR="00EE3483" w:rsidRDefault="000B4739">
      <w:pPr>
        <w:spacing w:after="160" w:line="240" w:lineRule="auto"/>
        <w:rPr>
          <w:b/>
          <w:bCs/>
          <w:sz w:val="20"/>
          <w:szCs w:val="20"/>
        </w:rPr>
      </w:pPr>
      <w:r>
        <w:rPr>
          <w:b/>
          <w:sz w:val="20"/>
          <w:szCs w:val="20"/>
        </w:rPr>
        <w:t xml:space="preserve">Table 13. </w:t>
      </w:r>
      <w:r>
        <w:rPr>
          <w:b/>
          <w:bCs/>
          <w:szCs w:val="22"/>
          <w:lang w:val="en-PH"/>
        </w:rPr>
        <w:t>Significant difference in the level of job motivators in terms of sex</w:t>
      </w:r>
    </w:p>
    <w:tbl>
      <w:tblPr>
        <w:tblW w:w="0" w:type="auto"/>
        <w:tblLook w:val="04A0" w:firstRow="1" w:lastRow="0" w:firstColumn="1" w:lastColumn="0" w:noHBand="0" w:noVBand="1"/>
      </w:tblPr>
      <w:tblGrid>
        <w:gridCol w:w="1170"/>
        <w:gridCol w:w="1168"/>
        <w:gridCol w:w="1167"/>
        <w:gridCol w:w="1168"/>
        <w:gridCol w:w="1170"/>
        <w:gridCol w:w="1170"/>
        <w:gridCol w:w="1128"/>
        <w:gridCol w:w="1209"/>
      </w:tblGrid>
      <w:tr w:rsidR="00EE3483">
        <w:trPr>
          <w:trHeight w:val="318"/>
        </w:trPr>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sz w:val="20"/>
                <w:szCs w:val="20"/>
              </w:rPr>
            </w:pPr>
            <w:r>
              <w:rPr>
                <w:sz w:val="20"/>
                <w:szCs w:val="20"/>
              </w:rPr>
              <w:t>Independent Sample Test</w:t>
            </w:r>
          </w:p>
        </w:tc>
      </w:tr>
      <w:tr w:rsidR="00EE3483">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EE3483">
            <w:pPr>
              <w:spacing w:before="240" w:after="240" w:line="240" w:lineRule="auto"/>
              <w:rPr>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sz w:val="20"/>
                <w:szCs w:val="20"/>
              </w:rPr>
            </w:pPr>
            <w:r>
              <w:rPr>
                <w:sz w:val="20"/>
                <w:szCs w:val="20"/>
              </w:rPr>
              <w:t>t-test for equality of means</w:t>
            </w:r>
          </w:p>
        </w:tc>
      </w:tr>
      <w:tr w:rsidR="00EE3483">
        <w:trPr>
          <w:trHeight w:val="270"/>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Sig. (2-tailed)</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Mean Difference</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95% Confidence Interval of the Difference</w:t>
            </w:r>
          </w:p>
        </w:tc>
      </w:tr>
      <w:tr w:rsidR="00EE3483">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Upper</w:t>
            </w:r>
          </w:p>
        </w:tc>
      </w:tr>
      <w:tr w:rsidR="00EE3483">
        <w:trPr>
          <w:trHeight w:val="61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xml:space="preserve">Overall Motivation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- 1.006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82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0.317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- 0.072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0.072</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- 0.216</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0.071</w:t>
            </w:r>
          </w:p>
        </w:tc>
      </w:tr>
    </w:tbl>
    <w:p w:rsidR="00EE3483" w:rsidRDefault="000B4739">
      <w:pPr>
        <w:spacing w:before="240" w:after="240" w:line="240" w:lineRule="auto"/>
        <w:ind w:firstLineChars="200" w:firstLine="400"/>
        <w:rPr>
          <w:sz w:val="20"/>
          <w:szCs w:val="20"/>
        </w:rPr>
      </w:pPr>
      <w:r>
        <w:rPr>
          <w:sz w:val="20"/>
          <w:szCs w:val="20"/>
        </w:rPr>
        <w:t>The t-test results showed no significant difference in motivation between male and female employees (p = 0.317), indicating that both genders are equally motivated. This suggests that financial institutions in Cateel provide an egalitarian work environment with similar roles, rewards, and opportunities for men and women, supported by gender-equal labor policies and inclusive organizational practices.</w:t>
      </w:r>
    </w:p>
    <w:p w:rsidR="00EE3483" w:rsidRDefault="000B4739">
      <w:pPr>
        <w:spacing w:before="240" w:after="240" w:line="240" w:lineRule="auto"/>
        <w:ind w:firstLineChars="200" w:firstLine="400"/>
        <w:rPr>
          <w:sz w:val="20"/>
          <w:szCs w:val="20"/>
        </w:rPr>
      </w:pPr>
      <w:r>
        <w:rPr>
          <w:sz w:val="20"/>
          <w:szCs w:val="20"/>
        </w:rPr>
        <w:lastRenderedPageBreak/>
        <w:t>These findings are consistent with studies showing that when access to resources, responsibilities, and recognition is equal, motivation levels between men and women are comparable (Lopez-Fernandez et al., 2019). Gender-fair policies and inclusive cultures help minimize motivation gaps and ensure that employees feel equally valued, particularly in Philippine community-based workplaces (Tarrayo, 2023; Martinez, 2025).</w:t>
      </w:r>
    </w:p>
    <w:p w:rsidR="00EE3483" w:rsidRDefault="000B4739">
      <w:pPr>
        <w:spacing w:before="240" w:after="240" w:line="240" w:lineRule="auto"/>
        <w:rPr>
          <w:b/>
          <w:bCs/>
          <w:sz w:val="20"/>
          <w:szCs w:val="20"/>
        </w:rPr>
      </w:pPr>
      <w:r>
        <w:rPr>
          <w:b/>
          <w:bCs/>
          <w:sz w:val="20"/>
          <w:szCs w:val="20"/>
        </w:rPr>
        <w:t>Table 14. Significant difference in the level of job motivators in terms of years of experience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8"/>
        <w:gridCol w:w="1599"/>
        <w:gridCol w:w="1518"/>
        <w:gridCol w:w="1559"/>
        <w:gridCol w:w="1558"/>
        <w:gridCol w:w="1558"/>
      </w:tblGrid>
      <w:tr w:rsidR="00EE3483">
        <w:trPr>
          <w:trHeight w:val="718"/>
        </w:trPr>
        <w:tc>
          <w:tcPr>
            <w:tcW w:w="1560" w:type="dxa"/>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b/>
                <w:bCs/>
                <w:sz w:val="20"/>
                <w:szCs w:val="20"/>
              </w:rPr>
            </w:pPr>
          </w:p>
        </w:tc>
        <w:tc>
          <w:tcPr>
            <w:tcW w:w="160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b/>
                <w:bCs/>
                <w:sz w:val="20"/>
                <w:szCs w:val="20"/>
              </w:rPr>
            </w:pPr>
            <w:r>
              <w:rPr>
                <w:b/>
                <w:bCs/>
                <w:sz w:val="20"/>
                <w:szCs w:val="20"/>
              </w:rPr>
              <w:t xml:space="preserve">Sum of Squares </w:t>
            </w:r>
          </w:p>
        </w:tc>
        <w:tc>
          <w:tcPr>
            <w:tcW w:w="152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b/>
                <w:bCs/>
                <w:sz w:val="20"/>
                <w:szCs w:val="20"/>
              </w:rPr>
            </w:pPr>
            <w:r>
              <w:rPr>
                <w:b/>
                <w:bCs/>
                <w:sz w:val="20"/>
                <w:szCs w:val="20"/>
              </w:rPr>
              <w:t>df</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b/>
                <w:bCs/>
                <w:sz w:val="20"/>
                <w:szCs w:val="20"/>
              </w:rPr>
            </w:pPr>
            <w:r>
              <w:rPr>
                <w:b/>
                <w:bCs/>
                <w:sz w:val="20"/>
                <w:szCs w:val="20"/>
              </w:rPr>
              <w:t xml:space="preserve">Mean Square </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b/>
                <w:bCs/>
                <w:sz w:val="20"/>
                <w:szCs w:val="20"/>
              </w:rPr>
            </w:pPr>
            <w:r>
              <w:rPr>
                <w:b/>
                <w:bCs/>
                <w:sz w:val="20"/>
                <w:szCs w:val="20"/>
              </w:rPr>
              <w:t>f</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b/>
                <w:bCs/>
                <w:sz w:val="20"/>
                <w:szCs w:val="20"/>
              </w:rPr>
            </w:pPr>
            <w:r>
              <w:rPr>
                <w:b/>
                <w:bCs/>
                <w:sz w:val="20"/>
                <w:szCs w:val="20"/>
              </w:rPr>
              <w:t>Sig.</w:t>
            </w:r>
          </w:p>
        </w:tc>
      </w:tr>
      <w:tr w:rsidR="00EE3483">
        <w:trPr>
          <w:trHeight w:val="647"/>
        </w:trPr>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rPr>
                <w:b/>
                <w:bCs/>
                <w:sz w:val="20"/>
                <w:szCs w:val="20"/>
              </w:rPr>
            </w:pPr>
            <w:r>
              <w:rPr>
                <w:b/>
                <w:bCs/>
                <w:sz w:val="20"/>
                <w:szCs w:val="20"/>
              </w:rPr>
              <w:t xml:space="preserve">Between Groups </w:t>
            </w:r>
          </w:p>
        </w:tc>
        <w:tc>
          <w:tcPr>
            <w:tcW w:w="160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0.156</w:t>
            </w:r>
          </w:p>
        </w:tc>
        <w:tc>
          <w:tcPr>
            <w:tcW w:w="152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0.078</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0.714</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0.493</w:t>
            </w:r>
          </w:p>
        </w:tc>
      </w:tr>
      <w:tr w:rsidR="00EE3483">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rPr>
                <w:b/>
                <w:bCs/>
                <w:sz w:val="20"/>
                <w:szCs w:val="20"/>
              </w:rPr>
            </w:pPr>
            <w:r>
              <w:rPr>
                <w:b/>
                <w:bCs/>
                <w:sz w:val="20"/>
                <w:szCs w:val="20"/>
              </w:rPr>
              <w:t xml:space="preserve">Within Groups </w:t>
            </w:r>
          </w:p>
        </w:tc>
        <w:tc>
          <w:tcPr>
            <w:tcW w:w="160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8.850</w:t>
            </w:r>
          </w:p>
        </w:tc>
        <w:tc>
          <w:tcPr>
            <w:tcW w:w="152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81</w:t>
            </w:r>
          </w:p>
        </w:tc>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0.109</w:t>
            </w:r>
          </w:p>
        </w:tc>
        <w:tc>
          <w:tcPr>
            <w:tcW w:w="1560" w:type="dxa"/>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r>
      <w:tr w:rsidR="00EE3483">
        <w:tc>
          <w:tcPr>
            <w:tcW w:w="156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b/>
                <w:bCs/>
                <w:sz w:val="20"/>
                <w:szCs w:val="20"/>
              </w:rPr>
            </w:pPr>
            <w:r>
              <w:rPr>
                <w:b/>
                <w:bCs/>
                <w:sz w:val="20"/>
                <w:szCs w:val="20"/>
              </w:rPr>
              <w:t>Total</w:t>
            </w:r>
          </w:p>
        </w:tc>
        <w:tc>
          <w:tcPr>
            <w:tcW w:w="160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9.006</w:t>
            </w:r>
          </w:p>
        </w:tc>
        <w:tc>
          <w:tcPr>
            <w:tcW w:w="1520" w:type="dxa"/>
            <w:tcBorders>
              <w:top w:val="single" w:sz="4" w:space="0" w:color="auto"/>
              <w:left w:val="single" w:sz="4" w:space="0" w:color="auto"/>
              <w:bottom w:val="single" w:sz="4" w:space="0" w:color="auto"/>
              <w:right w:val="single" w:sz="4" w:space="0" w:color="auto"/>
            </w:tcBorders>
          </w:tcPr>
          <w:p w:rsidR="00EE3483" w:rsidRDefault="000B4739">
            <w:pPr>
              <w:spacing w:before="240" w:after="240" w:line="240" w:lineRule="auto"/>
              <w:jc w:val="center"/>
              <w:rPr>
                <w:sz w:val="20"/>
                <w:szCs w:val="20"/>
              </w:rPr>
            </w:pPr>
            <w:r>
              <w:rPr>
                <w:sz w:val="20"/>
                <w:szCs w:val="20"/>
              </w:rPr>
              <w:t>83</w:t>
            </w:r>
          </w:p>
        </w:tc>
        <w:tc>
          <w:tcPr>
            <w:tcW w:w="1560" w:type="dxa"/>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r>
    </w:tbl>
    <w:p w:rsidR="00EE3483" w:rsidRDefault="000B4739">
      <w:pPr>
        <w:spacing w:before="240" w:after="240" w:line="240" w:lineRule="auto"/>
        <w:ind w:firstLineChars="200" w:firstLine="400"/>
        <w:rPr>
          <w:sz w:val="20"/>
          <w:szCs w:val="20"/>
        </w:rPr>
      </w:pPr>
      <w:r>
        <w:rPr>
          <w:sz w:val="20"/>
          <w:szCs w:val="20"/>
        </w:rPr>
        <w:t xml:space="preserve">The ANOVA results showed no significant difference in motivation based on years of experience </w:t>
      </w:r>
      <w:proofErr w:type="gramStart"/>
      <w:r>
        <w:rPr>
          <w:sz w:val="20"/>
          <w:szCs w:val="20"/>
        </w:rPr>
        <w:t>l(</w:t>
      </w:r>
      <w:proofErr w:type="gramEnd"/>
      <w:r>
        <w:rPr>
          <w:sz w:val="20"/>
          <w:szCs w:val="20"/>
        </w:rPr>
        <w:t>p = 0.493), indicating that both new hires and veteran employees are similarly motivated. In Cateel’s community-focused setting, effective orientation, mentoring, ongoing training, and meaningful responsibilities help align motivation across tenure.</w:t>
      </w:r>
    </w:p>
    <w:p w:rsidR="00EE3483" w:rsidRDefault="000B4739">
      <w:pPr>
        <w:spacing w:before="240" w:after="240" w:line="240" w:lineRule="auto"/>
        <w:ind w:firstLineChars="200" w:firstLine="400"/>
        <w:rPr>
          <w:sz w:val="20"/>
          <w:szCs w:val="20"/>
        </w:rPr>
      </w:pPr>
      <w:r>
        <w:rPr>
          <w:sz w:val="20"/>
          <w:szCs w:val="20"/>
        </w:rPr>
        <w:t>Research supports that motivation is influenced more by organizational support than by tenure. New employees become engaged through orientation and meaningful tasks, while experienced staff maintain motivation via challenges, learning opportunities, and recognition (Bunteng, 2022; Raub et al., 2021; Imran et al., 2025). A strong organizational culture and supportive environment help sustain motivation across all experience levels, fostering a cohesive workforce (Adinew, 2024).</w:t>
      </w:r>
    </w:p>
    <w:p w:rsidR="00EE3483" w:rsidRDefault="000B4739">
      <w:pPr>
        <w:spacing w:before="240" w:after="240" w:line="240" w:lineRule="auto"/>
        <w:rPr>
          <w:b/>
          <w:bCs/>
          <w:sz w:val="20"/>
          <w:szCs w:val="20"/>
        </w:rPr>
      </w:pPr>
      <w:r>
        <w:rPr>
          <w:b/>
          <w:bCs/>
          <w:sz w:val="20"/>
          <w:szCs w:val="20"/>
        </w:rPr>
        <w:t>Table 15. Significant difference in the level of job motivators in terms of position</w:t>
      </w:r>
    </w:p>
    <w:tbl>
      <w:tblPr>
        <w:tblW w:w="0" w:type="auto"/>
        <w:tblLook w:val="04A0" w:firstRow="1" w:lastRow="0" w:firstColumn="1" w:lastColumn="0" w:noHBand="0" w:noVBand="1"/>
      </w:tblPr>
      <w:tblGrid>
        <w:gridCol w:w="1170"/>
        <w:gridCol w:w="1168"/>
        <w:gridCol w:w="1167"/>
        <w:gridCol w:w="1168"/>
        <w:gridCol w:w="1204"/>
        <w:gridCol w:w="1136"/>
        <w:gridCol w:w="1128"/>
        <w:gridCol w:w="1209"/>
      </w:tblGrid>
      <w:tr w:rsidR="00EE3483">
        <w:trPr>
          <w:trHeight w:val="315"/>
        </w:trPr>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b/>
                <w:bCs/>
                <w:sz w:val="20"/>
                <w:szCs w:val="20"/>
              </w:rPr>
            </w:pPr>
            <w:r>
              <w:rPr>
                <w:sz w:val="20"/>
                <w:szCs w:val="20"/>
              </w:rPr>
              <w:t>Independent Sample Test</w:t>
            </w:r>
          </w:p>
        </w:tc>
      </w:tr>
      <w:tr w:rsidR="00EE3483">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EE3483">
            <w:pPr>
              <w:spacing w:before="240" w:after="240" w:line="240" w:lineRule="auto"/>
              <w:rPr>
                <w:b/>
                <w:bCs/>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b/>
                <w:bCs/>
                <w:sz w:val="20"/>
                <w:szCs w:val="20"/>
              </w:rPr>
            </w:pPr>
            <w:r>
              <w:rPr>
                <w:sz w:val="20"/>
                <w:szCs w:val="20"/>
              </w:rPr>
              <w:t>t-test for equality of means</w:t>
            </w:r>
          </w:p>
        </w:tc>
      </w:tr>
      <w:tr w:rsidR="00EE3483">
        <w:trPr>
          <w:trHeight w:val="270"/>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Sig. (2-tailed)</w:t>
            </w:r>
          </w:p>
        </w:tc>
        <w:tc>
          <w:tcPr>
            <w:tcW w:w="12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Mean Difference</w:t>
            </w:r>
          </w:p>
        </w:tc>
        <w:tc>
          <w:tcPr>
            <w:tcW w:w="11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95% Confidence Interval of the Difference</w:t>
            </w:r>
          </w:p>
        </w:tc>
      </w:tr>
      <w:tr w:rsidR="00EE3483">
        <w:trPr>
          <w:trHeight w:val="583"/>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b/>
                <w:bCs/>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b/>
                <w:bCs/>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b/>
                <w:bCs/>
                <w:sz w:val="20"/>
                <w:szCs w:val="20"/>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b/>
                <w:bCs/>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b/>
                <w:bCs/>
                <w:sz w:val="20"/>
                <w:szCs w:val="20"/>
              </w:rPr>
            </w:pPr>
            <w:r>
              <w:rPr>
                <w:sz w:val="20"/>
                <w:szCs w:val="20"/>
              </w:rPr>
              <w:t>Upper</w:t>
            </w:r>
          </w:p>
        </w:tc>
      </w:tr>
      <w:tr w:rsidR="00EE3483">
        <w:trPr>
          <w:trHeight w:val="61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lastRenderedPageBreak/>
              <w:t xml:space="preserve">Overall Motivation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- 0.063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57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0.549</w:t>
            </w:r>
          </w:p>
        </w:tc>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- 0.068</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0.113</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- 0.294</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b/>
                <w:bCs/>
                <w:sz w:val="20"/>
                <w:szCs w:val="20"/>
              </w:rPr>
            </w:pPr>
            <w:r>
              <w:rPr>
                <w:sz w:val="20"/>
                <w:szCs w:val="20"/>
              </w:rPr>
              <w:t>0.158</w:t>
            </w:r>
          </w:p>
        </w:tc>
      </w:tr>
    </w:tbl>
    <w:p w:rsidR="00EE3483" w:rsidRDefault="000B4739">
      <w:pPr>
        <w:spacing w:before="240" w:after="240" w:line="240" w:lineRule="auto"/>
        <w:ind w:firstLineChars="200" w:firstLine="400"/>
        <w:rPr>
          <w:sz w:val="20"/>
          <w:szCs w:val="20"/>
        </w:rPr>
      </w:pPr>
      <w:r>
        <w:rPr>
          <w:sz w:val="20"/>
          <w:szCs w:val="20"/>
        </w:rPr>
        <w:t>The t-test results showed no significant difference in motivation between rank-and-file and supervisory employees (p = 0.549), indicating similar motivation across job levels. In Cateel’s financial institutions, a flat structure, cohesive culture, and comparable recognition or incentives likely contribute to this uniformity, though leaders should still address the unique needs of each group.</w:t>
      </w:r>
    </w:p>
    <w:p w:rsidR="00EE3483" w:rsidRDefault="000B4739">
      <w:pPr>
        <w:spacing w:before="240" w:after="240" w:line="240" w:lineRule="auto"/>
        <w:ind w:firstLineChars="200" w:firstLine="400"/>
        <w:rPr>
          <w:sz w:val="20"/>
          <w:szCs w:val="20"/>
        </w:rPr>
      </w:pPr>
      <w:r>
        <w:rPr>
          <w:sz w:val="20"/>
          <w:szCs w:val="20"/>
        </w:rPr>
        <w:t>Research supports that when all employees receive recognition, clear communication, and opportunities to contribute, motivation remains consistent across positions (Ali &amp; Anwar, 2021). Close collaboration between supervisors and staff reduces hierarchical barriers, while fair responsibility distribution and acknowledgment of achievements foster shared motivation and engagement at all levels (Dhir, 2019; Jabagi et al., 2019).</w:t>
      </w:r>
    </w:p>
    <w:p w:rsidR="00EE3483" w:rsidRDefault="000B4739">
      <w:pPr>
        <w:spacing w:before="240" w:after="240" w:line="240" w:lineRule="auto"/>
        <w:rPr>
          <w:b/>
          <w:bCs/>
          <w:sz w:val="20"/>
          <w:szCs w:val="20"/>
        </w:rPr>
      </w:pPr>
      <w:r>
        <w:rPr>
          <w:b/>
          <w:bCs/>
          <w:sz w:val="20"/>
          <w:szCs w:val="20"/>
        </w:rPr>
        <w:t>Table 16. Significant difference in the level of job motivators in terms of employment status</w:t>
      </w:r>
    </w:p>
    <w:tbl>
      <w:tblPr>
        <w:tblW w:w="0" w:type="auto"/>
        <w:tblLook w:val="04A0" w:firstRow="1" w:lastRow="0" w:firstColumn="1" w:lastColumn="0" w:noHBand="0" w:noVBand="1"/>
      </w:tblPr>
      <w:tblGrid>
        <w:gridCol w:w="1170"/>
        <w:gridCol w:w="1168"/>
        <w:gridCol w:w="1167"/>
        <w:gridCol w:w="1168"/>
        <w:gridCol w:w="1170"/>
        <w:gridCol w:w="1170"/>
        <w:gridCol w:w="1128"/>
        <w:gridCol w:w="1209"/>
      </w:tblGrid>
      <w:tr w:rsidR="00EE3483">
        <w:tc>
          <w:tcPr>
            <w:tcW w:w="936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sz w:val="20"/>
                <w:szCs w:val="20"/>
              </w:rPr>
            </w:pPr>
            <w:r>
              <w:rPr>
                <w:sz w:val="20"/>
                <w:szCs w:val="20"/>
              </w:rPr>
              <w:t>Independent Sample Test</w:t>
            </w:r>
          </w:p>
        </w:tc>
      </w:tr>
      <w:tr w:rsidR="00EE3483">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EE3483">
            <w:pPr>
              <w:spacing w:before="240" w:after="240" w:line="240" w:lineRule="auto"/>
              <w:rPr>
                <w:sz w:val="20"/>
                <w:szCs w:val="20"/>
              </w:rPr>
            </w:pPr>
          </w:p>
        </w:tc>
        <w:tc>
          <w:tcPr>
            <w:tcW w:w="8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sz w:val="20"/>
                <w:szCs w:val="20"/>
              </w:rPr>
            </w:pPr>
            <w:r>
              <w:rPr>
                <w:sz w:val="20"/>
                <w:szCs w:val="20"/>
              </w:rPr>
              <w:t>t-test for equality of means</w:t>
            </w:r>
          </w:p>
        </w:tc>
      </w:tr>
      <w:tr w:rsidR="00EE3483">
        <w:trPr>
          <w:trHeight w:val="270"/>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t</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df</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Sig. (2-tailed)</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Mean Difference</w:t>
            </w:r>
          </w:p>
        </w:tc>
        <w:tc>
          <w:tcPr>
            <w:tcW w:w="1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Std. Error Difference</w:t>
            </w:r>
          </w:p>
        </w:tc>
        <w:tc>
          <w:tcPr>
            <w:tcW w:w="2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95% Confidence Interval of the Difference</w:t>
            </w:r>
          </w:p>
        </w:tc>
      </w:tr>
      <w:tr w:rsidR="00EE3483">
        <w:trPr>
          <w:trHeight w:val="583"/>
        </w:trPr>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70" w:type="dxa"/>
            <w:vMerge/>
            <w:tcBorders>
              <w:top w:val="single" w:sz="4" w:space="0" w:color="auto"/>
              <w:left w:val="single" w:sz="4" w:space="0" w:color="auto"/>
              <w:bottom w:val="single" w:sz="4" w:space="0" w:color="auto"/>
              <w:right w:val="single" w:sz="4" w:space="0" w:color="auto"/>
            </w:tcBorders>
          </w:tcPr>
          <w:p w:rsidR="00EE3483" w:rsidRDefault="00EE3483">
            <w:pPr>
              <w:spacing w:before="240" w:after="240" w:line="240" w:lineRule="auto"/>
              <w:jc w:val="center"/>
              <w:rPr>
                <w:sz w:val="20"/>
                <w:szCs w:val="20"/>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sz w:val="20"/>
                <w:szCs w:val="20"/>
              </w:rPr>
            </w:pPr>
            <w:r>
              <w:rPr>
                <w:sz w:val="20"/>
                <w:szCs w:val="20"/>
              </w:rPr>
              <w:t>Lower</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rPr>
                <w:sz w:val="20"/>
                <w:szCs w:val="20"/>
              </w:rPr>
            </w:pPr>
            <w:r>
              <w:rPr>
                <w:sz w:val="20"/>
                <w:szCs w:val="20"/>
              </w:rPr>
              <w:t>Upper</w:t>
            </w:r>
          </w:p>
        </w:tc>
      </w:tr>
      <w:tr w:rsidR="00EE3483">
        <w:trPr>
          <w:trHeight w:val="610"/>
        </w:trPr>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xml:space="preserve">Overall Motivation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- 0.753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82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0.454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- 0.054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0.072</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- 0.198</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3483" w:rsidRDefault="000B4739">
            <w:pPr>
              <w:spacing w:before="240" w:after="240" w:line="240" w:lineRule="auto"/>
              <w:jc w:val="center"/>
              <w:rPr>
                <w:sz w:val="20"/>
                <w:szCs w:val="20"/>
              </w:rPr>
            </w:pPr>
            <w:r>
              <w:rPr>
                <w:sz w:val="20"/>
                <w:szCs w:val="20"/>
              </w:rPr>
              <w:t>0.089</w:t>
            </w:r>
          </w:p>
        </w:tc>
      </w:tr>
    </w:tbl>
    <w:p w:rsidR="00EE3483" w:rsidRDefault="000B4739">
      <w:pPr>
        <w:spacing w:before="240" w:after="240" w:line="240" w:lineRule="auto"/>
        <w:ind w:firstLineChars="200" w:firstLine="400"/>
        <w:rPr>
          <w:sz w:val="20"/>
          <w:szCs w:val="20"/>
        </w:rPr>
      </w:pPr>
      <w:r>
        <w:rPr>
          <w:sz w:val="20"/>
          <w:szCs w:val="20"/>
        </w:rPr>
        <w:t>The t-test showed no significant difference in motivation between permanent and contract employees (p = 0.454), indicating that both groups are equally motivated. This is likely because Cateel’s institutions integrate all staff into meaningful work and foster a sense of community, suggesting that fair treatment and recognition help maintain motivation across employment types.</w:t>
      </w:r>
    </w:p>
    <w:p w:rsidR="00EE3483" w:rsidRDefault="000B4739">
      <w:pPr>
        <w:spacing w:before="240" w:after="240" w:line="240" w:lineRule="auto"/>
        <w:ind w:firstLineChars="200" w:firstLine="400"/>
        <w:rPr>
          <w:sz w:val="20"/>
          <w:szCs w:val="20"/>
        </w:rPr>
      </w:pPr>
      <w:r>
        <w:rPr>
          <w:sz w:val="20"/>
          <w:szCs w:val="20"/>
        </w:rPr>
        <w:t>Research supports that employment status alone does not determine motivation when organizations promote inclusion, equitable workloads, access to resources, and respectful treatment (Dawson et al., 2024; Nagamatsu, 2021). Providing supportive management, recognition, and participation opportunities helps equalize motivation across permanent and non-permanent staff, contributing to harmony and consistent performance (Kang &amp; Lee, 2021).</w:t>
      </w:r>
    </w:p>
    <w:p w:rsidR="00EE3483" w:rsidRDefault="000B4739">
      <w:pPr>
        <w:spacing w:before="240" w:after="240" w:line="240" w:lineRule="auto"/>
        <w:ind w:firstLineChars="200" w:firstLine="400"/>
        <w:rPr>
          <w:sz w:val="20"/>
          <w:szCs w:val="20"/>
        </w:rPr>
      </w:pPr>
      <w:r>
        <w:rPr>
          <w:sz w:val="20"/>
          <w:szCs w:val="20"/>
        </w:rPr>
        <w:t xml:space="preserve">Overall, demographic characteristics—age, gender, tenure, position, or employment status—do not appear to drive motivation in this context. Instead, shared organizational and cultural factors, such as supportive management, recognition, and meaningful work, are the primary motivators. Broad, inclusive motivational strategies that reinforce a positive work environment and provide development opportunities are therefore appropriate for all employees.  </w:t>
      </w:r>
    </w:p>
    <w:p w:rsidR="00EE3483" w:rsidRDefault="000B4739">
      <w:pPr>
        <w:spacing w:before="240" w:after="240" w:line="240" w:lineRule="auto"/>
        <w:rPr>
          <w:b/>
          <w:sz w:val="20"/>
          <w:szCs w:val="20"/>
        </w:rPr>
      </w:pPr>
      <w:r>
        <w:rPr>
          <w:b/>
          <w:sz w:val="20"/>
          <w:szCs w:val="20"/>
        </w:rPr>
        <w:t>5.  CONCLUSION AND RECOMMENDATIONS</w:t>
      </w:r>
    </w:p>
    <w:p w:rsidR="00EE3483" w:rsidRDefault="000B4739">
      <w:pPr>
        <w:spacing w:before="240" w:after="240" w:line="240" w:lineRule="auto"/>
        <w:rPr>
          <w:b/>
          <w:sz w:val="20"/>
          <w:szCs w:val="20"/>
        </w:rPr>
      </w:pPr>
      <w:r>
        <w:rPr>
          <w:b/>
          <w:sz w:val="20"/>
          <w:szCs w:val="20"/>
        </w:rPr>
        <w:lastRenderedPageBreak/>
        <w:t xml:space="preserve">Conclusion </w:t>
      </w:r>
    </w:p>
    <w:p w:rsidR="00EE3483" w:rsidRDefault="000B4739">
      <w:pPr>
        <w:spacing w:after="240" w:line="240" w:lineRule="auto"/>
        <w:rPr>
          <w:sz w:val="20"/>
          <w:szCs w:val="20"/>
        </w:rPr>
      </w:pPr>
      <w:r>
        <w:rPr>
          <w:sz w:val="20"/>
          <w:szCs w:val="20"/>
        </w:rPr>
        <w:t xml:space="preserve">          The researchers concluded that Cateel’s financial institution workforce is demographically balanced, with even distribution across age, gender, tenure, position, and employment status.</w:t>
      </w:r>
    </w:p>
    <w:p w:rsidR="00EE3483" w:rsidRDefault="000B4739">
      <w:pPr>
        <w:spacing w:after="240" w:line="240" w:lineRule="auto"/>
        <w:ind w:firstLineChars="200" w:firstLine="400"/>
        <w:rPr>
          <w:sz w:val="20"/>
          <w:szCs w:val="20"/>
        </w:rPr>
      </w:pPr>
      <w:r>
        <w:rPr>
          <w:sz w:val="20"/>
          <w:szCs w:val="20"/>
        </w:rPr>
        <w:t>Employees reported high motivation across intrinsic, extrinsic, and work-environment factors, indicating a strong overall motivational climate. Key motivators included meaningful work, skill development, promotion opportunities, fair pay, equitable policies, comprehensive benefits, teamwork, safety, and workplace comfort, highlighting the importance of both personal growth and supportive conditions.</w:t>
      </w:r>
    </w:p>
    <w:p w:rsidR="00EE3483" w:rsidRDefault="000B4739">
      <w:pPr>
        <w:spacing w:after="240" w:line="240" w:lineRule="auto"/>
        <w:ind w:firstLineChars="200" w:firstLine="400"/>
        <w:rPr>
          <w:sz w:val="20"/>
          <w:szCs w:val="20"/>
        </w:rPr>
      </w:pPr>
      <w:r>
        <w:rPr>
          <w:sz w:val="20"/>
          <w:szCs w:val="20"/>
        </w:rPr>
        <w:t>Statistical analyses, including t-tests and ANOVA, showed no significant differences in motivation by age, gender, position, experience, or employment status (p &gt; .05), suggesting that the organization’s culture and motivational strategies effectively engage all employees equally.</w:t>
      </w:r>
    </w:p>
    <w:p w:rsidR="00EE3483" w:rsidRDefault="000B4739">
      <w:pPr>
        <w:spacing w:after="240" w:line="240" w:lineRule="auto"/>
        <w:rPr>
          <w:b/>
          <w:sz w:val="20"/>
          <w:szCs w:val="20"/>
        </w:rPr>
      </w:pPr>
      <w:r>
        <w:rPr>
          <w:b/>
          <w:sz w:val="20"/>
          <w:szCs w:val="20"/>
        </w:rPr>
        <w:t>Recommendation</w:t>
      </w:r>
    </w:p>
    <w:p w:rsidR="00EE3483" w:rsidRDefault="000B4739">
      <w:pPr>
        <w:spacing w:after="240" w:line="240" w:lineRule="auto"/>
        <w:ind w:left="360"/>
        <w:rPr>
          <w:sz w:val="20"/>
          <w:szCs w:val="20"/>
        </w:rPr>
      </w:pPr>
      <w:r>
        <w:rPr>
          <w:sz w:val="20"/>
          <w:szCs w:val="20"/>
        </w:rPr>
        <w:t>Based on the results, the following recommendations are proposed:</w:t>
      </w:r>
    </w:p>
    <w:p w:rsidR="00EE3483" w:rsidRDefault="000B4739">
      <w:pPr>
        <w:numPr>
          <w:ilvl w:val="0"/>
          <w:numId w:val="1"/>
        </w:numPr>
        <w:spacing w:after="240" w:line="240" w:lineRule="auto"/>
        <w:rPr>
          <w:b/>
          <w:sz w:val="20"/>
          <w:szCs w:val="20"/>
        </w:rPr>
      </w:pPr>
      <w:r>
        <w:rPr>
          <w:sz w:val="20"/>
          <w:szCs w:val="20"/>
        </w:rPr>
        <w:t>To capitalize on the demographically balanced workforce, financial institutions should implement a structured mentorship initiative. By intentionally pairing employees across different tenures and roles—such as veteran managers with newly hired tellers—the organization can facilitate mutual skill transfer and strengthen professional solidarity. This initiative should utilize a six-month roadmap with defined objectives for career guidance and cultural onboarding, supported by regular progress tracking. Such a systematic approach ensures consistency and reinforces the organization's commitment to inclusive professional growth and sustained job motivation.</w:t>
      </w:r>
    </w:p>
    <w:p w:rsidR="00EE3483" w:rsidRDefault="000B4739">
      <w:pPr>
        <w:numPr>
          <w:ilvl w:val="0"/>
          <w:numId w:val="1"/>
        </w:numPr>
        <w:spacing w:after="240" w:line="240" w:lineRule="auto"/>
        <w:rPr>
          <w:sz w:val="20"/>
          <w:szCs w:val="20"/>
        </w:rPr>
      </w:pPr>
      <w:r>
        <w:rPr>
          <w:sz w:val="20"/>
          <w:szCs w:val="20"/>
        </w:rPr>
        <w:t>To sustain the current high levels of employee motivation, the organization should establish a formal development framework centered on Individual Development Plans (IDPs). This initiative would integrate intrinsic drivers, such as autonomy and skill mastery, with extrinsic rewards like certifications and salary increases through career roadmaps and rotational assignments. By incorporating "quarterly development sprints" with a tiered recognition system (badges or bonus points), the institution can codify its supportive work culture into a structured, goal-oriented practice that ensures long-term engagement.</w:t>
      </w:r>
    </w:p>
    <w:p w:rsidR="00EE3483" w:rsidRDefault="000B4739">
      <w:pPr>
        <w:numPr>
          <w:ilvl w:val="0"/>
          <w:numId w:val="1"/>
        </w:numPr>
        <w:spacing w:after="240" w:line="240" w:lineRule="auto"/>
        <w:rPr>
          <w:sz w:val="20"/>
          <w:szCs w:val="20"/>
        </w:rPr>
      </w:pPr>
      <w:r>
        <w:rPr>
          <w:sz w:val="20"/>
          <w:szCs w:val="20"/>
        </w:rPr>
        <w:t>To sustain and build upon the existing high motivation levels, the organization should establish a formal professional development framework centered on Individual Development Plans (IDPs). This initiative would codify current motivational drivers into official practice by allowing employees to create career roadmaps and engage in unit rotations. The framework balances intrinsic needs (autonomy and skill mastery) with extrinsic rewards (certifications and pay increases) through "quarterly development sprints" and a tiered recognition system involving badges or redeemable points. This structured approach ensures that the supportive environment employees currently value is systematically maintained and incentivized.</w:t>
      </w:r>
    </w:p>
    <w:p w:rsidR="00EE3483" w:rsidRDefault="000B4739">
      <w:pPr>
        <w:numPr>
          <w:ilvl w:val="0"/>
          <w:numId w:val="1"/>
        </w:numPr>
        <w:spacing w:after="240" w:line="240" w:lineRule="auto"/>
        <w:rPr>
          <w:sz w:val="20"/>
          <w:szCs w:val="20"/>
        </w:rPr>
      </w:pPr>
      <w:r>
        <w:rPr>
          <w:sz w:val="20"/>
          <w:szCs w:val="20"/>
        </w:rPr>
        <w:t>By implementing these strategic recommendations, financial institutions in Cateel can transform current high motivation levels into sustainable organizational commitment. Leveraging the workforce's existing intrinsic drive, robust extrinsic support, and inclusive environment will empower employees, fostering long-term loyalty and ensuring that the institutions remain resilient and highly engaged in the long run.</w:t>
      </w:r>
    </w:p>
    <w:p w:rsidR="00EE3483" w:rsidRDefault="000B4739">
      <w:pPr>
        <w:spacing w:before="240" w:after="240" w:line="240" w:lineRule="auto"/>
        <w:rPr>
          <w:b/>
          <w:sz w:val="20"/>
          <w:szCs w:val="20"/>
        </w:rPr>
      </w:pPr>
      <w:r>
        <w:rPr>
          <w:b/>
          <w:sz w:val="20"/>
          <w:szCs w:val="20"/>
        </w:rPr>
        <w:t xml:space="preserve">COMPETING INTERESTS </w:t>
      </w:r>
    </w:p>
    <w:p w:rsidR="00EE3483" w:rsidRDefault="000B4739">
      <w:pPr>
        <w:spacing w:before="240" w:after="240" w:line="240" w:lineRule="auto"/>
        <w:ind w:firstLine="720"/>
        <w:rPr>
          <w:b/>
          <w:sz w:val="20"/>
          <w:szCs w:val="20"/>
        </w:rPr>
      </w:pPr>
      <w:r>
        <w:rPr>
          <w:sz w:val="20"/>
          <w:szCs w:val="20"/>
        </w:rPr>
        <w:t xml:space="preserve">There are no conflicts of interest to declare. The authors conducted the research independently, with no influence from third parties that could have affected the outcomes or interpretations presented in this study. </w:t>
      </w:r>
    </w:p>
    <w:p w:rsidR="00EE3483" w:rsidRDefault="000B4739">
      <w:pPr>
        <w:spacing w:before="240" w:after="240" w:line="240" w:lineRule="auto"/>
        <w:rPr>
          <w:b/>
          <w:sz w:val="20"/>
          <w:szCs w:val="20"/>
        </w:rPr>
      </w:pPr>
      <w:r>
        <w:rPr>
          <w:b/>
          <w:sz w:val="20"/>
          <w:szCs w:val="20"/>
        </w:rPr>
        <w:lastRenderedPageBreak/>
        <w:t xml:space="preserve">Disclaimer (Artificial intelligence) </w:t>
      </w:r>
    </w:p>
    <w:p w:rsidR="00EE3483" w:rsidRDefault="000B4739">
      <w:pPr>
        <w:spacing w:before="240" w:after="240" w:line="240" w:lineRule="auto"/>
        <w:rPr>
          <w:sz w:val="20"/>
          <w:szCs w:val="20"/>
        </w:rPr>
      </w:pPr>
      <w:r>
        <w:rPr>
          <w:sz w:val="20"/>
          <w:szCs w:val="20"/>
        </w:rPr>
        <w:t xml:space="preserve">          The authors hereby declare that generative Al technologies, specifically Large Language Models, were used during the writing and editing of this manuscript. Details of the Al usage are as follows: </w:t>
      </w:r>
    </w:p>
    <w:p w:rsidR="00EE3483" w:rsidRDefault="000B4739">
      <w:pPr>
        <w:numPr>
          <w:ilvl w:val="0"/>
          <w:numId w:val="4"/>
        </w:numPr>
        <w:spacing w:before="240" w:line="240" w:lineRule="auto"/>
        <w:rPr>
          <w:sz w:val="20"/>
          <w:szCs w:val="20"/>
        </w:rPr>
      </w:pPr>
      <w:r>
        <w:rPr>
          <w:sz w:val="20"/>
          <w:szCs w:val="20"/>
        </w:rPr>
        <w:t xml:space="preserve">Name of the Al Tool: ChatGPT </w:t>
      </w:r>
    </w:p>
    <w:p w:rsidR="00EE3483" w:rsidRDefault="000B4739">
      <w:pPr>
        <w:numPr>
          <w:ilvl w:val="0"/>
          <w:numId w:val="4"/>
        </w:numPr>
        <w:spacing w:line="240" w:lineRule="auto"/>
        <w:rPr>
          <w:sz w:val="20"/>
          <w:szCs w:val="20"/>
        </w:rPr>
      </w:pPr>
      <w:r>
        <w:rPr>
          <w:sz w:val="20"/>
          <w:szCs w:val="20"/>
        </w:rPr>
        <w:t xml:space="preserve">Version/Model: GPT-4 </w:t>
      </w:r>
    </w:p>
    <w:p w:rsidR="00EE3483" w:rsidRDefault="000B4739">
      <w:pPr>
        <w:numPr>
          <w:ilvl w:val="0"/>
          <w:numId w:val="4"/>
        </w:numPr>
        <w:spacing w:after="240" w:line="240" w:lineRule="auto"/>
        <w:rPr>
          <w:sz w:val="20"/>
          <w:szCs w:val="20"/>
        </w:rPr>
      </w:pPr>
      <w:r>
        <w:rPr>
          <w:sz w:val="20"/>
          <w:szCs w:val="20"/>
        </w:rPr>
        <w:t xml:space="preserve">Source/Provider: OpenAl (https://chat.openai.com) </w:t>
      </w:r>
    </w:p>
    <w:p w:rsidR="00EE3483" w:rsidRDefault="000B4739">
      <w:pPr>
        <w:spacing w:before="240" w:after="240" w:line="240" w:lineRule="auto"/>
        <w:rPr>
          <w:sz w:val="20"/>
          <w:szCs w:val="20"/>
        </w:rPr>
      </w:pPr>
      <w:r>
        <w:rPr>
          <w:sz w:val="20"/>
          <w:szCs w:val="20"/>
        </w:rPr>
        <w:t xml:space="preserve">          Purpose of Use: Generative Al was primarily employed to enhance the clarity and coherence of the discussion, improve the overall language and grammar, and refine the abstract for better readability and adherence to academic standards. </w:t>
      </w:r>
    </w:p>
    <w:p w:rsidR="00EE3483" w:rsidRDefault="000B4739">
      <w:pPr>
        <w:spacing w:before="240" w:after="240" w:line="240" w:lineRule="auto"/>
        <w:rPr>
          <w:sz w:val="20"/>
          <w:szCs w:val="20"/>
        </w:rPr>
      </w:pPr>
      <w:r>
        <w:rPr>
          <w:sz w:val="20"/>
          <w:szCs w:val="20"/>
        </w:rPr>
        <w:t xml:space="preserve">Sample Prompts Provided to the Al </w:t>
      </w:r>
    </w:p>
    <w:p w:rsidR="00EE3483" w:rsidRDefault="000B4739">
      <w:pPr>
        <w:numPr>
          <w:ilvl w:val="0"/>
          <w:numId w:val="5"/>
        </w:numPr>
        <w:spacing w:before="240" w:line="240" w:lineRule="auto"/>
        <w:rPr>
          <w:sz w:val="20"/>
          <w:szCs w:val="20"/>
        </w:rPr>
      </w:pPr>
      <w:r>
        <w:rPr>
          <w:sz w:val="20"/>
          <w:szCs w:val="20"/>
        </w:rPr>
        <w:t xml:space="preserve">"Please enhance this abstract to improve clarity, focus, and impact." </w:t>
      </w:r>
    </w:p>
    <w:p w:rsidR="00EE3483" w:rsidRDefault="000B4739">
      <w:pPr>
        <w:numPr>
          <w:ilvl w:val="0"/>
          <w:numId w:val="5"/>
        </w:numPr>
        <w:spacing w:line="240" w:lineRule="auto"/>
        <w:rPr>
          <w:sz w:val="20"/>
          <w:szCs w:val="20"/>
        </w:rPr>
      </w:pPr>
      <w:r>
        <w:rPr>
          <w:sz w:val="20"/>
          <w:szCs w:val="20"/>
        </w:rPr>
        <w:t xml:space="preserve">"Correct grammar and improve the flow of this discussion section" </w:t>
      </w:r>
    </w:p>
    <w:p w:rsidR="00EE3483" w:rsidRDefault="000B4739">
      <w:pPr>
        <w:numPr>
          <w:ilvl w:val="0"/>
          <w:numId w:val="5"/>
        </w:numPr>
        <w:spacing w:line="240" w:lineRule="auto"/>
        <w:rPr>
          <w:sz w:val="20"/>
          <w:szCs w:val="20"/>
        </w:rPr>
      </w:pPr>
      <w:r>
        <w:rPr>
          <w:sz w:val="20"/>
          <w:szCs w:val="20"/>
        </w:rPr>
        <w:t xml:space="preserve">Summarize findings in a more concise academic style" </w:t>
      </w:r>
    </w:p>
    <w:p w:rsidR="00EE3483" w:rsidRDefault="000B4739">
      <w:pPr>
        <w:numPr>
          <w:ilvl w:val="0"/>
          <w:numId w:val="5"/>
        </w:numPr>
        <w:spacing w:after="240" w:line="240" w:lineRule="auto"/>
        <w:rPr>
          <w:sz w:val="20"/>
          <w:szCs w:val="20"/>
        </w:rPr>
      </w:pPr>
      <w:r>
        <w:rPr>
          <w:sz w:val="20"/>
          <w:szCs w:val="20"/>
        </w:rPr>
        <w:t xml:space="preserve">"Rephrase this paragraph to sound more formal and scholarly </w:t>
      </w:r>
    </w:p>
    <w:p w:rsidR="00EE3483" w:rsidRDefault="000B4739">
      <w:pPr>
        <w:spacing w:before="240" w:after="240" w:line="240" w:lineRule="auto"/>
        <w:rPr>
          <w:sz w:val="20"/>
          <w:szCs w:val="20"/>
        </w:rPr>
      </w:pPr>
      <w:r>
        <w:rPr>
          <w:sz w:val="20"/>
          <w:szCs w:val="20"/>
        </w:rPr>
        <w:t xml:space="preserve">         All intellectual content, data interpretation, and scientific conclusions remain the responsibility of the authors. The Al tool served only as an editorial assistant and did not generate original scientific ideas or perform data analysis.</w:t>
      </w:r>
    </w:p>
    <w:p w:rsidR="00337907" w:rsidRDefault="00337907">
      <w:pPr>
        <w:spacing w:before="240" w:after="240" w:line="240" w:lineRule="auto"/>
        <w:rPr>
          <w:b/>
          <w:sz w:val="22"/>
          <w:szCs w:val="22"/>
        </w:rPr>
      </w:pPr>
    </w:p>
    <w:p w:rsidR="00337907" w:rsidRPr="00337907" w:rsidRDefault="00337907" w:rsidP="00337907">
      <w:pPr>
        <w:spacing w:after="200"/>
        <w:jc w:val="left"/>
        <w:rPr>
          <w:rFonts w:asciiTheme="minorHAnsi" w:eastAsiaTheme="minorHAnsi" w:hAnsiTheme="minorHAnsi" w:cstheme="minorBidi"/>
          <w:b/>
          <w:kern w:val="2"/>
          <w:sz w:val="22"/>
          <w:szCs w:val="22"/>
          <w14:ligatures w14:val="standardContextual"/>
        </w:rPr>
      </w:pPr>
      <w:r w:rsidRPr="00337907">
        <w:rPr>
          <w:rFonts w:asciiTheme="minorHAnsi" w:eastAsiaTheme="minorHAnsi" w:hAnsiTheme="minorHAnsi" w:cstheme="minorBidi"/>
          <w:b/>
          <w:kern w:val="2"/>
          <w:sz w:val="22"/>
          <w:szCs w:val="22"/>
          <w14:ligatures w14:val="standardContextual"/>
        </w:rPr>
        <w:t>Disclaimer (Artificial intelligence)</w:t>
      </w:r>
    </w:p>
    <w:p w:rsidR="00337907" w:rsidRPr="00337907" w:rsidRDefault="00337907" w:rsidP="00337907">
      <w:pPr>
        <w:spacing w:after="200"/>
        <w:jc w:val="left"/>
        <w:rPr>
          <w:rFonts w:asciiTheme="minorHAnsi" w:eastAsiaTheme="minorHAnsi" w:hAnsiTheme="minorHAnsi" w:cstheme="minorBidi"/>
          <w:kern w:val="2"/>
          <w:sz w:val="22"/>
          <w:szCs w:val="22"/>
          <w14:ligatures w14:val="standardContextual"/>
        </w:rPr>
      </w:pPr>
      <w:r w:rsidRPr="00337907">
        <w:rPr>
          <w:rFonts w:asciiTheme="minorHAnsi" w:eastAsiaTheme="minorHAnsi" w:hAnsiTheme="minorHAnsi" w:cstheme="minorBidi"/>
          <w:kern w:val="2"/>
          <w:sz w:val="22"/>
          <w:szCs w:val="22"/>
          <w14:ligatures w14:val="standardContextual"/>
        </w:rPr>
        <w:t>Author(s) hereby declare that NO generative AI technologies such as Large Language Models (</w:t>
      </w:r>
      <w:proofErr w:type="spellStart"/>
      <w:r w:rsidRPr="00337907">
        <w:rPr>
          <w:rFonts w:asciiTheme="minorHAnsi" w:eastAsiaTheme="minorHAnsi" w:hAnsiTheme="minorHAnsi" w:cstheme="minorBidi"/>
          <w:kern w:val="2"/>
          <w:sz w:val="22"/>
          <w:szCs w:val="22"/>
          <w14:ligatures w14:val="standardContextual"/>
        </w:rPr>
        <w:t>ChatGPT</w:t>
      </w:r>
      <w:proofErr w:type="spellEnd"/>
      <w:r w:rsidRPr="00337907">
        <w:rPr>
          <w:rFonts w:asciiTheme="minorHAnsi" w:eastAsiaTheme="minorHAnsi" w:hAnsiTheme="minorHAnsi" w:cstheme="minorBidi"/>
          <w:kern w:val="2"/>
          <w:sz w:val="22"/>
          <w:szCs w:val="22"/>
          <w14:ligatures w14:val="standardContextual"/>
        </w:rPr>
        <w:t xml:space="preserve">, COPILOT, etc.) and text-to-image generators have been used during the writing or editing of this manuscript. </w:t>
      </w:r>
    </w:p>
    <w:p w:rsidR="00337907" w:rsidRDefault="00337907">
      <w:pPr>
        <w:spacing w:before="240" w:after="240" w:line="240" w:lineRule="auto"/>
        <w:rPr>
          <w:b/>
          <w:sz w:val="22"/>
          <w:szCs w:val="22"/>
        </w:rPr>
      </w:pPr>
    </w:p>
    <w:p w:rsidR="00EE3483" w:rsidRDefault="000B4739">
      <w:pPr>
        <w:spacing w:before="240" w:after="240" w:line="240" w:lineRule="auto"/>
        <w:rPr>
          <w:b/>
          <w:sz w:val="22"/>
          <w:szCs w:val="22"/>
        </w:rPr>
      </w:pPr>
      <w:r>
        <w:rPr>
          <w:b/>
          <w:sz w:val="22"/>
          <w:szCs w:val="22"/>
        </w:rPr>
        <w:t xml:space="preserve">REFERENCES </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Ackerman, C. (2018). Self-Determination Theory of Motivation: Why intrinsic motivation matters. PositivePsychology.com. https://positivepsychology.com/self-determination-theory/</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Adaga, E. M., Egieya, Z. E., Ewuga, S. K., Abdul, A. A., &amp; Abrahams, T. O. (2024). A COMPREHENSIVE REVIEW OF ETHICAL PRACTICES IN BANKING AND FINANCE. Finance &amp; Accounting Research Journal, 6(1), 1–20. https://doi.org/10.51594/farj.v6i1.705</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Adinew, Y. (2024). A comparative study on motivational strategies, organizational culture, and climate in public and private institutions. Current Psychology, 43(13), 11470-11492.</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Alam, S. I. (2021). Herzberg motivation-hygiene fallacy in measuring levels of job satisfaction and dissatisfaction. Research and Review: Human Resource and Labour Management, 2(2), 34-43.</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Alcover, C. M., Guglielmi, D., Depolo, M., &amp; Mazzetti, G. (2021). “Aging-and-Tech Job Vulnerability”: A proposed framework on the dual impact of aging and AI, robotics, and automation among older workers. Organizational Psychology Review, 11(2), 175-201.</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 xml:space="preserve">Ali, B. J., &amp; Anwar, G. (2021). An empirical study of employees’ motivation and its influence job satisfaction. Ali, BJ, &amp; Anwar, </w:t>
      </w:r>
      <w:proofErr w:type="gramStart"/>
      <w:r w:rsidRPr="00E36799">
        <w:rPr>
          <w:sz w:val="20"/>
          <w:szCs w:val="20"/>
        </w:rPr>
        <w:t>G.(</w:t>
      </w:r>
      <w:proofErr w:type="gramEnd"/>
      <w:r w:rsidRPr="00E36799">
        <w:rPr>
          <w:sz w:val="20"/>
          <w:szCs w:val="20"/>
        </w:rPr>
        <w:t>2021). An Empirical Study of Employees’ Motivation and its Influence Job Satisfaction. International Journal of Engineering, Business and Management, 5(2), 21-30.</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 xml:space="preserve">AL-Jabari, B., &amp; Ghazzawi, I. (2019). (PDF) Organizational Commitment: A Review of the Conceptual and Empirical Literature and a Research Agenda. ResearchGate. </w:t>
      </w:r>
      <w:r w:rsidRPr="00E36799">
        <w:rPr>
          <w:sz w:val="20"/>
          <w:szCs w:val="20"/>
        </w:rPr>
        <w:lastRenderedPageBreak/>
        <w:t>https://www.researchgate.net/publication/331635975_Organizational_Commitment_A_Review_of_the_Conceptual_and_Empirical_Literature_and_a_Research_Agenda</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Aljumah, A. (2023). The impact of extrinsic and intrinsic motivation on job satisfaction: The mediating role of transactional leadership. Cogent Business &amp; Management, 10(3), 1–23.</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Ann, S., &amp; Blum, S. C. (2020). Motivating senior employees in the hospitality industry. International Journal of Contemporary Hospitality Management, 32(1), 324-346.</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Argyropoulou, M., Wynne Aprilia, Argyropoulou, R., &amp; Dionisia Tzavara. (2023). Exploring the Impact of Financial and non-Financial Motives on Employee Performance. A Survey of Indonesian Employees. International Journal of Business and Economic Sciences Applied Research, 16(1), 40–53. https://doi.org/10.25103/ijbesar.161.04</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Asana. (2021). What Is Intrinsic Motivation and How Does It Work? • Asana. Asana. https://asana.com/resources/intrinsic-motivation</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Astuti, W., &amp; Amalia, L. (2021). The Relationship between Work Motivation, Job Satisfaction, and Employee Performance: The Moderating Role of Psychology Capital and The Mediating Role of Organizational Commitment. Jurnal Manajemen Teori Dan Terapan| Journal of Theory and Applied Management, 14(2), 102. https://doi.org/10.20473/jmtt.v14i2.26192</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 xml:space="preserve">Asvio, N., Yamin, M., &amp; Risnita. (2019). Influence </w:t>
      </w:r>
      <w:proofErr w:type="gramStart"/>
      <w:r w:rsidRPr="00E36799">
        <w:rPr>
          <w:sz w:val="20"/>
          <w:szCs w:val="20"/>
        </w:rPr>
        <w:t>Of</w:t>
      </w:r>
      <w:proofErr w:type="gramEnd"/>
      <w:r w:rsidRPr="00E36799">
        <w:rPr>
          <w:sz w:val="20"/>
          <w:szCs w:val="20"/>
        </w:rPr>
        <w:t xml:space="preserve"> Leadership Style, Emotional Intelligence And Job Satisfaction Toward Organizational Commitment (Survey At SMA Muhammadiyah South Sumatera). International Journal of Scientific and Technology Research, 8(8), 1360–1376.</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Azila-Gbettor, E. M., Atatsi, E. A., Tulasi, E. E., &amp; Ayimey, E. K. (2024). Fostering workplace civility in the Financial Sector: The influence of ethical leadership practices and ethical work climate. Social Sciences &amp; Humanities Open, 9, 100803. https://doi.org/10.1016/j.ssaho.2023.100803</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Azzam, A., &amp; Harsono, H. (2021). Employee commitment and productivity in financial institutions. Journal of Business and Finance, 12(3), 45–62.</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Beasley, W. (2023, January 9). The Power of a Positive Work Environment (and How You Can Create One). Exudehc.com. https://exudehc.com/blog/positive-work-environment-benefits/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Biswas, B., &amp; Saha, R. (2025). The Pivotal Role of Start-Up Ecosystems in Creating a Level Playing Field for Indian Women. In Sustainable Business Ecosystems and Social Perspectives (pp. 81-106). IGI Global Scientific Publishing.</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Blanchflower, D. G. (2021). Not Working. Princeton University Press.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Blanco, R., &amp; Sison, M. (2020). Organizational commitment and employee retention: A case study in financial institutions. International Journal of Management Studies, 18(4), 112–130.</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Blokker, R., Akkermans, J., Tims, M., Jansen, P., &amp; Khapova, S. (2019). Building a sustainable start: The role of career competencies, career success, and career shocks in young professionals' employability. Journal of Vocational Behavior, 112, 172-184.</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Bradley University. (2024). Ethical leadership in education: Resources for developing future education leaders | bradley university online. Bradley.edu. https://onlinedegrees.bradley.edu/blog/ethical-leadership-in-education</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Budie, B., Appel-Meulenbroek, R., Kemperman, A., &amp; Weijs-Perree, M. (2018). EMPLOYEE SATISFACTION WITH THE PHYSICAL WORK ENVIRONMENT: THE IMPORTANCE OF A NEED BASED APPROACH. International Journal of Strategic Property Management, 23(1), 36–49. https://doi.org/10.3846/ijspm.2019.6372</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Bunteng, L. (2022). Factors Affecting Organizational Performance: A Study on Four Factors Motivation, Ability, Roles, and Organizational Support.</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Burdon, W. M., &amp; Sorour, M. K. (2020). Institutional Theory and Evolution of “A Legitimate” Compliance Culture: The Case of the UK Financial Service Sector. Journal of Business Ethics, 162. https://doi.org/10.1007/s10551-018-3981-4</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Cabahug-Fugoso, G. L. (2019). A PHILIPPINE SETTING: WORK MOTIVATION OF EMPLOYEES AND MOTIVATIONAL STRATEGY EVALUATION IN AN INDUSTRIAL ESTABLISHMENT. Abstract Proceedings International Scholars Conference, 7(1), 1359–1372. https://doi.org/10.35974/isc.v7i1.2093</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Calamba, J. (2019). The impact of employee commitment on financial institutions' operations. Asian Journal of Business Research, 7(2), 56–75.</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 xml:space="preserve">Celestine, N. (2019). 4 Ways </w:t>
      </w:r>
      <w:proofErr w:type="gramStart"/>
      <w:r w:rsidRPr="00E36799">
        <w:rPr>
          <w:sz w:val="20"/>
          <w:szCs w:val="20"/>
        </w:rPr>
        <w:t>To</w:t>
      </w:r>
      <w:proofErr w:type="gramEnd"/>
      <w:r w:rsidRPr="00E36799">
        <w:rPr>
          <w:sz w:val="20"/>
          <w:szCs w:val="20"/>
        </w:rPr>
        <w:t xml:space="preserve"> Improve And Increase Self-Efficacy. PositivePsychology.com. https://positivepsychology.com/3-ways-build-self-efficacy/</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lastRenderedPageBreak/>
        <w:t>Channell, M. (2023). Maslow’s Hierarchy of Needs: An In-Depth Guide for Leaders and Managers. TSW Training. https://www.tsw.co.uk/blog/leadership-and-management/maslows-hierarchy-of-needs/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 xml:space="preserve">Chellappa, S. (2024). Importance of Training </w:t>
      </w:r>
      <w:proofErr w:type="gramStart"/>
      <w:r w:rsidRPr="00E36799">
        <w:rPr>
          <w:sz w:val="20"/>
          <w:szCs w:val="20"/>
        </w:rPr>
        <w:t>And</w:t>
      </w:r>
      <w:proofErr w:type="gramEnd"/>
      <w:r w:rsidRPr="00E36799">
        <w:rPr>
          <w:sz w:val="20"/>
          <w:szCs w:val="20"/>
        </w:rPr>
        <w:t xml:space="preserve"> Development For Employees: 12 Benefits. Engagedly. https://engagedly.com/blog/importance-implementation-and-benefits-of-training-and-development-program/</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Chen, R. (2023). The Value of Employees: Understanding and Appreciating Their Contributions. Bucketlist. https://bucketlistrewards.com/blog/value-of-employees/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Chib, S. (2019). Facilitating Employee Retention through Employee Engagement and Organization Commitment. ResearchGate. https://www.researchgate.net/publication/335911527_Facilitating_Employee_Retention_through_Employee_Engagement_and_Organization_Commitment</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Cruz, M. M. dela, &amp; Cabaluna, A. Y. (2022). Investigating Human Resource Practices and its Impact on Employee Performance in Selected Banks in the Philippines. Journal of Business and Management Studies, 4(1), 233–256. https://doi.org/10.32996/jbms.2022.4.1.26</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Dacanay, D., Reyes, M., &amp; Santos, P. (2023). Motivational trends among Filipino workers: A comparative study. Journal of Southeast Asian Workforce Studies, 12(2), 45–67.</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Dawson, N. E., Parker, S. L., &amp; Okimoto, T. G. (2024). Profiles of diversity and inclusion motivation: Toward an employee</w:t>
      </w:r>
      <w:r w:rsidRPr="00E36799">
        <w:rPr>
          <w:rFonts w:ascii="Cambria Math" w:hAnsi="Cambria Math" w:cs="Cambria Math"/>
          <w:sz w:val="20"/>
          <w:szCs w:val="20"/>
        </w:rPr>
        <w:t>‐</w:t>
      </w:r>
      <w:r w:rsidRPr="00E36799">
        <w:rPr>
          <w:sz w:val="20"/>
          <w:szCs w:val="20"/>
        </w:rPr>
        <w:t>centered understanding of why employees put effort into inclusion and exclusion. Human Resource Management, 63(1), 45-66.</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Dewar, K. (2025). Organizational Culture: Definition, Importance, and Development. Achievers. https://www.achievers.com/blog/organizational-culture-definition/</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Dhir, S. (2019). The changing nature of work, leadership, and organizational culture in future ready organizations.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Downes, A. B. (2020). The Perceived Impact of Basic Need Insecurity on Social Work Student Success.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Doyle, L., McCabe, C., Keogh, B., Brady, A., &amp; McCann, M. (2020). An overview of the qualitative descriptive design within nursing research. Journal of research in nursing, 25(5), 443-455.</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Dubey, R., Bryde, D. J., Dwivedi, Y. K., Graham, G., Foropon, C., &amp; Papadopoulos, T. (2023). Dynamic digital capabilities and supply chain resilience: The role of government effectiveness. International Journal of Production Economics, 258(4), 108790. https://doi.org/10.1016/j.ijpe.2023.108790</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Durmuş, A., Ünal, Ö., Türktemiz, H., &amp; Öztürk, Y. E. (2024). The effect of nurses’ perceived workplace incivility on their presenteeism and turnover intention: The mediating role of work stress and psychological resilience. International Nursing Review, 71(4), 960–968. https://doi.org/10.1111/inr.12950</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Duyen, C. T. L. D., Phat, L. T. N. ọ c P., Liem, N. T. L., Canh, N. M. C., &amp; Mong, D. T. M. (2023). Impact of Leadership Styles on Organizational Commitment: Empirical Evidence from Small and Medium Enterprises in Can Tho Vietnam. Migration Letters, 20(8), 751–764. https://doi.org/10.59670/ml.v20i8.5541</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Edwards, J. (2024). Motivational Strategies to Increase Employee Productivity in Small Businesses. Https://Scholarworks.waldenu.edu/. https://scholarworks.waldenu.edu/cgi/viewcontent.cgi?article=17329&amp;context=dissertations</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Emon, M. M. H., &amp; Chowdhury, S. A. (2023). Assessing the influence of training and skill development initiatives on employee performance: A case study of private banks in Dhaka, Bangladesh. Bangladesh (August 17, 2023).</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Faozen, F., &amp; Sandy, S. R. O. (2024, March 20). Performance Management: A New Approach in Performance Management. Www.intechopen.com; IntechOpen. https://www.intechopen.com/chapters/1166031</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Fazio, A., Martin, L., &amp; Smith, J. (2017). Employee turnover and organizational growth: Examining the financial sector. Human Resource Management Review, 15(3), 201–219.</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t>Flores, J. M., &amp; Maquiling, R. R. (2024). Work Engagement as A Function of Pyschological Empowerment, Self- Efficacy and Job Satisfaction among Financial Managers: A Structural Equation Modelling Approach. International Journal of Multidisciplinary Applied Business and Education Research, 5(8), 3206–3230. https://doi.org/10.11594/ijmaber.05.08.23</w:t>
      </w:r>
    </w:p>
    <w:p w:rsidR="00EE3483" w:rsidRPr="00E36799" w:rsidRDefault="000B4739" w:rsidP="00E36799">
      <w:pPr>
        <w:pStyle w:val="ListParagraph"/>
        <w:numPr>
          <w:ilvl w:val="0"/>
          <w:numId w:val="7"/>
        </w:numPr>
        <w:spacing w:before="240" w:after="240" w:line="240" w:lineRule="auto"/>
        <w:rPr>
          <w:sz w:val="20"/>
          <w:szCs w:val="20"/>
        </w:rPr>
      </w:pPr>
      <w:r w:rsidRPr="00E36799">
        <w:rPr>
          <w:sz w:val="20"/>
          <w:szCs w:val="20"/>
        </w:rPr>
        <w:lastRenderedPageBreak/>
        <w:t>Gallup. (2024, June 28). Employee Recognition: Low Cost, High Impact. Gallup. https://www.gallup.com/workplace/236441/employee-recognition-low-cost-high-impact.aspx</w:t>
      </w:r>
    </w:p>
    <w:p w:rsidR="00EE3483" w:rsidRPr="00E36799" w:rsidRDefault="000B4739" w:rsidP="00E36799">
      <w:pPr>
        <w:pStyle w:val="ListParagraph"/>
        <w:numPr>
          <w:ilvl w:val="0"/>
          <w:numId w:val="7"/>
        </w:numPr>
        <w:spacing w:before="240" w:after="240" w:line="240" w:lineRule="auto"/>
        <w:rPr>
          <w:sz w:val="22"/>
          <w:szCs w:val="22"/>
        </w:rPr>
      </w:pPr>
      <w:r w:rsidRPr="00E36799">
        <w:rPr>
          <w:sz w:val="20"/>
          <w:szCs w:val="20"/>
        </w:rPr>
        <w:t xml:space="preserve">Gardner, A. (2018). The Relationship between </w:t>
      </w:r>
      <w:r w:rsidRPr="00E36799">
        <w:rPr>
          <w:sz w:val="22"/>
          <w:szCs w:val="22"/>
        </w:rPr>
        <w:t>Organizational Commitment and Transformational and Transactional Leadership Styles in Government Contract Employees. Core.ac.uk. https://core.ac.uk/reader/213462870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Ghanad, A. (2023). An overview of quantitative research methods. International journal of multidisciplinary research and analysis, 6(08), 3794-3803.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Gilal, F. G., Ashraf, Z., Gilal, N. G., Gilal, R. G., &amp; Channa, N. A. (2019). Promoting environmental performance through green human resource management practices in higher education institutions: A moderated mediation model. Corporate Social Responsibility and Environmental Management, 26(6), 1579-1590.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Giorgi, G., Arcangeli, G., Mucci, N., &amp; Cupelli, V. (2017). Work-related stress and mental health in financial sector employees: A global perspective. Occupational Health Journal, 29(1), 112–130.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Gulzar, R. (2021). To investigate the Association between Normative Commitment (Sense of Obligation to Stay) and Employee’s Performance in “FENDA COMMUNICATION AND IT -KSA.” International Journal of Human Resource Studies, 11(3), 135. https://doi.org/10.5296/ijhrs.v11i3.18994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Haddad, H., Khatib, N. E., &amp; Ashaal, A. (2023). The Nexus between Extrinsic Motivation and Employees’ Retention; Do Compensation Packages and Flexible Working Hours Matter? Open Journal of Business and Management, 11(02), 530–551. https://doi.org/10.4236/ojbm.2023.112028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Hansamali, H. G. C., Francis, S. J., Sirikumar, T., &amp; Ganeshamoorthy, S. (2024). IMPACT OF REWARDS SYSTEM ON EMPLOYEE PERFORMANCE.</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Harris, A. (2024). Balancing Intrinsic and Extrinsic Motivators for Long-Term Employee Engagement. Medium; Career Focus. https://medium.com/career-focus/balancing-intrinsic-and-extrinsic-motivators-for-long-term-employee-engagement-2b130935a683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Hassan, A. O., Ewuga, S. K., Abdul, A. A., Abrahams, T. O., Oladeinde, M., &amp; Dawodu, S. O. (2024). CYBERSECURITY IN BANKING: A GLOBAL PERSPECTIVE WITH A FOCUS ON NIGERIAN PRACTICES. Computer Science &amp; IT Research Journal, 5(1), 41–59. https://doi.org/10.51594/csitrj.v5i1.701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Hatch, S., Thomsen, D., &amp; Waldron, J. J. (2018). Extrinsic Rewards and Motivation | Association for Applied Sport Psychology. Appliedsportpsych.org. https://appliedsportpsych.org/resources/resources-for-coaches/extrinsic-rewards-and-motivation/</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Hendytio, M. K., &amp; Barany, L. J. (2022). Impact </w:t>
      </w:r>
      <w:proofErr w:type="gramStart"/>
      <w:r w:rsidRPr="00E36799">
        <w:rPr>
          <w:sz w:val="22"/>
          <w:szCs w:val="22"/>
        </w:rPr>
        <w:t>Of</w:t>
      </w:r>
      <w:proofErr w:type="gramEnd"/>
      <w:r w:rsidRPr="00E36799">
        <w:rPr>
          <w:sz w:val="22"/>
          <w:szCs w:val="22"/>
        </w:rPr>
        <w:t xml:space="preserve"> Disruptive Technology On Indonesia's Women Workers. Centre for Strategic and International Studies.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Hitka, M., Rózsa, Z., Potkány, M., &amp; Ližbetinová, L. (2019). Factors forming employee motivation influenced by regional and age-related differences. Journal of Business Economics and Management (JBEM), 20(4), 674-693.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Hoang, D. P. (2024). Customer experience of video teller machine service: drivers and behavioural outcomes. International Journal of Bank Marketing, 42(7), 1634-1665.</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Hoang, T., Nguyen, P., &amp; Tran, V. (2023). Determinants of organizational commitment in the Philippine banking sector. Journal of Asian Business Research, 11(3), 78–99.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Hoang, T., Nguyen, P., &amp; Tran, V. (2023). Employee turnover in Vietnam’s banking industry: Causes and solutions. Journal of Asian Financial Studies, 11(2), 87–102.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Huang, Z., Sindakis, S., Aggarwal, S., &amp; Thomas, L. (2022). The Role of Leadership in Collective Creativity and innovation: Examining Academic Research and Development Environments. Frontiers in Psychology, 13(13). https://pmc.ncbi.nlm.nih.gov/articles/PMC9815531/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lastRenderedPageBreak/>
        <w:t>Hughes, I. M., Freier, L. M., &amp; Barratt, C. L. (2022). “Your help isn’t helping me!” Unhelpful workplace social support, strain, and the role of individual differences. Occupational Health Science, 6(3), 387-423.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Iberahim, H., Shamsul, A. S., Azhar, F. A., &amp; Aminuddin, Z. H. (2020). Exploring Job Design as Predictors of Job Performance at A Malaysian Automobile Company. Jurnal Intelek, 15(2), 48–59. https://doi.org/10.24191/ji.v15i2.303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Imran, U. D., Ghazwan, M. F., &amp; Firmansyah, F. (2025). The Effect of Recognition and Appreciation on Employee Motivation and Performance. Economics and Digital Business Review, 6(1), 1-18.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Islam, M. S., Amin, M., Feranita, F., &amp; Karatepe, O. M. (2023). High-involvement work practices, work engagement and their effects on bank employees' turnover intentions: the moderating role of functional competence. International Journal of Bank Marketing, 41(6), 1360-1388.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Iyer, Y. (2022). Herzberg’s Two-Factor Theory in Project Management | Wrike. Www.wrike.com. https://www.wrike.com/blog/what-is-herzbergs-two-factor-theory/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Jabagi, N., Croteau, A. M., Audebrand, L. K., &amp; Marsan, J. (2019). Gig-workers’ motivation: thinking beyond carrots and sticks. Journal of Managerial Psychology, 34(4), 192-213.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Janice, Ma., &amp; Kristian, C. (2023). The Impact of Job Satisfaction on Creating a Sustainable Workplace: An Empirical Analysis of Organizational Commitment and Lifestyle Behavior. Sustainability, 15(13), 10283–10283. https://doi.org/10.3390/su151310283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Kabeer, N. (2021). Gender equality, inclusive growth, and labour markets. Women’s economic empowerment, 44, 13-48.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Kang, H. K., &amp; Lee, H. (2021). IMPROVEMENT OF ORGANIZATIONAL COMMITMENT AND JOB SATISFACTION FOR NON-REGULAR WORKERS.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Kara, E., &amp; Acar, A. Z. (2023). Strategies for employee motivation and commitment in financial institutions. Journal of Organizational Behavior, 19(1), 76–92.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Kasogela, O. K. (2019). The Impacts of Continuance Commitment to Job Performance. Advanced Journal of Social Science, 5(1), 93–100. https://doi.org/10.21467/ajss.5.1.93-100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Kerr-McCurry, N. (2020). The Union Makes Us Strong? Technology Implementation in a Collective Bargaining Culture. Northeastern University.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Khalfi, L., &amp; Saâdaoui, F. (2023). The role of financial institutions in economic development. Economic Perspectives, 25(4), 134–151.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Khalid, N., Pahi, M. H., &amp;, Ahmed, U. (2016). Losing your best talent: Can leadership retain employees? The dilemma of the banking sector of Hyderabad Sindh, Pakistan: A mediation investigation. International Review of Management and Marketing, 6, 608-616. Retrieved from http://www.econjournals.com </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Khan, H., Rehmat, M., Butt, T. H., Farooqi, S., &amp; Asim, J. (2020). Impact of transformational leadership on work performance, burnout and social loafing: A mediation model. Future Business Journal, 6(1), 1–13. Springer. https://doi.org/10.1186/s43093-020-00043-8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Khan, H., Rehmat, M., Butt, T. H., Farooqi, S., &amp; Asim, J. (2020). Impact of Transformational Leadership on Work Performance, Burnout and Social Loafing: A Mediation Model. Future Business Journal, 6(1), 1–13. Springer. https://doi.org/10.1186/s43093-020-00043-8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Kim, K. W., &amp; Cho, Y. H. (2020). The moderating effect of managerial roles on job stress and satisfaction by employees’ employment type. International Journal of Environmental Research and Public Health, 17(21), 8259.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lastRenderedPageBreak/>
        <w:t>Klein, H. J., &amp; Park, H. (2015). Organizational Commitment. International Encyclopedia of the Social &amp; Behavioral Sciences, 2, 334–340. https://doi.org/10.1016/b978-0-08-097086-8.22032-1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Koskela, M. (2022). Retention of women in IT industry: The role of job satisfaction and inclusive organizational practices.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Kutebayev, A., Rakhmetova, S., &amp; Tulegenova, K. (2024). Occupational stress and burnout among financial institution workers: A global analysis. International Journal of Financial Studies, 17(1), 23–45.</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La, J. G. (2017). Self-determination theory in practice: how to create an optimally supportive health care environment. Wydawca Nieznany.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Lamovšek, A., Černe, M., Radević, I., &amp; Božič, K. (2022). The key to work–life balance is (enriched) job design? Three-Way interaction effects with formalization and adaptive personality characteristics. Applied Research in Quality of Life, 18(2). https://doi.org/10.1007/s11482-022-10100-9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Landry, L. (2020, March 5). Why managers should involve their team in decision-making. Harvard Business School Online. https://online.hbs.edu/blog/post/team-decision-making</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Lazaroiu, G. (2015). Work motivation and organizational behavior. 7(2), 66–75. https://www.researchgate.net/publication/288242983_Work_motivation_and_organizational_behavior</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Leader Factor. (2024). Importance of Organizational Culture. Www.leaderfactor.com. https://www.leaderfactor.com/learn/importance-of-organizational-culture</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Lee, A., Willis, S., &amp; Tian, A. W. (2018, March 2). When Empowering Employees Works, and When It Doesn’t. Harvard Business Review. https://hbr.org/2018/03/when-empowering-employees-works-and-when-it-doesnt</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Lee, H.-W., &amp; Rhee, D.-Y. (2023). Effects of Organizational Justice on Employee Satisfaction: Integrating the Exchange and the Value-Based Perspectives. Sustainability, 15(7), 5993. https://doi.org/10.3390/su15075993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Lee, M., &amp; Kim, B. (2023). Effect of Employee Experience on Organizational Commitment: Case of South Korea. Effect of Employee Experience on Organizational Commitment: Case of South Korea, 13(7), 521–521. Mdpi. https://doi.org/10.3390/bs13070521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Liu, W., &amp; Liu, Y. (2022). The Impact of Incentives on Job Performance, Business Cycle, and Population Health in Emerging Economies. Frontiers in Public Health, 9(778101), 1–14. NCBI. https://doi.org/10.3389/fpubh.2021.778101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Lopez-Fernandez, O., Williams, A. J., Griffiths, M. D., &amp; Kuss, D. J. (2019). Female gaming, gaming addiction, and the role of women within gaming culture: A narrative literature review. Frontiers in psychiatry, 10, 454.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Mahdis Paparisabet, Amir Hossein Jalalpour, Farzaneh Farahi, Gholami, Z., Fatemeh Shaygani, Jalili, N., Sama Rashid Beigi, Milad Ahmadi Marzaleh, &amp; Hadis Dastgerdizad Elyaderani. (2024). Investigating the organizational commitment and its associated factors among the staff of the health sector: a cross-sectional research. BMC Health Services Research, 24(1). https://doi.org/10.1186/s12913-024-11893-1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Makasi, C. B. (2023). Money incentives. ResearchGate. https://www.researchgate.net/publication/375690259_Money_incentives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Malik, N. (2023). Organizations Should Maintain Employee’s Work-Life Balance. Journal of Economics, Finance and Management Studies, 06(08). https://doi.org/10.47191/jefms/v6-i8-29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Mardanov, I. (2021). Intrinsic and extrinsic motivation, organizational context, employee contentment, job satisfaction, performance and intention to stay. In Evidence-Based HRM: A Global Forum for Empirical Scholarship, 9(3), 223–240.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lastRenderedPageBreak/>
        <w:t>Marecki, Ł. (2024). Impact of work-life balance on employee productivity and well-being. Journal of Management and Financial Sciences, 16(50). https://doi.org/10.33119/jmfs.2023.50.9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Martela, F., &amp; Riekki, T. J. J. (2018). Autonomy, Competence, Relatedness, and Beneficence: A Multicultural Comparison of the Four Pathways to Meaningful Work. Frontiers in Psychology, 9(1157). https://doi.org/10.3389/fpsyg.2018.01157</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Martinez, J., Lim, R., &amp; Cruz, A. (2020). Help-seeking behaviors for mental health in the Philippines: Cultural influences and barriers. Philippine Journal of Psychology, 25(2), 98–117.</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Martinez, R. (2025). Belonging Is Resistance: Illuminating the Power of Women of Color Mid-Level Administrators in Higher Education.</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McLeod, S. (2024). Maslow’s Hierarchy of Needs. Simply Psychology. https://www.simplypsychology.org/maslow.html</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Mcwhirt, V. (2023). Digital Commons @ DU Digital Commons @ DU Electronic Theses and Dissertations Graduate Studies Organizational Commitment Has on Staff Retention Organizational Commitment Has on Staff Retention. https://digitalcommons.du.edu/cgi/viewcontent.cgi?article=3294&amp;context=etd</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Mercurio, Z. A. (2015). Affective Commitment as a Core Essence of Organizational Commitment. Human Resource Development Review, 14(4), 389–414. https://doi.org/10.1177/1534484315603612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Mety Titin Herawaty, Iwan Asmadi, Eneng Iviq Hairo Rahayu, &amp; Zahra, Z. (2024). Impact of Work-Life Balance, Job Satisfaction, and Stress Levels on Employee Retention in Banking Sector Companies. International Journal of Business Law and Education, 5(2), 2405–2417. https://doi.org/10.56442/ijble.v5i2.875</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Minzlaff, K. A., Palmer, S., &amp; Fillery-travis, A. (2024). Increasing Job Satisfaction and Organisational Commitment Through Coaching. ResearchGate, 5(Article 4), 1–6. https://www.researchgate.net/publication/383231820_Increasing_Job_Satisfaction_and_Organisational_Commitment_Through_Coaching</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Minzlaff, P., Jones, B., &amp; Taylor, S. (2024). Employee retention and turnover in financial firms: A global perspective. International Journal of Human Resource Studies, 22(1), 55–78.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Mistrean, L. (2023). Factors influencing customer loyalty in the retail banking sector: A study of financial-banking services in the Republic of Moldova. Opportunities and Challenges in Sustainability, 2(2), 81-92.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Modise, J. (2023). The Impacts of Employee Workplace Empowerment, Effective Commitment and Performance: An Organizational... ResearchGate; unknown. https://www.researchgate.net/publication/376260679_The_Impacts_of_Employee_Workplace_Empowerment_Effective_Commitment_and_Performance_An_Organizational_Systematic_Review</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Mohajan, H. K. (2020). Quantitative research: A successful investigation in natural and social sciences. Journal of economic development, environment and people, 9(4), 50-79.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Mroczek-Dąbrowska, K., &amp; Gaweł, A. (2020). Determinants of female entrepreneurship in male-and female-dominated sectors in selected European countries. International Entrepreneurship Review, 6(2), 55-68.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Nagamatsu, N. (2021). Japanese labor studies: Women and non-standard workers. International Sociology, 36(2), 194-205.</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Ned, A. E., &amp; Umesi, C. D. (2023). Effective leadership and employee motivation for sustainable development. Journal of Education in Developing Areas, 31(2), 310-321.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Neirotti, P., Raguseo, E., &amp; Gastaldi, L. (2019). Designing flexible work practices for job satisfaction: the relation between job characteristics and work disaggregation in </w:t>
      </w:r>
      <w:r w:rsidRPr="00E36799">
        <w:rPr>
          <w:sz w:val="22"/>
          <w:szCs w:val="22"/>
        </w:rPr>
        <w:lastRenderedPageBreak/>
        <w:t>different types of work arrangements. New technology, work and employment, 34(2), 116-138.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Ng, C., Wider, W., Yang, C., Jiang, L., Vasudevan, A., Bhandari, P., &amp; Lee, H. P. T. (2024). Keys factor affecting employee performance in the banking sector: a Delphi study. Cogent Business &amp; Management, 11(1). https://doi.org/10.1080/23311975.2024.2409942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Ngan, P., Le, H., &amp; Vo, D. (2019). Workforce mobility in Vietnam’s financial sector: Challenges and opportunities. Vietnam Economic Journal, 10(3), 123–140.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Nguyen, H. D., Tran, D. M. T., Vu, T. B., &amp; Le, P. T. T. (2020). An Empirical Study of Affective Commitment: </w:t>
      </w:r>
      <w:proofErr w:type="gramStart"/>
      <w:r w:rsidRPr="00E36799">
        <w:rPr>
          <w:sz w:val="22"/>
          <w:szCs w:val="22"/>
        </w:rPr>
        <w:t>the</w:t>
      </w:r>
      <w:proofErr w:type="gramEnd"/>
      <w:r w:rsidRPr="00E36799">
        <w:rPr>
          <w:sz w:val="22"/>
          <w:szCs w:val="22"/>
        </w:rPr>
        <w:t xml:space="preserve"> Case of Machinery Enterprises in Hochiminh City. Organizations and Markets in Emerging Economies, 11(2). https://www.redalyc.org/journal/6923/692374308008/html/</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Nguyen, T., Pham, L., &amp; Ho, B. (2020). Promotion opportunities and employee commitment: Evidence from financial institutions in Southeast Asia. Asian Business Review, 14(2), 67–81.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Nickerson, C. (2023). Herzberg’s two-factor theory of motivation-hygiene. Simply Psychology. https://www.simplypsychology.org/herzbergs-two-factor-theory.html</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Noltemeyer, A., James, A. G., Bush, K., Bergen, D., Barrios, V., &amp; Patton, J. (2021). The relationship between deficiency needs and growth needs: The continuing investigation of Maslow’s theory. Child &amp; Youth Services, 42(1), 24-42.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Noori, R. (2024). Workplace Flexibility—Why Lifestyle Benefits Count | Benepass. Getbenepass.com. https://www.getbenepass.com/blog/workplace-flexibility-lifestyle-benefits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Nurani, G. A. (2025). Intergenerational learning for older and younger employees: What should be done and should </w:t>
      </w:r>
      <w:proofErr w:type="gramStart"/>
      <w:r w:rsidRPr="00E36799">
        <w:rPr>
          <w:sz w:val="22"/>
          <w:szCs w:val="22"/>
        </w:rPr>
        <w:t>not?.</w:t>
      </w:r>
      <w:proofErr w:type="gramEnd"/>
      <w:r w:rsidRPr="00E36799">
        <w:rPr>
          <w:sz w:val="22"/>
          <w:szCs w:val="22"/>
        </w:rPr>
        <w:t> Journal of Systemics, Cybernetics and Informatics, 23(1), 10-15.</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Oleka-Onyewuchi, C. N. C. (2023). The New Workforce Reality: Embracing Intergenerational Collaboration That Thrives in the Age of Automation and Layoffs. Gatekeeper Press.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Omni. (2022). Omni HR. Omnihr.co. https://www.omnihr.co/blog/transactional-leadership</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Onaolapo, O. (2024). Job Motivation and Organizational Commitment of NGO Employees: Inputs for an Improved Employee Retention. Business Fora: Business and Allied Industries International Journal, 3(1), 14–22. https://doi.org/10.62718/vmca.bf-baiij.3.1.sc-0924-004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Onia, M. (2021). The impact of employee dedication on corporate reputation in financial institutions. Journal of Business Ethics, 16(2), 89–104.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OrangeHRM. (2024). How Does a Positive Company Culture Impact Your Organizational Success? | OrangeHRM. Orangehrm.com. https://www.orangehrm.com/en/resources/blog/how-does-a-positive-company-culture-impact-your-organizational-success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Ordóñez de PablosP., Zhang, X., &amp; Almunawar, M. N. (2022). Green, circular, and digital economies as tools for recovery and sustainability. Business Science Reference, an imprint of IGI Global.</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Osei, M., &amp; Bonsu, A. (2024). Big data, financial innovation and financial performance. evidence from the UK banking sector. https://research.tees.ac.uk/ws/portalfiles/portal/85736127/Full_thesis_Mandella_Osei-Assibey_Bonsu._Big_data_Financial_Innovation_and_financial_performance_.pdf</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Ospina, S. M. (2019). Illusions of opportunity: Employee expectations and workplace inequality. Cornell University Press.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lastRenderedPageBreak/>
        <w:t>Pandya, J. D. (2024). Intrinsic &amp; extrinsic motivation &amp; its impact on organizational performance at Rajkot city: A review. ResearchGate; IP Innovative Publication Pvt Ltd. https://www.researchgate.net/publication/378976051_Intrinsic_extrinsic_motivation_its_impact_on_organizational_performance_at_Rajkot_city_A_review</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Paroli, P. (2025). Exploring the Role of Psychology in Strategic Human Resource Management: A Qualitative Perspective with Literature Review. Golden Ratio of Human Resource Management, 5(1), 71-82.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Parsons, L. (2022). Why is professional development important? Harvard Division of Continuing Education. https://professional.dce.harvard.edu/blog/why-is-professional-development-important/</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Portaankorva, L. (2024). Values-Based Model to Foster Inclusive Organizational Culture.</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Pougajendy, S., Mathiazhagan, A., &amp; Karunamurthy, A. (2024). The Role of Organizational Culture in Driving Employee Engagement: Insights and Implications. Quing: International Journal of Multidisciplinary Scientific Research and Development, 3(3), 26-32.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Radha, R., &amp; Aithal, P. S. (2023). The impact of organizational health on financial performance in banking institutions. International Journal of Organizational Studies, 15(4), 134–156.</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Radu, C. (2023). Fostering a Positive Workplace Culture: Impacts on Performance and Agility.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Rahn, G., Martiny, S. E., &amp; Nikitin, J. (2021). Feeling out of place: Internalized age stereotypes are associated with older employees’ sense of belonging and social motivation. Work, Aging and Retirement, 7(1), 61-77.</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Raub, S., Borzillo, S., Perretten, G., &amp; Schmitt, A. (2021). New employee orientation, role-related stressors and conflict at work: Consequences for work attitudes and performance of hospitality employees. International journal of hospitality management, 94, 102857.</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Reddin, K. (2024). KPMG Survey: Workplace Friendships Play a Critical Role in Employee Mental Health, Job Satisfaction. KPMG. https://kpmg.com/us/en/media/news/kpmg-survey-workplace-friendships.html</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Roy, B. (2024). Why You Need to Build a Culture of Recognition. Bigfishbenefits.com. https://www.bigfishbenefits.com/blog/culture-of-recognition</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Sahni, J. (2021). Employee Engagement Among Millennial Workforce: Empirical Study on Selected Antecedents and Consequences. SAGE Open, 11(1). Sagepub. https://doi.org/10.1177/21582440211002208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Sandeep, K. S., &amp; Neeraja, Dr. M. (2024). Understanding the Role </w:t>
      </w:r>
      <w:proofErr w:type="gramStart"/>
      <w:r w:rsidRPr="00E36799">
        <w:rPr>
          <w:sz w:val="22"/>
          <w:szCs w:val="22"/>
        </w:rPr>
        <w:t>Of</w:t>
      </w:r>
      <w:proofErr w:type="gramEnd"/>
      <w:r w:rsidRPr="00E36799">
        <w:rPr>
          <w:sz w:val="22"/>
          <w:szCs w:val="22"/>
        </w:rPr>
        <w:t xml:space="preserve"> Compensation In Attracting And Retaining Talent A Comparative Study Of Public, Private, And Foreign Banks. file:///C:/Users/Admin/Downloads/understanding-the-role-of-compensation-in-attracting-and-retaining-talent-a-comparative-study-of-publi.pdf</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Santhosh. (2022). Effective Employee Engagement Leadership to Enhance your Workplace. Www.culturemonkey.io. https://www.culturemonkey.io/employee-engagement/employee-engagement-leadership/</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Sebete, T. (2020). Employee reward system in the corporate and investment banking sector of Standard Lesotho Bank in Maseru region.</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Shiri, R., El-Metwally, A., Sallinen, M., Pöyry, M., Härmä, M., &amp; Toppinen-Tanner, S. (2023). The Role of Continuing Professional Training or Development in Maintaining Current Employment: A Systematic Review. Healthcare, 11(21), 2900. https://doi.org/10.3390/healthcare11212900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lastRenderedPageBreak/>
        <w:t>Shockley, M. D. (2022). Getting Ready to Work: Using Initial Job Training at Sun East to Impact Perception of Role Preparedness &amp; Intention to Remain on the Frontline. Wilmington University (Delaware).</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Siddiq, K. A. J., &amp; Jamal, A. Z. (2024). Organizational Culture and Its Effect on Employee Motivation. Journal for Research in Applied Sciences and Biotechnology.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Silud, D. D., Bernales, T. P., Edos, A. K., &amp; Valdez, S. M. (2024). Effect of Motivation and Work Environment </w:t>
      </w:r>
      <w:proofErr w:type="gramStart"/>
      <w:r w:rsidRPr="00E36799">
        <w:rPr>
          <w:sz w:val="22"/>
          <w:szCs w:val="22"/>
        </w:rPr>
        <w:t>On</w:t>
      </w:r>
      <w:proofErr w:type="gramEnd"/>
      <w:r w:rsidRPr="00E36799">
        <w:rPr>
          <w:sz w:val="22"/>
          <w:szCs w:val="22"/>
        </w:rPr>
        <w:t xml:space="preserve"> The Performance of Hotel Employees In Davao City. ResearchGate, Volume 10(No. 1 / 2023-2024), 25. https://www.researchgate.net/publication/378401911_Effect_of_Motivation_and_Work_Environment_On_The_Performance_of_Hotel_Employees_In_Davao_City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Siregar, Z. M. E. (2022). Extrinsic Motivation and Organizational </w:t>
      </w:r>
      <w:proofErr w:type="gramStart"/>
      <w:r w:rsidRPr="00E36799">
        <w:rPr>
          <w:sz w:val="22"/>
          <w:szCs w:val="22"/>
        </w:rPr>
        <w:t>Commitment :</w:t>
      </w:r>
      <w:proofErr w:type="gramEnd"/>
      <w:r w:rsidRPr="00E36799">
        <w:rPr>
          <w:sz w:val="22"/>
          <w:szCs w:val="22"/>
        </w:rPr>
        <w:t xml:space="preserve"> A Literarure Review. International Journal of Business, Technology and Organizational Behavior (IJBTOB), 2(4), 397–402. https://doi.org/10.52218/ijbtob.v2i4.214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Smith, G. (2024). What Role Does Leadership Play in Enhancing Workplace Engagement? Www.thrivesparrow.com. https://www.thrivesparrow.com/blog/role-of-leadership-in-employee-engagement</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Soliman, E. R. C. (2023). WORK ENVIRONMENT, WORK-LIFE BALANCE, JOB ATTITUDES AND PRODUCTIVITY OF TELECOMMUTING EMPLOYEES IN THE PHILIPPINES. International Journal of Progressive Research in Engineering Management and Science, 3(3). https://doi.org/10.58257/ijprems30806</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Sri Harini, Tini Kartini, &amp; Sulastri Aulia. (2024). Employee Retention through Organizational Commitment, Work Engagement, and Job Satisfaction. Journal of Economics Finance and Management Studies, 07(08). https://doi.org/10.47191/jefms/v7-i8-64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Sulayon, A., &amp; Traje, C. M. (2022). INFLUENCE OF EMPLOYEE ENGAGEMENT ON THE ORGANIZATIONAL COMMITMENT AMONG EMPLOYEES OF COMMERCIAL BANKS. 06, 144–150.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Suriati, S., Ibrahim, M. B. H., Irawan, A., Akbar, M. A., &amp; Yendra, Y. (2024). Effective Strategies for Retaining and Nurturing Employees in Organizations. Advances: Jurnal Ekonomi &amp; Bisnis, 2(3), 151–162. https://doi.org/10.60079/ajeb.v2i3.191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Swank, A. (2022). What is employee engagement and why is it important? Effectory - Listen. Learn. Lead. https://www.effectory.com/knowledge/what-is-employee-engagement/</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Taheri, R. H., Miah, Md. S., &amp; Kamaruzzaman, Md. (2020). Impact of Working Environment on Job Satisfaction. European Journal of Business and Management Research, 5(6). https://doi.org/10.24018/ejbmr.2020.5.6.643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Tahir, H. (2021). Exploration of self-actualization and belongingness in divergent through the lens of Maslow’s hierarchy of needs. Research Journal of Language and Literature (RJLL), 6(1).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Tarrayo, V. N. (2023). Gender-fair language in English language teaching: insights from teachers in Philippine higher education institutions. Language and education, 37(4), 483-499.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Tatar, A. (2020). (PDF) Impact of Job Satisfaction on Organizational Commitment. ResearchGate. https://www.researchgate.net/publication/339401568_Impact_of_Job_Satisfaction_on_Organizational_Commitment</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Taylor, J. (2025). How Total Rewards is Important for Employee Retention. Taylor Moving and Storage. https://ataylormoving.com/blog/how-total-rewards-is-important-for-employee-retention</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lastRenderedPageBreak/>
        <w:t>Tenney, M. (2024). Employee Motivation and Its Impact on Productivity. PeopleThriver - We Help Your People to Thrive. https://peoplethriver.com/employee-motivation-and-its-impact-on-productivity/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Thornhill-Miller, B., Camarda, A., Mercier, M., Burkhardt, J. M., Morisseau, T., Bourgeois-Bougrine, S., ... &amp; Lubart, T. (2023). Creativity, critical thinking, communication, and collaboration: assessment, certification, and promotion of 21st century skills for the future of work and education. Journal of Intelligence, 11(3), 54.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Touma, J. (2021). Theories X and Y in combination for effective change during economic crisis. Journal of Human Resource and Sustainability Studies, 9(01), 20.</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Tudlong, L. (2025). Work Motivation and Organizational Commitment of Bank Employees in Bontoc, Mountain Province. https://accred2025.mpsu.edu.ph/wp</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Uka, A., &amp; Prendi, A. (2021). Motivation as an indicator of performance and productivity from the perspective of employees. ResearchGate; Walter de Gruyter. https://www.researchgate.net/publication/355149610_Motivation_as_an_indicator_of_performance_and_productivity_from_the_perspective_of_employees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University of Massachusetts. (2024). What is transformational leadership and why is it effective? University of Massachusetts Global. https://www.umassglobal.edu/news-and-events/blog/what-is-transformational-leadership</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University of Rochester Medical Center. (2025). Self-Determination Theory of Motivation - Center for Community Health &amp; Prevention - University of Rochester Medical Center. Www.urmc.rochester.edu. https://www.urmc.rochester.edu/community-health/patient-care/self-determination-theory</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Urme, U. N. (2023). The impact of talent management strategies on employee retention. International Journal of Science and Business, 28(1), 127-146.</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V S, A. (2024). The role of an employee empowerment program in workplace success. Culturemonkey. https://www.culturemonkey.io/employee-engagement/employee-empowerment-program/</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Valentine, T. (2020). Challenges to enhancing employee engagement with pension savings in the UK (Doctoral dissertation, 88wwz).</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Varianou-Mikellidou, C., Boustras, G., Nicolaidou, O., Dimopoulos, C., Anyfantis, I., &amp; Messios, P. (2020). Work-related factors and individual characteristics affecting work ability of different age groups. Safety Science, 128, 104755.</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Vinod, S., &amp; Ambatipudi, S. (2024). Burnout and occupational stress among Indian bank employees: An empirical study. Indian Journal of Management Research, 20(1), 56–78.</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Vo, T. T. D., Tuliao, K. V., &amp; Chen, C.-W. (2022). Work Motivation: </w:t>
      </w:r>
      <w:proofErr w:type="gramStart"/>
      <w:r w:rsidRPr="00E36799">
        <w:rPr>
          <w:sz w:val="22"/>
          <w:szCs w:val="22"/>
        </w:rPr>
        <w:t>the</w:t>
      </w:r>
      <w:proofErr w:type="gramEnd"/>
      <w:r w:rsidRPr="00E36799">
        <w:rPr>
          <w:sz w:val="22"/>
          <w:szCs w:val="22"/>
        </w:rPr>
        <w:t xml:space="preserve"> Roles of Individual Needs and Social Conditions. Behavioral Sciences, 12(2), 49. ncbi. https://doi.org/10.3390/bs12020049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Walker, S. (2024). Motivation theory in the workplace to improve productivity | PeopleHR. Www.peoplehr.com. https://www.peoplehr.com/en-gb/resources/blog/motivation-theory-in-the-workplace/</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Wallin, S., Fjellman-Wiklund, A., &amp; Fagerström, L. (2022). Work motivation and occupational self-efficacy belief to continue working among ageing home care nurses: a mixed methods study. BMC nursing, 21(1), 31.</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Wang, C.-K., Masukujjaman, M., Alam, S. S., Ahmad, I., Lin, C.-Y., &amp; Ho, Y.-H. (2023). The Effects of Service Quality Performance on Customer Satisfaction for Non-Banking Financial Institutions in an Emerging Economy. International Journal of Financial Studies, 11(1), 33. https://doi.org/10.3390/ijfs11010033</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 xml:space="preserve">Wheeler, R. S., &amp; Cabigas, M. E. A. (2024). Pupils’ Focus and Motivations: Their Influence on Mathematics Performance. INTERNATIONAL JOURNAL of </w:t>
      </w:r>
      <w:r w:rsidRPr="00E36799">
        <w:rPr>
          <w:sz w:val="22"/>
          <w:szCs w:val="22"/>
        </w:rPr>
        <w:lastRenderedPageBreak/>
        <w:t>MULTIDISCIPLINARY RESEARCH and ANALYSIS, 07(06). https://doi.org/10.47191/ijmra/v7-i06-04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Wilson, M. (2023). The Impact of Monetary Rewards on Employee Motivation and Performance. Bucketlist. https://bucketlistrewards.com/blog/impact-monetary-rewards-employees/</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Yap, L. A., Dupaya, J. M., Incognito, M. J., Yañez, J. Y., Pura, R. B., Candelaria, C., Briones, V. A., Ferrolino, A., &amp; Tumbali, M. V. (2024). Correlation between Productivity and Relationship with Co-Workers and Supervisors among Selected Nurses in Quezon City. Business Fora: Business and Allied Industries International Journal, 2(1), 47–54. https://doi.org/10.62718/vmca.bf-baiij.2.1.sc-0724-006</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Yean, T. F., Johari, J., Yahya, K. K., &amp; Chin, T. L. (2022). Determinants of Job Dissatisfaction and Its Impact on the Counterproductive Work Behavior of University Staff. SAGE Open, 12(3), 215824402211232. sagepub. https://doi.org/10.1177/21582440221123289</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Zhang, W., Zeng, X., Liang, H., Xue, Y., &amp; Cao, X. (2023). Understanding how organizational culture affects innovation performance: A management context perspective. Sustainability, 15(8), 1–18. https://doi.org/10.3390/su15086644</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Zhao, L., Liu, P., Zhang, F., Xu, S., &amp; Liu, Y. (2022). How does perceived respect affect innovative behavior? The role of thriving at work and spiritual leadership. Frontiers in Psychology, 13(13). https://doi.org/10.3389/fpsyg.2022.978042</w:t>
      </w:r>
    </w:p>
    <w:p w:rsidR="00EE3483" w:rsidRPr="00E36799" w:rsidRDefault="000B4739" w:rsidP="00E36799">
      <w:pPr>
        <w:pStyle w:val="ListParagraph"/>
        <w:numPr>
          <w:ilvl w:val="0"/>
          <w:numId w:val="7"/>
        </w:numPr>
        <w:spacing w:before="240" w:after="240" w:line="240" w:lineRule="auto"/>
        <w:rPr>
          <w:sz w:val="22"/>
          <w:szCs w:val="22"/>
        </w:rPr>
      </w:pPr>
      <w:r w:rsidRPr="00E36799">
        <w:rPr>
          <w:sz w:val="22"/>
          <w:szCs w:val="22"/>
        </w:rPr>
        <w:t>Zhenjing, G., Chupradit, S., Ku, K. Y., Nassani, A. A., &amp; Haffar, M. (2022). Impact of employees’ workplace environment on employees’ performance: A multi-mediation model. Frontiers in Public Health, 10(890400). NCBI. https://doi.org/10.3389/fpubh.2022.890400</w:t>
      </w:r>
    </w:p>
    <w:p w:rsidR="00EE3483" w:rsidRDefault="00EE3483">
      <w:pPr>
        <w:spacing w:before="240" w:after="240" w:line="240" w:lineRule="auto"/>
        <w:rPr>
          <w:sz w:val="22"/>
          <w:szCs w:val="22"/>
        </w:rPr>
      </w:pPr>
    </w:p>
    <w:p w:rsidR="00EE3483" w:rsidRDefault="00EE3483">
      <w:pPr>
        <w:spacing w:before="240" w:after="240" w:line="240" w:lineRule="auto"/>
        <w:rPr>
          <w:b/>
          <w:sz w:val="22"/>
          <w:szCs w:val="22"/>
        </w:rPr>
      </w:pPr>
    </w:p>
    <w:p w:rsidR="00EE3483" w:rsidRDefault="00EE3483">
      <w:pPr>
        <w:spacing w:before="240" w:after="240" w:line="240" w:lineRule="auto"/>
        <w:rPr>
          <w:b/>
          <w:sz w:val="22"/>
          <w:szCs w:val="22"/>
        </w:rPr>
      </w:pPr>
    </w:p>
    <w:p w:rsidR="00EE3483" w:rsidRDefault="00EE3483">
      <w:pPr>
        <w:spacing w:before="240" w:after="240" w:line="240" w:lineRule="auto"/>
        <w:rPr>
          <w:b/>
          <w:sz w:val="22"/>
          <w:szCs w:val="22"/>
        </w:rPr>
      </w:pPr>
    </w:p>
    <w:p w:rsidR="00EE3483" w:rsidRDefault="00EE3483">
      <w:pPr>
        <w:spacing w:before="240" w:after="240" w:line="240" w:lineRule="auto"/>
        <w:rPr>
          <w:b/>
          <w:sz w:val="22"/>
          <w:szCs w:val="22"/>
        </w:rPr>
      </w:pPr>
    </w:p>
    <w:p w:rsidR="00EE3483" w:rsidRDefault="00EE3483">
      <w:pPr>
        <w:spacing w:before="240" w:after="240" w:line="240" w:lineRule="auto"/>
        <w:rPr>
          <w:sz w:val="20"/>
          <w:szCs w:val="20"/>
        </w:rPr>
      </w:pPr>
    </w:p>
    <w:sectPr w:rsidR="00EE348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A99" w:rsidRDefault="00023A99">
      <w:pPr>
        <w:spacing w:line="240" w:lineRule="auto"/>
      </w:pPr>
      <w:r>
        <w:separator/>
      </w:r>
    </w:p>
  </w:endnote>
  <w:endnote w:type="continuationSeparator" w:id="0">
    <w:p w:rsidR="00023A99" w:rsidRDefault="00023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83" w:rsidRDefault="00EE3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83" w:rsidRDefault="00EE3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A99" w:rsidRDefault="00023A99">
      <w:pPr>
        <w:spacing w:line="240" w:lineRule="auto"/>
      </w:pPr>
      <w:r>
        <w:separator/>
      </w:r>
    </w:p>
  </w:footnote>
  <w:footnote w:type="continuationSeparator" w:id="0">
    <w:p w:rsidR="00023A99" w:rsidRDefault="00023A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83" w:rsidRDefault="002515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92.85pt;height:66.9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83" w:rsidRDefault="002515C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92.85pt;height:66.9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83" w:rsidRDefault="002515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92.85pt;height:66.9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00000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00000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0000004"/>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0000005"/>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784154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B73812"/>
    <w:multiLevelType w:val="hybridMultilevel"/>
    <w:tmpl w:val="70A8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zMDA2NLA0MTYyMDBR0lEKTi0uzszPAykwrAUAZebJsywAAAA="/>
  </w:docVars>
  <w:rsids>
    <w:rsidRoot w:val="00EE3483"/>
    <w:rsid w:val="00023A99"/>
    <w:rsid w:val="000B4739"/>
    <w:rsid w:val="002515CC"/>
    <w:rsid w:val="00337907"/>
    <w:rsid w:val="003E2EB4"/>
    <w:rsid w:val="007E00FB"/>
    <w:rsid w:val="00E36799"/>
    <w:rsid w:val="00EE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230E03"/>
  <w15:docId w15:val="{07457DF7-1A06-42D8-AA36-3DD4022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400" w:after="120"/>
      <w:jc w:val="left"/>
      <w:outlineLvl w:val="0"/>
    </w:pPr>
    <w:rPr>
      <w:color w:val="000000"/>
      <w:sz w:val="40"/>
      <w:szCs w:val="40"/>
    </w:rPr>
  </w:style>
  <w:style w:type="paragraph" w:styleId="Heading2">
    <w:name w:val="heading 2"/>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120"/>
      <w:jc w:val="left"/>
      <w:outlineLvl w:val="1"/>
    </w:pPr>
    <w:rPr>
      <w:color w:val="000000"/>
      <w:sz w:val="32"/>
      <w:szCs w:val="32"/>
    </w:rPr>
  </w:style>
  <w:style w:type="paragraph" w:styleId="Heading3">
    <w:name w:val="heading 3"/>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320" w:after="80"/>
      <w:jc w:val="left"/>
      <w:outlineLvl w:val="2"/>
    </w:pPr>
    <w:rPr>
      <w:color w:val="434343"/>
      <w:sz w:val="28"/>
      <w:szCs w:val="28"/>
    </w:rPr>
  </w:style>
  <w:style w:type="paragraph" w:styleId="Heading4">
    <w:name w:val="heading 4"/>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80" w:after="80"/>
      <w:jc w:val="left"/>
      <w:outlineLvl w:val="3"/>
    </w:pPr>
    <w:rPr>
      <w:color w:val="666666"/>
      <w:sz w:val="24"/>
      <w:szCs w:val="24"/>
    </w:rPr>
  </w:style>
  <w:style w:type="paragraph" w:styleId="Heading5">
    <w:name w:val="heading 5"/>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4"/>
    </w:pPr>
    <w:rPr>
      <w:color w:val="666666"/>
      <w:sz w:val="22"/>
      <w:szCs w:val="22"/>
    </w:rPr>
  </w:style>
  <w:style w:type="paragraph" w:styleId="Heading6">
    <w:name w:val="heading 6"/>
    <w:basedOn w:val="Normal1"/>
    <w:next w:val="Normal1"/>
    <w:uiPriority w:val="9"/>
    <w:semiHidden/>
    <w:unhideWhenUsed/>
    <w:qFormat/>
    <w:pPr>
      <w:keepNext/>
      <w:keepLines/>
      <w:pBdr>
        <w:top w:val="none" w:sz="0" w:space="0" w:color="000000"/>
        <w:left w:val="none" w:sz="0" w:space="0" w:color="000000"/>
        <w:bottom w:val="none" w:sz="0" w:space="0" w:color="000000"/>
        <w:right w:val="none" w:sz="0" w:space="0" w:color="000000"/>
        <w:between w:val="none" w:sz="0" w:space="0" w:color="000000"/>
      </w:pBdr>
      <w:spacing w:before="240" w:after="80"/>
      <w:jc w:val="left"/>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0">
    <w:name w:val="TableNormal"/>
    <w:tblPr>
      <w:tblCellMar>
        <w:top w:w="0" w:type="dxa"/>
        <w:left w:w="0" w:type="dxa"/>
        <w:bottom w:w="0" w:type="dxa"/>
        <w:right w:w="0" w:type="dxa"/>
      </w:tblCellMar>
    </w:tblPr>
  </w:style>
  <w:style w:type="paragraph" w:styleId="Title">
    <w:name w:val="Title"/>
    <w:basedOn w:val="Normal1"/>
    <w:next w:val="Normal1"/>
    <w:uiPriority w:val="10"/>
    <w:qFormat/>
    <w:pPr>
      <w:keepNext/>
      <w:keepLines/>
      <w:pBdr>
        <w:top w:val="none" w:sz="0" w:space="0" w:color="000000"/>
        <w:left w:val="none" w:sz="0" w:space="0" w:color="000000"/>
        <w:bottom w:val="none" w:sz="0" w:space="0" w:color="000000"/>
        <w:right w:val="none" w:sz="0" w:space="0" w:color="000000"/>
        <w:between w:val="none" w:sz="0" w:space="0" w:color="000000"/>
      </w:pBdr>
      <w:spacing w:after="60"/>
      <w:jc w:val="left"/>
    </w:pPr>
    <w:rPr>
      <w:color w:val="000000"/>
      <w:sz w:val="52"/>
      <w:szCs w:val="52"/>
    </w:rPr>
  </w:style>
  <w:style w:type="paragraph" w:styleId="Subtitle">
    <w:name w:val="Subtitle"/>
    <w:basedOn w:val="Normal1"/>
    <w:next w:val="Normal1"/>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after="320"/>
      <w:jc w:val="left"/>
    </w:pPr>
    <w:rPr>
      <w:color w:val="666666"/>
      <w:sz w:val="30"/>
      <w:szCs w:val="30"/>
    </w:rPr>
  </w:style>
  <w:style w:type="table" w:customStyle="1" w:styleId="a">
    <w:basedOn w:val="TableNormal0"/>
    <w:pPr>
      <w:widowControl w:val="0"/>
    </w:pPr>
    <w:tblPr>
      <w:tblStyleRowBandSize w:val="1"/>
      <w:tblStyleColBandSize w:val="1"/>
      <w:tblCellMar>
        <w:left w:w="108" w:type="dxa"/>
        <w:right w:w="108" w:type="dxa"/>
      </w:tblCellMar>
    </w:tblPr>
  </w:style>
  <w:style w:type="table" w:customStyle="1" w:styleId="a0">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customStyle="1" w:styleId="normal0">
    <w:name w:val="&quot;normal&quot;"/>
  </w:style>
  <w:style w:type="paragraph" w:styleId="ListParagraph">
    <w:name w:val="List Paragraph"/>
    <w:basedOn w:val="Normal"/>
    <w:uiPriority w:val="34"/>
    <w:qFormat/>
    <w:rsid w:val="00E3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11483</Words>
  <Characters>65455</Characters>
  <Application>Microsoft Office Word</Application>
  <DocSecurity>0</DocSecurity>
  <Lines>545</Lines>
  <Paragraphs>153</Paragraphs>
  <ScaleCrop>false</ScaleCrop>
  <Company/>
  <LinksUpToDate>false</LinksUpToDate>
  <CharactersWithSpaces>76785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PC New 16</cp:lastModifiedBy>
  <cp:revision>7</cp:revision>
  <dcterms:created xsi:type="dcterms:W3CDTF">2026-01-24T02:24:00Z</dcterms:created>
  <dcterms:modified xsi:type="dcterms:W3CDTF">2026-02-04T12:06:00Z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1b6355ec60e041739823dc1d9038917c</vt:lpwstr>
  </property>
</Properties>
</file>