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D14C8" w14:textId="77777777" w:rsidR="00314D07" w:rsidRDefault="00314D07" w:rsidP="00441B6F">
      <w:pPr>
        <w:pStyle w:val="Title"/>
        <w:spacing w:after="0"/>
        <w:jc w:val="both"/>
        <w:rPr>
          <w:rFonts w:ascii="Arial" w:hAnsi="Arial" w:cs="Arial"/>
        </w:rPr>
      </w:pPr>
    </w:p>
    <w:p w14:paraId="680D6D78" w14:textId="39FDD4A4" w:rsidR="00163BC4" w:rsidRPr="00163BC4" w:rsidRDefault="00ED0768" w:rsidP="00441B6F">
      <w:pPr>
        <w:pStyle w:val="Author"/>
        <w:spacing w:line="240" w:lineRule="auto"/>
        <w:rPr>
          <w:rFonts w:ascii="Arial" w:hAnsi="Arial" w:cs="Arial"/>
          <w:bCs/>
          <w:iCs/>
          <w:kern w:val="28"/>
          <w:sz w:val="36"/>
        </w:rPr>
      </w:pPr>
      <w:r>
        <w:rPr>
          <w:rFonts w:ascii="Arial" w:hAnsi="Arial" w:cs="Arial"/>
          <w:bCs/>
          <w:iCs/>
          <w:kern w:val="28"/>
          <w:sz w:val="36"/>
        </w:rPr>
        <w:t>Hydrological, Ecological and Land Use Dynamics of Watersheds in the Ilocos Region, Northern Philippine</w:t>
      </w:r>
      <w:r w:rsidR="00F538E9">
        <w:rPr>
          <w:rFonts w:ascii="Arial" w:hAnsi="Arial" w:cs="Arial"/>
          <w:bCs/>
          <w:iCs/>
          <w:kern w:val="28"/>
          <w:sz w:val="36"/>
        </w:rPr>
        <w:t>s</w:t>
      </w:r>
    </w:p>
    <w:p w14:paraId="662D8C8D" w14:textId="77777777" w:rsidR="00A258C3" w:rsidRPr="00790ADA" w:rsidRDefault="00A258C3" w:rsidP="00441B6F">
      <w:pPr>
        <w:pStyle w:val="Author"/>
        <w:spacing w:line="240" w:lineRule="auto"/>
        <w:jc w:val="both"/>
        <w:rPr>
          <w:rFonts w:ascii="Arial" w:hAnsi="Arial" w:cs="Arial"/>
          <w:sz w:val="36"/>
        </w:rPr>
      </w:pPr>
    </w:p>
    <w:p w14:paraId="2D8A0F62" w14:textId="77777777" w:rsidR="00790ADA" w:rsidRDefault="00790ADA" w:rsidP="00441B6F">
      <w:pPr>
        <w:pStyle w:val="Affiliation"/>
        <w:spacing w:after="0" w:line="240" w:lineRule="auto"/>
        <w:jc w:val="both"/>
        <w:rPr>
          <w:rFonts w:ascii="Arial" w:hAnsi="Arial" w:cs="Arial"/>
        </w:rPr>
      </w:pPr>
    </w:p>
    <w:p w14:paraId="247CDFF8" w14:textId="77777777" w:rsidR="002C57D2" w:rsidRPr="00FB3A86" w:rsidRDefault="002C57D2" w:rsidP="00441B6F">
      <w:pPr>
        <w:pStyle w:val="Affiliation"/>
        <w:spacing w:after="0" w:line="240" w:lineRule="auto"/>
        <w:jc w:val="both"/>
        <w:rPr>
          <w:rFonts w:ascii="Arial" w:hAnsi="Arial" w:cs="Arial"/>
        </w:rPr>
      </w:pPr>
    </w:p>
    <w:p w14:paraId="65A8FDDD" w14:textId="77777777" w:rsidR="00B01FCD" w:rsidRPr="00FB3A86" w:rsidRDefault="00FE13F3" w:rsidP="00441B6F">
      <w:pPr>
        <w:pStyle w:val="Copyright"/>
        <w:spacing w:after="0" w:line="240" w:lineRule="auto"/>
        <w:jc w:val="both"/>
        <w:rPr>
          <w:rFonts w:ascii="Arial" w:hAnsi="Arial" w:cs="Arial"/>
        </w:rPr>
        <w:sectPr w:rsidR="00B01FCD" w:rsidRPr="00FB3A86" w:rsidSect="007A6AE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67841B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F200026" w14:textId="0996C1FB" w:rsidR="00B01FCD" w:rsidRDefault="00B01FCD" w:rsidP="00441B6F">
      <w:pPr>
        <w:pStyle w:val="AbstHead"/>
        <w:spacing w:after="0"/>
        <w:jc w:val="both"/>
        <w:rPr>
          <w:rFonts w:ascii="Arial" w:hAnsi="Arial" w:cs="Arial"/>
        </w:rPr>
      </w:pPr>
      <w:r w:rsidRPr="00FB3A86">
        <w:rPr>
          <w:rFonts w:ascii="Arial" w:hAnsi="Arial" w:cs="Arial"/>
        </w:rPr>
        <w:t>ABSTRACT</w:t>
      </w:r>
    </w:p>
    <w:p w14:paraId="29B264C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F5ECD69" w14:textId="77777777" w:rsidTr="001E44FE">
        <w:tc>
          <w:tcPr>
            <w:tcW w:w="9576" w:type="dxa"/>
            <w:shd w:val="clear" w:color="auto" w:fill="F2F2F2"/>
          </w:tcPr>
          <w:p w14:paraId="0B48B545" w14:textId="75153700" w:rsidR="00505F06" w:rsidRPr="00DB12AF" w:rsidRDefault="00DB12AF" w:rsidP="00BE42B4">
            <w:pPr>
              <w:pStyle w:val="Body"/>
              <w:rPr>
                <w:rFonts w:ascii="Arial" w:eastAsia="Calibri" w:hAnsi="Arial" w:cs="Arial"/>
                <w:szCs w:val="22"/>
                <w:lang w:val="en-PH"/>
              </w:rPr>
            </w:pPr>
            <w:r w:rsidRPr="00DB12AF">
              <w:rPr>
                <w:rFonts w:ascii="Arial" w:eastAsia="Calibri" w:hAnsi="Arial" w:cs="Arial"/>
                <w:szCs w:val="22"/>
                <w:lang w:val="en-PH"/>
              </w:rPr>
              <w:t>Watersheds are essential ecological and hydrological systems that provide freshwater resources, regulate floods, sustain biodiversity, and support agricultural livelihoods in the Philippines. In the Ilocos Region of Northern Philippines, watershed systems are particularly significant due to the region’s upland landscapes and strong exposure to monsoonal rainfall and tropical cyclones, which drive hydrological variability and influence ecosystem stability. However, increasing land-use change</w:t>
            </w:r>
            <w:r>
              <w:rPr>
                <w:rFonts w:ascii="Arial" w:eastAsia="Calibri" w:hAnsi="Arial" w:cs="Arial"/>
                <w:szCs w:val="22"/>
                <w:lang w:val="en-PH"/>
              </w:rPr>
              <w:t xml:space="preserve"> </w:t>
            </w:r>
            <w:r w:rsidRPr="00DB12AF">
              <w:rPr>
                <w:rFonts w:ascii="Arial" w:eastAsia="Calibri" w:hAnsi="Arial" w:cs="Arial"/>
                <w:szCs w:val="22"/>
                <w:lang w:val="en-PH"/>
              </w:rPr>
              <w:t>including deforestation, agricultural expansion, and settlement development</w:t>
            </w:r>
            <w:r>
              <w:rPr>
                <w:rFonts w:ascii="Arial" w:eastAsia="Calibri" w:hAnsi="Arial" w:cs="Arial"/>
                <w:szCs w:val="22"/>
                <w:lang w:val="en-PH"/>
              </w:rPr>
              <w:t xml:space="preserve"> </w:t>
            </w:r>
            <w:r w:rsidRPr="00DB12AF">
              <w:rPr>
                <w:rFonts w:ascii="Arial" w:eastAsia="Calibri" w:hAnsi="Arial" w:cs="Arial"/>
                <w:szCs w:val="22"/>
                <w:lang w:val="en-PH"/>
              </w:rPr>
              <w:t>together with climate variability is placing growing pressure on these watershed ecosystems.</w:t>
            </w:r>
            <w:r>
              <w:rPr>
                <w:rFonts w:ascii="Arial" w:eastAsia="Calibri" w:hAnsi="Arial" w:cs="Arial"/>
                <w:szCs w:val="22"/>
                <w:lang w:val="en-PH"/>
              </w:rPr>
              <w:t xml:space="preserve"> </w:t>
            </w:r>
            <w:r w:rsidRPr="00DB12AF">
              <w:rPr>
                <w:rFonts w:ascii="Arial" w:eastAsia="Calibri" w:hAnsi="Arial" w:cs="Arial"/>
                <w:szCs w:val="22"/>
                <w:lang w:val="en-PH"/>
              </w:rPr>
              <w:t>This mini-review synthesizes literature on the hydrological, ecological, and land-use dynamics of watersheds in the Ilocos Region using a structured narrative synthesis of peer-reviewed literature, government reports, and regional studies retrieved from major academic databases. Findings consistently indicate that forest loss and land conversion increase surface runoff, reduce infiltration, accelerate soil erosion, and degrade water quality. These changes disrupt freshwater ecosystems, weaken ecosystem services, and heighten risks of flooding and seasonal water scarcity for surrounding communities. Although management approaches such as community-based forest management and integrated watershed management have been introduced, effectiveness is often constrained by institutional fragmentation, insufficient long-term monitoring, and weak integration between research and policy.</w:t>
            </w:r>
            <w:r>
              <w:rPr>
                <w:rFonts w:ascii="Arial" w:eastAsia="Calibri" w:hAnsi="Arial" w:cs="Arial"/>
                <w:szCs w:val="22"/>
                <w:lang w:val="en-PH"/>
              </w:rPr>
              <w:t xml:space="preserve"> </w:t>
            </w:r>
            <w:r w:rsidRPr="00DB12AF">
              <w:rPr>
                <w:rFonts w:ascii="Arial" w:eastAsia="Calibri" w:hAnsi="Arial" w:cs="Arial"/>
                <w:szCs w:val="22"/>
                <w:lang w:val="en-PH"/>
              </w:rPr>
              <w:t>Key research gaps include limited long-term hydrological datasets, insufficient integration of biodiversity indicators in watershed assessments, and a lack of basin-scale analyses linking land-use change to hydrological and ecological processes. Addressing these gaps and strengthening collaboration among scientists, policymakers, and local stakeholders will be critical for advancing sustainable and climate-resilient watershed management in the Ilocos Region and similar tropical landscapes.</w:t>
            </w:r>
          </w:p>
        </w:tc>
      </w:tr>
    </w:tbl>
    <w:p w14:paraId="72FB41EF" w14:textId="77777777" w:rsidR="00636EB2" w:rsidRDefault="00636EB2" w:rsidP="00441B6F">
      <w:pPr>
        <w:pStyle w:val="Body"/>
        <w:spacing w:after="0"/>
        <w:rPr>
          <w:rFonts w:ascii="Arial" w:hAnsi="Arial" w:cs="Arial"/>
          <w:i/>
        </w:rPr>
      </w:pPr>
    </w:p>
    <w:p w14:paraId="2C1D535B" w14:textId="57DADC46" w:rsidR="00A24E7E" w:rsidRDefault="00A24E7E" w:rsidP="00441B6F">
      <w:pPr>
        <w:pStyle w:val="Body"/>
        <w:spacing w:after="0"/>
        <w:rPr>
          <w:rFonts w:ascii="Arial" w:hAnsi="Arial" w:cs="Arial"/>
          <w:i/>
        </w:rPr>
      </w:pPr>
      <w:r>
        <w:rPr>
          <w:rFonts w:ascii="Arial" w:hAnsi="Arial" w:cs="Arial"/>
          <w:i/>
        </w:rPr>
        <w:t xml:space="preserve">Keywords: </w:t>
      </w:r>
      <w:r w:rsidR="002F2FAE" w:rsidRPr="002F2FAE">
        <w:rPr>
          <w:rFonts w:ascii="Arial" w:hAnsi="Arial" w:cs="Arial"/>
          <w:i/>
        </w:rPr>
        <w:t>biodiversity; climate variability; ecosystem services; governance; Ilocos Region; land-use change; watershed hydrology.</w:t>
      </w:r>
    </w:p>
    <w:p w14:paraId="47DF2341" w14:textId="77777777" w:rsidR="00505F06" w:rsidRPr="00A24E7E" w:rsidRDefault="00505F06" w:rsidP="00441B6F">
      <w:pPr>
        <w:pStyle w:val="Body"/>
        <w:spacing w:after="0"/>
        <w:rPr>
          <w:rFonts w:ascii="Arial" w:hAnsi="Arial" w:cs="Arial"/>
          <w:i/>
        </w:rPr>
      </w:pPr>
    </w:p>
    <w:p w14:paraId="5658533F" w14:textId="127BE4A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57E818A" w14:textId="77777777" w:rsidR="00790ADA" w:rsidRPr="00FB3A86" w:rsidRDefault="00790ADA" w:rsidP="00441B6F">
      <w:pPr>
        <w:pStyle w:val="AbstHead"/>
        <w:spacing w:after="0"/>
        <w:jc w:val="both"/>
        <w:rPr>
          <w:rFonts w:ascii="Arial" w:hAnsi="Arial" w:cs="Arial"/>
        </w:rPr>
      </w:pPr>
    </w:p>
    <w:p w14:paraId="419CE3F9" w14:textId="46A794E9" w:rsidR="00ED0768" w:rsidRPr="00ED0768" w:rsidRDefault="00ED0768" w:rsidP="00ED0768">
      <w:pPr>
        <w:pStyle w:val="Body"/>
        <w:rPr>
          <w:rFonts w:ascii="Arial" w:hAnsi="Arial" w:cs="Arial"/>
        </w:rPr>
      </w:pPr>
      <w:r w:rsidRPr="00ED0768">
        <w:rPr>
          <w:rFonts w:ascii="Arial" w:hAnsi="Arial" w:cs="Arial"/>
        </w:rPr>
        <w:t>Watersheds are fundamental ecological and hydrological units that regulate water flow, sustain biodiversity, and support socio-economic development. In tropical countries such as the Philippines, watersheds play a critical role in maintaining water security for agriculture, domestic consumption, hydropower generation, and ecosystem stability (</w:t>
      </w:r>
      <w:r w:rsidR="008E32F1">
        <w:rPr>
          <w:rFonts w:ascii="Arial" w:hAnsi="Arial" w:cs="Arial"/>
        </w:rPr>
        <w:t>Lasco</w:t>
      </w:r>
      <w:r w:rsidRPr="00ED0768">
        <w:rPr>
          <w:rFonts w:ascii="Arial" w:hAnsi="Arial" w:cs="Arial"/>
        </w:rPr>
        <w:t xml:space="preserve"> et al., 20</w:t>
      </w:r>
      <w:r w:rsidR="008E32F1">
        <w:rPr>
          <w:rFonts w:ascii="Arial" w:hAnsi="Arial" w:cs="Arial"/>
        </w:rPr>
        <w:t>08</w:t>
      </w:r>
      <w:r w:rsidRPr="00ED0768">
        <w:rPr>
          <w:rFonts w:ascii="Arial" w:hAnsi="Arial" w:cs="Arial"/>
        </w:rPr>
        <w:t>). However, increasing land use pressures and climate variability have intensified stress on watershed systems, particularly in regions characterized by steep topography and monsoonal rainfall patterns.</w:t>
      </w:r>
    </w:p>
    <w:p w14:paraId="3AE29E99" w14:textId="3A57990B" w:rsidR="00ED0768" w:rsidRPr="00ED0768" w:rsidRDefault="00ED0768" w:rsidP="00ED0768">
      <w:pPr>
        <w:pStyle w:val="Body"/>
        <w:rPr>
          <w:rFonts w:ascii="Arial" w:hAnsi="Arial" w:cs="Arial"/>
        </w:rPr>
      </w:pPr>
      <w:r w:rsidRPr="00ED0768">
        <w:rPr>
          <w:rFonts w:ascii="Arial" w:hAnsi="Arial" w:cs="Arial"/>
        </w:rPr>
        <w:lastRenderedPageBreak/>
        <w:t>The Ilocos Region (Region I), located in Northern Philippines, is dominated by upland and mountainous landscapes draining toward the West Philippine Sea. Its watersheds are highly influenced by seasonal rainfall variability associated with the southwest monsoon and typhoon systems (</w:t>
      </w:r>
      <w:r w:rsidR="008E32F1">
        <w:rPr>
          <w:rFonts w:ascii="Arial" w:hAnsi="Arial" w:cs="Arial"/>
        </w:rPr>
        <w:t>Cinco et al., 2014</w:t>
      </w:r>
      <w:r w:rsidRPr="00ED0768">
        <w:rPr>
          <w:rFonts w:ascii="Arial" w:hAnsi="Arial" w:cs="Arial"/>
        </w:rPr>
        <w:t>). These climatic drivers, combined with land conversion and agricultural intensification, contribute to fluctuating streamflow regimes, sediment transport, and localized flooding events.</w:t>
      </w:r>
    </w:p>
    <w:p w14:paraId="22EB36F0" w14:textId="75E87D2D" w:rsidR="00ED0768" w:rsidRPr="00ED0768" w:rsidRDefault="00ED0768" w:rsidP="00ED0768">
      <w:pPr>
        <w:pStyle w:val="Body"/>
        <w:rPr>
          <w:rFonts w:ascii="Arial" w:hAnsi="Arial" w:cs="Arial"/>
        </w:rPr>
      </w:pPr>
      <w:r w:rsidRPr="00ED0768">
        <w:rPr>
          <w:rFonts w:ascii="Arial" w:hAnsi="Arial" w:cs="Arial"/>
        </w:rPr>
        <w:t>Land use change has been widely recognized as one of the primary drivers of watershed degradation globally (Foley et al., 2005). In the Philippine context, forest cover decline and upland agricultural expansion have been linked to increased soil erosion, sedimentation, and altered hydrological responses (Lasco et al., 200</w:t>
      </w:r>
      <w:r w:rsidR="000B2CB5">
        <w:rPr>
          <w:rFonts w:ascii="Arial" w:hAnsi="Arial" w:cs="Arial"/>
        </w:rPr>
        <w:t>8</w:t>
      </w:r>
      <w:r w:rsidRPr="00ED0768">
        <w:rPr>
          <w:rFonts w:ascii="Arial" w:hAnsi="Arial" w:cs="Arial"/>
        </w:rPr>
        <w:t xml:space="preserve">; </w:t>
      </w:r>
      <w:proofErr w:type="spellStart"/>
      <w:r w:rsidRPr="00ED0768">
        <w:rPr>
          <w:rFonts w:ascii="Arial" w:hAnsi="Arial" w:cs="Arial"/>
        </w:rPr>
        <w:t>Pulhin</w:t>
      </w:r>
      <w:proofErr w:type="spellEnd"/>
      <w:r w:rsidRPr="00ED0768">
        <w:rPr>
          <w:rFonts w:ascii="Arial" w:hAnsi="Arial" w:cs="Arial"/>
        </w:rPr>
        <w:t xml:space="preserve"> et al., 200</w:t>
      </w:r>
      <w:r w:rsidR="000B2CB5">
        <w:rPr>
          <w:rFonts w:ascii="Arial" w:hAnsi="Arial" w:cs="Arial"/>
        </w:rPr>
        <w:t>7</w:t>
      </w:r>
      <w:r w:rsidRPr="00ED0768">
        <w:rPr>
          <w:rFonts w:ascii="Arial" w:hAnsi="Arial" w:cs="Arial"/>
        </w:rPr>
        <w:t>). Even moderate shifts from forest to cultivated land can significantly influence runoff generation and watershed resilience, particularly in sloping terrain.</w:t>
      </w:r>
    </w:p>
    <w:p w14:paraId="34A7697C" w14:textId="77777777" w:rsidR="00ED0768" w:rsidRPr="00ED0768" w:rsidRDefault="00ED0768" w:rsidP="00ED0768">
      <w:pPr>
        <w:pStyle w:val="Body"/>
        <w:rPr>
          <w:rFonts w:ascii="Arial" w:hAnsi="Arial" w:cs="Arial"/>
        </w:rPr>
      </w:pPr>
      <w:r w:rsidRPr="00ED0768">
        <w:rPr>
          <w:rFonts w:ascii="Arial" w:hAnsi="Arial" w:cs="Arial"/>
        </w:rPr>
        <w:t>Beyond hydrology, watershed systems are also ecological landscapes that sustain terrestrial and freshwater biodiversity. Tropical forested watersheds contribute to nutrient cycling, carbon sequestration, and habitat connectivity (</w:t>
      </w:r>
      <w:proofErr w:type="spellStart"/>
      <w:r w:rsidRPr="00ED0768">
        <w:rPr>
          <w:rFonts w:ascii="Arial" w:hAnsi="Arial" w:cs="Arial"/>
        </w:rPr>
        <w:t>Vitousek</w:t>
      </w:r>
      <w:proofErr w:type="spellEnd"/>
      <w:r w:rsidRPr="00ED0768">
        <w:rPr>
          <w:rFonts w:ascii="Arial" w:hAnsi="Arial" w:cs="Arial"/>
        </w:rPr>
        <w:t xml:space="preserve"> et al., 1997). However, fragmentation and riparian encroachment may reduce ecological integrity and disrupt ecosystem services.</w:t>
      </w:r>
    </w:p>
    <w:p w14:paraId="15867ACA" w14:textId="77777777" w:rsidR="00ED0768" w:rsidRPr="00ED0768" w:rsidRDefault="00ED0768" w:rsidP="00ED0768">
      <w:pPr>
        <w:pStyle w:val="Body"/>
        <w:rPr>
          <w:rFonts w:ascii="Arial" w:hAnsi="Arial" w:cs="Arial"/>
        </w:rPr>
      </w:pPr>
      <w:r w:rsidRPr="00ED0768">
        <w:rPr>
          <w:rFonts w:ascii="Arial" w:hAnsi="Arial" w:cs="Arial"/>
        </w:rPr>
        <w:t>Despite the importance of watersheds in Region I, research remains fragmented and often localized. Many studies focus either on hydrological response, land use mapping, or biodiversity assessment, but integrated watershed-scale syntheses remain limited. A comprehensive review that links hydrology, land use change, biodiversity, and governance challenges is therefore necessary to inform evidence-based watershed management strategies.</w:t>
      </w:r>
    </w:p>
    <w:p w14:paraId="0722807C" w14:textId="63214876" w:rsidR="00790ADA" w:rsidRDefault="00ED0768" w:rsidP="00ED0768">
      <w:pPr>
        <w:pStyle w:val="Body"/>
        <w:spacing w:after="0"/>
        <w:rPr>
          <w:rFonts w:ascii="Arial" w:hAnsi="Arial" w:cs="Arial"/>
        </w:rPr>
      </w:pPr>
      <w:r w:rsidRPr="00ED0768">
        <w:rPr>
          <w:rFonts w:ascii="Arial" w:hAnsi="Arial" w:cs="Arial"/>
        </w:rPr>
        <w:t>This review aims to synthesize existing literature on watersheds in the Ilocos Region, with particular emphasis on (1) hydrological characteristics, (2) land use and land cover change, (3) biodiversity and ecological integrity, and (4) watershed governance and management challenges. By identifying key trends and research gaps, this paper contributes to a more integrated understanding of watershed dynamics in Northern Philippines.</w:t>
      </w:r>
    </w:p>
    <w:p w14:paraId="1C164893" w14:textId="77777777" w:rsidR="00ED0768" w:rsidRPr="00FB3A86" w:rsidRDefault="00ED0768" w:rsidP="00ED0768">
      <w:pPr>
        <w:pStyle w:val="Body"/>
        <w:spacing w:after="0"/>
        <w:rPr>
          <w:rFonts w:ascii="Arial" w:hAnsi="Arial" w:cs="Arial"/>
        </w:rPr>
      </w:pPr>
    </w:p>
    <w:p w14:paraId="51A7DB54" w14:textId="59D3625B" w:rsidR="007F7B32" w:rsidRDefault="00902823" w:rsidP="00441B6F">
      <w:pPr>
        <w:pStyle w:val="AbstHead"/>
        <w:spacing w:after="0"/>
        <w:jc w:val="both"/>
        <w:rPr>
          <w:rFonts w:ascii="Arial" w:hAnsi="Arial" w:cs="Arial"/>
        </w:rPr>
      </w:pPr>
      <w:r>
        <w:rPr>
          <w:rFonts w:ascii="Arial" w:hAnsi="Arial" w:cs="Arial"/>
        </w:rPr>
        <w:t xml:space="preserve">2. </w:t>
      </w:r>
      <w:r w:rsidR="00ED0768">
        <w:rPr>
          <w:rFonts w:ascii="Arial" w:hAnsi="Arial" w:cs="Arial"/>
        </w:rPr>
        <w:t>METHODOLOGY</w:t>
      </w:r>
    </w:p>
    <w:p w14:paraId="2F960DE4" w14:textId="77777777" w:rsidR="00790ADA" w:rsidRPr="00FB3A86" w:rsidRDefault="00790ADA" w:rsidP="00441B6F">
      <w:pPr>
        <w:pStyle w:val="AbstHead"/>
        <w:spacing w:after="0"/>
        <w:jc w:val="both"/>
        <w:rPr>
          <w:rFonts w:ascii="Arial" w:hAnsi="Arial" w:cs="Arial"/>
        </w:rPr>
      </w:pPr>
    </w:p>
    <w:p w14:paraId="6920CEBB" w14:textId="61980DEC" w:rsidR="005A202B" w:rsidRPr="005A202B" w:rsidRDefault="005A202B" w:rsidP="005A202B">
      <w:pPr>
        <w:pStyle w:val="Body"/>
        <w:rPr>
          <w:rFonts w:ascii="Arial" w:hAnsi="Arial" w:cs="Arial"/>
        </w:rPr>
      </w:pPr>
      <w:r w:rsidRPr="005A202B">
        <w:rPr>
          <w:rFonts w:ascii="Arial" w:hAnsi="Arial" w:cs="Arial"/>
        </w:rPr>
        <w:t>This mini</w:t>
      </w:r>
      <w:r w:rsidR="00786A72">
        <w:rPr>
          <w:rFonts w:ascii="Arial" w:hAnsi="Arial" w:cs="Arial"/>
        </w:rPr>
        <w:t>-</w:t>
      </w:r>
      <w:r w:rsidRPr="005A202B">
        <w:rPr>
          <w:rFonts w:ascii="Arial" w:hAnsi="Arial" w:cs="Arial"/>
        </w:rPr>
        <w:t>review adopted a structured narrative review approach to synthesize existing literature on watershed systems in the Ilocos Region, Northern Philippines. A systematic search of peer-reviewed and institutional publications was conducted to ensure comprehensive coverage of hydrology, land use change, biodiversity, and watershed management themes.</w:t>
      </w:r>
    </w:p>
    <w:p w14:paraId="2AA7DC4A" w14:textId="77777777" w:rsidR="005A202B" w:rsidRPr="005A202B" w:rsidRDefault="005A202B" w:rsidP="005A202B">
      <w:pPr>
        <w:pStyle w:val="Body"/>
        <w:rPr>
          <w:rFonts w:ascii="Arial" w:hAnsi="Arial" w:cs="Arial"/>
        </w:rPr>
      </w:pPr>
      <w:r w:rsidRPr="005A202B">
        <w:rPr>
          <w:rFonts w:ascii="Arial" w:hAnsi="Arial" w:cs="Arial"/>
        </w:rPr>
        <w:t>Literature was retrieved from major academic databases including Scopus, Web of Science, Google Scholar, and ScienceDirect. Additional government reports and technical documents were obtained from Philippine agencies such as the Department of Environment and Natural Resources (DENR) and the Philippine Atmospheric, Geophysical and Astronomical Services Administration (PAGASA).</w:t>
      </w:r>
    </w:p>
    <w:p w14:paraId="04BABC22" w14:textId="77777777" w:rsidR="005A202B" w:rsidRPr="005A202B" w:rsidRDefault="005A202B" w:rsidP="005A202B">
      <w:pPr>
        <w:pStyle w:val="Body"/>
        <w:rPr>
          <w:rFonts w:ascii="Arial" w:hAnsi="Arial" w:cs="Arial"/>
        </w:rPr>
      </w:pPr>
      <w:r w:rsidRPr="005A202B">
        <w:rPr>
          <w:rFonts w:ascii="Arial" w:hAnsi="Arial" w:cs="Arial"/>
        </w:rPr>
        <w:t>Search terms included combinations of the following keywords: “Ilocos Region watershed,” “Northern Philippines hydrology,” “land use change Philippines,” “watershed biodiversity,” “sediment yield Philippines,” “riparian management,” and “climate change watershed Philippines.” Boolean operators (AND, OR) were applied to refine the search.</w:t>
      </w:r>
    </w:p>
    <w:p w14:paraId="0AD00F24" w14:textId="77777777" w:rsidR="005A202B" w:rsidRPr="005A202B" w:rsidRDefault="005A202B" w:rsidP="005A202B">
      <w:pPr>
        <w:pStyle w:val="Body"/>
        <w:rPr>
          <w:rFonts w:ascii="Arial" w:hAnsi="Arial" w:cs="Arial"/>
        </w:rPr>
      </w:pPr>
      <w:r w:rsidRPr="005A202B">
        <w:rPr>
          <w:rFonts w:ascii="Arial" w:hAnsi="Arial" w:cs="Arial"/>
        </w:rPr>
        <w:t>The inclusion criteria were:</w:t>
      </w:r>
    </w:p>
    <w:p w14:paraId="6AE180B0" w14:textId="13B80702" w:rsidR="005A202B" w:rsidRPr="005A202B" w:rsidRDefault="005A202B" w:rsidP="005A202B">
      <w:pPr>
        <w:pStyle w:val="Body"/>
        <w:rPr>
          <w:rFonts w:ascii="Arial" w:hAnsi="Arial" w:cs="Arial"/>
        </w:rPr>
      </w:pPr>
      <w:r w:rsidRPr="005A202B">
        <w:rPr>
          <w:rFonts w:ascii="Arial" w:hAnsi="Arial" w:cs="Arial"/>
        </w:rPr>
        <w:lastRenderedPageBreak/>
        <w:t>1.</w:t>
      </w:r>
      <w:r>
        <w:rPr>
          <w:rFonts w:ascii="Arial" w:hAnsi="Arial" w:cs="Arial"/>
        </w:rPr>
        <w:t xml:space="preserve"> </w:t>
      </w:r>
      <w:r w:rsidRPr="005A202B">
        <w:rPr>
          <w:rFonts w:ascii="Arial" w:hAnsi="Arial" w:cs="Arial"/>
        </w:rPr>
        <w:t>Peer-reviewed journal articles, book chapters, and official government technical reports</w:t>
      </w:r>
    </w:p>
    <w:p w14:paraId="6812CB02" w14:textId="732BD529" w:rsidR="005A202B" w:rsidRPr="005A202B" w:rsidRDefault="005A202B" w:rsidP="005A202B">
      <w:pPr>
        <w:pStyle w:val="Body"/>
        <w:rPr>
          <w:rFonts w:ascii="Arial" w:hAnsi="Arial" w:cs="Arial"/>
        </w:rPr>
      </w:pPr>
      <w:r w:rsidRPr="005A202B">
        <w:rPr>
          <w:rFonts w:ascii="Arial" w:hAnsi="Arial" w:cs="Arial"/>
        </w:rPr>
        <w:t>2.</w:t>
      </w:r>
      <w:r>
        <w:rPr>
          <w:rFonts w:ascii="Arial" w:hAnsi="Arial" w:cs="Arial"/>
        </w:rPr>
        <w:t xml:space="preserve"> </w:t>
      </w:r>
      <w:r w:rsidRPr="005A202B">
        <w:rPr>
          <w:rFonts w:ascii="Arial" w:hAnsi="Arial" w:cs="Arial"/>
        </w:rPr>
        <w:t>Publications focusing on tropical or Philippine watershed systems</w:t>
      </w:r>
    </w:p>
    <w:p w14:paraId="3402FB4C" w14:textId="1647D141" w:rsidR="005A202B" w:rsidRPr="005A202B" w:rsidRDefault="005A202B" w:rsidP="005A202B">
      <w:pPr>
        <w:pStyle w:val="Body"/>
        <w:rPr>
          <w:rFonts w:ascii="Arial" w:hAnsi="Arial" w:cs="Arial"/>
        </w:rPr>
      </w:pPr>
      <w:r w:rsidRPr="005A202B">
        <w:rPr>
          <w:rFonts w:ascii="Arial" w:hAnsi="Arial" w:cs="Arial"/>
        </w:rPr>
        <w:t>3.</w:t>
      </w:r>
      <w:r>
        <w:rPr>
          <w:rFonts w:ascii="Arial" w:hAnsi="Arial" w:cs="Arial"/>
        </w:rPr>
        <w:t xml:space="preserve"> </w:t>
      </w:r>
      <w:r w:rsidRPr="005A202B">
        <w:rPr>
          <w:rFonts w:ascii="Arial" w:hAnsi="Arial" w:cs="Arial"/>
        </w:rPr>
        <w:t>Studies addressing hydrological processes, land use change, biodiversity, or watershed governance</w:t>
      </w:r>
    </w:p>
    <w:p w14:paraId="716F57D7" w14:textId="3E582DEF" w:rsidR="005A202B" w:rsidRPr="005A202B" w:rsidRDefault="005A202B" w:rsidP="005A202B">
      <w:pPr>
        <w:pStyle w:val="Body"/>
        <w:rPr>
          <w:rFonts w:ascii="Arial" w:hAnsi="Arial" w:cs="Arial"/>
        </w:rPr>
      </w:pPr>
      <w:r w:rsidRPr="005A202B">
        <w:rPr>
          <w:rFonts w:ascii="Arial" w:hAnsi="Arial" w:cs="Arial"/>
        </w:rPr>
        <w:t>4.</w:t>
      </w:r>
      <w:r>
        <w:rPr>
          <w:rFonts w:ascii="Arial" w:hAnsi="Arial" w:cs="Arial"/>
        </w:rPr>
        <w:t xml:space="preserve"> </w:t>
      </w:r>
      <w:r w:rsidRPr="005A202B">
        <w:rPr>
          <w:rFonts w:ascii="Arial" w:hAnsi="Arial" w:cs="Arial"/>
        </w:rPr>
        <w:t>Publications written in English</w:t>
      </w:r>
    </w:p>
    <w:p w14:paraId="5789CD03" w14:textId="77777777" w:rsidR="005A202B" w:rsidRPr="005A202B" w:rsidRDefault="005A202B" w:rsidP="005A202B">
      <w:pPr>
        <w:pStyle w:val="Body"/>
        <w:rPr>
          <w:rFonts w:ascii="Arial" w:hAnsi="Arial" w:cs="Arial"/>
        </w:rPr>
      </w:pPr>
      <w:r w:rsidRPr="005A202B">
        <w:rPr>
          <w:rFonts w:ascii="Arial" w:hAnsi="Arial" w:cs="Arial"/>
        </w:rPr>
        <w:t>Studies were excluded if they:</w:t>
      </w:r>
    </w:p>
    <w:p w14:paraId="5C8ADA4F" w14:textId="01A4134C" w:rsidR="005A202B" w:rsidRPr="005A202B" w:rsidRDefault="005A202B" w:rsidP="005A202B">
      <w:pPr>
        <w:pStyle w:val="Body"/>
        <w:rPr>
          <w:rFonts w:ascii="Arial" w:hAnsi="Arial" w:cs="Arial"/>
        </w:rPr>
      </w:pPr>
      <w:r w:rsidRPr="005A202B">
        <w:rPr>
          <w:rFonts w:ascii="Arial" w:hAnsi="Arial" w:cs="Arial"/>
        </w:rPr>
        <w:t>•</w:t>
      </w:r>
      <w:r>
        <w:rPr>
          <w:rFonts w:ascii="Arial" w:hAnsi="Arial" w:cs="Arial"/>
        </w:rPr>
        <w:t xml:space="preserve"> </w:t>
      </w:r>
      <w:r w:rsidRPr="005A202B">
        <w:rPr>
          <w:rFonts w:ascii="Arial" w:hAnsi="Arial" w:cs="Arial"/>
        </w:rPr>
        <w:t>Focused exclusively on marine systems</w:t>
      </w:r>
    </w:p>
    <w:p w14:paraId="55E5E9F5" w14:textId="4FB1A7A7" w:rsidR="005A202B" w:rsidRPr="005A202B" w:rsidRDefault="005A202B" w:rsidP="005A202B">
      <w:pPr>
        <w:pStyle w:val="Body"/>
        <w:rPr>
          <w:rFonts w:ascii="Arial" w:hAnsi="Arial" w:cs="Arial"/>
        </w:rPr>
      </w:pPr>
      <w:r w:rsidRPr="005A202B">
        <w:rPr>
          <w:rFonts w:ascii="Arial" w:hAnsi="Arial" w:cs="Arial"/>
        </w:rPr>
        <w:t>•</w:t>
      </w:r>
      <w:r>
        <w:rPr>
          <w:rFonts w:ascii="Arial" w:hAnsi="Arial" w:cs="Arial"/>
        </w:rPr>
        <w:t xml:space="preserve"> </w:t>
      </w:r>
      <w:r w:rsidRPr="005A202B">
        <w:rPr>
          <w:rFonts w:ascii="Arial" w:hAnsi="Arial" w:cs="Arial"/>
        </w:rPr>
        <w:t>Did not provide empirical or analytical discussion relevant to watershed processes</w:t>
      </w:r>
    </w:p>
    <w:p w14:paraId="704D2D00" w14:textId="0F546F44" w:rsidR="005A202B" w:rsidRPr="005A202B" w:rsidRDefault="005A202B" w:rsidP="005A202B">
      <w:pPr>
        <w:pStyle w:val="Body"/>
        <w:rPr>
          <w:rFonts w:ascii="Arial" w:hAnsi="Arial" w:cs="Arial"/>
        </w:rPr>
      </w:pPr>
      <w:r w:rsidRPr="005A202B">
        <w:rPr>
          <w:rFonts w:ascii="Arial" w:hAnsi="Arial" w:cs="Arial"/>
        </w:rPr>
        <w:t>•</w:t>
      </w:r>
      <w:r>
        <w:rPr>
          <w:rFonts w:ascii="Arial" w:hAnsi="Arial" w:cs="Arial"/>
        </w:rPr>
        <w:t xml:space="preserve"> </w:t>
      </w:r>
      <w:r w:rsidRPr="005A202B">
        <w:rPr>
          <w:rFonts w:ascii="Arial" w:hAnsi="Arial" w:cs="Arial"/>
        </w:rPr>
        <w:t>Were opinion pieces without scientific basis</w:t>
      </w:r>
    </w:p>
    <w:p w14:paraId="5BC44066" w14:textId="77777777" w:rsidR="005A202B" w:rsidRPr="005A202B" w:rsidRDefault="005A202B" w:rsidP="005A202B">
      <w:pPr>
        <w:pStyle w:val="Body"/>
        <w:rPr>
          <w:rFonts w:ascii="Arial" w:hAnsi="Arial" w:cs="Arial"/>
        </w:rPr>
      </w:pPr>
      <w:r w:rsidRPr="005A202B">
        <w:rPr>
          <w:rFonts w:ascii="Arial" w:hAnsi="Arial" w:cs="Arial"/>
        </w:rPr>
        <w:t>The review prioritized literature published between 1997 and 2023 to capture both foundational watershed concepts and recent developments in climate resilience and land management. In total, more than 60 publications were screened, and relevant studies were synthesized based on thematic alignment.</w:t>
      </w:r>
    </w:p>
    <w:p w14:paraId="4717E6EE" w14:textId="12E77C5F" w:rsidR="00A03B96" w:rsidRDefault="005A202B" w:rsidP="005A202B">
      <w:pPr>
        <w:pStyle w:val="Body"/>
        <w:spacing w:after="0"/>
        <w:rPr>
          <w:rFonts w:ascii="Arial" w:hAnsi="Arial" w:cs="Arial"/>
        </w:rPr>
      </w:pPr>
      <w:r w:rsidRPr="005A202B">
        <w:rPr>
          <w:rFonts w:ascii="Arial" w:hAnsi="Arial" w:cs="Arial"/>
        </w:rPr>
        <w:t>Rather than conducting a meta-analysis, this study applied a thematic synthesis approach, grouping findings into four major domains: hydrological characteristics, land use and land cover change, biodiversity and ecological integrity, and watershed governance challenges. This structure enabled identification of research gaps and cross-cutting patterns relevant to watershed sustainability in the Ilocos Region.</w:t>
      </w:r>
    </w:p>
    <w:p w14:paraId="7B0300EA" w14:textId="77777777" w:rsidR="00A03B96" w:rsidRDefault="00A03B96" w:rsidP="00441B6F">
      <w:pPr>
        <w:pStyle w:val="Body"/>
        <w:spacing w:after="0"/>
        <w:rPr>
          <w:rFonts w:ascii="Arial" w:hAnsi="Arial" w:cs="Arial"/>
        </w:rPr>
      </w:pPr>
    </w:p>
    <w:p w14:paraId="367BB811" w14:textId="1CD884CA" w:rsidR="005A202B" w:rsidRPr="005A202B" w:rsidRDefault="005A202B" w:rsidP="00441B6F">
      <w:pPr>
        <w:pStyle w:val="Body"/>
        <w:spacing w:after="0"/>
        <w:rPr>
          <w:rFonts w:ascii="Arial" w:hAnsi="Arial" w:cs="Arial"/>
          <w:b/>
          <w:bCs/>
        </w:rPr>
      </w:pPr>
      <w:r w:rsidRPr="005A202B">
        <w:rPr>
          <w:rFonts w:ascii="Arial" w:hAnsi="Arial" w:cs="Arial"/>
          <w:b/>
          <w:bCs/>
        </w:rPr>
        <w:t>Table 1. Summary of Literature Selection Criteria</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891"/>
        <w:gridCol w:w="6533"/>
      </w:tblGrid>
      <w:tr w:rsidR="005A202B" w:rsidRPr="005A202B" w14:paraId="535300AD" w14:textId="77777777" w:rsidTr="005A202B">
        <w:tc>
          <w:tcPr>
            <w:tcW w:w="1980" w:type="dxa"/>
            <w:tcBorders>
              <w:top w:val="single" w:sz="4" w:space="0" w:color="auto"/>
              <w:bottom w:val="single" w:sz="4" w:space="0" w:color="auto"/>
            </w:tcBorders>
          </w:tcPr>
          <w:p w14:paraId="26822989" w14:textId="77777777" w:rsidR="005A202B" w:rsidRPr="005A202B" w:rsidRDefault="005A202B" w:rsidP="009B1B9D">
            <w:pPr>
              <w:jc w:val="both"/>
              <w:rPr>
                <w:rFonts w:ascii="Arial" w:hAnsi="Arial" w:cs="Arial"/>
                <w:b/>
                <w:bCs/>
                <w:sz w:val="20"/>
                <w:szCs w:val="20"/>
              </w:rPr>
            </w:pPr>
            <w:r w:rsidRPr="005A202B">
              <w:rPr>
                <w:rFonts w:ascii="Arial" w:hAnsi="Arial" w:cs="Arial"/>
                <w:b/>
                <w:bCs/>
                <w:sz w:val="20"/>
                <w:szCs w:val="20"/>
              </w:rPr>
              <w:t>Category</w:t>
            </w:r>
          </w:p>
        </w:tc>
        <w:tc>
          <w:tcPr>
            <w:tcW w:w="7370" w:type="dxa"/>
            <w:tcBorders>
              <w:top w:val="single" w:sz="4" w:space="0" w:color="auto"/>
              <w:bottom w:val="single" w:sz="4" w:space="0" w:color="auto"/>
            </w:tcBorders>
          </w:tcPr>
          <w:p w14:paraId="6A8033E0" w14:textId="77777777" w:rsidR="005A202B" w:rsidRPr="005A202B" w:rsidRDefault="005A202B" w:rsidP="009B1B9D">
            <w:pPr>
              <w:jc w:val="both"/>
              <w:rPr>
                <w:rFonts w:ascii="Arial" w:hAnsi="Arial" w:cs="Arial"/>
                <w:b/>
                <w:bCs/>
                <w:sz w:val="20"/>
                <w:szCs w:val="20"/>
              </w:rPr>
            </w:pPr>
            <w:r w:rsidRPr="005A202B">
              <w:rPr>
                <w:rFonts w:ascii="Arial" w:hAnsi="Arial" w:cs="Arial"/>
                <w:b/>
                <w:bCs/>
                <w:sz w:val="20"/>
                <w:szCs w:val="20"/>
              </w:rPr>
              <w:t>Description</w:t>
            </w:r>
          </w:p>
        </w:tc>
      </w:tr>
      <w:tr w:rsidR="005A202B" w:rsidRPr="005A202B" w14:paraId="77E465CE" w14:textId="77777777" w:rsidTr="005A202B">
        <w:tc>
          <w:tcPr>
            <w:tcW w:w="1980" w:type="dxa"/>
            <w:tcBorders>
              <w:top w:val="single" w:sz="4" w:space="0" w:color="auto"/>
            </w:tcBorders>
          </w:tcPr>
          <w:p w14:paraId="324DC0B2" w14:textId="77777777" w:rsidR="005A202B" w:rsidRPr="005A202B" w:rsidRDefault="005A202B" w:rsidP="009B1B9D">
            <w:pPr>
              <w:jc w:val="both"/>
              <w:rPr>
                <w:rFonts w:ascii="Arial" w:hAnsi="Arial" w:cs="Arial"/>
                <w:b/>
                <w:bCs/>
                <w:sz w:val="20"/>
                <w:szCs w:val="20"/>
              </w:rPr>
            </w:pPr>
            <w:r w:rsidRPr="005A202B">
              <w:rPr>
                <w:rFonts w:ascii="Arial" w:hAnsi="Arial" w:cs="Arial"/>
                <w:b/>
                <w:bCs/>
                <w:sz w:val="20"/>
                <w:szCs w:val="20"/>
              </w:rPr>
              <w:t>Databases searched</w:t>
            </w:r>
          </w:p>
        </w:tc>
        <w:tc>
          <w:tcPr>
            <w:tcW w:w="7370" w:type="dxa"/>
            <w:tcBorders>
              <w:top w:val="single" w:sz="4" w:space="0" w:color="auto"/>
            </w:tcBorders>
          </w:tcPr>
          <w:p w14:paraId="6BE629F4" w14:textId="77777777" w:rsidR="005A202B" w:rsidRPr="005A202B" w:rsidRDefault="005A202B" w:rsidP="009B1B9D">
            <w:pPr>
              <w:jc w:val="both"/>
              <w:rPr>
                <w:rFonts w:ascii="Arial" w:hAnsi="Arial" w:cs="Arial"/>
                <w:sz w:val="20"/>
                <w:szCs w:val="20"/>
              </w:rPr>
            </w:pPr>
            <w:r w:rsidRPr="005A202B">
              <w:rPr>
                <w:rFonts w:ascii="Arial" w:hAnsi="Arial" w:cs="Arial"/>
                <w:sz w:val="20"/>
                <w:szCs w:val="20"/>
              </w:rPr>
              <w:t>Scopus, Web of Science, Google Scholar, ScienceDirect</w:t>
            </w:r>
          </w:p>
        </w:tc>
      </w:tr>
      <w:tr w:rsidR="005A202B" w:rsidRPr="005A202B" w14:paraId="173A8731" w14:textId="77777777" w:rsidTr="005A202B">
        <w:tc>
          <w:tcPr>
            <w:tcW w:w="1980" w:type="dxa"/>
          </w:tcPr>
          <w:p w14:paraId="10228CE5" w14:textId="77777777" w:rsidR="005A202B" w:rsidRPr="005A202B" w:rsidRDefault="005A202B" w:rsidP="009B1B9D">
            <w:pPr>
              <w:jc w:val="both"/>
              <w:rPr>
                <w:rFonts w:ascii="Arial" w:hAnsi="Arial" w:cs="Arial"/>
                <w:b/>
                <w:bCs/>
                <w:sz w:val="20"/>
                <w:szCs w:val="20"/>
              </w:rPr>
            </w:pPr>
            <w:r w:rsidRPr="005A202B">
              <w:rPr>
                <w:rFonts w:ascii="Arial" w:hAnsi="Arial" w:cs="Arial"/>
                <w:b/>
                <w:bCs/>
                <w:sz w:val="20"/>
                <w:szCs w:val="20"/>
              </w:rPr>
              <w:t>Institutional sources</w:t>
            </w:r>
          </w:p>
        </w:tc>
        <w:tc>
          <w:tcPr>
            <w:tcW w:w="7370" w:type="dxa"/>
          </w:tcPr>
          <w:p w14:paraId="1883E6D0" w14:textId="77777777" w:rsidR="005A202B" w:rsidRPr="005A202B" w:rsidRDefault="005A202B" w:rsidP="009B1B9D">
            <w:pPr>
              <w:jc w:val="both"/>
              <w:rPr>
                <w:rFonts w:ascii="Arial" w:hAnsi="Arial" w:cs="Arial"/>
                <w:sz w:val="20"/>
                <w:szCs w:val="20"/>
              </w:rPr>
            </w:pPr>
            <w:r w:rsidRPr="005A202B">
              <w:rPr>
                <w:rFonts w:ascii="Arial" w:hAnsi="Arial" w:cs="Arial"/>
                <w:sz w:val="20"/>
                <w:szCs w:val="20"/>
              </w:rPr>
              <w:t>DENR, PAGASA</w:t>
            </w:r>
          </w:p>
        </w:tc>
      </w:tr>
      <w:tr w:rsidR="005A202B" w:rsidRPr="005A202B" w14:paraId="45C88390" w14:textId="77777777" w:rsidTr="005A202B">
        <w:tc>
          <w:tcPr>
            <w:tcW w:w="1980" w:type="dxa"/>
          </w:tcPr>
          <w:p w14:paraId="3B611D2C" w14:textId="77777777" w:rsidR="005A202B" w:rsidRPr="005A202B" w:rsidRDefault="005A202B" w:rsidP="009B1B9D">
            <w:pPr>
              <w:jc w:val="both"/>
              <w:rPr>
                <w:rFonts w:ascii="Arial" w:hAnsi="Arial" w:cs="Arial"/>
                <w:b/>
                <w:bCs/>
                <w:sz w:val="20"/>
                <w:szCs w:val="20"/>
              </w:rPr>
            </w:pPr>
            <w:r w:rsidRPr="005A202B">
              <w:rPr>
                <w:rFonts w:ascii="Arial" w:hAnsi="Arial" w:cs="Arial"/>
                <w:b/>
                <w:bCs/>
                <w:sz w:val="20"/>
                <w:szCs w:val="20"/>
              </w:rPr>
              <w:t>Time coverage</w:t>
            </w:r>
          </w:p>
        </w:tc>
        <w:tc>
          <w:tcPr>
            <w:tcW w:w="7370" w:type="dxa"/>
          </w:tcPr>
          <w:p w14:paraId="17A8E792" w14:textId="77777777" w:rsidR="005A202B" w:rsidRPr="005A202B" w:rsidRDefault="005A202B" w:rsidP="009B1B9D">
            <w:pPr>
              <w:jc w:val="both"/>
              <w:rPr>
                <w:rFonts w:ascii="Arial" w:hAnsi="Arial" w:cs="Arial"/>
                <w:sz w:val="20"/>
                <w:szCs w:val="20"/>
              </w:rPr>
            </w:pPr>
            <w:r w:rsidRPr="005A202B">
              <w:rPr>
                <w:rFonts w:ascii="Arial" w:hAnsi="Arial" w:cs="Arial"/>
                <w:sz w:val="20"/>
                <w:szCs w:val="20"/>
              </w:rPr>
              <w:t>1997-2023</w:t>
            </w:r>
          </w:p>
        </w:tc>
      </w:tr>
      <w:tr w:rsidR="005A202B" w:rsidRPr="005A202B" w14:paraId="529BC420" w14:textId="77777777" w:rsidTr="005A202B">
        <w:tc>
          <w:tcPr>
            <w:tcW w:w="1980" w:type="dxa"/>
          </w:tcPr>
          <w:p w14:paraId="386BF5A4" w14:textId="77777777" w:rsidR="005A202B" w:rsidRPr="005A202B" w:rsidRDefault="005A202B" w:rsidP="009B1B9D">
            <w:pPr>
              <w:jc w:val="both"/>
              <w:rPr>
                <w:rFonts w:ascii="Arial" w:hAnsi="Arial" w:cs="Arial"/>
                <w:b/>
                <w:bCs/>
                <w:sz w:val="20"/>
                <w:szCs w:val="20"/>
              </w:rPr>
            </w:pPr>
            <w:r w:rsidRPr="005A202B">
              <w:rPr>
                <w:rFonts w:ascii="Arial" w:hAnsi="Arial" w:cs="Arial"/>
                <w:b/>
                <w:bCs/>
                <w:sz w:val="20"/>
                <w:szCs w:val="20"/>
              </w:rPr>
              <w:t>Inclusion criteria</w:t>
            </w:r>
          </w:p>
        </w:tc>
        <w:tc>
          <w:tcPr>
            <w:tcW w:w="7370" w:type="dxa"/>
          </w:tcPr>
          <w:p w14:paraId="20BB759D" w14:textId="77777777" w:rsidR="005A202B" w:rsidRPr="005A202B" w:rsidRDefault="005A202B" w:rsidP="009B1B9D">
            <w:pPr>
              <w:jc w:val="both"/>
              <w:rPr>
                <w:rFonts w:ascii="Arial" w:hAnsi="Arial" w:cs="Arial"/>
                <w:sz w:val="20"/>
                <w:szCs w:val="20"/>
              </w:rPr>
            </w:pPr>
            <w:r w:rsidRPr="005A202B">
              <w:rPr>
                <w:rFonts w:ascii="Arial" w:hAnsi="Arial" w:cs="Arial"/>
                <w:sz w:val="20"/>
                <w:szCs w:val="20"/>
              </w:rPr>
              <w:t>Peer-reviewed, watershed-related, English Language</w:t>
            </w:r>
          </w:p>
        </w:tc>
      </w:tr>
      <w:tr w:rsidR="005A202B" w:rsidRPr="005A202B" w14:paraId="49F7447A" w14:textId="77777777" w:rsidTr="005A202B">
        <w:tc>
          <w:tcPr>
            <w:tcW w:w="1980" w:type="dxa"/>
          </w:tcPr>
          <w:p w14:paraId="3CBFF364" w14:textId="77777777" w:rsidR="005A202B" w:rsidRPr="005A202B" w:rsidRDefault="005A202B" w:rsidP="009B1B9D">
            <w:pPr>
              <w:jc w:val="both"/>
              <w:rPr>
                <w:rFonts w:ascii="Arial" w:hAnsi="Arial" w:cs="Arial"/>
                <w:b/>
                <w:bCs/>
                <w:sz w:val="20"/>
                <w:szCs w:val="20"/>
              </w:rPr>
            </w:pPr>
          </w:p>
        </w:tc>
        <w:tc>
          <w:tcPr>
            <w:tcW w:w="7370" w:type="dxa"/>
          </w:tcPr>
          <w:p w14:paraId="2AE90F28" w14:textId="77777777" w:rsidR="005A202B" w:rsidRPr="005A202B" w:rsidRDefault="005A202B" w:rsidP="009B1B9D">
            <w:pPr>
              <w:jc w:val="both"/>
              <w:rPr>
                <w:rFonts w:ascii="Arial" w:hAnsi="Arial" w:cs="Arial"/>
                <w:sz w:val="20"/>
                <w:szCs w:val="20"/>
              </w:rPr>
            </w:pPr>
          </w:p>
        </w:tc>
      </w:tr>
      <w:tr w:rsidR="005A202B" w:rsidRPr="005A202B" w14:paraId="5EC419CD" w14:textId="77777777" w:rsidTr="002F2FAE">
        <w:tc>
          <w:tcPr>
            <w:tcW w:w="1980" w:type="dxa"/>
          </w:tcPr>
          <w:p w14:paraId="2E0AD915" w14:textId="77777777" w:rsidR="005A202B" w:rsidRPr="005A202B" w:rsidRDefault="005A202B" w:rsidP="009B1B9D">
            <w:pPr>
              <w:jc w:val="both"/>
              <w:rPr>
                <w:rFonts w:ascii="Arial" w:hAnsi="Arial" w:cs="Arial"/>
                <w:b/>
                <w:bCs/>
                <w:sz w:val="20"/>
                <w:szCs w:val="20"/>
              </w:rPr>
            </w:pPr>
            <w:r w:rsidRPr="005A202B">
              <w:rPr>
                <w:rFonts w:ascii="Arial" w:hAnsi="Arial" w:cs="Arial"/>
                <w:b/>
                <w:bCs/>
                <w:sz w:val="20"/>
                <w:szCs w:val="20"/>
              </w:rPr>
              <w:t>Exclusion criteria</w:t>
            </w:r>
          </w:p>
        </w:tc>
        <w:tc>
          <w:tcPr>
            <w:tcW w:w="7370" w:type="dxa"/>
            <w:tcBorders>
              <w:bottom w:val="nil"/>
            </w:tcBorders>
          </w:tcPr>
          <w:p w14:paraId="7136CF85" w14:textId="77777777" w:rsidR="005A202B" w:rsidRPr="005A202B" w:rsidRDefault="005A202B" w:rsidP="009B1B9D">
            <w:pPr>
              <w:jc w:val="both"/>
              <w:rPr>
                <w:rFonts w:ascii="Arial" w:hAnsi="Arial" w:cs="Arial"/>
                <w:sz w:val="20"/>
                <w:szCs w:val="20"/>
              </w:rPr>
            </w:pPr>
            <w:r w:rsidRPr="005A202B">
              <w:rPr>
                <w:rFonts w:ascii="Arial" w:hAnsi="Arial" w:cs="Arial"/>
                <w:sz w:val="20"/>
                <w:szCs w:val="20"/>
              </w:rPr>
              <w:t>Non-watershed focus, marine only, non-analytical articles</w:t>
            </w:r>
          </w:p>
        </w:tc>
      </w:tr>
      <w:tr w:rsidR="005A202B" w:rsidRPr="005A202B" w14:paraId="731C864F" w14:textId="77777777" w:rsidTr="002F2FAE">
        <w:tc>
          <w:tcPr>
            <w:tcW w:w="1980" w:type="dxa"/>
            <w:tcBorders>
              <w:bottom w:val="single" w:sz="4" w:space="0" w:color="auto"/>
              <w:right w:val="nil"/>
            </w:tcBorders>
          </w:tcPr>
          <w:p w14:paraId="241EAA50" w14:textId="77777777" w:rsidR="005A202B" w:rsidRPr="005A202B" w:rsidRDefault="005A202B" w:rsidP="009B1B9D">
            <w:pPr>
              <w:jc w:val="both"/>
              <w:rPr>
                <w:rFonts w:ascii="Arial" w:hAnsi="Arial" w:cs="Arial"/>
                <w:b/>
                <w:bCs/>
                <w:sz w:val="20"/>
                <w:szCs w:val="20"/>
              </w:rPr>
            </w:pPr>
            <w:r w:rsidRPr="005A202B">
              <w:rPr>
                <w:rFonts w:ascii="Arial" w:hAnsi="Arial" w:cs="Arial"/>
                <w:b/>
                <w:bCs/>
                <w:sz w:val="20"/>
                <w:szCs w:val="20"/>
              </w:rPr>
              <w:t>Review approach</w:t>
            </w:r>
          </w:p>
        </w:tc>
        <w:tc>
          <w:tcPr>
            <w:tcW w:w="7370" w:type="dxa"/>
            <w:tcBorders>
              <w:top w:val="nil"/>
              <w:left w:val="nil"/>
              <w:bottom w:val="single" w:sz="4" w:space="0" w:color="auto"/>
            </w:tcBorders>
          </w:tcPr>
          <w:p w14:paraId="47787490" w14:textId="77777777" w:rsidR="005A202B" w:rsidRPr="005A202B" w:rsidRDefault="005A202B" w:rsidP="009B1B9D">
            <w:pPr>
              <w:jc w:val="both"/>
              <w:rPr>
                <w:rFonts w:ascii="Arial" w:hAnsi="Arial" w:cs="Arial"/>
                <w:sz w:val="20"/>
                <w:szCs w:val="20"/>
              </w:rPr>
            </w:pPr>
            <w:r w:rsidRPr="005A202B">
              <w:rPr>
                <w:rFonts w:ascii="Arial" w:hAnsi="Arial" w:cs="Arial"/>
                <w:sz w:val="20"/>
                <w:szCs w:val="20"/>
              </w:rPr>
              <w:t>Thematic narrative synthesis</w:t>
            </w:r>
          </w:p>
        </w:tc>
      </w:tr>
    </w:tbl>
    <w:p w14:paraId="69EE405F" w14:textId="0A4C7401" w:rsidR="00AA74E0" w:rsidRDefault="00AA74E0" w:rsidP="005A202B">
      <w:pPr>
        <w:pStyle w:val="Body"/>
        <w:spacing w:after="0"/>
        <w:rPr>
          <w:rFonts w:ascii="Arial" w:hAnsi="Arial" w:cs="Arial"/>
        </w:rPr>
      </w:pPr>
      <w:r w:rsidRPr="00FB3A86">
        <w:rPr>
          <w:rFonts w:ascii="Arial" w:hAnsi="Arial" w:cs="Arial"/>
        </w:rPr>
        <w:t xml:space="preserve"> </w:t>
      </w:r>
    </w:p>
    <w:p w14:paraId="74287E0F" w14:textId="77777777" w:rsidR="00790ADA" w:rsidRPr="00FB3A86" w:rsidRDefault="00790ADA" w:rsidP="00441B6F">
      <w:pPr>
        <w:pStyle w:val="Body"/>
        <w:spacing w:after="0"/>
        <w:rPr>
          <w:rFonts w:ascii="Arial" w:hAnsi="Arial" w:cs="Arial"/>
        </w:rPr>
      </w:pPr>
    </w:p>
    <w:p w14:paraId="1118E5B2" w14:textId="43C25D87" w:rsidR="00E70F7F"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w:t>
      </w:r>
      <w:r w:rsidR="005A202B">
        <w:rPr>
          <w:rFonts w:ascii="Arial" w:hAnsi="Arial" w:cs="Arial"/>
        </w:rPr>
        <w:t xml:space="preserve"> hydrological characteristics of watershed</w:t>
      </w:r>
      <w:r w:rsidR="00280ADF">
        <w:rPr>
          <w:rFonts w:ascii="Arial" w:hAnsi="Arial" w:cs="Arial"/>
        </w:rPr>
        <w:t>S</w:t>
      </w:r>
      <w:r w:rsidR="005A202B">
        <w:rPr>
          <w:rFonts w:ascii="Arial" w:hAnsi="Arial" w:cs="Arial"/>
        </w:rPr>
        <w:t xml:space="preserve"> in the ilocos region</w:t>
      </w:r>
    </w:p>
    <w:p w14:paraId="613C626A" w14:textId="77777777" w:rsidR="00790ADA" w:rsidRDefault="00790ADA" w:rsidP="00441B6F">
      <w:pPr>
        <w:pStyle w:val="Body"/>
        <w:spacing w:after="0"/>
        <w:rPr>
          <w:rFonts w:ascii="Arial" w:hAnsi="Arial" w:cs="Arial"/>
        </w:rPr>
      </w:pPr>
    </w:p>
    <w:p w14:paraId="33AE60B2" w14:textId="0276C564" w:rsidR="00BE42B4" w:rsidRPr="00BE42B4" w:rsidRDefault="00BE42B4" w:rsidP="00BE42B4">
      <w:pPr>
        <w:tabs>
          <w:tab w:val="left" w:pos="1080"/>
        </w:tabs>
        <w:jc w:val="both"/>
        <w:rPr>
          <w:rFonts w:ascii="Arial" w:hAnsi="Arial" w:cs="Arial"/>
          <w:lang w:val="en-PH"/>
        </w:rPr>
      </w:pPr>
      <w:r>
        <w:rPr>
          <w:rFonts w:ascii="Arial" w:hAnsi="Arial" w:cs="Arial"/>
        </w:rPr>
        <w:t>W</w:t>
      </w:r>
      <w:proofErr w:type="spellStart"/>
      <w:r w:rsidRPr="00BE42B4">
        <w:rPr>
          <w:rFonts w:ascii="Arial" w:hAnsi="Arial" w:cs="Arial"/>
          <w:lang w:val="en-PH"/>
        </w:rPr>
        <w:t>atersheds</w:t>
      </w:r>
      <w:proofErr w:type="spellEnd"/>
      <w:r w:rsidRPr="00BE42B4">
        <w:rPr>
          <w:rFonts w:ascii="Arial" w:hAnsi="Arial" w:cs="Arial"/>
          <w:lang w:val="en-PH"/>
        </w:rPr>
        <w:t xml:space="preserve"> in the </w:t>
      </w:r>
      <w:proofErr w:type="spellStart"/>
      <w:r w:rsidRPr="00BE42B4">
        <w:rPr>
          <w:rFonts w:ascii="Arial" w:hAnsi="Arial" w:cs="Arial"/>
          <w:lang w:val="en-PH"/>
        </w:rPr>
        <w:t>Ilocos</w:t>
      </w:r>
      <w:proofErr w:type="spellEnd"/>
      <w:r w:rsidRPr="00BE42B4">
        <w:rPr>
          <w:rFonts w:ascii="Arial" w:hAnsi="Arial" w:cs="Arial"/>
          <w:lang w:val="en-PH"/>
        </w:rPr>
        <w:t xml:space="preserve"> Region are shaped by a combination of steep upland terrain, relatively short river systems, and highly seasonal rainfall patterns. Located along the western flank of Northern Luzon, the region is strongly influenced by monsoonal rainfall and frequent tropical cyclones, resulting in pronounced wet and dry seasons. Such climatic variability strongly affects streamflow regimes, sediment transport, and water availability within the region’s river systems (Cinco et al., 2014). Major river basins such as the </w:t>
      </w:r>
      <w:proofErr w:type="spellStart"/>
      <w:r w:rsidRPr="00BE42B4">
        <w:rPr>
          <w:rFonts w:ascii="Arial" w:hAnsi="Arial" w:cs="Arial"/>
          <w:lang w:val="en-PH"/>
        </w:rPr>
        <w:t>Abra</w:t>
      </w:r>
      <w:proofErr w:type="spellEnd"/>
      <w:r w:rsidRPr="00BE42B4">
        <w:rPr>
          <w:rFonts w:ascii="Arial" w:hAnsi="Arial" w:cs="Arial"/>
          <w:lang w:val="en-PH"/>
        </w:rPr>
        <w:t xml:space="preserve"> River and </w:t>
      </w:r>
      <w:proofErr w:type="spellStart"/>
      <w:r w:rsidRPr="00BE42B4">
        <w:rPr>
          <w:rFonts w:ascii="Arial" w:hAnsi="Arial" w:cs="Arial"/>
          <w:lang w:val="en-PH"/>
        </w:rPr>
        <w:t>Amburayan</w:t>
      </w:r>
      <w:proofErr w:type="spellEnd"/>
      <w:r w:rsidRPr="00BE42B4">
        <w:rPr>
          <w:rFonts w:ascii="Arial" w:hAnsi="Arial" w:cs="Arial"/>
          <w:lang w:val="en-PH"/>
        </w:rPr>
        <w:t xml:space="preserve"> River drain upland areas of the Cordillera mountain range and discharge toward the West Philippine Sea, illustrating how steep gradients and short catchment lengths contribute to rapid hydrological responses during intense rainfall events.</w:t>
      </w:r>
    </w:p>
    <w:p w14:paraId="43C06348" w14:textId="77777777" w:rsidR="00BE42B4" w:rsidRDefault="00BE42B4" w:rsidP="00BE42B4">
      <w:pPr>
        <w:tabs>
          <w:tab w:val="left" w:pos="1080"/>
        </w:tabs>
        <w:jc w:val="both"/>
        <w:rPr>
          <w:rFonts w:ascii="Arial" w:hAnsi="Arial" w:cs="Arial"/>
          <w:lang w:val="en-PH"/>
        </w:rPr>
      </w:pPr>
      <w:r w:rsidRPr="00BE42B4">
        <w:rPr>
          <w:rFonts w:ascii="Arial" w:hAnsi="Arial" w:cs="Arial"/>
          <w:lang w:val="en-PH"/>
        </w:rPr>
        <w:lastRenderedPageBreak/>
        <w:t>Hydrological response in tropical watersheds is often driven more by rainfall intensity than by total annual precipitation (Poff et al., 1997; Oki &amp; Kanae, 2006; Negash et al., 2022). In the Ilocos Region, intense rainfall events during the southwest monsoon and typhoon periods generate rapid runoff across sloping landscapes. The steep gradients of upland catchments reduce infiltration time and shorten the concentration period of rainfall within the watershed. Consequently, stream systems in Region I often exhibit sharp hydrograph peaks during storm events, increasing the susceptibility of downstream communities to localized flooding and sediment transport.</w:t>
      </w:r>
    </w:p>
    <w:p w14:paraId="480288FD" w14:textId="77777777" w:rsidR="00BE42B4" w:rsidRPr="00BE42B4" w:rsidRDefault="00BE42B4" w:rsidP="00BE42B4">
      <w:pPr>
        <w:tabs>
          <w:tab w:val="left" w:pos="1080"/>
        </w:tabs>
        <w:jc w:val="both"/>
        <w:rPr>
          <w:rFonts w:ascii="Arial" w:hAnsi="Arial" w:cs="Arial"/>
          <w:lang w:val="en-PH"/>
        </w:rPr>
      </w:pPr>
    </w:p>
    <w:p w14:paraId="46AD9A19" w14:textId="77777777" w:rsidR="00BE42B4" w:rsidRDefault="00BE42B4" w:rsidP="00BE42B4">
      <w:pPr>
        <w:tabs>
          <w:tab w:val="left" w:pos="1080"/>
        </w:tabs>
        <w:jc w:val="both"/>
        <w:rPr>
          <w:rFonts w:ascii="Arial" w:hAnsi="Arial" w:cs="Arial"/>
          <w:lang w:val="en-PH"/>
        </w:rPr>
      </w:pPr>
      <w:r w:rsidRPr="00BE42B4">
        <w:rPr>
          <w:rFonts w:ascii="Arial" w:hAnsi="Arial" w:cs="Arial"/>
          <w:lang w:val="en-PH"/>
        </w:rPr>
        <w:t>Vegetation cover plays a central role in moderating hydrological processes within watershed systems. Forested watersheds typically exhibit higher infiltration rates, improved soil structure stability, and moderated peak discharge compared with degraded or cultivated areas (</w:t>
      </w:r>
      <w:proofErr w:type="spellStart"/>
      <w:r w:rsidRPr="00BE42B4">
        <w:rPr>
          <w:rFonts w:ascii="Arial" w:hAnsi="Arial" w:cs="Arial"/>
          <w:lang w:val="en-PH"/>
        </w:rPr>
        <w:t>Bruijnzeel</w:t>
      </w:r>
      <w:proofErr w:type="spellEnd"/>
      <w:r w:rsidRPr="00BE42B4">
        <w:rPr>
          <w:rFonts w:ascii="Arial" w:hAnsi="Arial" w:cs="Arial"/>
          <w:lang w:val="en-PH"/>
        </w:rPr>
        <w:t>, 2004). In tropical mountainous watersheds, deforestation has been associated with increased annual water yield but greater variability in peak discharge and reduced dry-season flow stability (Bosch &amp; Hewlett, 1982). Meta-analyses of paired watershed experiments further confirm that forest removal significantly alters evapotranspiration and streamflow regulation (Brown et al., 2005). These global findings are particularly relevant to upland areas of the Ilocos Region where forest clearing and agricultural expansion occur on steep slopes.</w:t>
      </w:r>
    </w:p>
    <w:p w14:paraId="3A4312EA" w14:textId="77777777" w:rsidR="00BE42B4" w:rsidRPr="00BE42B4" w:rsidRDefault="00BE42B4" w:rsidP="00BE42B4">
      <w:pPr>
        <w:tabs>
          <w:tab w:val="left" w:pos="1080"/>
        </w:tabs>
        <w:jc w:val="both"/>
        <w:rPr>
          <w:rFonts w:ascii="Arial" w:hAnsi="Arial" w:cs="Arial"/>
          <w:lang w:val="en-PH"/>
        </w:rPr>
      </w:pPr>
    </w:p>
    <w:p w14:paraId="0CFD7BDD" w14:textId="77777777" w:rsidR="00BE42B4" w:rsidRDefault="00BE42B4" w:rsidP="00BE42B4">
      <w:pPr>
        <w:tabs>
          <w:tab w:val="left" w:pos="1080"/>
        </w:tabs>
        <w:jc w:val="both"/>
        <w:rPr>
          <w:rFonts w:ascii="Arial" w:hAnsi="Arial" w:cs="Arial"/>
          <w:lang w:val="en-PH"/>
        </w:rPr>
      </w:pPr>
      <w:r w:rsidRPr="00BE42B4">
        <w:rPr>
          <w:rFonts w:ascii="Arial" w:hAnsi="Arial" w:cs="Arial"/>
          <w:lang w:val="en-PH"/>
        </w:rPr>
        <w:t>When forest cover is reduced due to agricultural expansion or land clearing, soil compaction and surface exposure increase overland flow while reducing groundwater recharge. In Philippine upland watersheds, land conversion has been associated with measurable increases in sediment yield and altered streamflow dynamics (Brauman et al., 2007). Soil erosion from cultivated slopes contributes to downstream sediment deposition, which may affect irrigation infrastructure, river channel morphology, and water quality conditions in lowland areas. Elevated sediment concentrations can also degrade aquatic habitats and influence the structure of freshwater biological communities (Allan &amp; Castillo, 2007).</w:t>
      </w:r>
    </w:p>
    <w:p w14:paraId="3F27C820" w14:textId="77777777" w:rsidR="00BE42B4" w:rsidRPr="00BE42B4" w:rsidRDefault="00BE42B4" w:rsidP="00BE42B4">
      <w:pPr>
        <w:tabs>
          <w:tab w:val="left" w:pos="1080"/>
        </w:tabs>
        <w:jc w:val="both"/>
        <w:rPr>
          <w:rFonts w:ascii="Arial" w:hAnsi="Arial" w:cs="Arial"/>
          <w:lang w:val="en-PH"/>
        </w:rPr>
      </w:pPr>
    </w:p>
    <w:p w14:paraId="73858B66" w14:textId="77777777" w:rsidR="00BE42B4" w:rsidRDefault="00BE42B4" w:rsidP="00BE42B4">
      <w:pPr>
        <w:tabs>
          <w:tab w:val="left" w:pos="1080"/>
        </w:tabs>
        <w:jc w:val="both"/>
        <w:rPr>
          <w:rFonts w:ascii="Arial" w:hAnsi="Arial" w:cs="Arial"/>
          <w:lang w:val="en-PH"/>
        </w:rPr>
      </w:pPr>
      <w:r w:rsidRPr="00BE42B4">
        <w:rPr>
          <w:rFonts w:ascii="Arial" w:hAnsi="Arial" w:cs="Arial"/>
          <w:lang w:val="en-PH"/>
        </w:rPr>
        <w:t>Dry-season hydrology presents another important concern for watersheds in the Ilocos Region. Reduced vegetative cover and degraded soil conditions can diminish groundwater recharge and baseflow contributions, resulting in lower stream discharge during extended dry periods (Oki &amp; Kanae, 2006). Given projections of intensified rainfall extremes and shifts in precipitation patterns under climate change scenarios, hydrological variability in tropical watersheds is expected to increase in the coming decades (IPCC, 2021). Such changes may further amplify the contrast between wet-season flood events and dry-season water scarcity.</w:t>
      </w:r>
    </w:p>
    <w:p w14:paraId="0A926CF3" w14:textId="77777777" w:rsidR="00BE42B4" w:rsidRPr="00BE42B4" w:rsidRDefault="00BE42B4" w:rsidP="00BE42B4">
      <w:pPr>
        <w:tabs>
          <w:tab w:val="left" w:pos="1080"/>
        </w:tabs>
        <w:jc w:val="both"/>
        <w:rPr>
          <w:rFonts w:ascii="Arial" w:hAnsi="Arial" w:cs="Arial"/>
          <w:lang w:val="en-PH"/>
        </w:rPr>
      </w:pPr>
    </w:p>
    <w:p w14:paraId="6541B825" w14:textId="77777777" w:rsidR="00BE42B4" w:rsidRDefault="00BE42B4" w:rsidP="00BE42B4">
      <w:pPr>
        <w:tabs>
          <w:tab w:val="left" w:pos="1080"/>
        </w:tabs>
        <w:jc w:val="both"/>
        <w:rPr>
          <w:rFonts w:ascii="Arial" w:hAnsi="Arial" w:cs="Arial"/>
          <w:lang w:val="en-PH"/>
        </w:rPr>
      </w:pPr>
      <w:r w:rsidRPr="00BE42B4">
        <w:rPr>
          <w:rFonts w:ascii="Arial" w:hAnsi="Arial" w:cs="Arial"/>
          <w:lang w:val="en-PH"/>
        </w:rPr>
        <w:t>Despite the recognized importance of hydrological monitoring, long-term discharge and sediment datasets remain limited for many watersheds in the Ilocos Region. Most available studies rely on short-term field measurements, watershed modeling, or localized assessments rather than continuous hydrometeorological observations. Strengthening monitoring networks and integrating spatial land-cover analysis into watershed models would significantly improve the ability to understand and predict hydrological responses to land-use change and climate variability.</w:t>
      </w:r>
    </w:p>
    <w:p w14:paraId="7DEC1805" w14:textId="77777777" w:rsidR="00BE42B4" w:rsidRPr="00BE42B4" w:rsidRDefault="00BE42B4" w:rsidP="00BE42B4">
      <w:pPr>
        <w:tabs>
          <w:tab w:val="left" w:pos="1080"/>
        </w:tabs>
        <w:jc w:val="both"/>
        <w:rPr>
          <w:rFonts w:ascii="Arial" w:hAnsi="Arial" w:cs="Arial"/>
          <w:lang w:val="en-PH"/>
        </w:rPr>
      </w:pPr>
    </w:p>
    <w:p w14:paraId="25425975" w14:textId="77777777" w:rsidR="00BE42B4" w:rsidRPr="00BE42B4" w:rsidRDefault="00BE42B4" w:rsidP="00BE42B4">
      <w:pPr>
        <w:tabs>
          <w:tab w:val="left" w:pos="1080"/>
        </w:tabs>
        <w:jc w:val="both"/>
        <w:rPr>
          <w:rFonts w:ascii="Arial" w:hAnsi="Arial" w:cs="Arial"/>
          <w:lang w:val="en-PH"/>
        </w:rPr>
      </w:pPr>
      <w:r w:rsidRPr="00BE42B4">
        <w:rPr>
          <w:rFonts w:ascii="Arial" w:hAnsi="Arial" w:cs="Arial"/>
          <w:lang w:val="en-PH"/>
        </w:rPr>
        <w:t>Overall, hydrological patterns in Ilocos watersheds reflect a dynamic interaction among climate variability, topography, soil properties, and vegetation cover. Increasing anthropogenic pressure through land conversion, together with projected climate shifts, underscores the need for integrated basin-scale hydrological assessments. Strengthening regional hydrological monitoring and linking land-use planning with watershed management will be essential to support sustainable water resource management in the Ilocos Region.</w:t>
      </w:r>
    </w:p>
    <w:p w14:paraId="4F7C8A20" w14:textId="7D6E9433" w:rsidR="00E70F7F" w:rsidRDefault="00E70F7F" w:rsidP="00BE42B4">
      <w:pPr>
        <w:tabs>
          <w:tab w:val="left" w:pos="1080"/>
        </w:tabs>
        <w:jc w:val="both"/>
        <w:rPr>
          <w:rFonts w:ascii="Arial" w:hAnsi="Arial"/>
          <w:b/>
        </w:rPr>
      </w:pPr>
    </w:p>
    <w:p w14:paraId="431E670A" w14:textId="356BC1AF" w:rsidR="00863BD3" w:rsidRDefault="00E70F7F" w:rsidP="00441B6F">
      <w:pPr>
        <w:tabs>
          <w:tab w:val="left" w:pos="1080"/>
        </w:tabs>
        <w:jc w:val="both"/>
        <w:rPr>
          <w:rFonts w:ascii="Arial" w:hAnsi="Arial"/>
          <w:b/>
        </w:rPr>
      </w:pPr>
      <w:r w:rsidRPr="00E70F7F">
        <w:rPr>
          <w:rFonts w:ascii="Arial" w:hAnsi="Arial"/>
          <w:b/>
        </w:rPr>
        <w:lastRenderedPageBreak/>
        <w:t>Table 2. Hydrological Processes and Influencing Factors in Ilocos Watersheds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9"/>
        <w:gridCol w:w="1580"/>
        <w:gridCol w:w="1645"/>
        <w:gridCol w:w="1733"/>
        <w:gridCol w:w="1607"/>
      </w:tblGrid>
      <w:tr w:rsidR="00E70F7F" w:rsidRPr="00E70F7F" w14:paraId="2F5F319D" w14:textId="77777777" w:rsidTr="00E70F7F">
        <w:tc>
          <w:tcPr>
            <w:tcW w:w="2102" w:type="dxa"/>
            <w:tcBorders>
              <w:top w:val="single" w:sz="4" w:space="0" w:color="auto"/>
              <w:bottom w:val="single" w:sz="4" w:space="0" w:color="auto"/>
            </w:tcBorders>
          </w:tcPr>
          <w:p w14:paraId="0CA84D17" w14:textId="77777777" w:rsidR="00E70F7F" w:rsidRPr="00E70F7F" w:rsidRDefault="00E70F7F" w:rsidP="009B1B9D">
            <w:pPr>
              <w:jc w:val="both"/>
              <w:rPr>
                <w:rFonts w:ascii="Arial" w:hAnsi="Arial" w:cs="Arial"/>
                <w:b/>
                <w:bCs/>
                <w:sz w:val="20"/>
                <w:szCs w:val="20"/>
              </w:rPr>
            </w:pPr>
            <w:r w:rsidRPr="00E70F7F">
              <w:rPr>
                <w:rFonts w:ascii="Arial" w:hAnsi="Arial" w:cs="Arial"/>
                <w:b/>
                <w:bCs/>
                <w:sz w:val="20"/>
                <w:szCs w:val="20"/>
              </w:rPr>
              <w:t>Hydrological Component</w:t>
            </w:r>
          </w:p>
        </w:tc>
        <w:tc>
          <w:tcPr>
            <w:tcW w:w="1810" w:type="dxa"/>
            <w:tcBorders>
              <w:top w:val="single" w:sz="4" w:space="0" w:color="auto"/>
              <w:bottom w:val="single" w:sz="4" w:space="0" w:color="auto"/>
            </w:tcBorders>
          </w:tcPr>
          <w:p w14:paraId="2FA216BE" w14:textId="77777777" w:rsidR="00E70F7F" w:rsidRPr="00E70F7F" w:rsidRDefault="00E70F7F" w:rsidP="009B1B9D">
            <w:pPr>
              <w:jc w:val="both"/>
              <w:rPr>
                <w:rFonts w:ascii="Arial" w:hAnsi="Arial" w:cs="Arial"/>
                <w:b/>
                <w:bCs/>
                <w:sz w:val="20"/>
                <w:szCs w:val="20"/>
              </w:rPr>
            </w:pPr>
            <w:r w:rsidRPr="00E70F7F">
              <w:rPr>
                <w:rFonts w:ascii="Arial" w:hAnsi="Arial" w:cs="Arial"/>
                <w:b/>
                <w:bCs/>
                <w:sz w:val="20"/>
                <w:szCs w:val="20"/>
              </w:rPr>
              <w:t>Primary Drivers</w:t>
            </w:r>
          </w:p>
        </w:tc>
        <w:tc>
          <w:tcPr>
            <w:tcW w:w="1849" w:type="dxa"/>
            <w:tcBorders>
              <w:top w:val="single" w:sz="4" w:space="0" w:color="auto"/>
              <w:bottom w:val="single" w:sz="4" w:space="0" w:color="auto"/>
            </w:tcBorders>
          </w:tcPr>
          <w:p w14:paraId="784F3104" w14:textId="77777777" w:rsidR="00E70F7F" w:rsidRPr="00E70F7F" w:rsidRDefault="00E70F7F" w:rsidP="009B1B9D">
            <w:pPr>
              <w:jc w:val="both"/>
              <w:rPr>
                <w:rFonts w:ascii="Arial" w:hAnsi="Arial" w:cs="Arial"/>
                <w:b/>
                <w:bCs/>
                <w:sz w:val="20"/>
                <w:szCs w:val="20"/>
              </w:rPr>
            </w:pPr>
            <w:r w:rsidRPr="00E70F7F">
              <w:rPr>
                <w:rFonts w:ascii="Arial" w:hAnsi="Arial" w:cs="Arial"/>
                <w:b/>
                <w:bCs/>
                <w:sz w:val="20"/>
                <w:szCs w:val="20"/>
              </w:rPr>
              <w:t>Effect of Land Use Change</w:t>
            </w:r>
          </w:p>
        </w:tc>
        <w:tc>
          <w:tcPr>
            <w:tcW w:w="1805" w:type="dxa"/>
            <w:tcBorders>
              <w:top w:val="single" w:sz="4" w:space="0" w:color="auto"/>
              <w:bottom w:val="single" w:sz="4" w:space="0" w:color="auto"/>
            </w:tcBorders>
          </w:tcPr>
          <w:p w14:paraId="111856EC" w14:textId="77777777" w:rsidR="00E70F7F" w:rsidRPr="00E70F7F" w:rsidRDefault="00E70F7F" w:rsidP="009B1B9D">
            <w:pPr>
              <w:jc w:val="both"/>
              <w:rPr>
                <w:rFonts w:ascii="Arial" w:hAnsi="Arial" w:cs="Arial"/>
                <w:b/>
                <w:bCs/>
                <w:sz w:val="20"/>
                <w:szCs w:val="20"/>
              </w:rPr>
            </w:pPr>
            <w:r w:rsidRPr="00E70F7F">
              <w:rPr>
                <w:rFonts w:ascii="Arial" w:hAnsi="Arial" w:cs="Arial"/>
                <w:b/>
                <w:bCs/>
                <w:sz w:val="20"/>
                <w:szCs w:val="20"/>
              </w:rPr>
              <w:t>Environmental Implications</w:t>
            </w:r>
          </w:p>
        </w:tc>
        <w:tc>
          <w:tcPr>
            <w:tcW w:w="1784" w:type="dxa"/>
            <w:tcBorders>
              <w:top w:val="single" w:sz="4" w:space="0" w:color="auto"/>
              <w:bottom w:val="single" w:sz="4" w:space="0" w:color="auto"/>
            </w:tcBorders>
          </w:tcPr>
          <w:p w14:paraId="6DCB67EF" w14:textId="77777777" w:rsidR="00E70F7F" w:rsidRPr="00E70F7F" w:rsidRDefault="00E70F7F" w:rsidP="009B1B9D">
            <w:pPr>
              <w:jc w:val="both"/>
              <w:rPr>
                <w:rFonts w:ascii="Arial" w:hAnsi="Arial" w:cs="Arial"/>
                <w:b/>
                <w:bCs/>
                <w:sz w:val="20"/>
                <w:szCs w:val="20"/>
              </w:rPr>
            </w:pPr>
            <w:r w:rsidRPr="00E70F7F">
              <w:rPr>
                <w:rFonts w:ascii="Arial" w:hAnsi="Arial" w:cs="Arial"/>
                <w:b/>
                <w:bCs/>
                <w:sz w:val="20"/>
                <w:szCs w:val="20"/>
              </w:rPr>
              <w:t>Key References</w:t>
            </w:r>
          </w:p>
        </w:tc>
      </w:tr>
      <w:tr w:rsidR="00E70F7F" w:rsidRPr="00E70F7F" w14:paraId="22DCDFDE" w14:textId="77777777" w:rsidTr="00E70F7F">
        <w:tc>
          <w:tcPr>
            <w:tcW w:w="2102" w:type="dxa"/>
            <w:tcBorders>
              <w:top w:val="single" w:sz="4" w:space="0" w:color="auto"/>
            </w:tcBorders>
          </w:tcPr>
          <w:p w14:paraId="71FF1C30" w14:textId="77777777" w:rsidR="00E70F7F" w:rsidRPr="00E70F7F" w:rsidRDefault="00E70F7F" w:rsidP="009B1B9D">
            <w:pPr>
              <w:jc w:val="both"/>
              <w:rPr>
                <w:rFonts w:ascii="Arial" w:hAnsi="Arial" w:cs="Arial"/>
                <w:sz w:val="20"/>
                <w:szCs w:val="20"/>
              </w:rPr>
            </w:pPr>
          </w:p>
        </w:tc>
        <w:tc>
          <w:tcPr>
            <w:tcW w:w="1810" w:type="dxa"/>
            <w:tcBorders>
              <w:top w:val="single" w:sz="4" w:space="0" w:color="auto"/>
            </w:tcBorders>
          </w:tcPr>
          <w:p w14:paraId="62E95A91" w14:textId="77777777" w:rsidR="00E70F7F" w:rsidRPr="00E70F7F" w:rsidRDefault="00E70F7F" w:rsidP="009B1B9D">
            <w:pPr>
              <w:jc w:val="both"/>
              <w:rPr>
                <w:rFonts w:ascii="Arial" w:hAnsi="Arial" w:cs="Arial"/>
                <w:sz w:val="20"/>
                <w:szCs w:val="20"/>
              </w:rPr>
            </w:pPr>
          </w:p>
        </w:tc>
        <w:tc>
          <w:tcPr>
            <w:tcW w:w="1849" w:type="dxa"/>
            <w:tcBorders>
              <w:top w:val="single" w:sz="4" w:space="0" w:color="auto"/>
            </w:tcBorders>
          </w:tcPr>
          <w:p w14:paraId="2D4453B4" w14:textId="77777777" w:rsidR="00E70F7F" w:rsidRPr="00E70F7F" w:rsidRDefault="00E70F7F" w:rsidP="009B1B9D">
            <w:pPr>
              <w:jc w:val="both"/>
              <w:rPr>
                <w:rFonts w:ascii="Arial" w:hAnsi="Arial" w:cs="Arial"/>
                <w:sz w:val="20"/>
                <w:szCs w:val="20"/>
              </w:rPr>
            </w:pPr>
          </w:p>
        </w:tc>
        <w:tc>
          <w:tcPr>
            <w:tcW w:w="1805" w:type="dxa"/>
            <w:tcBorders>
              <w:top w:val="single" w:sz="4" w:space="0" w:color="auto"/>
            </w:tcBorders>
          </w:tcPr>
          <w:p w14:paraId="314BF0DD" w14:textId="77777777" w:rsidR="00E70F7F" w:rsidRPr="00E70F7F" w:rsidRDefault="00E70F7F" w:rsidP="009B1B9D">
            <w:pPr>
              <w:jc w:val="both"/>
              <w:rPr>
                <w:rFonts w:ascii="Arial" w:hAnsi="Arial" w:cs="Arial"/>
                <w:sz w:val="20"/>
                <w:szCs w:val="20"/>
              </w:rPr>
            </w:pPr>
          </w:p>
        </w:tc>
        <w:tc>
          <w:tcPr>
            <w:tcW w:w="1784" w:type="dxa"/>
            <w:tcBorders>
              <w:top w:val="single" w:sz="4" w:space="0" w:color="auto"/>
            </w:tcBorders>
          </w:tcPr>
          <w:p w14:paraId="49642B45" w14:textId="77777777" w:rsidR="00E70F7F" w:rsidRPr="00E70F7F" w:rsidRDefault="00E70F7F" w:rsidP="009B1B9D">
            <w:pPr>
              <w:jc w:val="both"/>
              <w:rPr>
                <w:rFonts w:ascii="Arial" w:hAnsi="Arial" w:cs="Arial"/>
                <w:sz w:val="20"/>
                <w:szCs w:val="20"/>
              </w:rPr>
            </w:pPr>
          </w:p>
        </w:tc>
      </w:tr>
      <w:tr w:rsidR="00E70F7F" w:rsidRPr="00E70F7F" w14:paraId="481BC24D" w14:textId="77777777" w:rsidTr="009B1B9D">
        <w:tc>
          <w:tcPr>
            <w:tcW w:w="2102" w:type="dxa"/>
          </w:tcPr>
          <w:p w14:paraId="0E850D69"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Peak discharge</w:t>
            </w:r>
          </w:p>
        </w:tc>
        <w:tc>
          <w:tcPr>
            <w:tcW w:w="1810" w:type="dxa"/>
          </w:tcPr>
          <w:p w14:paraId="21602CBE"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Rainfall intensity, slope gradient</w:t>
            </w:r>
          </w:p>
        </w:tc>
        <w:tc>
          <w:tcPr>
            <w:tcW w:w="1849" w:type="dxa"/>
          </w:tcPr>
          <w:p w14:paraId="01A14653"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Increased runoff from reduced forest cover</w:t>
            </w:r>
          </w:p>
        </w:tc>
        <w:tc>
          <w:tcPr>
            <w:tcW w:w="1805" w:type="dxa"/>
          </w:tcPr>
          <w:p w14:paraId="231394B4"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Flood risk, channel instability</w:t>
            </w:r>
          </w:p>
        </w:tc>
        <w:tc>
          <w:tcPr>
            <w:tcW w:w="1784" w:type="dxa"/>
          </w:tcPr>
          <w:p w14:paraId="413C79DC"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Poff et al., 1997; Oki &amp; Kanae, 2006</w:t>
            </w:r>
          </w:p>
        </w:tc>
      </w:tr>
      <w:tr w:rsidR="00E70F7F" w:rsidRPr="00E70F7F" w14:paraId="2163D0BE" w14:textId="77777777" w:rsidTr="009B1B9D">
        <w:tc>
          <w:tcPr>
            <w:tcW w:w="2102" w:type="dxa"/>
          </w:tcPr>
          <w:p w14:paraId="6BF9F02B"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Infiltration and recharge</w:t>
            </w:r>
          </w:p>
        </w:tc>
        <w:tc>
          <w:tcPr>
            <w:tcW w:w="1810" w:type="dxa"/>
          </w:tcPr>
          <w:p w14:paraId="6E7F868C"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Vegetation cover, soil structure</w:t>
            </w:r>
          </w:p>
        </w:tc>
        <w:tc>
          <w:tcPr>
            <w:tcW w:w="1849" w:type="dxa"/>
          </w:tcPr>
          <w:p w14:paraId="2D599C7A"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Reduced infiltration in cultivated lands</w:t>
            </w:r>
          </w:p>
        </w:tc>
        <w:tc>
          <w:tcPr>
            <w:tcW w:w="1805" w:type="dxa"/>
          </w:tcPr>
          <w:p w14:paraId="61D4B249"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Lower baseflow during dry season</w:t>
            </w:r>
          </w:p>
        </w:tc>
        <w:tc>
          <w:tcPr>
            <w:tcW w:w="1784" w:type="dxa"/>
          </w:tcPr>
          <w:p w14:paraId="37C87CAD" w14:textId="77777777" w:rsidR="00E70F7F" w:rsidRPr="00E70F7F" w:rsidRDefault="00E70F7F" w:rsidP="009B1B9D">
            <w:pPr>
              <w:jc w:val="both"/>
              <w:rPr>
                <w:rFonts w:ascii="Arial" w:hAnsi="Arial" w:cs="Arial"/>
                <w:sz w:val="20"/>
                <w:szCs w:val="20"/>
              </w:rPr>
            </w:pPr>
            <w:proofErr w:type="spellStart"/>
            <w:r w:rsidRPr="00E70F7F">
              <w:rPr>
                <w:rFonts w:ascii="Arial" w:hAnsi="Arial" w:cs="Arial"/>
                <w:sz w:val="20"/>
                <w:szCs w:val="20"/>
              </w:rPr>
              <w:t>Bruijnzeel</w:t>
            </w:r>
            <w:proofErr w:type="spellEnd"/>
            <w:r w:rsidRPr="00E70F7F">
              <w:rPr>
                <w:rFonts w:ascii="Arial" w:hAnsi="Arial" w:cs="Arial"/>
                <w:sz w:val="20"/>
                <w:szCs w:val="20"/>
              </w:rPr>
              <w:t>, 2004</w:t>
            </w:r>
          </w:p>
        </w:tc>
      </w:tr>
      <w:tr w:rsidR="00E70F7F" w:rsidRPr="00E70F7F" w14:paraId="3F16176B" w14:textId="77777777" w:rsidTr="009B1B9D">
        <w:tc>
          <w:tcPr>
            <w:tcW w:w="2102" w:type="dxa"/>
          </w:tcPr>
          <w:p w14:paraId="0D4BBEFA"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Sediment yield</w:t>
            </w:r>
          </w:p>
        </w:tc>
        <w:tc>
          <w:tcPr>
            <w:tcW w:w="1810" w:type="dxa"/>
          </w:tcPr>
          <w:p w14:paraId="2DEA27E8"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Soil exposure, slope farming</w:t>
            </w:r>
          </w:p>
        </w:tc>
        <w:tc>
          <w:tcPr>
            <w:tcW w:w="1849" w:type="dxa"/>
          </w:tcPr>
          <w:p w14:paraId="0B09B3C5"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Higher erosion rates</w:t>
            </w:r>
          </w:p>
        </w:tc>
        <w:tc>
          <w:tcPr>
            <w:tcW w:w="1805" w:type="dxa"/>
          </w:tcPr>
          <w:p w14:paraId="0E4240CB"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River siltation, irrigation disruption</w:t>
            </w:r>
          </w:p>
        </w:tc>
        <w:tc>
          <w:tcPr>
            <w:tcW w:w="1784" w:type="dxa"/>
          </w:tcPr>
          <w:p w14:paraId="1EBC7661" w14:textId="76B0BEC7" w:rsidR="00E70F7F" w:rsidRPr="00E70F7F" w:rsidRDefault="00A064A8" w:rsidP="009B1B9D">
            <w:pPr>
              <w:jc w:val="both"/>
              <w:rPr>
                <w:rFonts w:ascii="Arial" w:hAnsi="Arial" w:cs="Arial"/>
                <w:sz w:val="20"/>
                <w:szCs w:val="20"/>
              </w:rPr>
            </w:pPr>
            <w:r w:rsidRPr="00A064A8">
              <w:rPr>
                <w:rFonts w:ascii="Arial" w:hAnsi="Arial" w:cs="Arial"/>
                <w:sz w:val="20"/>
                <w:szCs w:val="20"/>
              </w:rPr>
              <w:t>Brauman et al., 2007</w:t>
            </w:r>
            <w:r w:rsidR="00E70F7F" w:rsidRPr="00E70F7F">
              <w:rPr>
                <w:rFonts w:ascii="Arial" w:hAnsi="Arial" w:cs="Arial"/>
                <w:sz w:val="20"/>
                <w:szCs w:val="20"/>
              </w:rPr>
              <w:t>; Lasco et al., 200</w:t>
            </w:r>
            <w:r w:rsidR="00280ADF">
              <w:rPr>
                <w:rFonts w:ascii="Arial" w:hAnsi="Arial" w:cs="Arial"/>
                <w:sz w:val="20"/>
                <w:szCs w:val="20"/>
              </w:rPr>
              <w:t>8</w:t>
            </w:r>
          </w:p>
        </w:tc>
      </w:tr>
      <w:tr w:rsidR="00E70F7F" w:rsidRPr="00E70F7F" w14:paraId="58324D52" w14:textId="77777777" w:rsidTr="009B1B9D">
        <w:tc>
          <w:tcPr>
            <w:tcW w:w="2102" w:type="dxa"/>
          </w:tcPr>
          <w:p w14:paraId="4D8D35D8"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Channel morphology</w:t>
            </w:r>
          </w:p>
        </w:tc>
        <w:tc>
          <w:tcPr>
            <w:tcW w:w="1810" w:type="dxa"/>
          </w:tcPr>
          <w:p w14:paraId="3D576E5E"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Sediment load, flow variability</w:t>
            </w:r>
          </w:p>
        </w:tc>
        <w:tc>
          <w:tcPr>
            <w:tcW w:w="1849" w:type="dxa"/>
          </w:tcPr>
          <w:p w14:paraId="5E31F040"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Altered riverbed composition</w:t>
            </w:r>
          </w:p>
        </w:tc>
        <w:tc>
          <w:tcPr>
            <w:tcW w:w="1805" w:type="dxa"/>
          </w:tcPr>
          <w:p w14:paraId="3CDABADD"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Habitat disturbance</w:t>
            </w:r>
          </w:p>
        </w:tc>
        <w:tc>
          <w:tcPr>
            <w:tcW w:w="1784" w:type="dxa"/>
          </w:tcPr>
          <w:p w14:paraId="2E3F948A"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Allan &amp; Castillo, 2007</w:t>
            </w:r>
          </w:p>
        </w:tc>
      </w:tr>
      <w:tr w:rsidR="00E70F7F" w:rsidRPr="00E70F7F" w14:paraId="32494658" w14:textId="77777777" w:rsidTr="00E70F7F">
        <w:tc>
          <w:tcPr>
            <w:tcW w:w="2102" w:type="dxa"/>
            <w:tcBorders>
              <w:bottom w:val="single" w:sz="4" w:space="0" w:color="auto"/>
            </w:tcBorders>
          </w:tcPr>
          <w:p w14:paraId="1CCD1ECE"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Climate-driven variability</w:t>
            </w:r>
          </w:p>
        </w:tc>
        <w:tc>
          <w:tcPr>
            <w:tcW w:w="1810" w:type="dxa"/>
            <w:tcBorders>
              <w:bottom w:val="single" w:sz="4" w:space="0" w:color="auto"/>
            </w:tcBorders>
          </w:tcPr>
          <w:p w14:paraId="04237A6A"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Monsoon, typhoons</w:t>
            </w:r>
          </w:p>
        </w:tc>
        <w:tc>
          <w:tcPr>
            <w:tcW w:w="1849" w:type="dxa"/>
            <w:tcBorders>
              <w:bottom w:val="single" w:sz="4" w:space="0" w:color="auto"/>
            </w:tcBorders>
          </w:tcPr>
          <w:p w14:paraId="601BE31D"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Intensified hydrological extremes</w:t>
            </w:r>
          </w:p>
        </w:tc>
        <w:tc>
          <w:tcPr>
            <w:tcW w:w="1805" w:type="dxa"/>
            <w:tcBorders>
              <w:bottom w:val="single" w:sz="4" w:space="0" w:color="auto"/>
            </w:tcBorders>
          </w:tcPr>
          <w:p w14:paraId="28E4A8A0" w14:textId="77777777" w:rsidR="00E70F7F" w:rsidRPr="00E70F7F" w:rsidRDefault="00E70F7F" w:rsidP="009B1B9D">
            <w:pPr>
              <w:jc w:val="both"/>
              <w:rPr>
                <w:rFonts w:ascii="Arial" w:hAnsi="Arial" w:cs="Arial"/>
                <w:sz w:val="20"/>
                <w:szCs w:val="20"/>
              </w:rPr>
            </w:pPr>
            <w:r w:rsidRPr="00E70F7F">
              <w:rPr>
                <w:rFonts w:ascii="Arial" w:hAnsi="Arial" w:cs="Arial"/>
                <w:sz w:val="20"/>
                <w:szCs w:val="20"/>
              </w:rPr>
              <w:t>Increased flood and drought risk</w:t>
            </w:r>
          </w:p>
        </w:tc>
        <w:tc>
          <w:tcPr>
            <w:tcW w:w="1784" w:type="dxa"/>
            <w:tcBorders>
              <w:bottom w:val="single" w:sz="4" w:space="0" w:color="auto"/>
            </w:tcBorders>
          </w:tcPr>
          <w:p w14:paraId="6725DAD7" w14:textId="1A69EAE9" w:rsidR="00E70F7F" w:rsidRPr="00E70F7F" w:rsidRDefault="00E70F7F" w:rsidP="009B1B9D">
            <w:pPr>
              <w:jc w:val="both"/>
              <w:rPr>
                <w:rFonts w:ascii="Arial" w:hAnsi="Arial" w:cs="Arial"/>
                <w:sz w:val="20"/>
                <w:szCs w:val="20"/>
              </w:rPr>
            </w:pPr>
            <w:r w:rsidRPr="00E70F7F">
              <w:rPr>
                <w:rFonts w:ascii="Arial" w:hAnsi="Arial" w:cs="Arial"/>
                <w:sz w:val="20"/>
                <w:szCs w:val="20"/>
              </w:rPr>
              <w:t xml:space="preserve">IPCC, 2021; </w:t>
            </w:r>
            <w:r w:rsidR="00A064A8" w:rsidRPr="00A064A8">
              <w:rPr>
                <w:rFonts w:ascii="Arial" w:hAnsi="Arial" w:cs="Arial"/>
                <w:sz w:val="20"/>
                <w:szCs w:val="20"/>
              </w:rPr>
              <w:t>Cinco et al., 2014</w:t>
            </w:r>
          </w:p>
        </w:tc>
      </w:tr>
    </w:tbl>
    <w:p w14:paraId="04010700" w14:textId="4645CFDC" w:rsidR="00863BD3" w:rsidRDefault="00863BD3" w:rsidP="00E70F7F">
      <w:pPr>
        <w:pStyle w:val="BodyText3"/>
        <w:tabs>
          <w:tab w:val="left" w:pos="1080"/>
        </w:tabs>
        <w:spacing w:after="0"/>
        <w:jc w:val="both"/>
        <w:rPr>
          <w:rFonts w:ascii="Arial" w:hAnsi="Arial"/>
          <w:b/>
          <w:sz w:val="20"/>
          <w:szCs w:val="20"/>
        </w:rPr>
      </w:pPr>
    </w:p>
    <w:p w14:paraId="7CD2DAA3" w14:textId="34A005C9" w:rsidR="00E70F7F" w:rsidRDefault="00E70F7F" w:rsidP="00E70F7F">
      <w:pPr>
        <w:pStyle w:val="Head1"/>
        <w:spacing w:after="0"/>
        <w:jc w:val="both"/>
        <w:rPr>
          <w:rFonts w:ascii="Arial" w:hAnsi="Arial" w:cs="Arial"/>
        </w:rPr>
      </w:pPr>
      <w:r>
        <w:rPr>
          <w:rFonts w:ascii="Arial" w:hAnsi="Arial" w:cs="Arial"/>
        </w:rPr>
        <w:t xml:space="preserve">4. </w:t>
      </w:r>
      <w:r w:rsidRPr="00D957B6">
        <w:rPr>
          <w:rFonts w:ascii="Arial" w:hAnsi="Arial" w:cs="Arial"/>
          <w:bCs/>
          <w:sz w:val="24"/>
          <w:szCs w:val="24"/>
        </w:rPr>
        <w:t>Land Use and Land Cover Change in Ilocos Region Watersheds</w:t>
      </w:r>
    </w:p>
    <w:p w14:paraId="401A8D5C" w14:textId="77777777" w:rsidR="00E70F7F" w:rsidRDefault="00E70F7F" w:rsidP="00E70F7F">
      <w:pPr>
        <w:pStyle w:val="Body"/>
        <w:spacing w:after="0"/>
        <w:rPr>
          <w:rFonts w:ascii="Arial" w:hAnsi="Arial" w:cs="Arial"/>
        </w:rPr>
      </w:pPr>
    </w:p>
    <w:p w14:paraId="0B1F5AF8" w14:textId="22619222" w:rsidR="00BE42B4" w:rsidRPr="00BE42B4" w:rsidRDefault="00BE42B4" w:rsidP="00BE42B4">
      <w:pPr>
        <w:pStyle w:val="Body"/>
        <w:rPr>
          <w:rFonts w:ascii="Arial" w:hAnsi="Arial" w:cs="Arial"/>
        </w:rPr>
      </w:pPr>
      <w:r w:rsidRPr="00BE42B4">
        <w:rPr>
          <w:rFonts w:ascii="Arial" w:hAnsi="Arial" w:cs="Arial"/>
        </w:rPr>
        <w:t>Land use and land cover change (LULCC) is widely recognized as one of the most significant drivers of watershed transformation because it directly alters surface runoff pathways, soil exposure, evapotranspiration, and sediment generation (Foley et al., 2005; Lambin &amp; Geist, 2006; Negash et al., 2022). Land system transitions are rarely driven by a single factor; rather, they reflect interacting socio-economic forces such as population pressure, market access, and livelihood needs (Geist &amp; Lambin, 2002). In watershed settings, these pressures accumulate across space and time, gradually reshaping landscape composition and, consequently, hydrological and ecological processes.</w:t>
      </w:r>
    </w:p>
    <w:p w14:paraId="6BA773FE" w14:textId="218264CB" w:rsidR="00BE42B4" w:rsidRPr="00BE42B4" w:rsidRDefault="00BE42B4" w:rsidP="00BE42B4">
      <w:pPr>
        <w:pStyle w:val="Body"/>
        <w:rPr>
          <w:rFonts w:ascii="Arial" w:hAnsi="Arial" w:cs="Arial"/>
        </w:rPr>
      </w:pPr>
      <w:r w:rsidRPr="00BE42B4">
        <w:rPr>
          <w:rFonts w:ascii="Arial" w:hAnsi="Arial" w:cs="Arial"/>
        </w:rPr>
        <w:t>In the Ilocos Region, LULCC typically reflects the expansion and intensification of agriculture across lowland plains and the increasing use of sloping uplands for cultivation and settlement. This regional pattern is important because many Ilocos watersheds are characterized by steep headwaters draining rapidly toward downstream floodplains and coastal zones. Even incremental changes in upland land cover</w:t>
      </w:r>
      <w:r>
        <w:rPr>
          <w:rFonts w:ascii="Arial" w:hAnsi="Arial" w:cs="Arial"/>
        </w:rPr>
        <w:t xml:space="preserve"> </w:t>
      </w:r>
      <w:r w:rsidRPr="00BE42B4">
        <w:rPr>
          <w:rFonts w:ascii="Arial" w:hAnsi="Arial" w:cs="Arial"/>
        </w:rPr>
        <w:t>such as conversion of secondary vegetation to cropland or repeated soil disturbance</w:t>
      </w:r>
      <w:r>
        <w:rPr>
          <w:rFonts w:ascii="Arial" w:hAnsi="Arial" w:cs="Arial"/>
        </w:rPr>
        <w:t xml:space="preserve"> </w:t>
      </w:r>
      <w:r w:rsidRPr="00BE42B4">
        <w:rPr>
          <w:rFonts w:ascii="Arial" w:hAnsi="Arial" w:cs="Arial"/>
        </w:rPr>
        <w:t>can cumulatively increase runoff generation and sediment delivery during monsoon rainfall events (Negash et al., 2022). As a result, LULCC in Ilocos watersheds is not only a land management issue but also a key determinant of downstream flood risk and water quality.</w:t>
      </w:r>
    </w:p>
    <w:p w14:paraId="003C0563" w14:textId="40F72104" w:rsidR="00BE42B4" w:rsidRPr="00BE42B4" w:rsidRDefault="00BE42B4" w:rsidP="00BE42B4">
      <w:pPr>
        <w:pStyle w:val="Body"/>
        <w:rPr>
          <w:rFonts w:ascii="Arial" w:hAnsi="Arial" w:cs="Arial"/>
        </w:rPr>
      </w:pPr>
      <w:r w:rsidRPr="00BE42B4">
        <w:rPr>
          <w:rFonts w:ascii="Arial" w:hAnsi="Arial" w:cs="Arial"/>
        </w:rPr>
        <w:t>Soil erosion processes are strongly influenced by land cover and slope management. Upland farming practices, especially those lacking contouring, ground cover maintenance, or other soil conservation measures, increase surface runoff and sediment production (Lal, 2001). In sloping watersheds, repeated cultivation and reduced organic matter can weaken soil structure and infiltration capacity, increasing susceptibility to erosion during intense rainfall. These mechanisms align with broader tropical watershed literature showing that land cover change on steep terrain can accelerate sediment movement from hillslopes to river channels, with downstream impacts on channel stability and aquatic habitats.</w:t>
      </w:r>
    </w:p>
    <w:p w14:paraId="40EFB922" w14:textId="245A8D9A" w:rsidR="00BE42B4" w:rsidRPr="00BE42B4" w:rsidRDefault="00BE42B4" w:rsidP="00BE42B4">
      <w:pPr>
        <w:pStyle w:val="Body"/>
        <w:rPr>
          <w:rFonts w:ascii="Arial" w:hAnsi="Arial" w:cs="Arial"/>
        </w:rPr>
      </w:pPr>
      <w:r w:rsidRPr="00BE42B4">
        <w:rPr>
          <w:rFonts w:ascii="Arial" w:hAnsi="Arial" w:cs="Arial"/>
        </w:rPr>
        <w:t>Forest cover plays a critical buffering role in watershed systems by enhancing infiltration, stabilizing soil through root networks, and regulating evapotranspiration (</w:t>
      </w:r>
      <w:proofErr w:type="spellStart"/>
      <w:r w:rsidRPr="00BE42B4">
        <w:rPr>
          <w:rFonts w:ascii="Arial" w:hAnsi="Arial" w:cs="Arial"/>
        </w:rPr>
        <w:t>Bruijnzeel</w:t>
      </w:r>
      <w:proofErr w:type="spellEnd"/>
      <w:r w:rsidRPr="00BE42B4">
        <w:rPr>
          <w:rFonts w:ascii="Arial" w:hAnsi="Arial" w:cs="Arial"/>
        </w:rPr>
        <w:t xml:space="preserve">, 2004). </w:t>
      </w:r>
      <w:r w:rsidRPr="00BE42B4">
        <w:rPr>
          <w:rFonts w:ascii="Arial" w:hAnsi="Arial" w:cs="Arial"/>
        </w:rPr>
        <w:lastRenderedPageBreak/>
        <w:t>When forest areas become fragmented or are converted to cultivation, hydrological regulation capacity tends to decline, especially under high-intensity rainfall regimes typical of monsoon climates. In the Ilocos context, where extreme rainfall events are recurrent, the loss of protective vegetation cover in headwaters can increase rapid runoff and sediment pulses, affecting downstream river morphology and water usability for irrigation and domestic supply.</w:t>
      </w:r>
    </w:p>
    <w:p w14:paraId="1ADB6ACF" w14:textId="182D7E7F" w:rsidR="00BE42B4" w:rsidRPr="00BE42B4" w:rsidRDefault="00BE42B4" w:rsidP="00BE42B4">
      <w:pPr>
        <w:pStyle w:val="Body"/>
        <w:rPr>
          <w:rFonts w:ascii="Arial" w:hAnsi="Arial" w:cs="Arial"/>
        </w:rPr>
      </w:pPr>
      <w:r w:rsidRPr="00BE42B4">
        <w:rPr>
          <w:rFonts w:ascii="Arial" w:hAnsi="Arial" w:cs="Arial"/>
        </w:rPr>
        <w:t>Urbanization and settlement expansion add another layer of watershed change, even when the overall proportion of built-up land is modest. Growth in towns and peri-urban areas increases impervious surfaces, accelerates runoff, shortens lag time, and can amplify peak discharge during storms (Paul &amp; Meyer, 2001). In smaller watersheds, relatively small increases in imperviousness can produce noticeable hydrological shifts because stormwater is routed quickly to channels. In Ilocos watersheds that already respond rapidly to heavy rain due to slope and catchment structure, this effect can further intensify localized flooding and channel instability.</w:t>
      </w:r>
    </w:p>
    <w:p w14:paraId="22DAB9C3" w14:textId="3D3AE9F0" w:rsidR="00BE42B4" w:rsidRPr="00BE42B4" w:rsidRDefault="00BE42B4" w:rsidP="00BE42B4">
      <w:pPr>
        <w:pStyle w:val="Body"/>
        <w:rPr>
          <w:rFonts w:ascii="Arial" w:hAnsi="Arial" w:cs="Arial"/>
        </w:rPr>
      </w:pPr>
      <w:r w:rsidRPr="00BE42B4">
        <w:rPr>
          <w:rFonts w:ascii="Arial" w:hAnsi="Arial" w:cs="Arial"/>
        </w:rPr>
        <w:t>Given these dynamics, routine land-cover monitoring is essential for early detection of watershed degradation. Integrating satellite-based land-cover mapping and GIS analysis into watershed planning can help identify emerging hotspots of land conversion, erosion risk, and riparian encroachment. Machine learning approaches, including random forest classifiers, are increasingly used in remote sensing to improve land-cover classification accuracy and support time-series monitoring of landscape change (</w:t>
      </w:r>
      <w:proofErr w:type="spellStart"/>
      <w:r w:rsidRPr="00BE42B4">
        <w:rPr>
          <w:rFonts w:ascii="Arial" w:hAnsi="Arial" w:cs="Arial"/>
        </w:rPr>
        <w:t>Belgiu</w:t>
      </w:r>
      <w:proofErr w:type="spellEnd"/>
      <w:r w:rsidRPr="00BE42B4">
        <w:rPr>
          <w:rFonts w:ascii="Arial" w:hAnsi="Arial" w:cs="Arial"/>
        </w:rPr>
        <w:t xml:space="preserve"> &amp; </w:t>
      </w:r>
      <w:proofErr w:type="spellStart"/>
      <w:r w:rsidRPr="00BE42B4">
        <w:rPr>
          <w:rFonts w:ascii="Arial" w:hAnsi="Arial" w:cs="Arial"/>
        </w:rPr>
        <w:t>Drăguț</w:t>
      </w:r>
      <w:proofErr w:type="spellEnd"/>
      <w:r w:rsidRPr="00BE42B4">
        <w:rPr>
          <w:rFonts w:ascii="Arial" w:hAnsi="Arial" w:cs="Arial"/>
        </w:rPr>
        <w:t>, 2016). Coupling such spatial monitoring with watershed-scale hydrological assessments can clarify how specific land transformation pathways influence runoff generation and sediment transport, strengthening the evidence base for land-use planning and watershed governance.</w:t>
      </w:r>
    </w:p>
    <w:p w14:paraId="7EEDF2D1" w14:textId="3952EC2A" w:rsidR="00E70F7F" w:rsidRDefault="00BE42B4" w:rsidP="00BE42B4">
      <w:pPr>
        <w:pStyle w:val="Body"/>
        <w:spacing w:after="0"/>
        <w:rPr>
          <w:rFonts w:ascii="Arial" w:hAnsi="Arial" w:cs="Arial"/>
        </w:rPr>
      </w:pPr>
      <w:r w:rsidRPr="00BE42B4">
        <w:rPr>
          <w:rFonts w:ascii="Arial" w:hAnsi="Arial" w:cs="Arial"/>
        </w:rPr>
        <w:t>In summary, LULCC is a central driver of watershed dynamics in the Ilocos Region. Agricultural expansion and intensification, forest fragmentation, and settlement growth collectively influence hydrological processes, erosion rates, and ecological stability. Strengthening land-use planning at the watershed scale</w:t>
      </w:r>
      <w:r>
        <w:rPr>
          <w:rFonts w:ascii="Arial" w:hAnsi="Arial" w:cs="Arial"/>
        </w:rPr>
        <w:t xml:space="preserve"> </w:t>
      </w:r>
      <w:r w:rsidRPr="00BE42B4">
        <w:rPr>
          <w:rFonts w:ascii="Arial" w:hAnsi="Arial" w:cs="Arial"/>
        </w:rPr>
        <w:t>supported by consistent land-cover monitoring and integration with hydrological understanding</w:t>
      </w:r>
      <w:r>
        <w:rPr>
          <w:rFonts w:ascii="Arial" w:hAnsi="Arial" w:cs="Arial"/>
        </w:rPr>
        <w:t xml:space="preserve"> </w:t>
      </w:r>
      <w:r w:rsidRPr="00BE42B4">
        <w:rPr>
          <w:rFonts w:ascii="Arial" w:hAnsi="Arial" w:cs="Arial"/>
        </w:rPr>
        <w:t>remains essential for sustaining watershed functions under ongoing land pressure and climate variability.</w:t>
      </w:r>
    </w:p>
    <w:p w14:paraId="008DB5AA" w14:textId="77777777" w:rsidR="00BE42B4" w:rsidRDefault="00BE42B4" w:rsidP="00BE42B4">
      <w:pPr>
        <w:pStyle w:val="Body"/>
        <w:spacing w:after="0"/>
        <w:rPr>
          <w:rFonts w:ascii="Arial" w:hAnsi="Arial" w:cs="Arial"/>
        </w:rPr>
      </w:pPr>
    </w:p>
    <w:p w14:paraId="384E41D2" w14:textId="62EABDF1" w:rsidR="00E70F7F" w:rsidRDefault="00E70F7F" w:rsidP="00E70F7F">
      <w:pPr>
        <w:pStyle w:val="Head1"/>
        <w:spacing w:after="0"/>
        <w:jc w:val="both"/>
        <w:rPr>
          <w:rFonts w:ascii="Arial" w:hAnsi="Arial" w:cs="Arial"/>
        </w:rPr>
      </w:pPr>
      <w:r>
        <w:rPr>
          <w:rFonts w:ascii="Arial" w:hAnsi="Arial" w:cs="Arial"/>
        </w:rPr>
        <w:t xml:space="preserve">5. </w:t>
      </w:r>
      <w:r w:rsidRPr="0035292A">
        <w:rPr>
          <w:rFonts w:ascii="Arial" w:hAnsi="Arial" w:cs="Arial"/>
          <w:bCs/>
          <w:sz w:val="24"/>
          <w:szCs w:val="24"/>
        </w:rPr>
        <w:t>Biodiversity and Ecological Conditions in Ilocos Region Watersheds</w:t>
      </w:r>
    </w:p>
    <w:p w14:paraId="2D3FEA2F" w14:textId="77777777" w:rsidR="00E70F7F" w:rsidRDefault="00E70F7F" w:rsidP="00E70F7F">
      <w:pPr>
        <w:pStyle w:val="Body"/>
        <w:spacing w:after="0"/>
        <w:rPr>
          <w:rFonts w:ascii="Arial" w:hAnsi="Arial" w:cs="Arial"/>
        </w:rPr>
      </w:pPr>
    </w:p>
    <w:p w14:paraId="5F4F74AD" w14:textId="17663A7E" w:rsidR="00A01193" w:rsidRPr="00A01193" w:rsidRDefault="00A01193" w:rsidP="00A01193">
      <w:pPr>
        <w:pStyle w:val="Head1"/>
        <w:jc w:val="both"/>
        <w:rPr>
          <w:rFonts w:ascii="Arial" w:hAnsi="Arial" w:cs="Arial"/>
          <w:b w:val="0"/>
          <w:caps w:val="0"/>
          <w:sz w:val="20"/>
        </w:rPr>
      </w:pPr>
      <w:r w:rsidRPr="00A01193">
        <w:rPr>
          <w:rFonts w:ascii="Arial" w:hAnsi="Arial" w:cs="Arial"/>
          <w:b w:val="0"/>
          <w:caps w:val="0"/>
          <w:sz w:val="20"/>
        </w:rPr>
        <w:t>Watersheds in the Ilocos Region function not only as hydrological units but also as ecological landscapes that support diverse terrestrial and freshwater communities. In tropical settings, forested watersheds provide habitat, regulate nutrient cycling, stabilize soils, and contribute to carbon storage</w:t>
      </w:r>
      <w:r w:rsidR="00BE58A3">
        <w:rPr>
          <w:rFonts w:ascii="Arial" w:hAnsi="Arial" w:cs="Arial"/>
          <w:b w:val="0"/>
          <w:caps w:val="0"/>
          <w:sz w:val="20"/>
        </w:rPr>
        <w:t xml:space="preserve"> </w:t>
      </w:r>
      <w:r w:rsidRPr="00A01193">
        <w:rPr>
          <w:rFonts w:ascii="Arial" w:hAnsi="Arial" w:cs="Arial"/>
          <w:b w:val="0"/>
          <w:caps w:val="0"/>
          <w:sz w:val="20"/>
        </w:rPr>
        <w:t>services that underpin both ecosystem resilience and human well-being (</w:t>
      </w:r>
      <w:proofErr w:type="spellStart"/>
      <w:r w:rsidRPr="00A01193">
        <w:rPr>
          <w:rFonts w:ascii="Arial" w:hAnsi="Arial" w:cs="Arial"/>
          <w:b w:val="0"/>
          <w:caps w:val="0"/>
          <w:sz w:val="20"/>
        </w:rPr>
        <w:t>Vitousek</w:t>
      </w:r>
      <w:proofErr w:type="spellEnd"/>
      <w:r w:rsidRPr="00A01193">
        <w:rPr>
          <w:rFonts w:ascii="Arial" w:hAnsi="Arial" w:cs="Arial"/>
          <w:b w:val="0"/>
          <w:caps w:val="0"/>
          <w:sz w:val="20"/>
        </w:rPr>
        <w:t xml:space="preserve"> et al., 1997; Millennium Ecosystem Assessment, 2005). In Region I, where many river systems originate from upland and montane areas and drain toward lowland agricultural plains and coastal zones, the condition of upland forests and riparian corridors strongly influences downstream ecological integrity.</w:t>
      </w:r>
    </w:p>
    <w:p w14:paraId="452B4226" w14:textId="2CD687B6" w:rsidR="00A01193" w:rsidRPr="00A01193" w:rsidRDefault="00A01193" w:rsidP="00A01193">
      <w:pPr>
        <w:pStyle w:val="Head1"/>
        <w:jc w:val="both"/>
        <w:rPr>
          <w:rFonts w:ascii="Arial" w:hAnsi="Arial" w:cs="Arial"/>
          <w:b w:val="0"/>
          <w:caps w:val="0"/>
          <w:sz w:val="20"/>
        </w:rPr>
      </w:pPr>
      <w:r w:rsidRPr="00A01193">
        <w:rPr>
          <w:rFonts w:ascii="Arial" w:hAnsi="Arial" w:cs="Arial"/>
          <w:b w:val="0"/>
          <w:caps w:val="0"/>
          <w:sz w:val="20"/>
        </w:rPr>
        <w:t>Forest ecosystems in upland watersheds are particularly important for maintaining ecological stability. Vegetation structure</w:t>
      </w:r>
      <w:r w:rsidR="00280ADF">
        <w:rPr>
          <w:rFonts w:ascii="Arial" w:hAnsi="Arial" w:cs="Arial"/>
          <w:b w:val="0"/>
          <w:caps w:val="0"/>
          <w:sz w:val="20"/>
        </w:rPr>
        <w:t>, including</w:t>
      </w:r>
      <w:r w:rsidR="00BE58A3">
        <w:rPr>
          <w:rFonts w:ascii="Arial" w:hAnsi="Arial" w:cs="Arial"/>
          <w:b w:val="0"/>
          <w:caps w:val="0"/>
          <w:sz w:val="20"/>
        </w:rPr>
        <w:t xml:space="preserve"> </w:t>
      </w:r>
      <w:r w:rsidRPr="00A01193">
        <w:rPr>
          <w:rFonts w:ascii="Arial" w:hAnsi="Arial" w:cs="Arial"/>
          <w:b w:val="0"/>
          <w:caps w:val="0"/>
          <w:sz w:val="20"/>
        </w:rPr>
        <w:t>trees, understory, litter layers, and root networks</w:t>
      </w:r>
      <w:r w:rsidR="00BE58A3">
        <w:rPr>
          <w:rFonts w:ascii="Arial" w:hAnsi="Arial" w:cs="Arial"/>
          <w:b w:val="0"/>
          <w:caps w:val="0"/>
          <w:sz w:val="20"/>
        </w:rPr>
        <w:t xml:space="preserve"> </w:t>
      </w:r>
      <w:r w:rsidRPr="00A01193">
        <w:rPr>
          <w:rFonts w:ascii="Arial" w:hAnsi="Arial" w:cs="Arial"/>
          <w:b w:val="0"/>
          <w:caps w:val="0"/>
          <w:sz w:val="20"/>
        </w:rPr>
        <w:t>buffers microclimate, improves soil structure, and reduces erosion, thereby protecting both terrestrial habitats and aquatic environments (</w:t>
      </w:r>
      <w:proofErr w:type="spellStart"/>
      <w:r w:rsidRPr="00A01193">
        <w:rPr>
          <w:rFonts w:ascii="Arial" w:hAnsi="Arial" w:cs="Arial"/>
          <w:b w:val="0"/>
          <w:caps w:val="0"/>
          <w:sz w:val="20"/>
        </w:rPr>
        <w:t>Bruijnzeel</w:t>
      </w:r>
      <w:proofErr w:type="spellEnd"/>
      <w:r w:rsidRPr="00A01193">
        <w:rPr>
          <w:rFonts w:ascii="Arial" w:hAnsi="Arial" w:cs="Arial"/>
          <w:b w:val="0"/>
          <w:caps w:val="0"/>
          <w:sz w:val="20"/>
        </w:rPr>
        <w:t xml:space="preserve">, 2004). Where forest cover remains relatively continuous, watershed landscapes tend to sustain higher habitat complexity and connectivity. In contrast, fragmented landscapes often experience reduced habitat quality and increased edge effects, which can alter local temperature and moisture conditions and increase vulnerability of species to disturbance (Fahrig, 2003). In the Ilocos context, </w:t>
      </w:r>
      <w:r w:rsidRPr="00A01193">
        <w:rPr>
          <w:rFonts w:ascii="Arial" w:hAnsi="Arial" w:cs="Arial"/>
          <w:b w:val="0"/>
          <w:caps w:val="0"/>
          <w:sz w:val="20"/>
        </w:rPr>
        <w:lastRenderedPageBreak/>
        <w:t>fragmentation may occur through gradual expansion of cultivation into upland areas and narrowing of vegetated strips along streams, creating discontinuities in habitat corridors.</w:t>
      </w:r>
    </w:p>
    <w:p w14:paraId="31009C6A" w14:textId="5F9B0E03" w:rsidR="00A01193" w:rsidRPr="00A01193" w:rsidRDefault="00A01193" w:rsidP="00A01193">
      <w:pPr>
        <w:pStyle w:val="Head1"/>
        <w:jc w:val="both"/>
        <w:rPr>
          <w:rFonts w:ascii="Arial" w:hAnsi="Arial" w:cs="Arial"/>
          <w:b w:val="0"/>
          <w:caps w:val="0"/>
          <w:sz w:val="20"/>
        </w:rPr>
      </w:pPr>
      <w:r w:rsidRPr="00A01193">
        <w:rPr>
          <w:rFonts w:ascii="Arial" w:hAnsi="Arial" w:cs="Arial"/>
          <w:b w:val="0"/>
          <w:caps w:val="0"/>
          <w:sz w:val="20"/>
        </w:rPr>
        <w:t>Freshwater biodiversity is especially sensitive to watershed disturbance. Globally, freshwater systems face severe pressures from habitat alteration, sedimentation, and changing flow regimes, making biodiversity loss in rivers and streams a major conservation concern (Dudgeon et al., 2006). In Ilocos watersheds, intense rainfall events can mobilize sediments from disturbed slopes and deliver short-duration but high-magnitude sediment pulses to streams. Elevated suspended sediments can reduce light penetration, smother benthic habitats, and disrupt feeding and reproduction of aquatic organisms, particularly macroinvertebrates and fish (Allan &amp; Castillo, 2007). These ecological responses highlight how land disturbance in headwaters can translate into downstream impacts on aquatic habitat condition and ecosystem functioning.</w:t>
      </w:r>
    </w:p>
    <w:p w14:paraId="04BAC251" w14:textId="7D41C7CD" w:rsidR="00A01193" w:rsidRPr="00A01193" w:rsidRDefault="00A01193" w:rsidP="00A01193">
      <w:pPr>
        <w:pStyle w:val="Head1"/>
        <w:jc w:val="both"/>
        <w:rPr>
          <w:rFonts w:ascii="Arial" w:hAnsi="Arial" w:cs="Arial"/>
          <w:b w:val="0"/>
          <w:caps w:val="0"/>
          <w:sz w:val="20"/>
        </w:rPr>
      </w:pPr>
      <w:r w:rsidRPr="00A01193">
        <w:rPr>
          <w:rFonts w:ascii="Arial" w:hAnsi="Arial" w:cs="Arial"/>
          <w:b w:val="0"/>
          <w:caps w:val="0"/>
          <w:sz w:val="20"/>
        </w:rPr>
        <w:t>Riparian zones represent a critical interface between terrestrial and aquatic systems. Vegetation along streambanks stabilizes soil, filters sediments and nutrients, provides organic matter inputs to streams, and helps regulate water temperature through shading (Gregory et al., 1991). In watersheds where riparian buffers are narrowed by agriculture or settlement expansion, sediment loading and nutrient runoff may increase, potentially degrading water quality and reducing habitat suitability for aquatic species. Maintaining or restoring riparian vegetation is therefore a practical, ecosystem-based strategy for sustaining both biodiversity and water quality outcomes in Ilocos river systems.</w:t>
      </w:r>
    </w:p>
    <w:p w14:paraId="778DCE54" w14:textId="2DEE624D" w:rsidR="00A01193" w:rsidRPr="00A01193" w:rsidRDefault="00A01193" w:rsidP="00A01193">
      <w:pPr>
        <w:pStyle w:val="Head1"/>
        <w:jc w:val="both"/>
        <w:rPr>
          <w:rFonts w:ascii="Arial" w:hAnsi="Arial" w:cs="Arial"/>
          <w:b w:val="0"/>
          <w:caps w:val="0"/>
          <w:sz w:val="20"/>
        </w:rPr>
      </w:pPr>
      <w:r w:rsidRPr="00A01193">
        <w:rPr>
          <w:rFonts w:ascii="Arial" w:hAnsi="Arial" w:cs="Arial"/>
          <w:b w:val="0"/>
          <w:caps w:val="0"/>
          <w:sz w:val="20"/>
        </w:rPr>
        <w:t>Climate variability adds an additional layer of ecological stress. Shifts in rainfall patterns, warming temperatures, and changes in the frequency and intensity of extreme events can influence species distributions, seasonal life cycles, and ecosystem productivity (IPCC, 2021). Watersheds that experience intense storms followed by prolonged dry spells may show stronger fluctuations in stream habitat availability and water quality conditions, affecting aquatic community stability. In Ilocos watersheds with strong wet–dry season contrasts, these climate-related pressures may interact with land-use change to intensify ecological impacts over time.</w:t>
      </w:r>
    </w:p>
    <w:p w14:paraId="027D9113" w14:textId="56A46EF6" w:rsidR="00A01193" w:rsidRPr="00A01193" w:rsidRDefault="00A01193" w:rsidP="00A01193">
      <w:pPr>
        <w:pStyle w:val="Head1"/>
        <w:jc w:val="both"/>
        <w:rPr>
          <w:rFonts w:ascii="Arial" w:hAnsi="Arial" w:cs="Arial"/>
          <w:b w:val="0"/>
          <w:caps w:val="0"/>
          <w:sz w:val="20"/>
        </w:rPr>
      </w:pPr>
      <w:r w:rsidRPr="00A01193">
        <w:rPr>
          <w:rFonts w:ascii="Arial" w:hAnsi="Arial" w:cs="Arial"/>
          <w:b w:val="0"/>
          <w:caps w:val="0"/>
          <w:sz w:val="20"/>
        </w:rPr>
        <w:t>Despite the ecological importance of Ilocos watersheds, biodiversity monitoring and ecological indicators remain less developed than hydrological and land-use assessments. Many watershed studies emphasize runoff, erosion, and land cover mapping but provide limited information on biological conditions, such as species richness, community composition, or riparian habitat quality. Integrating ecological indicators,</w:t>
      </w:r>
      <w:r>
        <w:rPr>
          <w:rFonts w:ascii="Arial" w:hAnsi="Arial" w:cs="Arial"/>
          <w:b w:val="0"/>
          <w:caps w:val="0"/>
          <w:sz w:val="20"/>
        </w:rPr>
        <w:t xml:space="preserve"> </w:t>
      </w:r>
      <w:r w:rsidRPr="00A01193">
        <w:rPr>
          <w:rFonts w:ascii="Arial" w:hAnsi="Arial" w:cs="Arial"/>
          <w:b w:val="0"/>
          <w:caps w:val="0"/>
          <w:sz w:val="20"/>
        </w:rPr>
        <w:t>particularly riparian condition and freshwater biodiversity measures</w:t>
      </w:r>
      <w:r>
        <w:rPr>
          <w:rFonts w:ascii="Arial" w:hAnsi="Arial" w:cs="Arial"/>
          <w:b w:val="0"/>
          <w:caps w:val="0"/>
          <w:sz w:val="20"/>
        </w:rPr>
        <w:t xml:space="preserve"> </w:t>
      </w:r>
      <w:r w:rsidRPr="00A01193">
        <w:rPr>
          <w:rFonts w:ascii="Arial" w:hAnsi="Arial" w:cs="Arial"/>
          <w:b w:val="0"/>
          <w:caps w:val="0"/>
          <w:sz w:val="20"/>
        </w:rPr>
        <w:t>into watershed assessment frameworks would provide a more holistic picture of watershed health and better support ecosystem-based management.</w:t>
      </w:r>
    </w:p>
    <w:p w14:paraId="731D7466" w14:textId="77777777" w:rsidR="00A01193" w:rsidRDefault="00A01193" w:rsidP="00A01193">
      <w:pPr>
        <w:pStyle w:val="Head1"/>
        <w:spacing w:after="0"/>
        <w:jc w:val="both"/>
        <w:rPr>
          <w:rFonts w:ascii="Arial" w:hAnsi="Arial" w:cs="Arial"/>
          <w:b w:val="0"/>
          <w:caps w:val="0"/>
          <w:sz w:val="20"/>
        </w:rPr>
      </w:pPr>
      <w:r w:rsidRPr="00A01193">
        <w:rPr>
          <w:rFonts w:ascii="Arial" w:hAnsi="Arial" w:cs="Arial"/>
          <w:b w:val="0"/>
          <w:caps w:val="0"/>
          <w:sz w:val="20"/>
        </w:rPr>
        <w:t>Overall, sustaining ecological integrity in Ilocos watersheds requires maintaining forest cover in headwaters, protecting riparian corridors, and minimizing sediment inputs from disturbed upland areas. Strengthening ecological monitoring alongside hydrological and land-use analysis can help ensure that watershed management strategies protect not only water resources but also the biodiversity and ecosystem services that depend on healthy watershed systems (Millennium Ecosystem Assessment, 2005).</w:t>
      </w:r>
    </w:p>
    <w:p w14:paraId="5325783D" w14:textId="77777777" w:rsidR="00A01193" w:rsidRDefault="00A01193" w:rsidP="00A01193">
      <w:pPr>
        <w:pStyle w:val="Head1"/>
        <w:spacing w:after="0"/>
        <w:jc w:val="both"/>
        <w:rPr>
          <w:rFonts w:ascii="Arial" w:hAnsi="Arial" w:cs="Arial"/>
          <w:b w:val="0"/>
          <w:caps w:val="0"/>
          <w:sz w:val="20"/>
        </w:rPr>
      </w:pPr>
    </w:p>
    <w:p w14:paraId="727E6365" w14:textId="4C0767C9" w:rsidR="00484C78" w:rsidRDefault="00484C78" w:rsidP="00A01193">
      <w:pPr>
        <w:pStyle w:val="Head1"/>
        <w:spacing w:after="0"/>
        <w:jc w:val="both"/>
        <w:rPr>
          <w:rFonts w:ascii="Arial" w:hAnsi="Arial" w:cs="Arial"/>
        </w:rPr>
      </w:pPr>
      <w:r>
        <w:rPr>
          <w:rFonts w:ascii="Arial" w:hAnsi="Arial" w:cs="Arial"/>
        </w:rPr>
        <w:t xml:space="preserve">6. </w:t>
      </w:r>
      <w:r w:rsidRPr="00484C78">
        <w:rPr>
          <w:rFonts w:ascii="Arial" w:hAnsi="Arial" w:cs="Arial"/>
          <w:bCs/>
          <w:sz w:val="24"/>
          <w:szCs w:val="24"/>
        </w:rPr>
        <w:t>Watershed Management and Governance Challenges in the Ilocos Region</w:t>
      </w:r>
    </w:p>
    <w:p w14:paraId="75B80AE8" w14:textId="77777777" w:rsidR="00484C78" w:rsidRDefault="00484C78" w:rsidP="00484C78">
      <w:pPr>
        <w:pStyle w:val="Body"/>
        <w:spacing w:after="0"/>
        <w:rPr>
          <w:rFonts w:ascii="Arial" w:hAnsi="Arial" w:cs="Arial"/>
        </w:rPr>
      </w:pPr>
    </w:p>
    <w:p w14:paraId="2461E02A" w14:textId="779F76C7" w:rsidR="00BE58A3" w:rsidRDefault="00BE58A3" w:rsidP="00BE58A3">
      <w:pPr>
        <w:pStyle w:val="Body"/>
        <w:rPr>
          <w:rFonts w:ascii="Arial" w:hAnsi="Arial" w:cs="Arial"/>
        </w:rPr>
      </w:pPr>
      <w:r w:rsidRPr="00BE58A3">
        <w:rPr>
          <w:rFonts w:ascii="Arial" w:hAnsi="Arial" w:cs="Arial"/>
        </w:rPr>
        <w:t>Watershed management in the Philippines operates within a multi-level governance framework involving national agencies, local government units (LGUs), and community-</w:t>
      </w:r>
      <w:r w:rsidRPr="00BE58A3">
        <w:rPr>
          <w:rFonts w:ascii="Arial" w:hAnsi="Arial" w:cs="Arial"/>
        </w:rPr>
        <w:lastRenderedPageBreak/>
        <w:t>based organizations. National policies such as the Forestry Code of the Philippines (Presidential Decree No. 705) and the National Integrated Protected Areas System (NIPAS) Act provide the legal foundation for forest and watershed protection. However, translating these policies into effective watershed-scale management remains a persistent challenge in many regions, including the Ilocos Region.</w:t>
      </w:r>
    </w:p>
    <w:p w14:paraId="2B1B1E63" w14:textId="626D4E3F" w:rsidR="003D1689" w:rsidRDefault="003D1689" w:rsidP="00BE58A3">
      <w:pPr>
        <w:pStyle w:val="Body"/>
        <w:rPr>
          <w:rFonts w:ascii="Arial" w:hAnsi="Arial" w:cs="Arial"/>
        </w:rPr>
      </w:pPr>
      <w:r w:rsidRPr="003D1689">
        <w:rPr>
          <w:rFonts w:ascii="Arial" w:hAnsi="Arial" w:cs="Arial"/>
          <w:b/>
          <w:bCs/>
        </w:rPr>
        <w:t>Figure 1.</w:t>
      </w:r>
      <w:r w:rsidRPr="003D1689">
        <w:rPr>
          <w:rFonts w:ascii="Arial" w:hAnsi="Arial" w:cs="Arial"/>
        </w:rPr>
        <w:t xml:space="preserve"> Conceptual framework illustrating interactions among hydrology, land use, biodiversity, and governance influencing watershed sustainability in the Ilocos Region, Northern Philippines.</w:t>
      </w:r>
    </w:p>
    <w:p w14:paraId="009FC605" w14:textId="6C3281C1" w:rsidR="003D1689" w:rsidRPr="00BE58A3" w:rsidRDefault="003D1689" w:rsidP="00BE58A3">
      <w:pPr>
        <w:pStyle w:val="Body"/>
        <w:rPr>
          <w:rFonts w:ascii="Arial" w:hAnsi="Arial" w:cs="Arial"/>
        </w:rPr>
      </w:pPr>
      <w:r>
        <w:rPr>
          <w:rFonts w:ascii="Arial" w:hAnsi="Arial" w:cs="Arial"/>
          <w:noProof/>
        </w:rPr>
        <w:drawing>
          <wp:inline distT="0" distB="0" distL="0" distR="0" wp14:anchorId="32DAA357" wp14:editId="36816EED">
            <wp:extent cx="5207000" cy="3471545"/>
            <wp:effectExtent l="0" t="0" r="0" b="0"/>
            <wp:docPr id="63714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07000" cy="3471545"/>
                    </a:xfrm>
                    <a:prstGeom prst="rect">
                      <a:avLst/>
                    </a:prstGeom>
                    <a:noFill/>
                    <a:ln>
                      <a:noFill/>
                    </a:ln>
                  </pic:spPr>
                </pic:pic>
              </a:graphicData>
            </a:graphic>
          </wp:inline>
        </w:drawing>
      </w:r>
    </w:p>
    <w:p w14:paraId="43695532" w14:textId="77777777" w:rsidR="003D1689" w:rsidRDefault="003D1689" w:rsidP="00BE58A3">
      <w:pPr>
        <w:pStyle w:val="Body"/>
        <w:rPr>
          <w:rFonts w:ascii="Arial" w:hAnsi="Arial" w:cs="Arial"/>
        </w:rPr>
      </w:pPr>
    </w:p>
    <w:p w14:paraId="13BC041D" w14:textId="630AC17B" w:rsidR="003D1689" w:rsidRDefault="003D1689" w:rsidP="00BE58A3">
      <w:pPr>
        <w:pStyle w:val="Body"/>
        <w:rPr>
          <w:rFonts w:ascii="Arial" w:hAnsi="Arial" w:cs="Arial"/>
        </w:rPr>
      </w:pPr>
      <w:r w:rsidRPr="003D1689">
        <w:rPr>
          <w:rFonts w:ascii="Arial" w:hAnsi="Arial" w:cs="Arial"/>
        </w:rPr>
        <w:t>To clarify the governance framework and its link to watershed processes, Figure 1 summarizes the interaction among hydrology, land use, biodiversity, and governance that collectively shape watershed sustainability in the Ilocos Region. This conceptual diagram also highlights the enabling roles of policy and institutions, socio-economic drivers, and climate change in influencing watershed outcomes.</w:t>
      </w:r>
    </w:p>
    <w:p w14:paraId="38CAC3A3" w14:textId="3AF63E2C" w:rsidR="00BE58A3" w:rsidRPr="00BE58A3" w:rsidRDefault="00BE58A3" w:rsidP="00BE58A3">
      <w:pPr>
        <w:pStyle w:val="Body"/>
        <w:rPr>
          <w:rFonts w:ascii="Arial" w:hAnsi="Arial" w:cs="Arial"/>
        </w:rPr>
      </w:pPr>
      <w:r w:rsidRPr="00BE58A3">
        <w:rPr>
          <w:rFonts w:ascii="Arial" w:hAnsi="Arial" w:cs="Arial"/>
        </w:rPr>
        <w:t>One major challenge is institutional fragmentation. Watershed boundaries rarely coincide with administrative jurisdictions, leading to overlapping or divided management responsibilities among municipalities and provinces. As a result, land-use decisions made in upstream communities</w:t>
      </w:r>
      <w:r>
        <w:rPr>
          <w:rFonts w:ascii="Arial" w:hAnsi="Arial" w:cs="Arial"/>
        </w:rPr>
        <w:t xml:space="preserve"> </w:t>
      </w:r>
      <w:r w:rsidRPr="00BE58A3">
        <w:rPr>
          <w:rFonts w:ascii="Arial" w:hAnsi="Arial" w:cs="Arial"/>
        </w:rPr>
        <w:t>such as forest clearing or agricultural expansion</w:t>
      </w:r>
      <w:r>
        <w:rPr>
          <w:rFonts w:ascii="Arial" w:hAnsi="Arial" w:cs="Arial"/>
        </w:rPr>
        <w:t xml:space="preserve"> </w:t>
      </w:r>
      <w:r w:rsidRPr="00BE58A3">
        <w:rPr>
          <w:rFonts w:ascii="Arial" w:hAnsi="Arial" w:cs="Arial"/>
        </w:rPr>
        <w:t>can directly affect downstream water availability, irrigation systems, and flood risks. Integrated watershed management (IWM) frameworks emphasize basin-wide coordination to address such cross-boundary challenges and promote sustainable water and land resource use (Mitchell, 2005). Adaptive governance approaches further emphasize iterative learning, stakeholder participation, and flexible policy adjustment in response to environmental change (</w:t>
      </w:r>
      <w:proofErr w:type="spellStart"/>
      <w:r w:rsidRPr="00BE58A3">
        <w:rPr>
          <w:rFonts w:ascii="Arial" w:hAnsi="Arial" w:cs="Arial"/>
        </w:rPr>
        <w:t>Pahl-Wostl</w:t>
      </w:r>
      <w:proofErr w:type="spellEnd"/>
      <w:r w:rsidRPr="00BE58A3">
        <w:rPr>
          <w:rFonts w:ascii="Arial" w:hAnsi="Arial" w:cs="Arial"/>
        </w:rPr>
        <w:t xml:space="preserve">, 2007). These principles are particularly relevant in the Ilocos Region, where </w:t>
      </w:r>
      <w:r w:rsidRPr="00BE58A3">
        <w:rPr>
          <w:rFonts w:ascii="Arial" w:hAnsi="Arial" w:cs="Arial"/>
        </w:rPr>
        <w:lastRenderedPageBreak/>
        <w:t>watersheds often span multiple municipalities and environmental pressures vary across upland and lowland areas.</w:t>
      </w:r>
    </w:p>
    <w:p w14:paraId="471147F7" w14:textId="392ECEDE" w:rsidR="00BE58A3" w:rsidRPr="00BE58A3" w:rsidRDefault="00BE58A3" w:rsidP="00BE58A3">
      <w:pPr>
        <w:pStyle w:val="Body"/>
        <w:rPr>
          <w:rFonts w:ascii="Arial" w:hAnsi="Arial" w:cs="Arial"/>
        </w:rPr>
      </w:pPr>
      <w:r w:rsidRPr="00BE58A3">
        <w:rPr>
          <w:rFonts w:ascii="Arial" w:hAnsi="Arial" w:cs="Arial"/>
        </w:rPr>
        <w:t>Community-based forest management (CBFM) has been widely promoted in the Philippines as a strategy for sustainable forest stewardship and livelihood support. Under this approach, local communities are granted stewardship rights and responsibilities to manage forest lands, often integrating conservation and livelihood activities. Studies suggest that CBFM can enhance forest protection and encourage sustainable land use when supported by secure tenure, technical assistance, and adequate institutional support (</w:t>
      </w:r>
      <w:proofErr w:type="spellStart"/>
      <w:r w:rsidRPr="00BE58A3">
        <w:rPr>
          <w:rFonts w:ascii="Arial" w:hAnsi="Arial" w:cs="Arial"/>
        </w:rPr>
        <w:t>Pulhin</w:t>
      </w:r>
      <w:proofErr w:type="spellEnd"/>
      <w:r w:rsidRPr="00BE58A3">
        <w:rPr>
          <w:rFonts w:ascii="Arial" w:hAnsi="Arial" w:cs="Arial"/>
        </w:rPr>
        <w:t xml:space="preserve"> et al., 2007; Agrawal &amp; Ostrom, 2001). However, the effectiveness of such programs varies depending on local governance capacity, financial resources, and community participation.</w:t>
      </w:r>
    </w:p>
    <w:p w14:paraId="68380FA9" w14:textId="55598F92" w:rsidR="00BE58A3" w:rsidRPr="00BE58A3" w:rsidRDefault="00BE58A3" w:rsidP="00BE58A3">
      <w:pPr>
        <w:pStyle w:val="Body"/>
        <w:rPr>
          <w:rFonts w:ascii="Arial" w:hAnsi="Arial" w:cs="Arial"/>
        </w:rPr>
      </w:pPr>
      <w:r w:rsidRPr="00BE58A3">
        <w:rPr>
          <w:rFonts w:ascii="Arial" w:hAnsi="Arial" w:cs="Arial"/>
        </w:rPr>
        <w:t>Enforcement capacity remains another significant constraint. Limited field personnel, insufficient logistical resources, and gaps in monitoring systems weaken the ability of agencies and LGUs to regulate land-use activities in upland watersheds. Incremental land conversion,</w:t>
      </w:r>
      <w:r>
        <w:rPr>
          <w:rFonts w:ascii="Arial" w:hAnsi="Arial" w:cs="Arial"/>
        </w:rPr>
        <w:t xml:space="preserve"> </w:t>
      </w:r>
      <w:r w:rsidRPr="00BE58A3">
        <w:rPr>
          <w:rFonts w:ascii="Arial" w:hAnsi="Arial" w:cs="Arial"/>
        </w:rPr>
        <w:t>particularly small-scale agricultural expansion into marginal lands</w:t>
      </w:r>
      <w:r>
        <w:rPr>
          <w:rFonts w:ascii="Arial" w:hAnsi="Arial" w:cs="Arial"/>
        </w:rPr>
        <w:t xml:space="preserve"> </w:t>
      </w:r>
      <w:r w:rsidRPr="00BE58A3">
        <w:rPr>
          <w:rFonts w:ascii="Arial" w:hAnsi="Arial" w:cs="Arial"/>
        </w:rPr>
        <w:t>often occurs gradually and cumulatively. Although such changes may appear minor at the local level, their combined effects can significantly alter watershed hydrology, increase erosion, and degrade ecological conditions over time.</w:t>
      </w:r>
    </w:p>
    <w:p w14:paraId="0CF7D59B" w14:textId="70168026" w:rsidR="00BE58A3" w:rsidRPr="00BE58A3" w:rsidRDefault="00BE58A3" w:rsidP="00BE58A3">
      <w:pPr>
        <w:pStyle w:val="Body"/>
        <w:rPr>
          <w:rFonts w:ascii="Arial" w:hAnsi="Arial" w:cs="Arial"/>
        </w:rPr>
      </w:pPr>
      <w:r w:rsidRPr="00BE58A3">
        <w:rPr>
          <w:rFonts w:ascii="Arial" w:hAnsi="Arial" w:cs="Arial"/>
        </w:rPr>
        <w:t>Climate change further complicates watershed governance. Increasing rainfall intensity, stronger tropical cyclones, and prolonged dry periods are expected to amplify hydrological extremes in many tropical regions (IPCC, 2021). In the Ilocos Region, these climatic shifts may intensify flood risks during the rainy season while increasing water scarcity during extended dry periods. Adaptive watershed management strategies</w:t>
      </w:r>
      <w:r>
        <w:rPr>
          <w:rFonts w:ascii="Arial" w:hAnsi="Arial" w:cs="Arial"/>
        </w:rPr>
        <w:t xml:space="preserve"> </w:t>
      </w:r>
      <w:r w:rsidRPr="00BE58A3">
        <w:rPr>
          <w:rFonts w:ascii="Arial" w:hAnsi="Arial" w:cs="Arial"/>
        </w:rPr>
        <w:t>including reforestation of degraded slopes, restoration of riparian buffers, and promotion of soil conservation practices</w:t>
      </w:r>
      <w:r>
        <w:rPr>
          <w:rFonts w:ascii="Arial" w:hAnsi="Arial" w:cs="Arial"/>
        </w:rPr>
        <w:t xml:space="preserve"> </w:t>
      </w:r>
      <w:r w:rsidRPr="00BE58A3">
        <w:rPr>
          <w:rFonts w:ascii="Arial" w:hAnsi="Arial" w:cs="Arial"/>
        </w:rPr>
        <w:t>are therefore increasingly recognized as important measures for improving climate resilience (Locatelli et al., 2015).</w:t>
      </w:r>
    </w:p>
    <w:p w14:paraId="6122E553" w14:textId="32B30542" w:rsidR="00BE58A3" w:rsidRPr="00BE58A3" w:rsidRDefault="00BE58A3" w:rsidP="00BE58A3">
      <w:pPr>
        <w:pStyle w:val="Body"/>
        <w:rPr>
          <w:rFonts w:ascii="Arial" w:hAnsi="Arial" w:cs="Arial"/>
        </w:rPr>
      </w:pPr>
      <w:r w:rsidRPr="00BE58A3">
        <w:rPr>
          <w:rFonts w:ascii="Arial" w:hAnsi="Arial" w:cs="Arial"/>
        </w:rPr>
        <w:t>Another key challenge is the limited availability of long-term environmental data. Many watersheds in the Ilocos Region lack continuous hydrological, ecological, and land-use monitoring systems. Without consistent datasets, evaluating watershed management effectiveness and anticipating future risks becomes difficult. Integrated monitoring frameworks that combine hydrological observations, land-cover analysis, and biodiversity indicators could provide a stronger evidence base for watershed planning and policy implementation (Millennium Ecosystem Assessment, 2005).</w:t>
      </w:r>
    </w:p>
    <w:p w14:paraId="1841A1D8" w14:textId="5A7E19DC" w:rsidR="00BE58A3" w:rsidRPr="00BE58A3" w:rsidRDefault="00BE58A3" w:rsidP="00BE58A3">
      <w:pPr>
        <w:pStyle w:val="Body"/>
        <w:rPr>
          <w:rFonts w:ascii="Arial" w:hAnsi="Arial" w:cs="Arial"/>
        </w:rPr>
      </w:pPr>
      <w:r w:rsidRPr="00BE58A3">
        <w:rPr>
          <w:rFonts w:ascii="Arial" w:hAnsi="Arial" w:cs="Arial"/>
        </w:rPr>
        <w:t>Socio-economic pressures must also be considered in watershed governance. Agriculture remains a primary livelihood source in many rural communities in the Ilocos Region. Expansion of cultivation into upland areas is often driven by economic necessity rather than deliberate environmental degradation. Consequently, watershed management strategies must balance conservation objectives with livelihood needs. Agroforestry systems and climate-resilient farming practices have been proposed as practical approaches for enhancing agricultural productivity while reducing environmental impacts (Locatelli et al., 2015).</w:t>
      </w:r>
    </w:p>
    <w:p w14:paraId="492FEEF3" w14:textId="3F95377A" w:rsidR="00BE58A3" w:rsidRPr="00BE58A3" w:rsidRDefault="00BE58A3" w:rsidP="00BE58A3">
      <w:pPr>
        <w:pStyle w:val="Body"/>
        <w:rPr>
          <w:rFonts w:ascii="Arial" w:hAnsi="Arial" w:cs="Arial"/>
        </w:rPr>
      </w:pPr>
      <w:r w:rsidRPr="00BE58A3">
        <w:rPr>
          <w:rFonts w:ascii="Arial" w:hAnsi="Arial" w:cs="Arial"/>
        </w:rPr>
        <w:t>Strengthening coordination mechanisms among LGUs could improve watershed governance in the Ilocos Region. Establishing basin-level watershed councils, integrating Geographic Information Systems (GIS) into land monitoring systems, and promoting participatory decision-making processes may help align land-use planning with watershed boundaries. Such approaches can facilitate collaboration among stakeholders and support more adaptive and integrated watershed management strategies.</w:t>
      </w:r>
    </w:p>
    <w:p w14:paraId="34C8B20D" w14:textId="4EEEB1B9" w:rsidR="00484C78" w:rsidRDefault="00BE58A3" w:rsidP="00BE58A3">
      <w:pPr>
        <w:pStyle w:val="Body"/>
        <w:spacing w:after="0"/>
        <w:rPr>
          <w:rFonts w:ascii="Arial" w:hAnsi="Arial" w:cs="Arial"/>
        </w:rPr>
      </w:pPr>
      <w:r w:rsidRPr="00BE58A3">
        <w:rPr>
          <w:rFonts w:ascii="Arial" w:hAnsi="Arial" w:cs="Arial"/>
        </w:rPr>
        <w:lastRenderedPageBreak/>
        <w:t>In summary, watershed management challenges in the Ilocos Region are shaped by institutional fragmentation, limited enforcement capacity, climate variability, data gaps, and socio-economic pressures. Addressing these challenges requires coordinated basin-scale planning, improved monitoring systems, and inclusive governance mechanisms that integrate environmental protection with sustainable livelihood development.</w:t>
      </w:r>
    </w:p>
    <w:p w14:paraId="424080AD" w14:textId="77777777" w:rsidR="00BE58A3" w:rsidRDefault="00BE58A3" w:rsidP="00BE58A3">
      <w:pPr>
        <w:pStyle w:val="Body"/>
        <w:spacing w:after="0"/>
        <w:rPr>
          <w:rFonts w:ascii="Arial" w:hAnsi="Arial" w:cs="Arial"/>
        </w:rPr>
      </w:pPr>
    </w:p>
    <w:p w14:paraId="1E6040CA" w14:textId="45BA7AF6" w:rsidR="00484C78" w:rsidRDefault="00B11E95" w:rsidP="00484C78">
      <w:pPr>
        <w:pStyle w:val="Head1"/>
        <w:spacing w:after="0"/>
        <w:jc w:val="both"/>
        <w:rPr>
          <w:rFonts w:ascii="Arial" w:hAnsi="Arial" w:cs="Arial"/>
        </w:rPr>
      </w:pPr>
      <w:r>
        <w:rPr>
          <w:rFonts w:ascii="Arial" w:hAnsi="Arial" w:cs="Arial"/>
        </w:rPr>
        <w:t>7</w:t>
      </w:r>
      <w:r w:rsidR="00484C78">
        <w:rPr>
          <w:rFonts w:ascii="Arial" w:hAnsi="Arial" w:cs="Arial"/>
        </w:rPr>
        <w:t xml:space="preserve">. </w:t>
      </w:r>
      <w:r w:rsidR="00484C78" w:rsidRPr="00484C78">
        <w:rPr>
          <w:rFonts w:ascii="Arial" w:hAnsi="Arial" w:cs="Arial"/>
          <w:bCs/>
          <w:sz w:val="24"/>
          <w:szCs w:val="24"/>
        </w:rPr>
        <w:t>Research Gaps and Future Directions</w:t>
      </w:r>
    </w:p>
    <w:p w14:paraId="6DA23CE8" w14:textId="77777777" w:rsidR="00484C78" w:rsidRDefault="00484C78" w:rsidP="00484C78">
      <w:pPr>
        <w:pStyle w:val="Body"/>
        <w:spacing w:after="0"/>
        <w:rPr>
          <w:rFonts w:ascii="Arial" w:hAnsi="Arial" w:cs="Arial"/>
        </w:rPr>
      </w:pPr>
    </w:p>
    <w:p w14:paraId="71184D17" w14:textId="77777777" w:rsidR="00BE58A3" w:rsidRDefault="00BE58A3" w:rsidP="00BE58A3">
      <w:pPr>
        <w:pStyle w:val="Body"/>
        <w:spacing w:after="0"/>
        <w:rPr>
          <w:rFonts w:ascii="Arial" w:hAnsi="Arial" w:cs="Arial"/>
          <w:lang w:val="en-PH"/>
        </w:rPr>
      </w:pPr>
      <w:r w:rsidRPr="00BE58A3">
        <w:rPr>
          <w:rFonts w:ascii="Arial" w:hAnsi="Arial" w:cs="Arial"/>
          <w:lang w:val="en-PH"/>
        </w:rPr>
        <w:t>Although watershed research in the Ilocos Region has expanded in recent years, important knowledge gaps remain. Existing studies provide useful localized insights, yet comprehensive basin-scale analyses integrating hydrology, land-use change, biodiversity, and governance are still limited. Addressing these gaps is essential for strengthening evidence-based watershed management and improving climate resilience in Northern Philippines.</w:t>
      </w:r>
    </w:p>
    <w:p w14:paraId="10610B91" w14:textId="77777777" w:rsidR="00BE58A3" w:rsidRPr="00BE58A3" w:rsidRDefault="00BE58A3" w:rsidP="00BE58A3">
      <w:pPr>
        <w:pStyle w:val="Body"/>
        <w:spacing w:after="0"/>
        <w:rPr>
          <w:rFonts w:ascii="Arial" w:hAnsi="Arial" w:cs="Arial"/>
          <w:lang w:val="en-PH"/>
        </w:rPr>
      </w:pPr>
    </w:p>
    <w:p w14:paraId="4C524EEF" w14:textId="77777777" w:rsidR="00BE58A3" w:rsidRDefault="00BE58A3" w:rsidP="00BE58A3">
      <w:pPr>
        <w:pStyle w:val="Body"/>
        <w:spacing w:after="0"/>
        <w:rPr>
          <w:rFonts w:ascii="Arial" w:hAnsi="Arial" w:cs="Arial"/>
          <w:lang w:val="en-PH"/>
        </w:rPr>
      </w:pPr>
      <w:r w:rsidRPr="00BE58A3">
        <w:rPr>
          <w:rFonts w:ascii="Arial" w:hAnsi="Arial" w:cs="Arial"/>
          <w:lang w:val="en-PH"/>
        </w:rPr>
        <w:t>A major gap is the limited availability of long-term hydrological datasets. Continuous streamflow and sediment monitoring are critical for understanding watershed response to land transformation and climate variability, yet many assessments rely on short monitoring periods or models with limited field validation (Montanari et al., 2013). Establishing permanent hydrometeorological stations across representative upland and lowland sub-watersheds would improve the ability to detect trends, quantify risks, and evaluate the effectiveness of management interventions.</w:t>
      </w:r>
    </w:p>
    <w:p w14:paraId="6B4B3A60" w14:textId="77777777" w:rsidR="00BE58A3" w:rsidRPr="00BE58A3" w:rsidRDefault="00BE58A3" w:rsidP="00BE58A3">
      <w:pPr>
        <w:pStyle w:val="Body"/>
        <w:spacing w:after="0"/>
        <w:rPr>
          <w:rFonts w:ascii="Arial" w:hAnsi="Arial" w:cs="Arial"/>
          <w:lang w:val="en-PH"/>
        </w:rPr>
      </w:pPr>
    </w:p>
    <w:p w14:paraId="0CAB101A" w14:textId="77777777" w:rsidR="00BE58A3" w:rsidRDefault="00BE58A3" w:rsidP="00BE58A3">
      <w:pPr>
        <w:pStyle w:val="Body"/>
        <w:spacing w:after="0"/>
        <w:rPr>
          <w:rFonts w:ascii="Arial" w:hAnsi="Arial" w:cs="Arial"/>
          <w:lang w:val="en-PH"/>
        </w:rPr>
      </w:pPr>
      <w:r w:rsidRPr="00BE58A3">
        <w:rPr>
          <w:rFonts w:ascii="Arial" w:hAnsi="Arial" w:cs="Arial"/>
          <w:lang w:val="en-PH"/>
        </w:rPr>
        <w:t>A second gap concerns the integration of ecological indicators into watershed evaluation frameworks. While hydrological and land-cover parameters are commonly assessed, biodiversity measures such as species richness, aquatic community composition, and riparian habitat condition are less frequently incorporated. Social-ecological approaches emphasize that watershed sustainability depends on interactions between ecological structure, ecosystem function, and human decision-making (Ostrom, 2009). Integrating biodiversity indicators would allow watershed assessments to better reflect ecosystem integrity and the stability of ecosystem services.</w:t>
      </w:r>
    </w:p>
    <w:p w14:paraId="72CFB892" w14:textId="77777777" w:rsidR="00BE58A3" w:rsidRPr="00BE58A3" w:rsidRDefault="00BE58A3" w:rsidP="00BE58A3">
      <w:pPr>
        <w:pStyle w:val="Body"/>
        <w:spacing w:after="0"/>
        <w:rPr>
          <w:rFonts w:ascii="Arial" w:hAnsi="Arial" w:cs="Arial"/>
          <w:lang w:val="en-PH"/>
        </w:rPr>
      </w:pPr>
    </w:p>
    <w:p w14:paraId="199570CB" w14:textId="77777777" w:rsidR="00BE58A3" w:rsidRDefault="00BE58A3" w:rsidP="00BE58A3">
      <w:pPr>
        <w:pStyle w:val="Body"/>
        <w:spacing w:after="0"/>
        <w:rPr>
          <w:rFonts w:ascii="Arial" w:hAnsi="Arial" w:cs="Arial"/>
          <w:lang w:val="en-PH"/>
        </w:rPr>
      </w:pPr>
      <w:r w:rsidRPr="00BE58A3">
        <w:rPr>
          <w:rFonts w:ascii="Arial" w:hAnsi="Arial" w:cs="Arial"/>
          <w:lang w:val="en-PH"/>
        </w:rPr>
        <w:t>Spatial scale also remains a limitation. Many studies are site-specific and do not capture cumulative impacts across entire river basins. However, watershed processes such as sediment transport and nutrient cycling operate across multiple scales and require basin-wide spatial analysis (Turner et al., 2007). Future research should apply Geographic Information Systems (GIS), remote sensing, and hydrological modeling tools to evaluate land transformation patterns at broader spatial extents and to link upstream land-use change with downstream water and sediment outcomes.</w:t>
      </w:r>
    </w:p>
    <w:p w14:paraId="54D91666" w14:textId="77777777" w:rsidR="00BE58A3" w:rsidRPr="00BE58A3" w:rsidRDefault="00BE58A3" w:rsidP="00BE58A3">
      <w:pPr>
        <w:pStyle w:val="Body"/>
        <w:spacing w:after="0"/>
        <w:rPr>
          <w:rFonts w:ascii="Arial" w:hAnsi="Arial" w:cs="Arial"/>
          <w:lang w:val="en-PH"/>
        </w:rPr>
      </w:pPr>
    </w:p>
    <w:p w14:paraId="1514C9D4" w14:textId="77777777" w:rsidR="00BE58A3" w:rsidRDefault="00BE58A3" w:rsidP="00BE58A3">
      <w:pPr>
        <w:pStyle w:val="Body"/>
        <w:spacing w:after="0"/>
        <w:rPr>
          <w:rFonts w:ascii="Arial" w:hAnsi="Arial" w:cs="Arial"/>
          <w:lang w:val="en-PH"/>
        </w:rPr>
      </w:pPr>
      <w:r w:rsidRPr="00BE58A3">
        <w:rPr>
          <w:rFonts w:ascii="Arial" w:hAnsi="Arial" w:cs="Arial"/>
          <w:lang w:val="en-PH"/>
        </w:rPr>
        <w:t>Climate change uncertainty introduces additional complexity. Although global and regional projections indicate intensifying rainfall extremes and changing precipitation patterns, localized watershed-scale impact assessments remain limited (IPCC, 2021). Downscaled climate projections integrated with hydrological models would enable scenario-based analysis of flood and drought risks and support adaptive watershed planning.</w:t>
      </w:r>
    </w:p>
    <w:p w14:paraId="7EA4FF15" w14:textId="77777777" w:rsidR="00BE58A3" w:rsidRPr="00BE58A3" w:rsidRDefault="00BE58A3" w:rsidP="00BE58A3">
      <w:pPr>
        <w:pStyle w:val="Body"/>
        <w:spacing w:after="0"/>
        <w:rPr>
          <w:rFonts w:ascii="Arial" w:hAnsi="Arial" w:cs="Arial"/>
          <w:lang w:val="en-PH"/>
        </w:rPr>
      </w:pPr>
    </w:p>
    <w:p w14:paraId="598F98B0" w14:textId="77777777" w:rsidR="00BE58A3" w:rsidRDefault="00BE58A3" w:rsidP="00BE58A3">
      <w:pPr>
        <w:pStyle w:val="Body"/>
        <w:spacing w:after="0"/>
        <w:rPr>
          <w:rFonts w:ascii="Arial" w:hAnsi="Arial" w:cs="Arial"/>
          <w:lang w:val="en-PH"/>
        </w:rPr>
      </w:pPr>
      <w:r w:rsidRPr="00BE58A3">
        <w:rPr>
          <w:rFonts w:ascii="Arial" w:hAnsi="Arial" w:cs="Arial"/>
          <w:lang w:val="en-PH"/>
        </w:rPr>
        <w:t>Socio-economic and governance dimensions also require deeper investigation. Watershed outcomes depend not only on biophysical conditions but also on institutional capacity, land tenure arrangements, and community participation (Ostrom, 2009). Participatory governance models that integrate local knowledge and stakeholder engagement could improve long-term management outcomes, particularly in watersheds that cross administrative boundaries.</w:t>
      </w:r>
    </w:p>
    <w:p w14:paraId="7CAFFABF" w14:textId="77777777" w:rsidR="00BE58A3" w:rsidRPr="00BE58A3" w:rsidRDefault="00BE58A3" w:rsidP="00BE58A3">
      <w:pPr>
        <w:pStyle w:val="Body"/>
        <w:spacing w:after="0"/>
        <w:rPr>
          <w:rFonts w:ascii="Arial" w:hAnsi="Arial" w:cs="Arial"/>
          <w:lang w:val="en-PH"/>
        </w:rPr>
      </w:pPr>
    </w:p>
    <w:p w14:paraId="74E18D7F" w14:textId="77777777" w:rsidR="00BE58A3" w:rsidRDefault="00BE58A3" w:rsidP="00BE58A3">
      <w:pPr>
        <w:pStyle w:val="Body"/>
        <w:spacing w:after="0"/>
        <w:rPr>
          <w:rFonts w:ascii="Arial" w:hAnsi="Arial" w:cs="Arial"/>
          <w:lang w:val="en-PH"/>
        </w:rPr>
      </w:pPr>
      <w:r w:rsidRPr="00BE58A3">
        <w:rPr>
          <w:rFonts w:ascii="Arial" w:hAnsi="Arial" w:cs="Arial"/>
          <w:lang w:val="en-PH"/>
        </w:rPr>
        <w:lastRenderedPageBreak/>
        <w:t>Advances in geospatial technology provide promising opportunities to strengthen watershed research and monitoring. High-resolution satellite imagery and machine learning-based classification methods can improve land-cover mapping accuracy and allow more frequent monitoring of landscape change. Random forest approaches, for example, have demonstrated strong performance in remote sensing applications and can support time-series detection of land-cover transitions relevant to erosion and runoff risks (</w:t>
      </w:r>
      <w:proofErr w:type="spellStart"/>
      <w:r w:rsidRPr="00BE58A3">
        <w:rPr>
          <w:rFonts w:ascii="Arial" w:hAnsi="Arial" w:cs="Arial"/>
          <w:lang w:val="en-PH"/>
        </w:rPr>
        <w:t>Belgiu</w:t>
      </w:r>
      <w:proofErr w:type="spellEnd"/>
      <w:r w:rsidRPr="00BE58A3">
        <w:rPr>
          <w:rFonts w:ascii="Arial" w:hAnsi="Arial" w:cs="Arial"/>
          <w:lang w:val="en-PH"/>
        </w:rPr>
        <w:t xml:space="preserve"> &amp; </w:t>
      </w:r>
      <w:proofErr w:type="spellStart"/>
      <w:r w:rsidRPr="00BE58A3">
        <w:rPr>
          <w:rFonts w:ascii="Arial" w:hAnsi="Arial" w:cs="Arial"/>
          <w:lang w:val="en-PH"/>
        </w:rPr>
        <w:t>Drăguț</w:t>
      </w:r>
      <w:proofErr w:type="spellEnd"/>
      <w:r w:rsidRPr="00BE58A3">
        <w:rPr>
          <w:rFonts w:ascii="Arial" w:hAnsi="Arial" w:cs="Arial"/>
          <w:lang w:val="en-PH"/>
        </w:rPr>
        <w:t>, 2016). Integrating these tools into watershed assessment frameworks may enable earlier identification of degradation hotspots and more targeted interventions.</w:t>
      </w:r>
    </w:p>
    <w:p w14:paraId="15964B50" w14:textId="77777777" w:rsidR="00BE58A3" w:rsidRPr="00BE58A3" w:rsidRDefault="00BE58A3" w:rsidP="00BE58A3">
      <w:pPr>
        <w:pStyle w:val="Body"/>
        <w:spacing w:after="0"/>
        <w:rPr>
          <w:rFonts w:ascii="Arial" w:hAnsi="Arial" w:cs="Arial"/>
          <w:lang w:val="en-PH"/>
        </w:rPr>
      </w:pPr>
    </w:p>
    <w:p w14:paraId="0BFE411E" w14:textId="4C2D40D4" w:rsidR="00BE58A3" w:rsidRDefault="00BE58A3" w:rsidP="00BE58A3">
      <w:pPr>
        <w:pStyle w:val="Body"/>
        <w:spacing w:after="0"/>
        <w:rPr>
          <w:rFonts w:ascii="Arial" w:hAnsi="Arial" w:cs="Arial"/>
          <w:lang w:val="en-PH"/>
        </w:rPr>
      </w:pPr>
      <w:r w:rsidRPr="00BE58A3">
        <w:rPr>
          <w:rFonts w:ascii="Arial" w:hAnsi="Arial" w:cs="Arial"/>
          <w:lang w:val="en-PH"/>
        </w:rPr>
        <w:t>Finally, emerging hydrological approaches that consider feedback between human activities and water systems may offer additional analytical value. Socio-hydrology frameworks emphasize interactions between land use, governance decisions, and hydrological change, providing a lens for understanding dynamic watershed trajectories (Sivapalan et al., 2012). Applying such approaches to Ilocos watersheds could improve the policy relevance of watershed research by explicitly capturing coupled human–water dynamics.</w:t>
      </w:r>
    </w:p>
    <w:p w14:paraId="5B02C4F5" w14:textId="77777777" w:rsidR="00BE58A3" w:rsidRPr="00BE58A3" w:rsidRDefault="00BE58A3" w:rsidP="00BE58A3">
      <w:pPr>
        <w:pStyle w:val="Body"/>
        <w:spacing w:after="0"/>
        <w:rPr>
          <w:rFonts w:ascii="Arial" w:hAnsi="Arial" w:cs="Arial"/>
          <w:lang w:val="en-PH"/>
        </w:rPr>
      </w:pPr>
    </w:p>
    <w:p w14:paraId="3414D8AB" w14:textId="77777777" w:rsidR="00BE58A3" w:rsidRPr="00BE58A3" w:rsidRDefault="00BE58A3" w:rsidP="00BE58A3">
      <w:pPr>
        <w:pStyle w:val="Body"/>
        <w:spacing w:after="0"/>
        <w:rPr>
          <w:rFonts w:ascii="Arial" w:hAnsi="Arial" w:cs="Arial"/>
          <w:lang w:val="en-PH"/>
        </w:rPr>
      </w:pPr>
      <w:r w:rsidRPr="00BE58A3">
        <w:rPr>
          <w:rFonts w:ascii="Arial" w:hAnsi="Arial" w:cs="Arial"/>
          <w:lang w:val="en-PH"/>
        </w:rPr>
        <w:t>In summary, future watershed research in the Ilocos Region should prioritize: (1) long-term hydrological and sediment monitoring, (2) incorporation of biodiversity indicators into watershed assessments, (3) basin-scale spatial modeling integrating land-use and hydrological processes, (4) climate scenario analysis using downscaled projections, (5) deeper evaluation of governance and socio-economic drivers, and (6) adoption of advanced geospatial technologies. Addressing these research gaps will strengthen scientific understanding and support adaptive, ecosystem-based watershed management strategies in the Ilocos Region and similar tropical landscapes.</w:t>
      </w:r>
    </w:p>
    <w:p w14:paraId="04B03F99" w14:textId="77777777" w:rsidR="00484C78" w:rsidRDefault="00484C78" w:rsidP="00484C78">
      <w:pPr>
        <w:pStyle w:val="Body"/>
        <w:spacing w:after="0"/>
        <w:rPr>
          <w:rFonts w:ascii="Arial" w:hAnsi="Arial" w:cs="Arial"/>
        </w:rPr>
      </w:pPr>
    </w:p>
    <w:p w14:paraId="229E9D31" w14:textId="77777777" w:rsidR="00BE58A3" w:rsidRDefault="00BE58A3" w:rsidP="00484C78">
      <w:pPr>
        <w:pStyle w:val="Body"/>
        <w:spacing w:after="0"/>
        <w:rPr>
          <w:rFonts w:ascii="Arial" w:hAnsi="Arial" w:cs="Arial"/>
        </w:rPr>
      </w:pPr>
    </w:p>
    <w:p w14:paraId="4613EBD4" w14:textId="5750F31A" w:rsidR="00484C78" w:rsidRPr="00484C78" w:rsidRDefault="00484C78" w:rsidP="00484C78">
      <w:pPr>
        <w:tabs>
          <w:tab w:val="left" w:pos="1080"/>
        </w:tabs>
        <w:jc w:val="both"/>
        <w:rPr>
          <w:rFonts w:ascii="Arial" w:hAnsi="Arial"/>
          <w:b/>
          <w:bCs/>
        </w:rPr>
      </w:pPr>
      <w:r w:rsidRPr="00484C78">
        <w:rPr>
          <w:rFonts w:ascii="Arial" w:hAnsi="Arial" w:cs="Arial"/>
          <w:b/>
          <w:bCs/>
        </w:rPr>
        <w:t>Table 3. Identified Research Gaps and Recommended Future Directions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0"/>
        <w:gridCol w:w="2120"/>
        <w:gridCol w:w="2103"/>
        <w:gridCol w:w="2101"/>
      </w:tblGrid>
      <w:tr w:rsidR="00484C78" w:rsidRPr="00484C78" w14:paraId="4192ED00" w14:textId="77777777" w:rsidTr="00484C78">
        <w:tc>
          <w:tcPr>
            <w:tcW w:w="2337" w:type="dxa"/>
            <w:tcBorders>
              <w:top w:val="single" w:sz="4" w:space="0" w:color="auto"/>
              <w:bottom w:val="single" w:sz="4" w:space="0" w:color="auto"/>
            </w:tcBorders>
          </w:tcPr>
          <w:p w14:paraId="27D148AC" w14:textId="77777777" w:rsidR="00484C78" w:rsidRPr="00484C78" w:rsidRDefault="00484C78" w:rsidP="009B1B9D">
            <w:pPr>
              <w:jc w:val="both"/>
              <w:rPr>
                <w:rFonts w:ascii="Arial" w:hAnsi="Arial" w:cs="Arial"/>
                <w:b/>
                <w:bCs/>
                <w:sz w:val="20"/>
                <w:szCs w:val="20"/>
              </w:rPr>
            </w:pPr>
            <w:r w:rsidRPr="00484C78">
              <w:rPr>
                <w:rFonts w:ascii="Arial" w:hAnsi="Arial" w:cs="Arial"/>
                <w:b/>
                <w:bCs/>
                <w:sz w:val="20"/>
                <w:szCs w:val="20"/>
              </w:rPr>
              <w:t>Research Gap</w:t>
            </w:r>
          </w:p>
        </w:tc>
        <w:tc>
          <w:tcPr>
            <w:tcW w:w="2337" w:type="dxa"/>
            <w:tcBorders>
              <w:top w:val="single" w:sz="4" w:space="0" w:color="auto"/>
              <w:bottom w:val="single" w:sz="4" w:space="0" w:color="auto"/>
            </w:tcBorders>
          </w:tcPr>
          <w:p w14:paraId="22DDC255" w14:textId="77777777" w:rsidR="00484C78" w:rsidRPr="00484C78" w:rsidRDefault="00484C78" w:rsidP="009B1B9D">
            <w:pPr>
              <w:jc w:val="both"/>
              <w:rPr>
                <w:rFonts w:ascii="Arial" w:hAnsi="Arial" w:cs="Arial"/>
                <w:b/>
                <w:bCs/>
                <w:sz w:val="20"/>
                <w:szCs w:val="20"/>
              </w:rPr>
            </w:pPr>
            <w:r w:rsidRPr="00484C78">
              <w:rPr>
                <w:rFonts w:ascii="Arial" w:hAnsi="Arial" w:cs="Arial"/>
                <w:b/>
                <w:bCs/>
                <w:sz w:val="20"/>
                <w:szCs w:val="20"/>
              </w:rPr>
              <w:t>Current Limitation</w:t>
            </w:r>
          </w:p>
        </w:tc>
        <w:tc>
          <w:tcPr>
            <w:tcW w:w="2338" w:type="dxa"/>
            <w:tcBorders>
              <w:top w:val="single" w:sz="4" w:space="0" w:color="auto"/>
              <w:bottom w:val="single" w:sz="4" w:space="0" w:color="auto"/>
            </w:tcBorders>
          </w:tcPr>
          <w:p w14:paraId="3074F42C" w14:textId="77777777" w:rsidR="00484C78" w:rsidRPr="00484C78" w:rsidRDefault="00484C78" w:rsidP="009B1B9D">
            <w:pPr>
              <w:jc w:val="both"/>
              <w:rPr>
                <w:rFonts w:ascii="Arial" w:hAnsi="Arial" w:cs="Arial"/>
                <w:b/>
                <w:bCs/>
                <w:sz w:val="20"/>
                <w:szCs w:val="20"/>
              </w:rPr>
            </w:pPr>
            <w:r w:rsidRPr="00484C78">
              <w:rPr>
                <w:rFonts w:ascii="Arial" w:hAnsi="Arial" w:cs="Arial"/>
                <w:b/>
                <w:bCs/>
                <w:sz w:val="20"/>
                <w:szCs w:val="20"/>
              </w:rPr>
              <w:t>Future Research Direction</w:t>
            </w:r>
          </w:p>
        </w:tc>
        <w:tc>
          <w:tcPr>
            <w:tcW w:w="2338" w:type="dxa"/>
            <w:tcBorders>
              <w:top w:val="single" w:sz="4" w:space="0" w:color="auto"/>
              <w:bottom w:val="single" w:sz="4" w:space="0" w:color="auto"/>
            </w:tcBorders>
          </w:tcPr>
          <w:p w14:paraId="11C805CB" w14:textId="77777777" w:rsidR="00484C78" w:rsidRPr="00484C78" w:rsidRDefault="00484C78" w:rsidP="009B1B9D">
            <w:pPr>
              <w:jc w:val="both"/>
              <w:rPr>
                <w:rFonts w:ascii="Arial" w:hAnsi="Arial" w:cs="Arial"/>
                <w:b/>
                <w:bCs/>
                <w:sz w:val="20"/>
                <w:szCs w:val="20"/>
              </w:rPr>
            </w:pPr>
            <w:r w:rsidRPr="00484C78">
              <w:rPr>
                <w:rFonts w:ascii="Arial" w:hAnsi="Arial" w:cs="Arial"/>
                <w:b/>
                <w:bCs/>
                <w:sz w:val="20"/>
                <w:szCs w:val="20"/>
              </w:rPr>
              <w:t>Key References</w:t>
            </w:r>
          </w:p>
        </w:tc>
      </w:tr>
      <w:tr w:rsidR="00484C78" w:rsidRPr="00484C78" w14:paraId="115EF8CD" w14:textId="77777777" w:rsidTr="00484C78">
        <w:tc>
          <w:tcPr>
            <w:tcW w:w="2337" w:type="dxa"/>
            <w:tcBorders>
              <w:top w:val="single" w:sz="4" w:space="0" w:color="auto"/>
            </w:tcBorders>
          </w:tcPr>
          <w:p w14:paraId="3C9AF1F1"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Limited long-term hydrological data</w:t>
            </w:r>
          </w:p>
        </w:tc>
        <w:tc>
          <w:tcPr>
            <w:tcW w:w="2337" w:type="dxa"/>
            <w:tcBorders>
              <w:top w:val="single" w:sz="4" w:space="0" w:color="auto"/>
            </w:tcBorders>
          </w:tcPr>
          <w:p w14:paraId="1F407555"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Short-duration monitoring</w:t>
            </w:r>
          </w:p>
        </w:tc>
        <w:tc>
          <w:tcPr>
            <w:tcW w:w="2338" w:type="dxa"/>
            <w:tcBorders>
              <w:top w:val="single" w:sz="4" w:space="0" w:color="auto"/>
            </w:tcBorders>
          </w:tcPr>
          <w:p w14:paraId="06E1FC00"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Establish permanent monitoring networks</w:t>
            </w:r>
          </w:p>
        </w:tc>
        <w:tc>
          <w:tcPr>
            <w:tcW w:w="2338" w:type="dxa"/>
            <w:tcBorders>
              <w:top w:val="single" w:sz="4" w:space="0" w:color="auto"/>
            </w:tcBorders>
          </w:tcPr>
          <w:p w14:paraId="268D2F5E"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Montanari et al., 2013</w:t>
            </w:r>
          </w:p>
        </w:tc>
      </w:tr>
      <w:tr w:rsidR="00484C78" w:rsidRPr="00484C78" w14:paraId="0725FA08" w14:textId="77777777" w:rsidTr="009B1B9D">
        <w:tc>
          <w:tcPr>
            <w:tcW w:w="2337" w:type="dxa"/>
          </w:tcPr>
          <w:p w14:paraId="037B872D"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Lack of biodiversity integration</w:t>
            </w:r>
          </w:p>
        </w:tc>
        <w:tc>
          <w:tcPr>
            <w:tcW w:w="2337" w:type="dxa"/>
          </w:tcPr>
          <w:p w14:paraId="34FD6D64"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Focus on hydrology only</w:t>
            </w:r>
          </w:p>
        </w:tc>
        <w:tc>
          <w:tcPr>
            <w:tcW w:w="2338" w:type="dxa"/>
          </w:tcPr>
          <w:p w14:paraId="795A56F6"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Include ecological indicators</w:t>
            </w:r>
          </w:p>
        </w:tc>
        <w:tc>
          <w:tcPr>
            <w:tcW w:w="2338" w:type="dxa"/>
          </w:tcPr>
          <w:p w14:paraId="19C72011"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Ostrom, 2009</w:t>
            </w:r>
          </w:p>
        </w:tc>
      </w:tr>
      <w:tr w:rsidR="00484C78" w:rsidRPr="00484C78" w14:paraId="42C8A5AD" w14:textId="77777777" w:rsidTr="009B1B9D">
        <w:tc>
          <w:tcPr>
            <w:tcW w:w="2337" w:type="dxa"/>
          </w:tcPr>
          <w:p w14:paraId="56F5ADD1"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Fragmented spatial studies</w:t>
            </w:r>
          </w:p>
        </w:tc>
        <w:tc>
          <w:tcPr>
            <w:tcW w:w="2337" w:type="dxa"/>
          </w:tcPr>
          <w:p w14:paraId="2A1A0B83"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Site-specific assessments</w:t>
            </w:r>
          </w:p>
        </w:tc>
        <w:tc>
          <w:tcPr>
            <w:tcW w:w="2338" w:type="dxa"/>
          </w:tcPr>
          <w:p w14:paraId="4438593C"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Basin-scale GIS and modeling</w:t>
            </w:r>
          </w:p>
        </w:tc>
        <w:tc>
          <w:tcPr>
            <w:tcW w:w="2338" w:type="dxa"/>
          </w:tcPr>
          <w:p w14:paraId="40C438ED" w14:textId="52195791" w:rsidR="00484C78" w:rsidRPr="00484C78" w:rsidRDefault="00484C78" w:rsidP="009B1B9D">
            <w:pPr>
              <w:jc w:val="both"/>
              <w:rPr>
                <w:rFonts w:ascii="Arial" w:hAnsi="Arial" w:cs="Arial"/>
                <w:sz w:val="20"/>
                <w:szCs w:val="20"/>
              </w:rPr>
            </w:pPr>
            <w:r w:rsidRPr="00484C78">
              <w:rPr>
                <w:rFonts w:ascii="Arial" w:hAnsi="Arial" w:cs="Arial"/>
                <w:sz w:val="20"/>
                <w:szCs w:val="20"/>
              </w:rPr>
              <w:t>Turner et al., 200</w:t>
            </w:r>
            <w:r w:rsidR="00652270">
              <w:rPr>
                <w:rFonts w:ascii="Arial" w:hAnsi="Arial" w:cs="Arial"/>
                <w:sz w:val="20"/>
                <w:szCs w:val="20"/>
              </w:rPr>
              <w:t>7</w:t>
            </w:r>
          </w:p>
        </w:tc>
      </w:tr>
      <w:tr w:rsidR="00484C78" w:rsidRPr="00484C78" w14:paraId="5139ED7E" w14:textId="77777777" w:rsidTr="009B1B9D">
        <w:tc>
          <w:tcPr>
            <w:tcW w:w="2337" w:type="dxa"/>
          </w:tcPr>
          <w:p w14:paraId="2688C5ED"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Climate uncertainty</w:t>
            </w:r>
          </w:p>
        </w:tc>
        <w:tc>
          <w:tcPr>
            <w:tcW w:w="2337" w:type="dxa"/>
          </w:tcPr>
          <w:p w14:paraId="681DD409"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Limited localized projections</w:t>
            </w:r>
          </w:p>
        </w:tc>
        <w:tc>
          <w:tcPr>
            <w:tcW w:w="2338" w:type="dxa"/>
          </w:tcPr>
          <w:p w14:paraId="5B5C4D49"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Downscaled climate modeling</w:t>
            </w:r>
          </w:p>
        </w:tc>
        <w:tc>
          <w:tcPr>
            <w:tcW w:w="2338" w:type="dxa"/>
          </w:tcPr>
          <w:p w14:paraId="7F0DD88F"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IPCC, 2021</w:t>
            </w:r>
          </w:p>
        </w:tc>
      </w:tr>
      <w:tr w:rsidR="00484C78" w:rsidRPr="00484C78" w14:paraId="28431F50" w14:textId="77777777" w:rsidTr="009B1B9D">
        <w:tc>
          <w:tcPr>
            <w:tcW w:w="2337" w:type="dxa"/>
          </w:tcPr>
          <w:p w14:paraId="3658EB3E"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Limited technology use</w:t>
            </w:r>
          </w:p>
        </w:tc>
        <w:tc>
          <w:tcPr>
            <w:tcW w:w="2337" w:type="dxa"/>
          </w:tcPr>
          <w:p w14:paraId="0C4575A7"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Conventional mapping methods</w:t>
            </w:r>
          </w:p>
        </w:tc>
        <w:tc>
          <w:tcPr>
            <w:tcW w:w="2338" w:type="dxa"/>
          </w:tcPr>
          <w:p w14:paraId="5FBF501F" w14:textId="77777777" w:rsidR="00484C78" w:rsidRPr="00484C78" w:rsidRDefault="00484C78" w:rsidP="009B1B9D">
            <w:pPr>
              <w:jc w:val="both"/>
              <w:rPr>
                <w:rFonts w:ascii="Arial" w:hAnsi="Arial" w:cs="Arial"/>
                <w:sz w:val="20"/>
                <w:szCs w:val="20"/>
              </w:rPr>
            </w:pPr>
            <w:r w:rsidRPr="00484C78">
              <w:rPr>
                <w:rFonts w:ascii="Arial" w:hAnsi="Arial" w:cs="Arial"/>
                <w:sz w:val="20"/>
                <w:szCs w:val="20"/>
              </w:rPr>
              <w:t>Remote sensing and AI-based monitoring</w:t>
            </w:r>
          </w:p>
        </w:tc>
        <w:tc>
          <w:tcPr>
            <w:tcW w:w="2338" w:type="dxa"/>
          </w:tcPr>
          <w:p w14:paraId="4971A7E7" w14:textId="347DAAFF" w:rsidR="00484C78" w:rsidRPr="00484C78" w:rsidRDefault="00A064A8" w:rsidP="009B1B9D">
            <w:pPr>
              <w:jc w:val="both"/>
              <w:rPr>
                <w:rFonts w:ascii="Arial" w:hAnsi="Arial" w:cs="Arial"/>
                <w:sz w:val="20"/>
                <w:szCs w:val="20"/>
              </w:rPr>
            </w:pPr>
            <w:proofErr w:type="spellStart"/>
            <w:r w:rsidRPr="00A064A8">
              <w:rPr>
                <w:rFonts w:ascii="Arial" w:hAnsi="Arial" w:cs="Arial"/>
                <w:sz w:val="20"/>
                <w:szCs w:val="20"/>
              </w:rPr>
              <w:t>Belgiu</w:t>
            </w:r>
            <w:proofErr w:type="spellEnd"/>
            <w:r w:rsidRPr="00A064A8">
              <w:rPr>
                <w:rFonts w:ascii="Arial" w:hAnsi="Arial" w:cs="Arial"/>
                <w:sz w:val="20"/>
                <w:szCs w:val="20"/>
              </w:rPr>
              <w:t xml:space="preserve"> &amp; </w:t>
            </w:r>
            <w:proofErr w:type="spellStart"/>
            <w:r w:rsidRPr="00A064A8">
              <w:rPr>
                <w:rFonts w:ascii="Arial" w:hAnsi="Arial" w:cs="Arial"/>
                <w:sz w:val="20"/>
                <w:szCs w:val="20"/>
              </w:rPr>
              <w:t>Drăguț</w:t>
            </w:r>
            <w:proofErr w:type="spellEnd"/>
            <w:r w:rsidRPr="00A064A8">
              <w:rPr>
                <w:rFonts w:ascii="Arial" w:hAnsi="Arial" w:cs="Arial"/>
                <w:sz w:val="20"/>
                <w:szCs w:val="20"/>
              </w:rPr>
              <w:t>, 2016</w:t>
            </w:r>
          </w:p>
        </w:tc>
      </w:tr>
      <w:tr w:rsidR="00484C78" w:rsidRPr="00484C78" w14:paraId="508B54A7" w14:textId="77777777" w:rsidTr="00484C78">
        <w:tc>
          <w:tcPr>
            <w:tcW w:w="2337" w:type="dxa"/>
            <w:tcBorders>
              <w:bottom w:val="single" w:sz="4" w:space="0" w:color="auto"/>
            </w:tcBorders>
          </w:tcPr>
          <w:p w14:paraId="32150419" w14:textId="77777777" w:rsidR="00484C78" w:rsidRPr="00484C78" w:rsidRDefault="00484C78" w:rsidP="009B1B9D">
            <w:pPr>
              <w:jc w:val="both"/>
              <w:rPr>
                <w:rFonts w:ascii="Arial" w:hAnsi="Arial" w:cs="Arial"/>
                <w:sz w:val="20"/>
                <w:szCs w:val="20"/>
              </w:rPr>
            </w:pPr>
          </w:p>
        </w:tc>
        <w:tc>
          <w:tcPr>
            <w:tcW w:w="2337" w:type="dxa"/>
            <w:tcBorders>
              <w:bottom w:val="single" w:sz="4" w:space="0" w:color="auto"/>
            </w:tcBorders>
          </w:tcPr>
          <w:p w14:paraId="6B4B0A39" w14:textId="77777777" w:rsidR="00484C78" w:rsidRPr="00484C78" w:rsidRDefault="00484C78" w:rsidP="009B1B9D">
            <w:pPr>
              <w:jc w:val="both"/>
              <w:rPr>
                <w:rFonts w:ascii="Arial" w:hAnsi="Arial" w:cs="Arial"/>
                <w:sz w:val="20"/>
                <w:szCs w:val="20"/>
              </w:rPr>
            </w:pPr>
          </w:p>
        </w:tc>
        <w:tc>
          <w:tcPr>
            <w:tcW w:w="2338" w:type="dxa"/>
            <w:tcBorders>
              <w:bottom w:val="single" w:sz="4" w:space="0" w:color="auto"/>
            </w:tcBorders>
          </w:tcPr>
          <w:p w14:paraId="38D41010" w14:textId="77777777" w:rsidR="00484C78" w:rsidRPr="00484C78" w:rsidRDefault="00484C78" w:rsidP="009B1B9D">
            <w:pPr>
              <w:jc w:val="both"/>
              <w:rPr>
                <w:rFonts w:ascii="Arial" w:hAnsi="Arial" w:cs="Arial"/>
                <w:sz w:val="20"/>
                <w:szCs w:val="20"/>
              </w:rPr>
            </w:pPr>
          </w:p>
        </w:tc>
        <w:tc>
          <w:tcPr>
            <w:tcW w:w="2338" w:type="dxa"/>
            <w:tcBorders>
              <w:bottom w:val="single" w:sz="4" w:space="0" w:color="auto"/>
            </w:tcBorders>
          </w:tcPr>
          <w:p w14:paraId="3A790A42" w14:textId="77777777" w:rsidR="00484C78" w:rsidRPr="00484C78" w:rsidRDefault="00484C78" w:rsidP="009B1B9D">
            <w:pPr>
              <w:jc w:val="both"/>
              <w:rPr>
                <w:rFonts w:ascii="Arial" w:hAnsi="Arial" w:cs="Arial"/>
                <w:sz w:val="20"/>
                <w:szCs w:val="20"/>
              </w:rPr>
            </w:pPr>
          </w:p>
        </w:tc>
      </w:tr>
    </w:tbl>
    <w:p w14:paraId="47484973" w14:textId="77777777" w:rsidR="00484C78" w:rsidRPr="00FB3A86" w:rsidRDefault="00484C78" w:rsidP="00484C78">
      <w:pPr>
        <w:pStyle w:val="Body"/>
        <w:spacing w:after="0"/>
        <w:rPr>
          <w:rFonts w:ascii="Arial" w:hAnsi="Arial" w:cs="Arial"/>
        </w:rPr>
      </w:pPr>
    </w:p>
    <w:p w14:paraId="5FB72E18" w14:textId="6D947AB7" w:rsidR="00B01FCD" w:rsidRDefault="00484C78" w:rsidP="00441B6F">
      <w:pPr>
        <w:pStyle w:val="ConcHead"/>
        <w:spacing w:after="0"/>
        <w:jc w:val="both"/>
        <w:rPr>
          <w:rFonts w:ascii="Arial" w:hAnsi="Arial" w:cs="Arial"/>
        </w:rPr>
      </w:pPr>
      <w:r>
        <w:rPr>
          <w:rFonts w:ascii="Arial" w:hAnsi="Arial" w:cs="Arial"/>
        </w:rPr>
        <w:t>8</w:t>
      </w:r>
      <w:r w:rsidR="00000F8F">
        <w:rPr>
          <w:rFonts w:ascii="Arial" w:hAnsi="Arial" w:cs="Arial"/>
        </w:rPr>
        <w:t xml:space="preserve">. </w:t>
      </w:r>
      <w:r w:rsidR="005C12B4">
        <w:rPr>
          <w:rFonts w:ascii="Arial" w:hAnsi="Arial" w:cs="Arial"/>
        </w:rPr>
        <w:t xml:space="preserve">Summary and </w:t>
      </w:r>
      <w:r w:rsidR="00B01FCD" w:rsidRPr="00FB3A86">
        <w:rPr>
          <w:rFonts w:ascii="Arial" w:hAnsi="Arial" w:cs="Arial"/>
        </w:rPr>
        <w:t>Conclusion</w:t>
      </w:r>
    </w:p>
    <w:p w14:paraId="11703E5D" w14:textId="77777777" w:rsidR="00790ADA" w:rsidRPr="00FB3A86" w:rsidRDefault="00790ADA" w:rsidP="00441B6F">
      <w:pPr>
        <w:pStyle w:val="ConcHead"/>
        <w:spacing w:after="0"/>
        <w:jc w:val="both"/>
        <w:rPr>
          <w:rFonts w:ascii="Arial" w:hAnsi="Arial" w:cs="Arial"/>
        </w:rPr>
      </w:pPr>
    </w:p>
    <w:p w14:paraId="4CA24CBA" w14:textId="389B2B46" w:rsidR="00BE58A3" w:rsidRDefault="00BE58A3" w:rsidP="00BE58A3">
      <w:pPr>
        <w:pStyle w:val="Body"/>
        <w:spacing w:after="0"/>
        <w:rPr>
          <w:rFonts w:ascii="Arial" w:hAnsi="Arial" w:cs="Arial"/>
          <w:lang w:val="en-PH"/>
        </w:rPr>
      </w:pPr>
      <w:r w:rsidRPr="00BE58A3">
        <w:rPr>
          <w:rFonts w:ascii="Arial" w:hAnsi="Arial" w:cs="Arial"/>
          <w:lang w:val="en-PH"/>
        </w:rPr>
        <w:t xml:space="preserve">Watersheds in the Ilocos Region represent dynamic socio-ecological systems shaped by climate variability, land transformation, biodiversity processes, and governance structures. This </w:t>
      </w:r>
      <w:r w:rsidR="00B62C7A" w:rsidRPr="00BE58A3">
        <w:rPr>
          <w:rFonts w:ascii="Arial" w:hAnsi="Arial" w:cs="Arial"/>
          <w:lang w:val="en-PH"/>
        </w:rPr>
        <w:t>mini</w:t>
      </w:r>
      <w:r w:rsidR="00786A72">
        <w:rPr>
          <w:rFonts w:ascii="Arial" w:hAnsi="Arial" w:cs="Arial"/>
          <w:lang w:val="en-PH"/>
        </w:rPr>
        <w:t>-</w:t>
      </w:r>
      <w:r w:rsidR="00B62C7A" w:rsidRPr="00BE58A3">
        <w:rPr>
          <w:rFonts w:ascii="Arial" w:hAnsi="Arial" w:cs="Arial"/>
          <w:lang w:val="en-PH"/>
        </w:rPr>
        <w:t>review</w:t>
      </w:r>
      <w:r w:rsidRPr="00BE58A3">
        <w:rPr>
          <w:rFonts w:ascii="Arial" w:hAnsi="Arial" w:cs="Arial"/>
          <w:lang w:val="en-PH"/>
        </w:rPr>
        <w:t xml:space="preserve"> synthesizes literature across watershed hydrology, land use and land cover change, ecological integrity, and management challenges, highlighting the interconnected drivers of watershed sustainability in Northern Philippines.</w:t>
      </w:r>
    </w:p>
    <w:p w14:paraId="3E04A722" w14:textId="77777777" w:rsidR="00B62C7A" w:rsidRPr="00BE58A3" w:rsidRDefault="00B62C7A" w:rsidP="00BE58A3">
      <w:pPr>
        <w:pStyle w:val="Body"/>
        <w:spacing w:after="0"/>
        <w:rPr>
          <w:rFonts w:ascii="Arial" w:hAnsi="Arial" w:cs="Arial"/>
          <w:lang w:val="en-PH"/>
        </w:rPr>
      </w:pPr>
    </w:p>
    <w:p w14:paraId="096650D8" w14:textId="77777777" w:rsidR="00BE58A3" w:rsidRDefault="00BE58A3" w:rsidP="00BE58A3">
      <w:pPr>
        <w:pStyle w:val="Body"/>
        <w:spacing w:after="0"/>
        <w:rPr>
          <w:rFonts w:ascii="Arial" w:hAnsi="Arial" w:cs="Arial"/>
          <w:lang w:val="en-PH"/>
        </w:rPr>
      </w:pPr>
      <w:r w:rsidRPr="00BE58A3">
        <w:rPr>
          <w:rFonts w:ascii="Arial" w:hAnsi="Arial" w:cs="Arial"/>
          <w:lang w:val="en-PH"/>
        </w:rPr>
        <w:t>Hydrologically, Ilocos watersheds are highly sensitive to rainfall intensity, steep topography, and vegetation condition. Established watershed theory shows that forested landscapes can regulate runoff, stabilize soils, and help sustain baseflow by enhancing infiltration and reducing erosion risk (</w:t>
      </w:r>
      <w:proofErr w:type="spellStart"/>
      <w:r w:rsidRPr="00BE58A3">
        <w:rPr>
          <w:rFonts w:ascii="Arial" w:hAnsi="Arial" w:cs="Arial"/>
          <w:lang w:val="en-PH"/>
        </w:rPr>
        <w:t>Bruijnzeel</w:t>
      </w:r>
      <w:proofErr w:type="spellEnd"/>
      <w:r w:rsidRPr="00BE58A3">
        <w:rPr>
          <w:rFonts w:ascii="Arial" w:hAnsi="Arial" w:cs="Arial"/>
          <w:lang w:val="en-PH"/>
        </w:rPr>
        <w:t xml:space="preserve">, 2004; </w:t>
      </w:r>
      <w:proofErr w:type="spellStart"/>
      <w:r w:rsidRPr="00BE58A3">
        <w:rPr>
          <w:rFonts w:ascii="Arial" w:hAnsi="Arial" w:cs="Arial"/>
          <w:lang w:val="en-PH"/>
        </w:rPr>
        <w:t>Poff</w:t>
      </w:r>
      <w:proofErr w:type="spellEnd"/>
      <w:r w:rsidRPr="00BE58A3">
        <w:rPr>
          <w:rFonts w:ascii="Arial" w:hAnsi="Arial" w:cs="Arial"/>
          <w:lang w:val="en-PH"/>
        </w:rPr>
        <w:t xml:space="preserve"> et al., 1997). In contrast, land conversion and </w:t>
      </w:r>
      <w:r w:rsidRPr="00BE58A3">
        <w:rPr>
          <w:rFonts w:ascii="Arial" w:hAnsi="Arial" w:cs="Arial"/>
          <w:lang w:val="en-PH"/>
        </w:rPr>
        <w:lastRenderedPageBreak/>
        <w:t>soil disturbance tend to increase surface runoff and sediment transport, intensifying flood risk and contributing to dry-season water constraints through reduced recharge and altered flow regulation (Bosch &amp; Hewlett, 1982; Brown et al., 2005; Brauman et al., 2007). These dynamics are particularly relevant in Region I, where monsoonal rainfall and tropical cyclone events shape strong wet–dry season contrasts and amplify hydrological variability (Cinco et al., 2014; IPCC, 2021).</w:t>
      </w:r>
    </w:p>
    <w:p w14:paraId="23A49CF5" w14:textId="77777777" w:rsidR="00B62C7A" w:rsidRPr="00BE58A3" w:rsidRDefault="00B62C7A" w:rsidP="00BE58A3">
      <w:pPr>
        <w:pStyle w:val="Body"/>
        <w:spacing w:after="0"/>
        <w:rPr>
          <w:rFonts w:ascii="Arial" w:hAnsi="Arial" w:cs="Arial"/>
          <w:lang w:val="en-PH"/>
        </w:rPr>
      </w:pPr>
    </w:p>
    <w:p w14:paraId="353816B5" w14:textId="5F415068" w:rsidR="00BE58A3" w:rsidRDefault="00BE58A3" w:rsidP="00BE58A3">
      <w:pPr>
        <w:pStyle w:val="Body"/>
        <w:spacing w:after="0"/>
        <w:rPr>
          <w:rFonts w:ascii="Arial" w:hAnsi="Arial" w:cs="Arial"/>
          <w:lang w:val="en-PH"/>
        </w:rPr>
      </w:pPr>
      <w:r w:rsidRPr="00BE58A3">
        <w:rPr>
          <w:rFonts w:ascii="Arial" w:hAnsi="Arial" w:cs="Arial"/>
          <w:lang w:val="en-PH"/>
        </w:rPr>
        <w:t xml:space="preserve">Land use and land cover change remains a central driver of watershed transformation in the Ilocos Region. Even gradual agricultural expansion, forest fragmentation, and settlement growth can cumulatively alter runoff generation, erosion rates, and watershed resilience. Land-change research emphasizes that these transformations often emerge from interacting socio-economic drivers and </w:t>
      </w:r>
      <w:r w:rsidR="00B62C7A" w:rsidRPr="00BE58A3">
        <w:rPr>
          <w:rFonts w:ascii="Arial" w:hAnsi="Arial" w:cs="Arial"/>
          <w:lang w:val="en-PH"/>
        </w:rPr>
        <w:t>feedback</w:t>
      </w:r>
      <w:r w:rsidR="00786A72">
        <w:rPr>
          <w:rFonts w:ascii="Arial" w:hAnsi="Arial" w:cs="Arial"/>
          <w:lang w:val="en-PH"/>
        </w:rPr>
        <w:t>s</w:t>
      </w:r>
      <w:r w:rsidRPr="00BE58A3">
        <w:rPr>
          <w:rFonts w:ascii="Arial" w:hAnsi="Arial" w:cs="Arial"/>
          <w:lang w:val="en-PH"/>
        </w:rPr>
        <w:t xml:space="preserve"> rather than single causes, underscoring the need for integrated land and water planning at the basin scale (Geist &amp; Lambin, 2002; Lambin &amp; Geist, 2006; Negash et al., 2022).</w:t>
      </w:r>
    </w:p>
    <w:p w14:paraId="7031C263" w14:textId="77777777" w:rsidR="00B62C7A" w:rsidRPr="00BE58A3" w:rsidRDefault="00B62C7A" w:rsidP="00BE58A3">
      <w:pPr>
        <w:pStyle w:val="Body"/>
        <w:spacing w:after="0"/>
        <w:rPr>
          <w:rFonts w:ascii="Arial" w:hAnsi="Arial" w:cs="Arial"/>
          <w:lang w:val="en-PH"/>
        </w:rPr>
      </w:pPr>
    </w:p>
    <w:p w14:paraId="43CBE5FC" w14:textId="77777777" w:rsidR="00BE58A3" w:rsidRDefault="00BE58A3" w:rsidP="00BE58A3">
      <w:pPr>
        <w:pStyle w:val="Body"/>
        <w:spacing w:after="0"/>
        <w:rPr>
          <w:rFonts w:ascii="Arial" w:hAnsi="Arial" w:cs="Arial"/>
          <w:lang w:val="en-PH"/>
        </w:rPr>
      </w:pPr>
      <w:r w:rsidRPr="00BE58A3">
        <w:rPr>
          <w:rFonts w:ascii="Arial" w:hAnsi="Arial" w:cs="Arial"/>
          <w:lang w:val="en-PH"/>
        </w:rPr>
        <w:t xml:space="preserve">Biodiversity plays an essential, though often under-integrated, role in watershed resilience. Forest ecosystems, riparian vegetation, and aquatic communities contribute to ecosystem services that support both environmental stability and human well-being (Millennium Ecosystem Assessment, 2005; </w:t>
      </w:r>
      <w:proofErr w:type="spellStart"/>
      <w:r w:rsidRPr="00BE58A3">
        <w:rPr>
          <w:rFonts w:ascii="Arial" w:hAnsi="Arial" w:cs="Arial"/>
          <w:lang w:val="en-PH"/>
        </w:rPr>
        <w:t>Vitousek</w:t>
      </w:r>
      <w:proofErr w:type="spellEnd"/>
      <w:r w:rsidRPr="00BE58A3">
        <w:rPr>
          <w:rFonts w:ascii="Arial" w:hAnsi="Arial" w:cs="Arial"/>
          <w:lang w:val="en-PH"/>
        </w:rPr>
        <w:t xml:space="preserve"> et al., 1997). However, fragmentation, riparian degradation, and sedimentation can reduce ecological connectivity and aquatic habitat quality, reinforcing the importance of ecosystem-based watershed management approaches that protect both terrestrial and freshwater systems (Allan &amp; Castillo, 2007; Fahrig, 2003; Gregory et al., 1991).</w:t>
      </w:r>
    </w:p>
    <w:p w14:paraId="7B144FC9" w14:textId="77777777" w:rsidR="00B62C7A" w:rsidRPr="00BE58A3" w:rsidRDefault="00B62C7A" w:rsidP="00BE58A3">
      <w:pPr>
        <w:pStyle w:val="Body"/>
        <w:spacing w:after="0"/>
        <w:rPr>
          <w:rFonts w:ascii="Arial" w:hAnsi="Arial" w:cs="Arial"/>
          <w:lang w:val="en-PH"/>
        </w:rPr>
      </w:pPr>
    </w:p>
    <w:p w14:paraId="0042D249" w14:textId="77777777" w:rsidR="00BE58A3" w:rsidRDefault="00BE58A3" w:rsidP="00BE58A3">
      <w:pPr>
        <w:pStyle w:val="Body"/>
        <w:spacing w:after="0"/>
        <w:rPr>
          <w:rFonts w:ascii="Arial" w:hAnsi="Arial" w:cs="Arial"/>
          <w:lang w:val="en-PH"/>
        </w:rPr>
      </w:pPr>
      <w:r w:rsidRPr="00BE58A3">
        <w:rPr>
          <w:rFonts w:ascii="Arial" w:hAnsi="Arial" w:cs="Arial"/>
          <w:lang w:val="en-PH"/>
        </w:rPr>
        <w:t xml:space="preserve">Governance challenges further shape watershed conditions. Institutional fragmentation, limited enforcement capacity, and insufficient long-term monitoring complicate basin-scale coordination. Integrated watershed management and adaptive governance frameworks emphasize cross-boundary collaboration, iterative learning, and flexible decision-making as key strategies for sustainable watershed stewardship (Mitchell, 2005; </w:t>
      </w:r>
      <w:proofErr w:type="spellStart"/>
      <w:r w:rsidRPr="00BE58A3">
        <w:rPr>
          <w:rFonts w:ascii="Arial" w:hAnsi="Arial" w:cs="Arial"/>
          <w:lang w:val="en-PH"/>
        </w:rPr>
        <w:t>Pahl-Wostl</w:t>
      </w:r>
      <w:proofErr w:type="spellEnd"/>
      <w:r w:rsidRPr="00BE58A3">
        <w:rPr>
          <w:rFonts w:ascii="Arial" w:hAnsi="Arial" w:cs="Arial"/>
          <w:lang w:val="en-PH"/>
        </w:rPr>
        <w:t xml:space="preserve">, 2007). Community-based approaches can also contribute to improved stewardship when supported by secure tenure and strong institutional support (Agrawal &amp; Ostrom, 2001; </w:t>
      </w:r>
      <w:proofErr w:type="spellStart"/>
      <w:r w:rsidRPr="00BE58A3">
        <w:rPr>
          <w:rFonts w:ascii="Arial" w:hAnsi="Arial" w:cs="Arial"/>
          <w:lang w:val="en-PH"/>
        </w:rPr>
        <w:t>Pulhin</w:t>
      </w:r>
      <w:proofErr w:type="spellEnd"/>
      <w:r w:rsidRPr="00BE58A3">
        <w:rPr>
          <w:rFonts w:ascii="Arial" w:hAnsi="Arial" w:cs="Arial"/>
          <w:lang w:val="en-PH"/>
        </w:rPr>
        <w:t xml:space="preserve"> et al., 2007).</w:t>
      </w:r>
    </w:p>
    <w:p w14:paraId="3951E139" w14:textId="77777777" w:rsidR="00BE58A3" w:rsidRPr="00BE58A3" w:rsidRDefault="00BE58A3" w:rsidP="00BE58A3">
      <w:pPr>
        <w:pStyle w:val="Body"/>
        <w:spacing w:after="0"/>
        <w:rPr>
          <w:rFonts w:ascii="Arial" w:hAnsi="Arial" w:cs="Arial"/>
          <w:lang w:val="en-PH"/>
        </w:rPr>
      </w:pPr>
    </w:p>
    <w:p w14:paraId="1E89F6EA" w14:textId="77777777" w:rsidR="00BE58A3" w:rsidRPr="00BE58A3" w:rsidRDefault="00BE58A3" w:rsidP="00BE58A3">
      <w:pPr>
        <w:pStyle w:val="Body"/>
        <w:spacing w:after="0"/>
        <w:rPr>
          <w:rFonts w:ascii="Arial" w:hAnsi="Arial" w:cs="Arial"/>
          <w:lang w:val="en-PH"/>
        </w:rPr>
      </w:pPr>
      <w:r w:rsidRPr="00BE58A3">
        <w:rPr>
          <w:rFonts w:ascii="Arial" w:hAnsi="Arial" w:cs="Arial"/>
          <w:lang w:val="en-PH"/>
        </w:rPr>
        <w:t>Looking forward, watershed sustainability in the Ilocos Region will depend on strengthening hydrometeorological monitoring, integrating biodiversity indicators into watershed assessments, expanding basin-scale spatial analysis and modeling, and incorporating climate change projections into risk assessment and planning (IPCC, 2021; Montanari et al., 2013). The use of advanced geospatial methods and participatory governance approaches may further enhance adaptive capacity and improve the alignment of land-use decisions with watershed-scale objectives (</w:t>
      </w:r>
      <w:proofErr w:type="spellStart"/>
      <w:r w:rsidRPr="00BE58A3">
        <w:rPr>
          <w:rFonts w:ascii="Arial" w:hAnsi="Arial" w:cs="Arial"/>
          <w:lang w:val="en-PH"/>
        </w:rPr>
        <w:t>Belgiu</w:t>
      </w:r>
      <w:proofErr w:type="spellEnd"/>
      <w:r w:rsidRPr="00BE58A3">
        <w:rPr>
          <w:rFonts w:ascii="Arial" w:hAnsi="Arial" w:cs="Arial"/>
          <w:lang w:val="en-PH"/>
        </w:rPr>
        <w:t xml:space="preserve"> &amp; </w:t>
      </w:r>
      <w:proofErr w:type="spellStart"/>
      <w:r w:rsidRPr="00BE58A3">
        <w:rPr>
          <w:rFonts w:ascii="Arial" w:hAnsi="Arial" w:cs="Arial"/>
          <w:lang w:val="en-PH"/>
        </w:rPr>
        <w:t>Drăguț</w:t>
      </w:r>
      <w:proofErr w:type="spellEnd"/>
      <w:r w:rsidRPr="00BE58A3">
        <w:rPr>
          <w:rFonts w:ascii="Arial" w:hAnsi="Arial" w:cs="Arial"/>
          <w:lang w:val="en-PH"/>
        </w:rPr>
        <w:t>, 2016; Ostrom, 2009). Overall, this review highlights that Ilocos watersheds remain ecologically valuable yet increasingly vulnerable, and that sustainable management requires an integrated, climate-resilient, and ecosystem-based approach that balances environmental protection with socio-economic development.</w:t>
      </w:r>
    </w:p>
    <w:p w14:paraId="443A388A" w14:textId="77777777" w:rsidR="00484C78" w:rsidRPr="00FB3A86" w:rsidRDefault="00484C78" w:rsidP="00484C78">
      <w:pPr>
        <w:pStyle w:val="Body"/>
        <w:spacing w:after="0"/>
        <w:rPr>
          <w:rFonts w:ascii="Arial" w:hAnsi="Arial" w:cs="Arial"/>
        </w:rPr>
      </w:pPr>
    </w:p>
    <w:p w14:paraId="5D59DDFD" w14:textId="77777777" w:rsidR="00603D1A" w:rsidRPr="00CA3906" w:rsidRDefault="00603D1A" w:rsidP="00603D1A">
      <w:pPr>
        <w:rPr>
          <w:b/>
          <w:highlight w:val="yellow"/>
        </w:rPr>
      </w:pPr>
      <w:r w:rsidRPr="00CA3906">
        <w:rPr>
          <w:b/>
          <w:highlight w:val="yellow"/>
        </w:rPr>
        <w:t>Disclaimer (Artificial intelligence)</w:t>
      </w:r>
      <w:bookmarkStart w:id="0" w:name="_GoBack"/>
      <w:bookmarkEnd w:id="0"/>
    </w:p>
    <w:p w14:paraId="5BA622A0" w14:textId="77777777" w:rsidR="00603D1A" w:rsidRPr="00740879" w:rsidRDefault="00603D1A" w:rsidP="00603D1A">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E24894E" w14:textId="77777777" w:rsidR="003C3141" w:rsidRPr="003C3141" w:rsidRDefault="003C3141" w:rsidP="00441B6F">
      <w:pPr>
        <w:pStyle w:val="ReferHead"/>
        <w:spacing w:after="0"/>
        <w:jc w:val="both"/>
        <w:rPr>
          <w:rFonts w:ascii="Arial" w:hAnsi="Arial" w:cs="Arial"/>
        </w:rPr>
      </w:pPr>
    </w:p>
    <w:p w14:paraId="1BC644C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04A5CCB" w14:textId="77777777" w:rsidR="00790ADA" w:rsidRPr="00FB3A86" w:rsidRDefault="00790ADA" w:rsidP="00441B6F">
      <w:pPr>
        <w:pStyle w:val="ReferHead"/>
        <w:spacing w:after="0"/>
        <w:jc w:val="both"/>
        <w:rPr>
          <w:rFonts w:ascii="Arial" w:hAnsi="Arial" w:cs="Arial"/>
        </w:rPr>
      </w:pPr>
    </w:p>
    <w:p w14:paraId="21A9F753" w14:textId="7FAE2D71" w:rsidR="00BD5B19" w:rsidRDefault="00BD5B19" w:rsidP="00984686">
      <w:pPr>
        <w:pStyle w:val="Body"/>
        <w:numPr>
          <w:ilvl w:val="0"/>
          <w:numId w:val="31"/>
        </w:numPr>
      </w:pPr>
      <w:r>
        <w:t>Agrawal, A., &amp; Ostrom, E. (2001). Collective action, property rights, and decentralization in resource use in India and Nepal. Politics &amp; Society, 29(4), 485–514. https://doi.org/10.1177/0032329201029004002</w:t>
      </w:r>
    </w:p>
    <w:p w14:paraId="62B0C7DD" w14:textId="130D48CA" w:rsidR="00BD5B19" w:rsidRDefault="00BD5B19" w:rsidP="00984686">
      <w:pPr>
        <w:pStyle w:val="Body"/>
        <w:numPr>
          <w:ilvl w:val="0"/>
          <w:numId w:val="31"/>
        </w:numPr>
      </w:pPr>
      <w:r>
        <w:t>Allan, J. D., &amp; Castillo, M. M. (2007). Stream ecology: Structure and function of running waters (2nd ed.). Springer. https://doi.org/10.1007/978-1-4020-5583-6</w:t>
      </w:r>
    </w:p>
    <w:p w14:paraId="48E6D64B" w14:textId="3D44CA2F" w:rsidR="00BD5B19" w:rsidRDefault="00BD5B19" w:rsidP="00984686">
      <w:pPr>
        <w:pStyle w:val="Body"/>
        <w:numPr>
          <w:ilvl w:val="0"/>
          <w:numId w:val="31"/>
        </w:numPr>
      </w:pPr>
      <w:proofErr w:type="spellStart"/>
      <w:r>
        <w:t>Belgiu</w:t>
      </w:r>
      <w:proofErr w:type="spellEnd"/>
      <w:r>
        <w:t xml:space="preserve">, M., &amp; </w:t>
      </w:r>
      <w:proofErr w:type="spellStart"/>
      <w:r>
        <w:t>Drăguț</w:t>
      </w:r>
      <w:proofErr w:type="spellEnd"/>
      <w:r>
        <w:t>, L. (2016). Random forest in remote sensing: A review of applications and future directions. ISPRS Journal of Photogrammetry and Remote Sensing, 114, 24–31. https://doi.org/10.1016/j.isprsjprs.2016.01.011</w:t>
      </w:r>
    </w:p>
    <w:p w14:paraId="59D83A44" w14:textId="3751194F" w:rsidR="00BD5B19" w:rsidRDefault="00BD5B19" w:rsidP="00984686">
      <w:pPr>
        <w:pStyle w:val="Body"/>
        <w:numPr>
          <w:ilvl w:val="0"/>
          <w:numId w:val="31"/>
        </w:numPr>
      </w:pPr>
      <w:r>
        <w:t>Bosch, J. M., &amp; Hewlett, J. D. (1982). A review of catchment experiments to determine the effect of vegetation changes on water yield and evapotranspiration. Journal of Hydrology, 55(1–4), 3–23. https://doi.org/10.1016/0022-1694(82)90117-2</w:t>
      </w:r>
    </w:p>
    <w:p w14:paraId="53823BEC" w14:textId="2597457A" w:rsidR="00BD5B19" w:rsidRDefault="00BD5B19" w:rsidP="00984686">
      <w:pPr>
        <w:pStyle w:val="Body"/>
        <w:numPr>
          <w:ilvl w:val="0"/>
          <w:numId w:val="31"/>
        </w:numPr>
      </w:pPr>
      <w:r>
        <w:t>Brauman, K. A., Daily, G. C., Duarte, T. K., &amp; Mooney, H. A. (2007). The nature and value of ecosystem services: An overview highlighting hydrologic services. Annual Review of Environment and Resources, 32, 67–98. https://doi.org/10.1146/annurev.energy.32.031306.102758</w:t>
      </w:r>
    </w:p>
    <w:p w14:paraId="62914530" w14:textId="1DFD9DB1" w:rsidR="00BD5B19" w:rsidRDefault="00BD5B19" w:rsidP="00984686">
      <w:pPr>
        <w:pStyle w:val="Body"/>
        <w:numPr>
          <w:ilvl w:val="0"/>
          <w:numId w:val="31"/>
        </w:numPr>
      </w:pPr>
      <w:r>
        <w:t xml:space="preserve">Brown, A. E., Zhang, L., McMahon, T. A., Western, A. W., &amp; </w:t>
      </w:r>
      <w:proofErr w:type="spellStart"/>
      <w:r>
        <w:t>Vertessy</w:t>
      </w:r>
      <w:proofErr w:type="spellEnd"/>
      <w:r>
        <w:t>, R. A. (2005). A review of paired catchment studies for determining changes in water yield resulting from alterations in vegetation. Journal of Hydrology, 310(1–4), 28–61. https://doi.org/10.1016/j.jhydrol.2004.12.010</w:t>
      </w:r>
    </w:p>
    <w:p w14:paraId="7A183CA4" w14:textId="77777777" w:rsidR="00BD5B19" w:rsidRDefault="00BD5B19" w:rsidP="00984686">
      <w:pPr>
        <w:pStyle w:val="Body"/>
        <w:numPr>
          <w:ilvl w:val="0"/>
          <w:numId w:val="31"/>
        </w:numPr>
      </w:pPr>
      <w:proofErr w:type="spellStart"/>
      <w:r>
        <w:t>Bruijnzeel</w:t>
      </w:r>
      <w:proofErr w:type="spellEnd"/>
      <w:r>
        <w:t>, L. A. (2004). Hydrological functions of tropical forests: Not seeing the soil for the trees? Agriculture, Ecosystems &amp; Environment, 104(1), 185–228. https://doi.org/10.1016/j.agee.2004.01.015</w:t>
      </w:r>
    </w:p>
    <w:p w14:paraId="420F5853" w14:textId="10F83B0A" w:rsidR="00BD5B19" w:rsidRDefault="00BD5B19" w:rsidP="00984686">
      <w:pPr>
        <w:pStyle w:val="Body"/>
        <w:numPr>
          <w:ilvl w:val="0"/>
          <w:numId w:val="31"/>
        </w:numPr>
      </w:pPr>
      <w:r>
        <w:t>Cinco, T. A., de Guzman, R. G., Ortiz, A. M. D., Delfino, R. J., Lasco, R. D., Hilario, F. D., Wilson, D. M., Ares, E. D., &amp; Garcia, K. (2014). Observed trends and impacts of tropical cyclones in the Philippines. International Journal of Climatology, 36(14), 4638–4650. https://doi.org/10.1002/joc.4659</w:t>
      </w:r>
    </w:p>
    <w:p w14:paraId="0CDDCEBA" w14:textId="0E4F3D88" w:rsidR="00BD5B19" w:rsidRDefault="00BD5B19" w:rsidP="00984686">
      <w:pPr>
        <w:pStyle w:val="Body"/>
        <w:numPr>
          <w:ilvl w:val="0"/>
          <w:numId w:val="31"/>
        </w:numPr>
      </w:pPr>
      <w:r>
        <w:t>Dudgeon, D., Arthington, A. H., Gessner, M. O., Kawabata, Z. I., Knowler, D. J., Lévêque, C., Naiman, R. J., Prieur</w:t>
      </w:r>
      <w:r>
        <w:rPr>
          <w:rFonts w:ascii="Cambria Math" w:hAnsi="Cambria Math" w:cs="Cambria Math"/>
        </w:rPr>
        <w:t>‐</w:t>
      </w:r>
      <w:r>
        <w:t>Richard, A. H., Soto, D., Stiassny, M. L., &amp; Sullivan, C. A. (2006). Freshwater biodiversity: Importance, threats, status and conservation challenges. Biological Reviews, 81(2), 163</w:t>
      </w:r>
      <w:r>
        <w:rPr>
          <w:rFonts w:cs="Helvetica"/>
        </w:rPr>
        <w:t>–</w:t>
      </w:r>
      <w:r>
        <w:t>182. https://doi.org/10.1017/S1464793105006950</w:t>
      </w:r>
    </w:p>
    <w:p w14:paraId="0C64BCD4" w14:textId="0CEA29B8" w:rsidR="00BD5B19" w:rsidRDefault="00BD5B19" w:rsidP="00984686">
      <w:pPr>
        <w:pStyle w:val="Body"/>
        <w:numPr>
          <w:ilvl w:val="0"/>
          <w:numId w:val="31"/>
        </w:numPr>
      </w:pPr>
      <w:r>
        <w:t>Fahrig, L. (2003). Effects of habitat fragmentation on biodiversity. Annual Review of Ecology, Evolution, and Systematics, 34, 487–515. https://doi.org/10.1146/annurev.ecolsys.34.011802.132419</w:t>
      </w:r>
    </w:p>
    <w:p w14:paraId="7103B291" w14:textId="344D19F9" w:rsidR="00BD5B19" w:rsidRDefault="00BD5B19" w:rsidP="00984686">
      <w:pPr>
        <w:pStyle w:val="Body"/>
        <w:numPr>
          <w:ilvl w:val="0"/>
          <w:numId w:val="31"/>
        </w:numPr>
      </w:pPr>
      <w:r>
        <w:t>Foley, J. A., DeFries, R., Asner, G. P., Barford, C., Bonan, G., Carpenter, S. R., Chapin, F. S., Coe, M. T., Daily, G. C., Gibbs, H. K., Helkowski, J. H., Holloway, T., Howard, E. A., Kucharik, C. J., Monfreda, C., Patz, J. A., Prentice, I. C., Ramankutty, N., &amp; Snyder, P. K. (2005). Global consequences of land use. Science, 309(5734), 570–574. https://doi.org/10.1126/science.1111772</w:t>
      </w:r>
    </w:p>
    <w:p w14:paraId="5E4690B2" w14:textId="6F694370" w:rsidR="00BD5B19" w:rsidRDefault="00BD5B19" w:rsidP="00984686">
      <w:pPr>
        <w:pStyle w:val="Body"/>
        <w:numPr>
          <w:ilvl w:val="0"/>
          <w:numId w:val="31"/>
        </w:numPr>
      </w:pPr>
      <w:r>
        <w:lastRenderedPageBreak/>
        <w:t xml:space="preserve">Geist, H. J., &amp; Lambin, E. F. (2002). Proximate causes and underlying driving forces of tropical deforestation. </w:t>
      </w:r>
      <w:proofErr w:type="spellStart"/>
      <w:r>
        <w:t>BioScience</w:t>
      </w:r>
      <w:proofErr w:type="spellEnd"/>
      <w:r>
        <w:t>, 52(2), 143–150. https://doi.org/10.1641/0006-3568(2002)052[</w:t>
      </w:r>
      <w:proofErr w:type="gramStart"/>
      <w:r>
        <w:t>0143:PCAUDF</w:t>
      </w:r>
      <w:proofErr w:type="gramEnd"/>
      <w:r>
        <w:t>]2.0.CO;2</w:t>
      </w:r>
    </w:p>
    <w:p w14:paraId="682A5596" w14:textId="60DF3E63" w:rsidR="00BD5B19" w:rsidRDefault="00BD5B19" w:rsidP="00984686">
      <w:pPr>
        <w:pStyle w:val="Body"/>
        <w:numPr>
          <w:ilvl w:val="0"/>
          <w:numId w:val="31"/>
        </w:numPr>
      </w:pPr>
      <w:r>
        <w:t xml:space="preserve">Gregory, S. V., Swanson, F. J., McKee, W. A., &amp; Cummins, K. W. (1991). An ecosystem perspective of riparian zones. </w:t>
      </w:r>
      <w:proofErr w:type="spellStart"/>
      <w:r>
        <w:t>BioScience</w:t>
      </w:r>
      <w:proofErr w:type="spellEnd"/>
      <w:r>
        <w:t>, 41(8), 540–551. https://doi.org/10.2307/1311607</w:t>
      </w:r>
    </w:p>
    <w:p w14:paraId="301BEDBA" w14:textId="0B0DE391" w:rsidR="00BD5B19" w:rsidRDefault="00BD5B19" w:rsidP="00984686">
      <w:pPr>
        <w:pStyle w:val="Body"/>
        <w:numPr>
          <w:ilvl w:val="0"/>
          <w:numId w:val="31"/>
        </w:numPr>
      </w:pPr>
      <w:r>
        <w:t>IPCC. (2021). Climate change 2021: The physical science basis. Cambridge University Press. https://doi.org/10.1017/9781009157896</w:t>
      </w:r>
    </w:p>
    <w:p w14:paraId="374D2578" w14:textId="4DE2A62D" w:rsidR="00BD5B19" w:rsidRDefault="00BD5B19" w:rsidP="00984686">
      <w:pPr>
        <w:pStyle w:val="Body"/>
        <w:numPr>
          <w:ilvl w:val="0"/>
          <w:numId w:val="31"/>
        </w:numPr>
      </w:pPr>
      <w:r>
        <w:t>Lal, R. (2001). Soil degradation by erosion. Land Degradation &amp; Development, 12(6), 519–539. https://doi.org/10.1002/ldr.472</w:t>
      </w:r>
    </w:p>
    <w:p w14:paraId="034AC814" w14:textId="2EDFF5A3" w:rsidR="00BD5B19" w:rsidRDefault="00BD5B19" w:rsidP="00984686">
      <w:pPr>
        <w:pStyle w:val="Body"/>
        <w:numPr>
          <w:ilvl w:val="0"/>
          <w:numId w:val="31"/>
        </w:numPr>
      </w:pPr>
      <w:r>
        <w:t>Lambin, E. F., &amp; Geist, H. J. (2006). Land-use and land-cover change: Local processes and global impacts. Springer. https://doi.org/10.1007/b104248</w:t>
      </w:r>
    </w:p>
    <w:p w14:paraId="47DE9A3E" w14:textId="5BB87162" w:rsidR="00BD5B19" w:rsidRDefault="00BD5B19" w:rsidP="00984686">
      <w:pPr>
        <w:pStyle w:val="Body"/>
        <w:numPr>
          <w:ilvl w:val="0"/>
          <w:numId w:val="31"/>
        </w:numPr>
      </w:pPr>
      <w:r>
        <w:t xml:space="preserve">Lasco, R. D., </w:t>
      </w:r>
      <w:proofErr w:type="spellStart"/>
      <w:r>
        <w:t>Pulhin</w:t>
      </w:r>
      <w:proofErr w:type="spellEnd"/>
      <w:r>
        <w:t>, J. M., &amp; Cruz, R. V. O. (2008). Climate change impacts, adaptation and vulnerability of Philippine forests. Mitigation and Adaptation Strategies for Global Change, 13, 81–99. https://doi.org/10.1007/s11027-007-9109-x</w:t>
      </w:r>
    </w:p>
    <w:p w14:paraId="645BDD75" w14:textId="197940D2" w:rsidR="00BD5B19" w:rsidRDefault="00BD5B19" w:rsidP="00984686">
      <w:pPr>
        <w:pStyle w:val="Body"/>
        <w:numPr>
          <w:ilvl w:val="0"/>
          <w:numId w:val="31"/>
        </w:numPr>
      </w:pPr>
      <w:r>
        <w:t xml:space="preserve">Locatelli, B., </w:t>
      </w:r>
      <w:proofErr w:type="spellStart"/>
      <w:r>
        <w:t>Pavageau</w:t>
      </w:r>
      <w:proofErr w:type="spellEnd"/>
      <w:r>
        <w:t>, C., Pramova, E., &amp; Di Gregorio, M. (2015). Integrating climate change mitigation and adaptation in agriculture and forestry. WIREs Climate Change, 6(6), 585–598. https://doi.org/10.1002/wcc.357</w:t>
      </w:r>
    </w:p>
    <w:p w14:paraId="7E34A45F" w14:textId="68838B05" w:rsidR="00BD5B19" w:rsidRDefault="00BD5B19" w:rsidP="00984686">
      <w:pPr>
        <w:pStyle w:val="Body"/>
        <w:numPr>
          <w:ilvl w:val="0"/>
          <w:numId w:val="31"/>
        </w:numPr>
      </w:pPr>
      <w:r>
        <w:t>Millennium Ecosystem Assessment. (2005). Ecosystems and human well-being: Synthesis. Island Press.</w:t>
      </w:r>
    </w:p>
    <w:p w14:paraId="4EF652E2" w14:textId="55A65123" w:rsidR="00BD5B19" w:rsidRDefault="00BD5B19" w:rsidP="00984686">
      <w:pPr>
        <w:pStyle w:val="Body"/>
        <w:numPr>
          <w:ilvl w:val="0"/>
          <w:numId w:val="31"/>
        </w:numPr>
      </w:pPr>
      <w:r>
        <w:t>Mitchell, B. (2005). Integrated water resource management, institutional arrangements, and land-use planning. Environment and Planning A, 37(8), 1335–1352. https://doi.org/10.1068/a37224</w:t>
      </w:r>
    </w:p>
    <w:p w14:paraId="727A69C3" w14:textId="0E7911A3" w:rsidR="00BD5B19" w:rsidRDefault="00BD5B19" w:rsidP="00984686">
      <w:pPr>
        <w:pStyle w:val="Body"/>
        <w:numPr>
          <w:ilvl w:val="0"/>
          <w:numId w:val="31"/>
        </w:numPr>
      </w:pPr>
      <w:r>
        <w:t xml:space="preserve">Montanari, A., Young, G., Savenije, H. H. G., Hughes, D., Wagener, T., Ren, L., </w:t>
      </w:r>
      <w:proofErr w:type="spellStart"/>
      <w:r>
        <w:t>Koutsoyiannis</w:t>
      </w:r>
      <w:proofErr w:type="spellEnd"/>
      <w:r>
        <w:t xml:space="preserve">, D., </w:t>
      </w:r>
      <w:proofErr w:type="spellStart"/>
      <w:r>
        <w:t>Cudennec</w:t>
      </w:r>
      <w:proofErr w:type="spellEnd"/>
      <w:r>
        <w:t xml:space="preserve">, C., Toth, E., Grimaldi, S., </w:t>
      </w:r>
      <w:proofErr w:type="spellStart"/>
      <w:r>
        <w:t>Blöschl</w:t>
      </w:r>
      <w:proofErr w:type="spellEnd"/>
      <w:r>
        <w:t xml:space="preserve">, G., Sivapalan, M., Beven, K., Gupta, H., </w:t>
      </w:r>
      <w:proofErr w:type="spellStart"/>
      <w:r>
        <w:t>Hipsey</w:t>
      </w:r>
      <w:proofErr w:type="spellEnd"/>
      <w:r>
        <w:t xml:space="preserve">, M., Schaefli, B., </w:t>
      </w:r>
      <w:proofErr w:type="spellStart"/>
      <w:r>
        <w:t>Arheimer</w:t>
      </w:r>
      <w:proofErr w:type="spellEnd"/>
      <w:r>
        <w:t xml:space="preserve">, B., Boegh, E., Schymanski, S., Di Baldassarre, G., Yu, B., Hubert, P., Huang, Y., Schumann, A., Post, D., Srinivasan, V., Harman, C., Thompson, S., </w:t>
      </w:r>
      <w:proofErr w:type="spellStart"/>
      <w:r>
        <w:t>Rogger</w:t>
      </w:r>
      <w:proofErr w:type="spellEnd"/>
      <w:r>
        <w:t xml:space="preserve">, M., Viglione, A., McMillan, H., </w:t>
      </w:r>
      <w:proofErr w:type="spellStart"/>
      <w:r>
        <w:t>Characklis</w:t>
      </w:r>
      <w:proofErr w:type="spellEnd"/>
      <w:r>
        <w:t>, G., Pang, Z., &amp; Belyaev, V. (2013). “</w:t>
      </w:r>
      <w:proofErr w:type="spellStart"/>
      <w:r>
        <w:t>Panta</w:t>
      </w:r>
      <w:proofErr w:type="spellEnd"/>
      <w:r>
        <w:t xml:space="preserve"> </w:t>
      </w:r>
      <w:proofErr w:type="spellStart"/>
      <w:r>
        <w:t>Rhei</w:t>
      </w:r>
      <w:proofErr w:type="spellEnd"/>
      <w:r>
        <w:t>—Everything flows”: Change in hydrology and society—The IAHS scientific decade 2013–2022. Hydrological Sciences Journal, 58(6), 1256–1275. https://doi.org/10.1080/02626667.2013.809088</w:t>
      </w:r>
    </w:p>
    <w:p w14:paraId="562F0129" w14:textId="078B84FA" w:rsidR="00BD5B19" w:rsidRDefault="00BD5B19" w:rsidP="00984686">
      <w:pPr>
        <w:pStyle w:val="Body"/>
        <w:numPr>
          <w:ilvl w:val="0"/>
          <w:numId w:val="31"/>
        </w:numPr>
      </w:pPr>
      <w:r>
        <w:t>Negash, T. W., Yimer, F., &amp; Kebede, F. (2022). Impact of land-use and land-cover change on watershed hydrology. Environmental Earth Sciences, 81, 1–14. https://doi.org/10.1007/s12665-022-10660-x</w:t>
      </w:r>
    </w:p>
    <w:p w14:paraId="5FC43457" w14:textId="6003A987" w:rsidR="00BD5B19" w:rsidRDefault="00BD5B19" w:rsidP="00984686">
      <w:pPr>
        <w:pStyle w:val="Body"/>
        <w:numPr>
          <w:ilvl w:val="0"/>
          <w:numId w:val="31"/>
        </w:numPr>
      </w:pPr>
      <w:r>
        <w:t>Oki, T., &amp; Kanae, S. (2006). Global hydrological cycles and world water resources. Science, 313(5790), 1068–1072. https://doi.org/10.1126/science.1128845</w:t>
      </w:r>
    </w:p>
    <w:p w14:paraId="234C0AB7" w14:textId="784A9359" w:rsidR="00BD5B19" w:rsidRDefault="00BD5B19" w:rsidP="00984686">
      <w:pPr>
        <w:pStyle w:val="Body"/>
        <w:numPr>
          <w:ilvl w:val="0"/>
          <w:numId w:val="31"/>
        </w:numPr>
      </w:pPr>
      <w:r>
        <w:t>Ostrom, E. (2009). A general framework for analyzing sustainability of social-ecological systems. Science, 325(5939), 419–422. https://doi.org/10.1126/science.1172133</w:t>
      </w:r>
    </w:p>
    <w:p w14:paraId="426E0C62" w14:textId="5678EDE0" w:rsidR="00BD5B19" w:rsidRDefault="00BD5B19" w:rsidP="00984686">
      <w:pPr>
        <w:pStyle w:val="Body"/>
        <w:numPr>
          <w:ilvl w:val="0"/>
          <w:numId w:val="31"/>
        </w:numPr>
      </w:pPr>
      <w:proofErr w:type="spellStart"/>
      <w:r>
        <w:lastRenderedPageBreak/>
        <w:t>Pahl-Wostl</w:t>
      </w:r>
      <w:proofErr w:type="spellEnd"/>
      <w:r>
        <w:t>, C. (2007). The implications of complexity for integrated resources management. Environmental Modelling &amp; Software, 22(5), 561–569. https://doi.org/10.1016/j.envsoft.2005.12.024</w:t>
      </w:r>
    </w:p>
    <w:p w14:paraId="68053735" w14:textId="6A97A3EF" w:rsidR="00BD5B19" w:rsidRDefault="00BD5B19" w:rsidP="00984686">
      <w:pPr>
        <w:pStyle w:val="Body"/>
        <w:numPr>
          <w:ilvl w:val="0"/>
          <w:numId w:val="31"/>
        </w:numPr>
      </w:pPr>
      <w:r>
        <w:t>Paul, M. J., &amp; Meyer, J. L. (2001). Streams in the urban landscape. Annual Review of Ecology and Systematics, 32, 333–365. https://doi.org/10.1146/annurev.ecolsys.32.081501.114040</w:t>
      </w:r>
    </w:p>
    <w:p w14:paraId="1C023860" w14:textId="33F21EE2" w:rsidR="00BD5B19" w:rsidRDefault="00BD5B19" w:rsidP="00984686">
      <w:pPr>
        <w:pStyle w:val="Body"/>
        <w:numPr>
          <w:ilvl w:val="0"/>
          <w:numId w:val="31"/>
        </w:numPr>
      </w:pPr>
      <w:r>
        <w:t xml:space="preserve">Poff, N. L., Allan, J. D., Bain, M. B., Karr, J. R., Prestegaard, K. L., Richter, B. D., Sparks, R. E., &amp; Stromberg, J. C. (1997). The natural flow regime: A paradigm for river conservation and restoration. </w:t>
      </w:r>
      <w:proofErr w:type="spellStart"/>
      <w:r>
        <w:t>BioScience</w:t>
      </w:r>
      <w:proofErr w:type="spellEnd"/>
      <w:r>
        <w:t>, 47(11), 769–784. https://doi.org/10.2307/1313099</w:t>
      </w:r>
    </w:p>
    <w:p w14:paraId="66F9EE70" w14:textId="75A772F5" w:rsidR="00BD5B19" w:rsidRDefault="00BD5B19" w:rsidP="00984686">
      <w:pPr>
        <w:pStyle w:val="Body"/>
        <w:numPr>
          <w:ilvl w:val="0"/>
          <w:numId w:val="31"/>
        </w:numPr>
      </w:pPr>
      <w:proofErr w:type="spellStart"/>
      <w:r>
        <w:t>Pulhin</w:t>
      </w:r>
      <w:proofErr w:type="spellEnd"/>
      <w:r>
        <w:t>, J. M., Inoue, M., &amp; Enters, T. (2007). Three decades of community-based forest management in the Philippines: Emerging lessons for sustainable and equitable forest management. International Forestry Review, 9(4), 865–883. https://doi.org/10.1505/ifor.9.4.865</w:t>
      </w:r>
    </w:p>
    <w:p w14:paraId="4CFF57E9" w14:textId="042AB67C" w:rsidR="00BD5B19" w:rsidRDefault="00BD5B19" w:rsidP="00984686">
      <w:pPr>
        <w:pStyle w:val="Body"/>
        <w:numPr>
          <w:ilvl w:val="0"/>
          <w:numId w:val="31"/>
        </w:numPr>
      </w:pPr>
      <w:r>
        <w:t xml:space="preserve">Sivapalan, M., Savenije, H. H. G., &amp; </w:t>
      </w:r>
      <w:proofErr w:type="spellStart"/>
      <w:r>
        <w:t>Blöschl</w:t>
      </w:r>
      <w:proofErr w:type="spellEnd"/>
      <w:r>
        <w:t>, G. (2012). Socio-hydrology: A new science of people and water. Hydrological Processes, 26(8), 1270–1276. https://doi.org/10.1002/hyp.8426</w:t>
      </w:r>
    </w:p>
    <w:p w14:paraId="7550324F" w14:textId="3F3F8DAB" w:rsidR="00BD5B19" w:rsidRDefault="00BD5B19" w:rsidP="00984686">
      <w:pPr>
        <w:pStyle w:val="Body"/>
        <w:numPr>
          <w:ilvl w:val="0"/>
          <w:numId w:val="31"/>
        </w:numPr>
      </w:pPr>
      <w:r>
        <w:t>Turner, B. L., Lambin, E. F., &amp; Reenberg, A. (2007). The emergence of land change science for global environmental change and sustainability. Proceedings of the National Academy of Sciences, 104(52), 20666–20671. https://doi.org/10.1073/pnas.0704119104</w:t>
      </w:r>
    </w:p>
    <w:p w14:paraId="28F8229D" w14:textId="20A6EF85" w:rsidR="00B01FCD" w:rsidRPr="00FB3A86" w:rsidRDefault="00BD5B19" w:rsidP="00984686">
      <w:pPr>
        <w:pStyle w:val="Body"/>
        <w:numPr>
          <w:ilvl w:val="0"/>
          <w:numId w:val="31"/>
        </w:numPr>
        <w:rPr>
          <w:rFonts w:ascii="Arial" w:hAnsi="Arial" w:cs="Arial"/>
          <w:b/>
        </w:rPr>
      </w:pPr>
      <w:r>
        <w:t>Vitousek, P. M., Mooney, H. A., Lubchenco, J., &amp; Melillo, J. M. (1997). Human domination of Earth’s ecosystems. Science, 277(5325), 494–499. https://doi.org/10.1126/science.277.5325.494</w:t>
      </w:r>
    </w:p>
    <w:sectPr w:rsidR="00B01FCD" w:rsidRPr="00FB3A86" w:rsidSect="007A6AE8">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883DC" w14:textId="77777777" w:rsidR="00FE13F3" w:rsidRDefault="00FE13F3" w:rsidP="00C37E61">
      <w:r>
        <w:separator/>
      </w:r>
    </w:p>
  </w:endnote>
  <w:endnote w:type="continuationSeparator" w:id="0">
    <w:p w14:paraId="6E1780AA" w14:textId="77777777" w:rsidR="00FE13F3" w:rsidRDefault="00FE13F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EC52A" w14:textId="77777777" w:rsidR="007A6AE8" w:rsidRDefault="007A6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69950" w14:textId="0A36AF6B" w:rsidR="00C37E61" w:rsidRDefault="00C37E61" w:rsidP="00C37E61">
    <w:pPr>
      <w:pStyle w:val="Footer"/>
    </w:pPr>
  </w:p>
  <w:p w14:paraId="5144438C" w14:textId="77777777" w:rsidR="005D52BD" w:rsidRDefault="005D52BD"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77B72" w14:textId="77777777" w:rsidR="009E048A" w:rsidRDefault="009E048A">
    <w:pPr>
      <w:pStyle w:val="Footer"/>
      <w:rPr>
        <w:rFonts w:ascii="Arial" w:hAnsi="Arial" w:cs="Arial"/>
        <w:sz w:val="16"/>
      </w:rPr>
    </w:pPr>
  </w:p>
  <w:p w14:paraId="449788E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46BBA26" w14:textId="77777777" w:rsidR="009E048A" w:rsidRDefault="009E048A">
    <w:pPr>
      <w:pStyle w:val="Footer"/>
      <w:rPr>
        <w:rFonts w:ascii="Arial" w:hAnsi="Arial" w:cs="Arial"/>
        <w:sz w:val="16"/>
      </w:rPr>
    </w:pPr>
  </w:p>
  <w:p w14:paraId="33D0E81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8E49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B301C" w14:textId="77777777" w:rsidR="00FE13F3" w:rsidRDefault="00FE13F3" w:rsidP="00C37E61">
      <w:r>
        <w:separator/>
      </w:r>
    </w:p>
  </w:footnote>
  <w:footnote w:type="continuationSeparator" w:id="0">
    <w:p w14:paraId="3518F56F" w14:textId="77777777" w:rsidR="00FE13F3" w:rsidRDefault="00FE13F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9B4D8" w14:textId="18645E43" w:rsidR="007A6AE8" w:rsidRDefault="00FE13F3">
    <w:pPr>
      <w:pStyle w:val="Header"/>
    </w:pPr>
    <w:r>
      <w:rPr>
        <w:noProof/>
      </w:rPr>
      <w:pict w14:anchorId="53EF24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45942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BA638" w14:textId="7DB99667" w:rsidR="007A6AE8" w:rsidRDefault="00FE13F3">
    <w:pPr>
      <w:pStyle w:val="Header"/>
    </w:pPr>
    <w:r>
      <w:rPr>
        <w:noProof/>
      </w:rPr>
      <w:pict w14:anchorId="65C2D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45942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D05F0" w14:textId="174B01FD" w:rsidR="00296529" w:rsidRPr="00296529" w:rsidRDefault="00FE13F3" w:rsidP="00296529">
    <w:pPr>
      <w:ind w:left="2160"/>
      <w:jc w:val="center"/>
      <w:rPr>
        <w:rFonts w:ascii="Times New Roman" w:eastAsia="Calibri" w:hAnsi="Times New Roman"/>
        <w:i/>
        <w:sz w:val="18"/>
        <w:szCs w:val="22"/>
      </w:rPr>
    </w:pPr>
    <w:r>
      <w:rPr>
        <w:noProof/>
      </w:rPr>
      <w:pict w14:anchorId="110F6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45942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EF9A67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A73509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4E756E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FE59B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DC40A2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4C784F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35E02" w14:textId="112BEA84" w:rsidR="007A6AE8" w:rsidRDefault="00FE13F3">
    <w:pPr>
      <w:pStyle w:val="Header"/>
    </w:pPr>
    <w:r>
      <w:rPr>
        <w:noProof/>
      </w:rPr>
      <w:pict w14:anchorId="69BCF5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45942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5FC1F" w14:textId="75A1A0D8" w:rsidR="007A6AE8" w:rsidRDefault="00FE13F3">
    <w:pPr>
      <w:pStyle w:val="Header"/>
    </w:pPr>
    <w:r>
      <w:rPr>
        <w:noProof/>
      </w:rPr>
      <w:pict w14:anchorId="26A07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45942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2E6F8" w14:textId="60E34A8A" w:rsidR="007A6AE8" w:rsidRDefault="00FE13F3">
    <w:pPr>
      <w:pStyle w:val="Header"/>
    </w:pPr>
    <w:r>
      <w:rPr>
        <w:noProof/>
      </w:rPr>
      <w:pict w14:anchorId="32CC40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45942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8673D7"/>
    <w:multiLevelType w:val="hybridMultilevel"/>
    <w:tmpl w:val="AF6A2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B2CB5"/>
    <w:rsid w:val="000D689F"/>
    <w:rsid w:val="000E54A8"/>
    <w:rsid w:val="000E7B7B"/>
    <w:rsid w:val="000E7D62"/>
    <w:rsid w:val="00103357"/>
    <w:rsid w:val="00123C9F"/>
    <w:rsid w:val="00126190"/>
    <w:rsid w:val="00130F17"/>
    <w:rsid w:val="001320BF"/>
    <w:rsid w:val="00163BC4"/>
    <w:rsid w:val="00191062"/>
    <w:rsid w:val="00192B72"/>
    <w:rsid w:val="0019331A"/>
    <w:rsid w:val="001A29D8"/>
    <w:rsid w:val="001A5CAA"/>
    <w:rsid w:val="001B0427"/>
    <w:rsid w:val="001D3A51"/>
    <w:rsid w:val="001E10D2"/>
    <w:rsid w:val="001E25B4"/>
    <w:rsid w:val="001E44FE"/>
    <w:rsid w:val="001F5DEA"/>
    <w:rsid w:val="00200595"/>
    <w:rsid w:val="00204835"/>
    <w:rsid w:val="002235B5"/>
    <w:rsid w:val="00231920"/>
    <w:rsid w:val="0023195C"/>
    <w:rsid w:val="0024282C"/>
    <w:rsid w:val="002460DC"/>
    <w:rsid w:val="00250985"/>
    <w:rsid w:val="002556F6"/>
    <w:rsid w:val="00280ADF"/>
    <w:rsid w:val="00283105"/>
    <w:rsid w:val="00284C4C"/>
    <w:rsid w:val="00287E68"/>
    <w:rsid w:val="00296529"/>
    <w:rsid w:val="002B27FB"/>
    <w:rsid w:val="002B685A"/>
    <w:rsid w:val="002C57D2"/>
    <w:rsid w:val="002E0D56"/>
    <w:rsid w:val="002F2FAE"/>
    <w:rsid w:val="00314D07"/>
    <w:rsid w:val="00315186"/>
    <w:rsid w:val="0033343E"/>
    <w:rsid w:val="003512C2"/>
    <w:rsid w:val="00371FB6"/>
    <w:rsid w:val="003763C1"/>
    <w:rsid w:val="00376BBE"/>
    <w:rsid w:val="0039224F"/>
    <w:rsid w:val="003A43A4"/>
    <w:rsid w:val="003A7E18"/>
    <w:rsid w:val="003C3141"/>
    <w:rsid w:val="003C4C86"/>
    <w:rsid w:val="003C6258"/>
    <w:rsid w:val="003D1689"/>
    <w:rsid w:val="003E2904"/>
    <w:rsid w:val="003F7B0A"/>
    <w:rsid w:val="00401927"/>
    <w:rsid w:val="0041027F"/>
    <w:rsid w:val="00412475"/>
    <w:rsid w:val="00423789"/>
    <w:rsid w:val="00440F43"/>
    <w:rsid w:val="00441B6F"/>
    <w:rsid w:val="00446221"/>
    <w:rsid w:val="00450E62"/>
    <w:rsid w:val="004539DB"/>
    <w:rsid w:val="00464E8F"/>
    <w:rsid w:val="00471A80"/>
    <w:rsid w:val="00474795"/>
    <w:rsid w:val="00484C78"/>
    <w:rsid w:val="004A5421"/>
    <w:rsid w:val="004B73C1"/>
    <w:rsid w:val="004D305E"/>
    <w:rsid w:val="004D4277"/>
    <w:rsid w:val="004D645A"/>
    <w:rsid w:val="00502516"/>
    <w:rsid w:val="00505F06"/>
    <w:rsid w:val="00506828"/>
    <w:rsid w:val="0053056E"/>
    <w:rsid w:val="00554FDA"/>
    <w:rsid w:val="00594E2A"/>
    <w:rsid w:val="005A202B"/>
    <w:rsid w:val="005C12B4"/>
    <w:rsid w:val="005C784C"/>
    <w:rsid w:val="005D17F6"/>
    <w:rsid w:val="005D52BD"/>
    <w:rsid w:val="005E5539"/>
    <w:rsid w:val="00602BF5"/>
    <w:rsid w:val="00603D1A"/>
    <w:rsid w:val="00616178"/>
    <w:rsid w:val="00617FDD"/>
    <w:rsid w:val="00633614"/>
    <w:rsid w:val="00633F68"/>
    <w:rsid w:val="00636EB2"/>
    <w:rsid w:val="006375B8"/>
    <w:rsid w:val="00652270"/>
    <w:rsid w:val="00657F8A"/>
    <w:rsid w:val="0066510A"/>
    <w:rsid w:val="00673F9F"/>
    <w:rsid w:val="00686953"/>
    <w:rsid w:val="00687DEA"/>
    <w:rsid w:val="00687E67"/>
    <w:rsid w:val="006967F7"/>
    <w:rsid w:val="006A250C"/>
    <w:rsid w:val="006B21D3"/>
    <w:rsid w:val="006B57D0"/>
    <w:rsid w:val="006D30FF"/>
    <w:rsid w:val="006D6940"/>
    <w:rsid w:val="006F11EC"/>
    <w:rsid w:val="0070082C"/>
    <w:rsid w:val="00722D47"/>
    <w:rsid w:val="007369E6"/>
    <w:rsid w:val="00746E59"/>
    <w:rsid w:val="00754C9A"/>
    <w:rsid w:val="0075599A"/>
    <w:rsid w:val="00761D52"/>
    <w:rsid w:val="0077749E"/>
    <w:rsid w:val="00786A72"/>
    <w:rsid w:val="00790ADA"/>
    <w:rsid w:val="007A6AE8"/>
    <w:rsid w:val="007B187C"/>
    <w:rsid w:val="007D2288"/>
    <w:rsid w:val="007E088F"/>
    <w:rsid w:val="007E1748"/>
    <w:rsid w:val="007F7B32"/>
    <w:rsid w:val="00804BC2"/>
    <w:rsid w:val="0081431A"/>
    <w:rsid w:val="0083216F"/>
    <w:rsid w:val="00860000"/>
    <w:rsid w:val="00863BD3"/>
    <w:rsid w:val="008641ED"/>
    <w:rsid w:val="00866D66"/>
    <w:rsid w:val="008671C6"/>
    <w:rsid w:val="00875803"/>
    <w:rsid w:val="008B459E"/>
    <w:rsid w:val="008E13AE"/>
    <w:rsid w:val="008E1506"/>
    <w:rsid w:val="008E32F1"/>
    <w:rsid w:val="008E710C"/>
    <w:rsid w:val="008F69D6"/>
    <w:rsid w:val="00902823"/>
    <w:rsid w:val="0090360D"/>
    <w:rsid w:val="00915CA6"/>
    <w:rsid w:val="00927834"/>
    <w:rsid w:val="009500A6"/>
    <w:rsid w:val="00957C18"/>
    <w:rsid w:val="00960CD1"/>
    <w:rsid w:val="009659BA"/>
    <w:rsid w:val="00983040"/>
    <w:rsid w:val="00984686"/>
    <w:rsid w:val="009B3FB9"/>
    <w:rsid w:val="009C2465"/>
    <w:rsid w:val="009D35A0"/>
    <w:rsid w:val="009D7EB7"/>
    <w:rsid w:val="009E048A"/>
    <w:rsid w:val="009E08E9"/>
    <w:rsid w:val="009E3DB9"/>
    <w:rsid w:val="009E6E35"/>
    <w:rsid w:val="009F0EDA"/>
    <w:rsid w:val="00A01193"/>
    <w:rsid w:val="00A03B96"/>
    <w:rsid w:val="00A05B19"/>
    <w:rsid w:val="00A064A8"/>
    <w:rsid w:val="00A1134E"/>
    <w:rsid w:val="00A24E7E"/>
    <w:rsid w:val="00A258C3"/>
    <w:rsid w:val="00A347C0"/>
    <w:rsid w:val="00A51431"/>
    <w:rsid w:val="00A539AD"/>
    <w:rsid w:val="00A94063"/>
    <w:rsid w:val="00AA6219"/>
    <w:rsid w:val="00AA74E0"/>
    <w:rsid w:val="00AB703F"/>
    <w:rsid w:val="00AC6BB8"/>
    <w:rsid w:val="00AE008F"/>
    <w:rsid w:val="00B01FCD"/>
    <w:rsid w:val="00B11E95"/>
    <w:rsid w:val="00B1776C"/>
    <w:rsid w:val="00B52583"/>
    <w:rsid w:val="00B52896"/>
    <w:rsid w:val="00B62C7A"/>
    <w:rsid w:val="00B95236"/>
    <w:rsid w:val="00B96BD9"/>
    <w:rsid w:val="00BA1B01"/>
    <w:rsid w:val="00BA2641"/>
    <w:rsid w:val="00BB37AA"/>
    <w:rsid w:val="00BC53A0"/>
    <w:rsid w:val="00BD5B19"/>
    <w:rsid w:val="00BE42B4"/>
    <w:rsid w:val="00BE58A3"/>
    <w:rsid w:val="00BE62AD"/>
    <w:rsid w:val="00BE6A20"/>
    <w:rsid w:val="00BF121F"/>
    <w:rsid w:val="00BF1F80"/>
    <w:rsid w:val="00C166EF"/>
    <w:rsid w:val="00C17EB0"/>
    <w:rsid w:val="00C27F5F"/>
    <w:rsid w:val="00C30A0F"/>
    <w:rsid w:val="00C37E61"/>
    <w:rsid w:val="00C70F1B"/>
    <w:rsid w:val="00C71A47"/>
    <w:rsid w:val="00C7464C"/>
    <w:rsid w:val="00C85588"/>
    <w:rsid w:val="00CA3511"/>
    <w:rsid w:val="00CD6755"/>
    <w:rsid w:val="00CD6856"/>
    <w:rsid w:val="00CE0089"/>
    <w:rsid w:val="00CE793C"/>
    <w:rsid w:val="00CF193C"/>
    <w:rsid w:val="00D173F1"/>
    <w:rsid w:val="00D50071"/>
    <w:rsid w:val="00D74CB0"/>
    <w:rsid w:val="00D8295D"/>
    <w:rsid w:val="00DB12AF"/>
    <w:rsid w:val="00DC2A65"/>
    <w:rsid w:val="00DE15F0"/>
    <w:rsid w:val="00DE5663"/>
    <w:rsid w:val="00DE78AA"/>
    <w:rsid w:val="00E053D0"/>
    <w:rsid w:val="00E15994"/>
    <w:rsid w:val="00E3114E"/>
    <w:rsid w:val="00E31A70"/>
    <w:rsid w:val="00E35B02"/>
    <w:rsid w:val="00E66496"/>
    <w:rsid w:val="00E66B35"/>
    <w:rsid w:val="00E66E10"/>
    <w:rsid w:val="00E70F7F"/>
    <w:rsid w:val="00E769F6"/>
    <w:rsid w:val="00E8407C"/>
    <w:rsid w:val="00E84F3C"/>
    <w:rsid w:val="00E91329"/>
    <w:rsid w:val="00EA012C"/>
    <w:rsid w:val="00EC6A55"/>
    <w:rsid w:val="00ED0288"/>
    <w:rsid w:val="00ED0768"/>
    <w:rsid w:val="00EE52CB"/>
    <w:rsid w:val="00EF581D"/>
    <w:rsid w:val="00EF6E7A"/>
    <w:rsid w:val="00EF7FD8"/>
    <w:rsid w:val="00F06F59"/>
    <w:rsid w:val="00F17988"/>
    <w:rsid w:val="00F469F0"/>
    <w:rsid w:val="00F53273"/>
    <w:rsid w:val="00F538E9"/>
    <w:rsid w:val="00F755E4"/>
    <w:rsid w:val="00F77D02"/>
    <w:rsid w:val="00FA13D1"/>
    <w:rsid w:val="00FB3A86"/>
    <w:rsid w:val="00FD36C8"/>
    <w:rsid w:val="00FE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9B1EF5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C314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84C7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484C78"/>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3C3141"/>
    <w:rPr>
      <w:rFonts w:asciiTheme="majorHAnsi" w:eastAsiaTheme="majorEastAsia" w:hAnsiTheme="majorHAnsi" w:cstheme="majorBidi"/>
      <w:color w:val="365F91" w:themeColor="accent1" w:themeShade="BF"/>
      <w:sz w:val="26"/>
      <w:szCs w:val="26"/>
    </w:rPr>
  </w:style>
  <w:style w:type="paragraph" w:styleId="NormalWeb">
    <w:name w:val="Normal (Web)"/>
    <w:basedOn w:val="Normal"/>
    <w:semiHidden/>
    <w:unhideWhenUsed/>
    <w:rsid w:val="00BE42B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90A6D-C094-4E50-BC96-54AA30212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173</TotalTime>
  <Pages>15</Pages>
  <Words>6958</Words>
  <Characters>39666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46531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43</cp:revision>
  <cp:lastPrinted>1999-07-06T11:00:00Z</cp:lastPrinted>
  <dcterms:created xsi:type="dcterms:W3CDTF">2014-10-25T14:34:00Z</dcterms:created>
  <dcterms:modified xsi:type="dcterms:W3CDTF">2026-03-07T07:34:00Z</dcterms:modified>
</cp:coreProperties>
</file>