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C002" w14:textId="77777777" w:rsidR="00754C9A" w:rsidRDefault="00754C9A" w:rsidP="00441B6F">
      <w:pPr>
        <w:pStyle w:val="Title"/>
        <w:spacing w:after="0"/>
        <w:jc w:val="both"/>
        <w:rPr>
          <w:rFonts w:ascii="Arial" w:hAnsi="Arial" w:cs="Arial"/>
        </w:rPr>
      </w:pPr>
    </w:p>
    <w:p w14:paraId="5E90D568" w14:textId="4D5E713D" w:rsidR="00A258C3" w:rsidRDefault="00DD584D" w:rsidP="00441B6F">
      <w:pPr>
        <w:pStyle w:val="Author"/>
        <w:spacing w:line="240" w:lineRule="auto"/>
        <w:jc w:val="both"/>
        <w:rPr>
          <w:rFonts w:ascii="Arial" w:hAnsi="Arial" w:cs="Arial"/>
          <w:bCs/>
          <w:iCs/>
          <w:kern w:val="28"/>
          <w:sz w:val="36"/>
        </w:rPr>
      </w:pPr>
      <w:r w:rsidRPr="00DD584D">
        <w:rPr>
          <w:rFonts w:ascii="Arial" w:hAnsi="Arial" w:cs="Arial"/>
          <w:bCs/>
          <w:iCs/>
          <w:kern w:val="28"/>
          <w:sz w:val="36"/>
        </w:rPr>
        <w:t>Global Trends in Chartered Accountancy Research: A Bibliometric and Thematic Analysis (20</w:t>
      </w:r>
      <w:r w:rsidR="00756019">
        <w:rPr>
          <w:rFonts w:ascii="Arial" w:hAnsi="Arial" w:cs="Arial"/>
          <w:bCs/>
          <w:iCs/>
          <w:kern w:val="28"/>
          <w:sz w:val="36"/>
        </w:rPr>
        <w:t>2</w:t>
      </w:r>
      <w:r w:rsidRPr="00DD584D">
        <w:rPr>
          <w:rFonts w:ascii="Arial" w:hAnsi="Arial" w:cs="Arial"/>
          <w:bCs/>
          <w:iCs/>
          <w:kern w:val="28"/>
          <w:sz w:val="36"/>
        </w:rPr>
        <w:t>0–2025)</w:t>
      </w:r>
    </w:p>
    <w:p w14:paraId="5F619E6B" w14:textId="3F0756F2" w:rsidR="00294F44" w:rsidRDefault="00294F44" w:rsidP="00441B6F">
      <w:pPr>
        <w:pStyle w:val="Author"/>
        <w:spacing w:line="240" w:lineRule="auto"/>
        <w:jc w:val="both"/>
        <w:rPr>
          <w:rFonts w:ascii="Arial" w:hAnsi="Arial" w:cs="Arial"/>
          <w:sz w:val="36"/>
        </w:rPr>
      </w:pPr>
    </w:p>
    <w:p w14:paraId="179F6738" w14:textId="77777777" w:rsidR="00294F44" w:rsidRPr="00790ADA" w:rsidRDefault="00294F44" w:rsidP="00441B6F">
      <w:pPr>
        <w:pStyle w:val="Author"/>
        <w:spacing w:line="240" w:lineRule="auto"/>
        <w:jc w:val="both"/>
        <w:rPr>
          <w:rFonts w:ascii="Arial" w:hAnsi="Arial" w:cs="Arial"/>
          <w:sz w:val="36"/>
        </w:rPr>
      </w:pPr>
    </w:p>
    <w:p w14:paraId="2F7426E9" w14:textId="77777777" w:rsidR="00B01FCD" w:rsidRPr="00FB3A86" w:rsidRDefault="00161BFD" w:rsidP="00441B6F">
      <w:pPr>
        <w:pStyle w:val="Copyright"/>
        <w:spacing w:after="0" w:line="240" w:lineRule="auto"/>
        <w:jc w:val="both"/>
        <w:rPr>
          <w:rFonts w:ascii="Arial" w:hAnsi="Arial" w:cs="Arial"/>
        </w:rPr>
        <w:sectPr w:rsidR="00B01FCD" w:rsidRPr="00FB3A86" w:rsidSect="00294F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6504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058DEA" w14:textId="77777777" w:rsidR="00DD584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22189B" w14:textId="77777777" w:rsidR="00790ADA" w:rsidRPr="00FB3A86" w:rsidRDefault="00790ADA" w:rsidP="00441B6F">
      <w:pPr>
        <w:pStyle w:val="AbstHead"/>
        <w:spacing w:after="0"/>
        <w:jc w:val="both"/>
        <w:rPr>
          <w:rFonts w:ascii="Arial" w:hAnsi="Arial" w:cs="Arial"/>
        </w:rPr>
      </w:pPr>
    </w:p>
    <w:p w14:paraId="13DD1B0A" w14:textId="246300C3" w:rsidR="00ED10CD" w:rsidRPr="00ED10CD" w:rsidRDefault="00ED10CD" w:rsidP="00191230">
      <w:pPr>
        <w:pStyle w:val="Body"/>
        <w:spacing w:after="0"/>
        <w:rPr>
          <w:rFonts w:ascii="Arial" w:hAnsi="Arial" w:cs="Arial"/>
          <w:b/>
          <w:bCs/>
          <w:iCs/>
        </w:rPr>
      </w:pPr>
      <w:r>
        <w:rPr>
          <w:rFonts w:ascii="Arial" w:hAnsi="Arial" w:cs="Arial"/>
          <w:b/>
          <w:bCs/>
          <w:iCs/>
        </w:rPr>
        <w:t xml:space="preserve">Background: </w:t>
      </w:r>
      <w:r w:rsidRPr="00ED10CD">
        <w:rPr>
          <w:rFonts w:ascii="Arial" w:hAnsi="Arial" w:cs="Arial"/>
          <w:bCs/>
          <w:iCs/>
        </w:rPr>
        <w:t>The chartered accountancy profession is vital to global financial stability, but research on it remains fragmented. There is no comprehensive bibliometric mapping or systematic analysis, especially regarding its intersection with artificial intelligence.</w:t>
      </w:r>
    </w:p>
    <w:p w14:paraId="2D16E0E7" w14:textId="6A7133CC" w:rsidR="00191230" w:rsidRPr="00191230" w:rsidRDefault="00191230" w:rsidP="00191230">
      <w:pPr>
        <w:pStyle w:val="Body"/>
        <w:spacing w:after="0"/>
        <w:rPr>
          <w:rFonts w:ascii="Arial" w:hAnsi="Arial" w:cs="Arial"/>
          <w:iCs/>
        </w:rPr>
      </w:pPr>
      <w:r w:rsidRPr="00191230">
        <w:rPr>
          <w:rFonts w:ascii="Arial" w:hAnsi="Arial" w:cs="Arial"/>
          <w:b/>
          <w:bCs/>
          <w:iCs/>
        </w:rPr>
        <w:t>Aim:</w:t>
      </w:r>
      <w:r w:rsidRPr="00191230">
        <w:rPr>
          <w:rFonts w:ascii="Arial" w:hAnsi="Arial" w:cs="Arial"/>
          <w:iCs/>
        </w:rPr>
        <w:t xml:space="preserve"> </w:t>
      </w:r>
      <w:r w:rsidR="00963799" w:rsidRPr="00963799">
        <w:rPr>
          <w:rFonts w:ascii="Arial" w:hAnsi="Arial" w:cs="Arial"/>
          <w:iCs/>
        </w:rPr>
        <w:t>The aim of this study is to map the growing body of research on the chartered accountancy profession and to identify its major thematic directions, publication trends, and emerging links with technology and artificial intelligence</w:t>
      </w:r>
    </w:p>
    <w:p w14:paraId="61BEDBA7" w14:textId="51ADE75E" w:rsidR="00191230" w:rsidRPr="00191230" w:rsidRDefault="00191230" w:rsidP="00191230">
      <w:pPr>
        <w:pStyle w:val="Body"/>
        <w:spacing w:after="0"/>
        <w:rPr>
          <w:rFonts w:ascii="Arial" w:hAnsi="Arial" w:cs="Arial"/>
          <w:iCs/>
        </w:rPr>
      </w:pPr>
      <w:r w:rsidRPr="00191230">
        <w:rPr>
          <w:rFonts w:ascii="Arial" w:hAnsi="Arial" w:cs="Arial"/>
          <w:b/>
          <w:bCs/>
          <w:iCs/>
        </w:rPr>
        <w:t>Study Design:</w:t>
      </w:r>
      <w:r w:rsidRPr="00191230">
        <w:rPr>
          <w:rFonts w:ascii="Arial" w:hAnsi="Arial" w:cs="Arial"/>
          <w:iCs/>
        </w:rPr>
        <w:t xml:space="preserve"> </w:t>
      </w:r>
      <w:r w:rsidR="00963799" w:rsidRPr="00963799">
        <w:rPr>
          <w:rFonts w:ascii="Arial" w:hAnsi="Arial" w:cs="Arial"/>
          <w:iCs/>
        </w:rPr>
        <w:t>This study uses a bibliometric and thematic review design to examine peer-reviewed journal articles on the chartered accountancy profession. Although the broader database search covered the period from 2000 to 2025, the final screened sample retained for analysis falls within 2020 to 2025</w:t>
      </w:r>
      <w:r w:rsidR="00963799">
        <w:rPr>
          <w:rFonts w:ascii="Arial" w:hAnsi="Arial" w:cs="Arial"/>
          <w:iCs/>
        </w:rPr>
        <w:t>.</w:t>
      </w:r>
    </w:p>
    <w:p w14:paraId="71FD786C" w14:textId="0954B15F" w:rsidR="00191230" w:rsidRPr="00191230" w:rsidRDefault="00191230" w:rsidP="00191230">
      <w:pPr>
        <w:pStyle w:val="Body"/>
        <w:spacing w:after="0"/>
        <w:rPr>
          <w:rFonts w:ascii="Arial" w:hAnsi="Arial" w:cs="Arial"/>
          <w:iCs/>
        </w:rPr>
      </w:pPr>
      <w:r w:rsidRPr="00191230">
        <w:rPr>
          <w:rFonts w:ascii="Arial" w:hAnsi="Arial" w:cs="Arial"/>
          <w:b/>
          <w:bCs/>
          <w:iCs/>
        </w:rPr>
        <w:t>Place &amp; Duration of Study:</w:t>
      </w:r>
      <w:r w:rsidRPr="00191230">
        <w:rPr>
          <w:rFonts w:ascii="Arial" w:hAnsi="Arial" w:cs="Arial"/>
          <w:iCs/>
        </w:rPr>
        <w:t xml:space="preserve"> </w:t>
      </w:r>
      <w:r w:rsidR="00963799" w:rsidRPr="00963799">
        <w:rPr>
          <w:rFonts w:ascii="Arial" w:hAnsi="Arial" w:cs="Arial"/>
          <w:iCs/>
        </w:rPr>
        <w:t>The study is based on a refined scholarly database export consisting of 121 journal articles on the chartered accountancy profession published between 2020 and 2025. A focused subset of 62 studies was also identified to examine the link between chartered accountancy, artificial intelligence, automation, and digital skills.</w:t>
      </w:r>
    </w:p>
    <w:p w14:paraId="713CB3A5" w14:textId="77777777" w:rsidR="00963799" w:rsidRDefault="00191230" w:rsidP="00191230">
      <w:pPr>
        <w:pStyle w:val="Body"/>
        <w:spacing w:after="0"/>
        <w:rPr>
          <w:rFonts w:ascii="Arial" w:hAnsi="Arial" w:cs="Arial"/>
          <w:iCs/>
        </w:rPr>
      </w:pPr>
      <w:r w:rsidRPr="00593DFF">
        <w:rPr>
          <w:rFonts w:ascii="Arial" w:hAnsi="Arial" w:cs="Arial"/>
          <w:b/>
          <w:bCs/>
          <w:iCs/>
        </w:rPr>
        <w:t>Methodology</w:t>
      </w:r>
      <w:r w:rsidRPr="00191230">
        <w:rPr>
          <w:rFonts w:ascii="Arial" w:hAnsi="Arial" w:cs="Arial"/>
          <w:iCs/>
        </w:rPr>
        <w:t xml:space="preserve">: </w:t>
      </w:r>
      <w:r w:rsidR="00963799" w:rsidRPr="00963799">
        <w:rPr>
          <w:rFonts w:ascii="Arial" w:hAnsi="Arial" w:cs="Arial"/>
          <w:iCs/>
        </w:rPr>
        <w:t>The study applies bibliometric techniques to examine publication trends, country distribution, leading journals, and citation patterns, and complements this with thematic analysis of titles, abstracts, keywords, and study domains. This combined approach makes it possible to capture both the publication profile of the field and the main issues shaping current research.</w:t>
      </w:r>
    </w:p>
    <w:p w14:paraId="367876D8" w14:textId="77777777" w:rsidR="00963799" w:rsidRDefault="00191230" w:rsidP="00191230">
      <w:pPr>
        <w:pStyle w:val="Body"/>
        <w:spacing w:after="0"/>
        <w:rPr>
          <w:rFonts w:ascii="Arial" w:hAnsi="Arial" w:cs="Arial"/>
          <w:iCs/>
        </w:rPr>
      </w:pPr>
      <w:r w:rsidRPr="00191230">
        <w:rPr>
          <w:rFonts w:ascii="Arial" w:hAnsi="Arial" w:cs="Arial"/>
          <w:b/>
          <w:bCs/>
          <w:iCs/>
        </w:rPr>
        <w:t>Results:</w:t>
      </w:r>
      <w:r w:rsidRPr="00191230">
        <w:rPr>
          <w:rFonts w:ascii="Arial" w:hAnsi="Arial" w:cs="Arial"/>
          <w:iCs/>
        </w:rPr>
        <w:t xml:space="preserve"> </w:t>
      </w:r>
      <w:r w:rsidR="00963799" w:rsidRPr="00963799">
        <w:rPr>
          <w:rFonts w:ascii="Arial" w:hAnsi="Arial" w:cs="Arial"/>
          <w:iCs/>
        </w:rPr>
        <w:t>The findings show a clear rise in publication activity after 2020, with all retained articles belonging to the 2020–2025 period. The literature is dominated by publications from the United Kingdom and the United States, while </w:t>
      </w:r>
      <w:r w:rsidR="00963799" w:rsidRPr="00963799">
        <w:rPr>
          <w:rFonts w:ascii="Arial" w:hAnsi="Arial" w:cs="Arial"/>
          <w:i/>
          <w:iCs/>
        </w:rPr>
        <w:t>Accounting and Business Research</w:t>
      </w:r>
      <w:r w:rsidR="00963799" w:rsidRPr="00963799">
        <w:rPr>
          <w:rFonts w:ascii="Arial" w:hAnsi="Arial" w:cs="Arial"/>
          <w:iCs/>
        </w:rPr>
        <w:t> and </w:t>
      </w:r>
      <w:r w:rsidR="00963799" w:rsidRPr="00963799">
        <w:rPr>
          <w:rFonts w:ascii="Arial" w:hAnsi="Arial" w:cs="Arial"/>
          <w:i/>
          <w:iCs/>
        </w:rPr>
        <w:t>Corporate Ownership and Control</w:t>
      </w:r>
      <w:r w:rsidR="00963799" w:rsidRPr="00963799">
        <w:rPr>
          <w:rFonts w:ascii="Arial" w:hAnsi="Arial" w:cs="Arial"/>
          <w:iCs/>
        </w:rPr>
        <w:t> emerge as the leading outlets. Five major themes are identified: corporate governance and disclosure, audit practice and quality, professional identity and education, public sector and regulatory reforms, and technology and AI in accounting. Within the AI-related subset, recent studies increasingly focus on automation, ethical frameworks, and changing professional competencies.</w:t>
      </w:r>
    </w:p>
    <w:p w14:paraId="0C642CA3" w14:textId="70624510" w:rsidR="00191230" w:rsidRDefault="00191230" w:rsidP="00191230">
      <w:pPr>
        <w:pStyle w:val="Body"/>
        <w:spacing w:after="0"/>
        <w:rPr>
          <w:rFonts w:ascii="Arial" w:hAnsi="Arial" w:cs="Arial"/>
          <w:iCs/>
        </w:rPr>
      </w:pPr>
      <w:r w:rsidRPr="00191230">
        <w:rPr>
          <w:rFonts w:ascii="Arial" w:hAnsi="Arial" w:cs="Arial"/>
          <w:b/>
          <w:bCs/>
          <w:iCs/>
        </w:rPr>
        <w:t>Conclusion:</w:t>
      </w:r>
      <w:r w:rsidRPr="00191230">
        <w:rPr>
          <w:rFonts w:ascii="Arial" w:hAnsi="Arial" w:cs="Arial"/>
          <w:iCs/>
        </w:rPr>
        <w:t xml:space="preserve"> </w:t>
      </w:r>
      <w:r w:rsidR="00963799" w:rsidRPr="00963799">
        <w:rPr>
          <w:rFonts w:ascii="Arial" w:hAnsi="Arial" w:cs="Arial"/>
          <w:iCs/>
        </w:rPr>
        <w:t>The findings suggest that the chartered accountancy profession is being reshaped by regulatory change, digital transformation, and broader social expectations. These developments have important implications for market transparency, audit reliability, fiscal accountability, and the efficiency of accounting services. The study offers useful insights for professional bodies, regulators, and educators, and it also points to the need for further research on Global South contexts, AI adoption over time, and the expanding role of chartered accountants in sustainability assurance.</w:t>
      </w:r>
    </w:p>
    <w:p w14:paraId="79178AAA" w14:textId="77777777" w:rsidR="00963799" w:rsidRPr="00191230" w:rsidRDefault="00963799" w:rsidP="00191230">
      <w:pPr>
        <w:pStyle w:val="Body"/>
        <w:spacing w:after="0"/>
        <w:rPr>
          <w:rFonts w:ascii="Arial" w:hAnsi="Arial" w:cs="Arial"/>
          <w:iCs/>
        </w:rPr>
      </w:pPr>
    </w:p>
    <w:p w14:paraId="7A11126C" w14:textId="77777777" w:rsidR="00191230" w:rsidRPr="00191230" w:rsidRDefault="00A24E7E" w:rsidP="00191230">
      <w:pPr>
        <w:jc w:val="both"/>
        <w:rPr>
          <w:rFonts w:ascii="Arial" w:hAnsi="Arial" w:cs="Arial"/>
        </w:rPr>
      </w:pPr>
      <w:r w:rsidRPr="00191230">
        <w:rPr>
          <w:rFonts w:ascii="Arial" w:hAnsi="Arial" w:cs="Arial"/>
          <w:b/>
          <w:bCs/>
          <w:iCs/>
        </w:rPr>
        <w:t>Keywords:</w:t>
      </w:r>
      <w:r w:rsidRPr="00191230">
        <w:rPr>
          <w:rFonts w:ascii="Arial" w:hAnsi="Arial" w:cs="Arial"/>
          <w:iCs/>
        </w:rPr>
        <w:t xml:space="preserve"> </w:t>
      </w:r>
      <w:r w:rsidR="00191230">
        <w:rPr>
          <w:rFonts w:ascii="Arial" w:hAnsi="Arial" w:cs="Arial"/>
        </w:rPr>
        <w:t>C</w:t>
      </w:r>
      <w:r w:rsidR="00191230" w:rsidRPr="00191230">
        <w:rPr>
          <w:rFonts w:ascii="Arial" w:hAnsi="Arial" w:cs="Arial"/>
        </w:rPr>
        <w:t xml:space="preserve">hartered </w:t>
      </w:r>
      <w:r w:rsidR="00191230">
        <w:rPr>
          <w:rFonts w:ascii="Arial" w:hAnsi="Arial" w:cs="Arial"/>
        </w:rPr>
        <w:t>A</w:t>
      </w:r>
      <w:r w:rsidR="00191230" w:rsidRPr="00191230">
        <w:rPr>
          <w:rFonts w:ascii="Arial" w:hAnsi="Arial" w:cs="Arial"/>
        </w:rPr>
        <w:t xml:space="preserve">ccountancy </w:t>
      </w:r>
      <w:r w:rsidR="00191230">
        <w:rPr>
          <w:rFonts w:ascii="Arial" w:hAnsi="Arial" w:cs="Arial"/>
        </w:rPr>
        <w:t>P</w:t>
      </w:r>
      <w:r w:rsidR="00191230" w:rsidRPr="00191230">
        <w:rPr>
          <w:rFonts w:ascii="Arial" w:hAnsi="Arial" w:cs="Arial"/>
        </w:rPr>
        <w:t xml:space="preserve">rofession, </w:t>
      </w:r>
      <w:r w:rsidR="00191230">
        <w:rPr>
          <w:rFonts w:ascii="Arial" w:hAnsi="Arial" w:cs="Arial"/>
        </w:rPr>
        <w:t>B</w:t>
      </w:r>
      <w:r w:rsidR="00191230" w:rsidRPr="00191230">
        <w:rPr>
          <w:rFonts w:ascii="Arial" w:hAnsi="Arial" w:cs="Arial"/>
        </w:rPr>
        <w:t xml:space="preserve">ibliometric </w:t>
      </w:r>
      <w:r w:rsidR="00191230">
        <w:rPr>
          <w:rFonts w:ascii="Arial" w:hAnsi="Arial" w:cs="Arial"/>
        </w:rPr>
        <w:t>A</w:t>
      </w:r>
      <w:r w:rsidR="00191230" w:rsidRPr="00191230">
        <w:rPr>
          <w:rFonts w:ascii="Arial" w:hAnsi="Arial" w:cs="Arial"/>
        </w:rPr>
        <w:t xml:space="preserve">nalysis, </w:t>
      </w:r>
      <w:r w:rsidR="00191230">
        <w:rPr>
          <w:rFonts w:ascii="Arial" w:hAnsi="Arial" w:cs="Arial"/>
        </w:rPr>
        <w:t>T</w:t>
      </w:r>
      <w:r w:rsidR="00191230" w:rsidRPr="00191230">
        <w:rPr>
          <w:rFonts w:ascii="Arial" w:hAnsi="Arial" w:cs="Arial"/>
        </w:rPr>
        <w:t xml:space="preserve">hematic </w:t>
      </w:r>
      <w:r w:rsidR="00191230">
        <w:rPr>
          <w:rFonts w:ascii="Arial" w:hAnsi="Arial" w:cs="Arial"/>
        </w:rPr>
        <w:t>M</w:t>
      </w:r>
      <w:r w:rsidR="00191230" w:rsidRPr="00191230">
        <w:rPr>
          <w:rFonts w:ascii="Arial" w:hAnsi="Arial" w:cs="Arial"/>
        </w:rPr>
        <w:t xml:space="preserve">apping, </w:t>
      </w:r>
      <w:r w:rsidR="00191230">
        <w:rPr>
          <w:rFonts w:ascii="Arial" w:hAnsi="Arial" w:cs="Arial"/>
        </w:rPr>
        <w:t>A</w:t>
      </w:r>
      <w:r w:rsidR="00191230" w:rsidRPr="00191230">
        <w:rPr>
          <w:rFonts w:ascii="Arial" w:hAnsi="Arial" w:cs="Arial"/>
        </w:rPr>
        <w:t xml:space="preserve">rtificial </w:t>
      </w:r>
      <w:r w:rsidR="00191230">
        <w:rPr>
          <w:rFonts w:ascii="Arial" w:hAnsi="Arial" w:cs="Arial"/>
        </w:rPr>
        <w:t>I</w:t>
      </w:r>
      <w:r w:rsidR="00191230" w:rsidRPr="00191230">
        <w:rPr>
          <w:rFonts w:ascii="Arial" w:hAnsi="Arial" w:cs="Arial"/>
        </w:rPr>
        <w:t xml:space="preserve">ntelligence, </w:t>
      </w:r>
      <w:r w:rsidR="00191230">
        <w:rPr>
          <w:rFonts w:ascii="Arial" w:hAnsi="Arial" w:cs="Arial"/>
        </w:rPr>
        <w:t>A</w:t>
      </w:r>
      <w:r w:rsidR="00191230" w:rsidRPr="00191230">
        <w:rPr>
          <w:rFonts w:ascii="Arial" w:hAnsi="Arial" w:cs="Arial"/>
        </w:rPr>
        <w:t xml:space="preserve">ccounting </w:t>
      </w:r>
      <w:r w:rsidR="00191230">
        <w:rPr>
          <w:rFonts w:ascii="Arial" w:hAnsi="Arial" w:cs="Arial"/>
        </w:rPr>
        <w:t>R</w:t>
      </w:r>
      <w:r w:rsidR="00191230" w:rsidRPr="00191230">
        <w:rPr>
          <w:rFonts w:ascii="Arial" w:hAnsi="Arial" w:cs="Arial"/>
        </w:rPr>
        <w:t xml:space="preserve">esearch, </w:t>
      </w:r>
      <w:r w:rsidR="00191230">
        <w:rPr>
          <w:rFonts w:ascii="Arial" w:hAnsi="Arial" w:cs="Arial"/>
        </w:rPr>
        <w:t>C</w:t>
      </w:r>
      <w:r w:rsidR="00191230" w:rsidRPr="00191230">
        <w:rPr>
          <w:rFonts w:ascii="Arial" w:hAnsi="Arial" w:cs="Arial"/>
        </w:rPr>
        <w:t xml:space="preserve">orporate </w:t>
      </w:r>
      <w:r w:rsidR="00191230">
        <w:rPr>
          <w:rFonts w:ascii="Arial" w:hAnsi="Arial" w:cs="Arial"/>
        </w:rPr>
        <w:t>G</w:t>
      </w:r>
      <w:r w:rsidR="00191230" w:rsidRPr="00191230">
        <w:rPr>
          <w:rFonts w:ascii="Arial" w:hAnsi="Arial" w:cs="Arial"/>
        </w:rPr>
        <w:t xml:space="preserve">overnance, </w:t>
      </w:r>
      <w:r w:rsidR="00191230">
        <w:rPr>
          <w:rFonts w:ascii="Arial" w:hAnsi="Arial" w:cs="Arial"/>
        </w:rPr>
        <w:t>A</w:t>
      </w:r>
      <w:r w:rsidR="00191230" w:rsidRPr="00191230">
        <w:rPr>
          <w:rFonts w:ascii="Arial" w:hAnsi="Arial" w:cs="Arial"/>
        </w:rPr>
        <w:t xml:space="preserve">udit </w:t>
      </w:r>
      <w:r w:rsidR="00191230">
        <w:rPr>
          <w:rFonts w:ascii="Arial" w:hAnsi="Arial" w:cs="Arial"/>
        </w:rPr>
        <w:t>Q</w:t>
      </w:r>
      <w:r w:rsidR="00191230" w:rsidRPr="00191230">
        <w:rPr>
          <w:rFonts w:ascii="Arial" w:hAnsi="Arial" w:cs="Arial"/>
        </w:rPr>
        <w:t xml:space="preserve">uality, </w:t>
      </w:r>
      <w:r w:rsidR="00191230">
        <w:rPr>
          <w:rFonts w:ascii="Arial" w:hAnsi="Arial" w:cs="Arial"/>
        </w:rPr>
        <w:t>P</w:t>
      </w:r>
      <w:r w:rsidR="00191230" w:rsidRPr="00191230">
        <w:rPr>
          <w:rFonts w:ascii="Arial" w:hAnsi="Arial" w:cs="Arial"/>
        </w:rPr>
        <w:t xml:space="preserve">rofessional </w:t>
      </w:r>
      <w:r w:rsidR="00191230">
        <w:rPr>
          <w:rFonts w:ascii="Arial" w:hAnsi="Arial" w:cs="Arial"/>
        </w:rPr>
        <w:t>C</w:t>
      </w:r>
      <w:r w:rsidR="00191230" w:rsidRPr="00191230">
        <w:rPr>
          <w:rFonts w:ascii="Arial" w:hAnsi="Arial" w:cs="Arial"/>
        </w:rPr>
        <w:t>ompetencies</w:t>
      </w:r>
    </w:p>
    <w:p w14:paraId="7BFCB5B0" w14:textId="77777777" w:rsidR="00790ADA" w:rsidRDefault="00790ADA" w:rsidP="00441B6F">
      <w:pPr>
        <w:pStyle w:val="Body"/>
        <w:spacing w:after="0"/>
        <w:rPr>
          <w:rFonts w:ascii="Arial" w:hAnsi="Arial" w:cs="Arial"/>
          <w:i/>
        </w:rPr>
      </w:pPr>
    </w:p>
    <w:p w14:paraId="28D315E7"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C08B1D" w14:textId="339A376C" w:rsidR="00161BFD" w:rsidRDefault="00161BFD" w:rsidP="00161BFD">
      <w:pPr>
        <w:rPr>
          <w:rFonts w:ascii="Arial" w:hAnsi="Arial" w:cs="Arial"/>
        </w:rPr>
      </w:pPr>
      <w:r>
        <w:t>Auditing is an important function of the accounting profession that helps ensure the accuracy and reliability of financial statements. Stakeholders such as investors, regulators, and management depend on audited financial information for decision-making. Chartered Accountancy firms perform audits by following prescribed procedures and professional standards to provide an independent opinion on financial statements. Audit procedures include planning, risk assessment, evaluation of internal controls, verification of records, collection of audit evidence, and proper documentation. These procedures are guided by the Standards on Auditing issued by the Institute of Chartered Accountants of India, which ensure consistency, quality, and ethical conduct in audit engagements</w:t>
      </w:r>
      <w:r>
        <w:t xml:space="preserve"> </w:t>
      </w:r>
      <w:r w:rsidRPr="00161BFD">
        <w:t>(</w:t>
      </w:r>
      <w:proofErr w:type="spellStart"/>
      <w:r w:rsidRPr="00161BFD">
        <w:t>K</w:t>
      </w:r>
      <w:bookmarkStart w:id="0" w:name="_GoBack"/>
      <w:bookmarkEnd w:id="0"/>
      <w:r w:rsidRPr="00161BFD">
        <w:t>asliwal</w:t>
      </w:r>
      <w:proofErr w:type="spellEnd"/>
      <w:r w:rsidRPr="00161BFD">
        <w:t xml:space="preserve"> and </w:t>
      </w:r>
      <w:proofErr w:type="spellStart"/>
      <w:r w:rsidRPr="00161BFD">
        <w:t>Rodrigue</w:t>
      </w:r>
      <w:proofErr w:type="spellEnd"/>
      <w:r w:rsidRPr="00161BFD">
        <w:t>, 2025</w:t>
      </w:r>
      <w:r>
        <w:t>)</w:t>
      </w:r>
      <w:r>
        <w:t>.</w:t>
      </w:r>
      <w:r w:rsidRPr="00DD584D">
        <w:rPr>
          <w:rFonts w:ascii="Arial" w:hAnsi="Arial" w:cs="Arial"/>
        </w:rPr>
        <w:t xml:space="preserve"> </w:t>
      </w:r>
    </w:p>
    <w:p w14:paraId="44FC0739" w14:textId="2193F8E7" w:rsidR="00DD584D" w:rsidRPr="00DD584D" w:rsidRDefault="00DD584D" w:rsidP="00DD584D">
      <w:pPr>
        <w:jc w:val="both"/>
        <w:rPr>
          <w:rFonts w:ascii="Arial" w:hAnsi="Arial" w:cs="Arial"/>
        </w:rPr>
      </w:pPr>
      <w:r w:rsidRPr="00DD584D">
        <w:rPr>
          <w:rFonts w:ascii="Arial" w:hAnsi="Arial" w:cs="Arial"/>
        </w:rPr>
        <w:lastRenderedPageBreak/>
        <w:t xml:space="preserve">The chartered accountancy profession serves as a cornerstone of financial systems worldwide, delivering assurance services, tax compliance, and governance advisory critical to economic stability (Jenkins et al., 2020). Amid IFRS </w:t>
      </w:r>
      <w:r w:rsidR="00365AF6" w:rsidRPr="00DD584D">
        <w:rPr>
          <w:rFonts w:ascii="Arial" w:hAnsi="Arial" w:cs="Arial"/>
        </w:rPr>
        <w:t>harmonization</w:t>
      </w:r>
      <w:r w:rsidRPr="00DD584D">
        <w:rPr>
          <w:rFonts w:ascii="Arial" w:hAnsi="Arial" w:cs="Arial"/>
        </w:rPr>
        <w:t>, corporate scandals, public sector reforms, and AI</w:t>
      </w:r>
      <w:r w:rsidRPr="00DD584D">
        <w:rPr>
          <w:rFonts w:ascii="Arial" w:hAnsi="Arial" w:cs="Arial"/>
        </w:rPr>
        <w:noBreakHyphen/>
        <w:t>driven disruption, research on chartered accountants has proliferated, yet remains fragmented across journals and jurisdictions.​</w:t>
      </w:r>
    </w:p>
    <w:p w14:paraId="13ADFA6A" w14:textId="77777777" w:rsidR="00DD584D" w:rsidRPr="00DD584D" w:rsidRDefault="00DD584D" w:rsidP="00DD584D">
      <w:pPr>
        <w:jc w:val="both"/>
        <w:rPr>
          <w:rFonts w:ascii="Arial" w:hAnsi="Arial" w:cs="Arial"/>
        </w:rPr>
      </w:pPr>
      <w:r w:rsidRPr="00DD584D">
        <w:rPr>
          <w:rFonts w:ascii="Arial" w:hAnsi="Arial" w:cs="Arial"/>
        </w:rPr>
        <w:t xml:space="preserve">No comprehensive bibliometric mapping exists to </w:t>
      </w:r>
      <w:proofErr w:type="spellStart"/>
      <w:r w:rsidRPr="00DD584D">
        <w:rPr>
          <w:rFonts w:ascii="Arial" w:hAnsi="Arial" w:cs="Arial"/>
        </w:rPr>
        <w:t>synthesise</w:t>
      </w:r>
      <w:proofErr w:type="spellEnd"/>
      <w:r w:rsidRPr="00DD584D">
        <w:rPr>
          <w:rFonts w:ascii="Arial" w:hAnsi="Arial" w:cs="Arial"/>
        </w:rPr>
        <w:t xml:space="preserve"> global patterns in chartered accountancy research, identify leading contributors, or reveal dominant themes. Similarly, the intersection of the profession with artificial intelligence—despite its transformative potential—lacks systematic analysis.​</w:t>
      </w:r>
    </w:p>
    <w:p w14:paraId="146C6CC8" w14:textId="5D1346B3" w:rsidR="00DD584D" w:rsidRPr="00DD584D" w:rsidRDefault="00365AF6" w:rsidP="00DD584D">
      <w:pPr>
        <w:jc w:val="both"/>
        <w:rPr>
          <w:rFonts w:ascii="Arial" w:hAnsi="Arial" w:cs="Arial"/>
        </w:rPr>
      </w:pPr>
      <w:r w:rsidRPr="00365AF6">
        <w:rPr>
          <w:rFonts w:ascii="Arial" w:hAnsi="Arial" w:cs="Arial"/>
        </w:rPr>
        <w:t>This study addresses these gaps through a bibliometric and thematic analysis of 121 chartered accountancy profession articles published between 2020 and 2025, along with a 62-article AI–CA subset</w:t>
      </w:r>
      <w:r w:rsidR="00DD584D" w:rsidRPr="00DD584D">
        <w:rPr>
          <w:rFonts w:ascii="Arial" w:hAnsi="Arial" w:cs="Arial"/>
        </w:rPr>
        <w:t>. We examine publication trends, geographical and journal distribution, and five thematic clusters with economic implications for market transparency, audit quality, and professional productivity.​</w:t>
      </w:r>
    </w:p>
    <w:p w14:paraId="1E95F7F2" w14:textId="72304C8C" w:rsidR="00DD584D" w:rsidRDefault="00DD584D" w:rsidP="00DD584D">
      <w:pPr>
        <w:jc w:val="both"/>
        <w:rPr>
          <w:rFonts w:ascii="Arial" w:hAnsi="Arial" w:cs="Arial"/>
        </w:rPr>
      </w:pPr>
      <w:r w:rsidRPr="00DD584D">
        <w:rPr>
          <w:rFonts w:ascii="Arial" w:hAnsi="Arial" w:cs="Arial"/>
        </w:rPr>
        <w:t>Contributions include the first CA</w:t>
      </w:r>
      <w:r w:rsidRPr="00DD584D">
        <w:rPr>
          <w:rFonts w:ascii="Arial" w:hAnsi="Arial" w:cs="Arial"/>
        </w:rPr>
        <w:noBreakHyphen/>
        <w:t xml:space="preserve">specific bibliometric map and an agenda linking governance, audit, and digital transformation to economic </w:t>
      </w:r>
      <w:proofErr w:type="gramStart"/>
      <w:r w:rsidRPr="00DD584D">
        <w:rPr>
          <w:rFonts w:ascii="Arial" w:hAnsi="Arial" w:cs="Arial"/>
        </w:rPr>
        <w:t>outcomes.​</w:t>
      </w:r>
      <w:proofErr w:type="gramEnd"/>
    </w:p>
    <w:p w14:paraId="41F59BDB" w14:textId="06690A49" w:rsidR="00E977E2" w:rsidRDefault="00E977E2" w:rsidP="00DD584D">
      <w:pPr>
        <w:jc w:val="both"/>
        <w:rPr>
          <w:rFonts w:ascii="Arial" w:hAnsi="Arial" w:cs="Arial"/>
        </w:rPr>
      </w:pPr>
    </w:p>
    <w:p w14:paraId="06BC5150" w14:textId="018825C9" w:rsidR="00E977E2" w:rsidRDefault="00E977E2" w:rsidP="00DD584D">
      <w:pPr>
        <w:jc w:val="both"/>
        <w:rPr>
          <w:rFonts w:ascii="Arial" w:hAnsi="Arial" w:cs="Arial"/>
        </w:rPr>
      </w:pPr>
    </w:p>
    <w:p w14:paraId="5F1E3A94" w14:textId="77777777" w:rsidR="00E977E2" w:rsidRPr="00DD584D" w:rsidRDefault="00E977E2" w:rsidP="00DD584D">
      <w:pPr>
        <w:jc w:val="both"/>
        <w:rPr>
          <w:rFonts w:ascii="Arial" w:hAnsi="Arial" w:cs="Arial"/>
        </w:rPr>
      </w:pPr>
    </w:p>
    <w:p w14:paraId="7A55B6BB"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5503080" w14:textId="77777777" w:rsidR="00A11FFD" w:rsidRPr="00B128AB" w:rsidRDefault="00A11FFD" w:rsidP="00A11FFD">
      <w:pPr>
        <w:jc w:val="both"/>
        <w:rPr>
          <w:rFonts w:ascii="Times New Roman" w:hAnsi="Times New Roman"/>
        </w:rPr>
      </w:pPr>
      <w:r w:rsidRPr="00B128AB">
        <w:rPr>
          <w:rFonts w:ascii="Times New Roman" w:hAnsi="Times New Roman"/>
          <w:b/>
          <w:bCs/>
        </w:rPr>
        <w:t>Research Questions</w:t>
      </w:r>
    </w:p>
    <w:p w14:paraId="30616F0D"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How has CA research evolved temporally and geographically?​</w:t>
      </w:r>
    </w:p>
    <w:p w14:paraId="24EE0351"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Which outlets and themes dominate the field?​</w:t>
      </w:r>
    </w:p>
    <w:p w14:paraId="5A01F9BD"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What patterns emerge at the CA–AI intersection?</w:t>
      </w:r>
    </w:p>
    <w:p w14:paraId="18D6B429"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What are the implications for practice, policy, and future research?</w:t>
      </w:r>
    </w:p>
    <w:p w14:paraId="7FCA3CF7" w14:textId="77777777" w:rsidR="00A11FFD" w:rsidRDefault="00A11FFD" w:rsidP="00A11FFD">
      <w:pPr>
        <w:jc w:val="both"/>
        <w:rPr>
          <w:rFonts w:ascii="Times New Roman" w:hAnsi="Times New Roman"/>
        </w:rPr>
      </w:pPr>
      <w:r w:rsidRPr="00B128AB">
        <w:rPr>
          <w:rFonts w:ascii="Times New Roman" w:hAnsi="Times New Roman"/>
        </w:rPr>
        <w:t>Contributions include the first CA</w:t>
      </w:r>
      <w:r w:rsidRPr="00B128AB">
        <w:rPr>
          <w:rFonts w:ascii="Times New Roman" w:hAnsi="Times New Roman"/>
        </w:rPr>
        <w:noBreakHyphen/>
        <w:t>specific bibliometric map and an agenda linking governance, audit, and digital transformation to economic outcomes.​</w:t>
      </w:r>
    </w:p>
    <w:p w14:paraId="2283D3F1" w14:textId="77777777" w:rsidR="00380057" w:rsidRDefault="00380057" w:rsidP="00380057">
      <w:pPr>
        <w:jc w:val="both"/>
        <w:rPr>
          <w:rFonts w:ascii="Times New Roman" w:hAnsi="Times New Roman"/>
          <w:b/>
          <w:bCs/>
        </w:rPr>
      </w:pPr>
    </w:p>
    <w:p w14:paraId="0C91D927" w14:textId="267646B8" w:rsidR="00A11FFD" w:rsidRPr="00380057" w:rsidRDefault="00A11FFD" w:rsidP="00380057">
      <w:pPr>
        <w:jc w:val="both"/>
        <w:rPr>
          <w:rFonts w:ascii="Times New Roman" w:hAnsi="Times New Roman"/>
        </w:rPr>
      </w:pPr>
      <w:r w:rsidRPr="00380057">
        <w:rPr>
          <w:rFonts w:ascii="Times New Roman" w:hAnsi="Times New Roman"/>
          <w:b/>
          <w:bCs/>
        </w:rPr>
        <w:t xml:space="preserve">Literature Review </w:t>
      </w:r>
    </w:p>
    <w:p w14:paraId="169E391F" w14:textId="77777777" w:rsidR="00380057" w:rsidRDefault="00380057" w:rsidP="00A11FFD">
      <w:pPr>
        <w:jc w:val="both"/>
        <w:rPr>
          <w:rFonts w:ascii="Times New Roman" w:hAnsi="Times New Roman"/>
          <w:b/>
          <w:bCs/>
        </w:rPr>
      </w:pPr>
    </w:p>
    <w:p w14:paraId="524465BD" w14:textId="366688E3" w:rsidR="00A11FFD" w:rsidRPr="00B128AB" w:rsidRDefault="00A11FFD" w:rsidP="00A11FFD">
      <w:pPr>
        <w:jc w:val="both"/>
        <w:rPr>
          <w:rFonts w:ascii="Times New Roman" w:hAnsi="Times New Roman"/>
          <w:b/>
          <w:bCs/>
        </w:rPr>
      </w:pPr>
      <w:r>
        <w:rPr>
          <w:rFonts w:ascii="Times New Roman" w:hAnsi="Times New Roman"/>
          <w:b/>
          <w:bCs/>
        </w:rPr>
        <w:t xml:space="preserve">2.1 </w:t>
      </w:r>
      <w:r w:rsidRPr="00B128AB">
        <w:rPr>
          <w:rFonts w:ascii="Times New Roman" w:hAnsi="Times New Roman"/>
          <w:b/>
          <w:bCs/>
        </w:rPr>
        <w:t>Corporate Governance and Financial Disclosure</w:t>
      </w:r>
    </w:p>
    <w:p w14:paraId="24FFE2D2" w14:textId="77777777" w:rsidR="00A11FFD" w:rsidRPr="00154102" w:rsidRDefault="00A11FFD" w:rsidP="00A11FFD">
      <w:pPr>
        <w:jc w:val="both"/>
        <w:rPr>
          <w:rFonts w:ascii="Times New Roman" w:hAnsi="Times New Roman"/>
        </w:rPr>
      </w:pPr>
      <w:r w:rsidRPr="00154102">
        <w:rPr>
          <w:rFonts w:ascii="Times New Roman" w:hAnsi="Times New Roman"/>
        </w:rPr>
        <w:t xml:space="preserve">Research conducted after the financial crisis highlights the critical role of chartered accountants in governance via improved disclosures. Boateng et al. (2022) illustrate that board size and leadership structure influence voluntary reporting in emerging markets following IFRS, whereas Pérez et al. (2021) examine risk disclosures in comprehensive audit reports. Research examines the efficacy of independent directors (Wells &amp; </w:t>
      </w:r>
      <w:proofErr w:type="spellStart"/>
      <w:r w:rsidRPr="00154102">
        <w:rPr>
          <w:rFonts w:ascii="Times New Roman" w:hAnsi="Times New Roman"/>
        </w:rPr>
        <w:t>Moyeen</w:t>
      </w:r>
      <w:proofErr w:type="spellEnd"/>
      <w:r w:rsidRPr="00154102">
        <w:rPr>
          <w:rFonts w:ascii="Times New Roman" w:hAnsi="Times New Roman"/>
        </w:rPr>
        <w:t xml:space="preserve">, 2022) and the progression of stewardship (Edwards &amp; </w:t>
      </w:r>
      <w:proofErr w:type="spellStart"/>
      <w:r w:rsidRPr="00154102">
        <w:rPr>
          <w:rFonts w:ascii="Times New Roman" w:hAnsi="Times New Roman"/>
        </w:rPr>
        <w:t>Boyns</w:t>
      </w:r>
      <w:proofErr w:type="spellEnd"/>
      <w:r w:rsidRPr="00154102">
        <w:rPr>
          <w:rFonts w:ascii="Times New Roman" w:hAnsi="Times New Roman"/>
        </w:rPr>
        <w:t xml:space="preserve">, 2022). Economic literature associates these </w:t>
      </w:r>
      <w:proofErr w:type="spellStart"/>
      <w:r w:rsidRPr="00154102">
        <w:rPr>
          <w:rFonts w:ascii="Times New Roman" w:hAnsi="Times New Roman"/>
        </w:rPr>
        <w:t>behaviours</w:t>
      </w:r>
      <w:proofErr w:type="spellEnd"/>
      <w:r w:rsidRPr="00154102">
        <w:rPr>
          <w:rFonts w:ascii="Times New Roman" w:hAnsi="Times New Roman"/>
        </w:rPr>
        <w:t xml:space="preserve"> with diminished capital costs and enhanced market efficiency (</w:t>
      </w:r>
      <w:proofErr w:type="spellStart"/>
      <w:r w:rsidRPr="00154102">
        <w:rPr>
          <w:rFonts w:ascii="Times New Roman" w:hAnsi="Times New Roman"/>
        </w:rPr>
        <w:t>Parsa</w:t>
      </w:r>
      <w:proofErr w:type="spellEnd"/>
      <w:r w:rsidRPr="00154102">
        <w:rPr>
          <w:rFonts w:ascii="Times New Roman" w:hAnsi="Times New Roman"/>
        </w:rPr>
        <w:t xml:space="preserve"> et al., 2020).</w:t>
      </w:r>
    </w:p>
    <w:p w14:paraId="07AD5FFE"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.2 Audit Practice, Quality, and Regulation</w:t>
      </w:r>
    </w:p>
    <w:p w14:paraId="2148549D" w14:textId="77777777" w:rsidR="00A11FFD" w:rsidRPr="00154102" w:rsidRDefault="00A11FFD" w:rsidP="00A11FFD">
      <w:pPr>
        <w:jc w:val="both"/>
        <w:rPr>
          <w:rFonts w:ascii="Times New Roman" w:hAnsi="Times New Roman"/>
        </w:rPr>
      </w:pPr>
      <w:r w:rsidRPr="00154102">
        <w:rPr>
          <w:rFonts w:ascii="Times New Roman" w:hAnsi="Times New Roman"/>
        </w:rPr>
        <w:t>Audit research investigates Big Four accountability (Dunne et al., 2021), oversight methods (Jenkins et al., 2020), and significant audit matters (Pérez et al., 2021). Recent research incorporates technology, including anomaly detection models for journal submissions (example title). These studies underscore systemic dangers associated with audit failures, affecting investor trust and financial stability.</w:t>
      </w:r>
    </w:p>
    <w:p w14:paraId="6EE2CD7E"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 xml:space="preserve">.3 </w:t>
      </w:r>
      <w:proofErr w:type="spellStart"/>
      <w:r w:rsidRPr="00B128AB">
        <w:rPr>
          <w:rFonts w:ascii="Times New Roman" w:hAnsi="Times New Roman"/>
          <w:b/>
          <w:bCs/>
        </w:rPr>
        <w:t>Professionalisation</w:t>
      </w:r>
      <w:proofErr w:type="spellEnd"/>
      <w:r w:rsidRPr="00B128AB">
        <w:rPr>
          <w:rFonts w:ascii="Times New Roman" w:hAnsi="Times New Roman"/>
          <w:b/>
          <w:bCs/>
        </w:rPr>
        <w:t>, Education, and Identity</w:t>
      </w:r>
    </w:p>
    <w:p w14:paraId="0DF25F66" w14:textId="77777777" w:rsidR="00A11FFD" w:rsidRPr="00B128AB" w:rsidRDefault="00A11FFD" w:rsidP="00A11FFD">
      <w:pPr>
        <w:jc w:val="both"/>
        <w:rPr>
          <w:rFonts w:ascii="Times New Roman" w:hAnsi="Times New Roman"/>
        </w:rPr>
      </w:pPr>
      <w:r w:rsidRPr="00B128AB">
        <w:rPr>
          <w:rFonts w:ascii="Times New Roman" w:hAnsi="Times New Roman"/>
        </w:rPr>
        <w:t>Historical analyses trace CA evolution (</w:t>
      </w:r>
      <w:proofErr w:type="spellStart"/>
      <w:r w:rsidRPr="00B128AB">
        <w:rPr>
          <w:rFonts w:ascii="Times New Roman" w:hAnsi="Times New Roman"/>
        </w:rPr>
        <w:t>Arimany</w:t>
      </w:r>
      <w:proofErr w:type="spellEnd"/>
      <w:r w:rsidRPr="00B128AB">
        <w:rPr>
          <w:rFonts w:ascii="Times New Roman" w:hAnsi="Times New Roman"/>
        </w:rPr>
        <w:t xml:space="preserve"> </w:t>
      </w:r>
      <w:proofErr w:type="spellStart"/>
      <w:r w:rsidRPr="00B128AB">
        <w:rPr>
          <w:rFonts w:ascii="Times New Roman" w:hAnsi="Times New Roman"/>
        </w:rPr>
        <w:t>Serrat</w:t>
      </w:r>
      <w:proofErr w:type="spellEnd"/>
      <w:r w:rsidRPr="00B128AB">
        <w:rPr>
          <w:rFonts w:ascii="Times New Roman" w:hAnsi="Times New Roman"/>
        </w:rPr>
        <w:t xml:space="preserve"> et al., 2020; Piper et al., 2023), while contemporary work addresses doctoral motivations (Ward et al., 2021) and norm communication (Liu et al., 2025). This literature underscores human capital challenges amid automation (</w:t>
      </w:r>
      <w:proofErr w:type="spellStart"/>
      <w:r w:rsidRPr="00B128AB">
        <w:rPr>
          <w:rFonts w:ascii="Times New Roman" w:hAnsi="Times New Roman"/>
        </w:rPr>
        <w:t>Kokina</w:t>
      </w:r>
      <w:proofErr w:type="spellEnd"/>
      <w:r w:rsidRPr="00B128AB">
        <w:rPr>
          <w:rFonts w:ascii="Times New Roman" w:hAnsi="Times New Roman"/>
        </w:rPr>
        <w:t xml:space="preserve"> et al., 2020).​</w:t>
      </w:r>
    </w:p>
    <w:p w14:paraId="26429304"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.4 Public Sector Reforms and Stewardship</w:t>
      </w:r>
    </w:p>
    <w:p w14:paraId="630EB474" w14:textId="77777777" w:rsidR="00A11FFD" w:rsidRPr="00B128AB" w:rsidRDefault="00A11FFD" w:rsidP="00A11FFD">
      <w:pPr>
        <w:jc w:val="both"/>
        <w:rPr>
          <w:rFonts w:ascii="Times New Roman" w:hAnsi="Times New Roman"/>
        </w:rPr>
      </w:pPr>
      <w:r w:rsidRPr="00B128AB">
        <w:rPr>
          <w:rFonts w:ascii="Times New Roman" w:hAnsi="Times New Roman"/>
        </w:rPr>
        <w:t xml:space="preserve">Public accounting studies cover accrual adoption (Krishnan, 2021) and decision usefulness (Edwards &amp; </w:t>
      </w:r>
      <w:proofErr w:type="spellStart"/>
      <w:r w:rsidRPr="00B128AB">
        <w:rPr>
          <w:rFonts w:ascii="Times New Roman" w:hAnsi="Times New Roman"/>
        </w:rPr>
        <w:t>Boyns</w:t>
      </w:r>
      <w:proofErr w:type="spellEnd"/>
      <w:r w:rsidRPr="00B128AB">
        <w:rPr>
          <w:rFonts w:ascii="Times New Roman" w:hAnsi="Times New Roman"/>
        </w:rPr>
        <w:t>, 2022), linking CA work to fiscal discipline.​</w:t>
      </w:r>
    </w:p>
    <w:p w14:paraId="462DA23A"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 xml:space="preserve">.5 </w:t>
      </w:r>
      <w:proofErr w:type="spellStart"/>
      <w:r w:rsidRPr="00B128AB">
        <w:rPr>
          <w:rFonts w:ascii="Times New Roman" w:hAnsi="Times New Roman"/>
          <w:b/>
          <w:bCs/>
        </w:rPr>
        <w:t>Digitalisation</w:t>
      </w:r>
      <w:proofErr w:type="spellEnd"/>
      <w:r w:rsidRPr="00B128AB">
        <w:rPr>
          <w:rFonts w:ascii="Times New Roman" w:hAnsi="Times New Roman"/>
          <w:b/>
          <w:bCs/>
        </w:rPr>
        <w:t xml:space="preserve"> and AI in Accounting</w:t>
      </w:r>
    </w:p>
    <w:p w14:paraId="5FB56DF9" w14:textId="77777777" w:rsidR="00A11FFD" w:rsidRPr="00B128AB" w:rsidRDefault="00A11FFD" w:rsidP="00A11FFD">
      <w:pPr>
        <w:jc w:val="both"/>
        <w:rPr>
          <w:rFonts w:ascii="Times New Roman" w:hAnsi="Times New Roman"/>
        </w:rPr>
      </w:pPr>
      <w:r w:rsidRPr="00B128AB">
        <w:rPr>
          <w:rFonts w:ascii="Times New Roman" w:hAnsi="Times New Roman"/>
        </w:rPr>
        <w:t>AI literature reviews automation's impact (Leitner-</w:t>
      </w:r>
      <w:proofErr w:type="spellStart"/>
      <w:r w:rsidRPr="00B128AB">
        <w:rPr>
          <w:rFonts w:ascii="Times New Roman" w:hAnsi="Times New Roman"/>
        </w:rPr>
        <w:t>Hanetseder</w:t>
      </w:r>
      <w:proofErr w:type="spellEnd"/>
      <w:r w:rsidRPr="00B128AB">
        <w:rPr>
          <w:rFonts w:ascii="Times New Roman" w:hAnsi="Times New Roman"/>
        </w:rPr>
        <w:t xml:space="preserve"> et al., 2021; </w:t>
      </w:r>
      <w:proofErr w:type="spellStart"/>
      <w:r w:rsidRPr="00B128AB">
        <w:rPr>
          <w:rFonts w:ascii="Times New Roman" w:hAnsi="Times New Roman"/>
        </w:rPr>
        <w:t>Garanina</w:t>
      </w:r>
      <w:proofErr w:type="spellEnd"/>
      <w:r w:rsidRPr="00B128AB">
        <w:rPr>
          <w:rFonts w:ascii="Times New Roman" w:hAnsi="Times New Roman"/>
        </w:rPr>
        <w:t xml:space="preserve"> et al., 2021), but CA</w:t>
      </w:r>
      <w:r w:rsidRPr="00B128AB">
        <w:rPr>
          <w:rFonts w:ascii="Times New Roman" w:hAnsi="Times New Roman"/>
        </w:rPr>
        <w:noBreakHyphen/>
        <w:t>specific applications remain underexplored (Holmes &amp; Douglass, 2021).​</w:t>
      </w:r>
    </w:p>
    <w:p w14:paraId="4E48E0AB"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.6 Bibliometric Precedents</w:t>
      </w:r>
    </w:p>
    <w:p w14:paraId="5CDFD996" w14:textId="77777777" w:rsidR="00A11FFD" w:rsidRDefault="00A11FFD" w:rsidP="00A11FFD">
      <w:pPr>
        <w:jc w:val="both"/>
        <w:rPr>
          <w:rFonts w:ascii="Times New Roman" w:hAnsi="Times New Roman"/>
        </w:rPr>
      </w:pPr>
      <w:r w:rsidRPr="00B128AB">
        <w:rPr>
          <w:rFonts w:ascii="Times New Roman" w:hAnsi="Times New Roman"/>
        </w:rPr>
        <w:t>Prior bibliometrics map agency theory (2021), education (Duff et al., 2020), and blockchain (</w:t>
      </w:r>
      <w:proofErr w:type="spellStart"/>
      <w:r w:rsidRPr="00B128AB">
        <w:rPr>
          <w:rFonts w:ascii="Times New Roman" w:hAnsi="Times New Roman"/>
        </w:rPr>
        <w:t>Garanina</w:t>
      </w:r>
      <w:proofErr w:type="spellEnd"/>
      <w:r w:rsidRPr="00B128AB">
        <w:rPr>
          <w:rFonts w:ascii="Times New Roman" w:hAnsi="Times New Roman"/>
        </w:rPr>
        <w:t xml:space="preserve"> et al., 2021), but neglect profession</w:t>
      </w:r>
      <w:r w:rsidRPr="00B128AB">
        <w:rPr>
          <w:rFonts w:ascii="Times New Roman" w:hAnsi="Times New Roman"/>
        </w:rPr>
        <w:noBreakHyphen/>
        <w:t>focused analysis</w:t>
      </w:r>
      <w:r>
        <w:rPr>
          <w:rFonts w:ascii="Times New Roman" w:hAnsi="Times New Roman"/>
        </w:rPr>
        <w:t>.</w:t>
      </w:r>
    </w:p>
    <w:p w14:paraId="12AB24B0"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 Data and Methodology</w:t>
      </w:r>
    </w:p>
    <w:p w14:paraId="4AAB3B92"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.1 Data sources and initial retrieval</w:t>
      </w:r>
    </w:p>
    <w:p w14:paraId="26191C65" w14:textId="77777777" w:rsidR="00A11FFD" w:rsidRPr="00E22540" w:rsidRDefault="00A11FFD" w:rsidP="00A11FFD">
      <w:pPr>
        <w:jc w:val="both"/>
        <w:rPr>
          <w:rFonts w:ascii="Times New Roman" w:hAnsi="Times New Roman"/>
        </w:rPr>
      </w:pPr>
      <w:r w:rsidRPr="00E22540">
        <w:rPr>
          <w:rFonts w:ascii="Times New Roman" w:hAnsi="Times New Roman"/>
        </w:rPr>
        <w:t>The empirical basis of this study consists of two related datasets: (</w:t>
      </w:r>
      <w:proofErr w:type="spellStart"/>
      <w:r w:rsidRPr="00E22540">
        <w:rPr>
          <w:rFonts w:ascii="Times New Roman" w:hAnsi="Times New Roman"/>
        </w:rPr>
        <w:t>i</w:t>
      </w:r>
      <w:proofErr w:type="spellEnd"/>
      <w:r w:rsidRPr="00E22540">
        <w:rPr>
          <w:rFonts w:ascii="Times New Roman" w:hAnsi="Times New Roman"/>
        </w:rPr>
        <w:t>) a global chartered accountancy (CA) research dataset, and (ii) a focused AI–CA subset. Both are derived from a structured export from a scholarly database, which aggregates metadata from multiple sources including journal publishers and indexing services.​</w:t>
      </w:r>
    </w:p>
    <w:p w14:paraId="3AD0FF2D" w14:textId="7EDA27B4" w:rsidR="00365AF6" w:rsidRDefault="00A11FFD" w:rsidP="00A11FFD">
      <w:pPr>
        <w:jc w:val="both"/>
        <w:rPr>
          <w:rFonts w:ascii="Times New Roman" w:hAnsi="Times New Roman"/>
        </w:rPr>
      </w:pPr>
      <w:r w:rsidRPr="00154102">
        <w:rPr>
          <w:rFonts w:ascii="Times New Roman" w:hAnsi="Times New Roman"/>
        </w:rPr>
        <w:t xml:space="preserve">The initial export of the CA dataset included 136 records of journal articles related to accounting and the chartered accountancy profession. The metadata fields for each record comprise Lens ID, Title, Date Published, Publication Year, Publication Type, Source Title (journal), ISSNs, Publisher, Source Country, Author(s), Abstract, Volume, Issue Number, Start and End Pages, Fields of Study, </w:t>
      </w:r>
      <w:r w:rsidRPr="00154102">
        <w:rPr>
          <w:rFonts w:ascii="Times New Roman" w:hAnsi="Times New Roman"/>
        </w:rPr>
        <w:lastRenderedPageBreak/>
        <w:t xml:space="preserve">Keywords, </w:t>
      </w:r>
      <w:proofErr w:type="spellStart"/>
      <w:r w:rsidRPr="00154102">
        <w:rPr>
          <w:rFonts w:ascii="Times New Roman" w:hAnsi="Times New Roman"/>
        </w:rPr>
        <w:t>MeSH</w:t>
      </w:r>
      <w:proofErr w:type="spellEnd"/>
      <w:r w:rsidRPr="00154102">
        <w:rPr>
          <w:rFonts w:ascii="Times New Roman" w:hAnsi="Times New Roman"/>
        </w:rPr>
        <w:t xml:space="preserve"> Terms, Chemicals, Funding, URLs, DOI, Microsoft Academic ID, PMCID, Citing Patents Count, References, Citing Works Count, Is Open Access, Open Access </w:t>
      </w:r>
      <w:proofErr w:type="spellStart"/>
      <w:r w:rsidRPr="00154102">
        <w:rPr>
          <w:rFonts w:ascii="Times New Roman" w:hAnsi="Times New Roman"/>
        </w:rPr>
        <w:t>Licence</w:t>
      </w:r>
      <w:proofErr w:type="spellEnd"/>
      <w:r w:rsidRPr="00154102">
        <w:rPr>
          <w:rFonts w:ascii="Times New Roman" w:hAnsi="Times New Roman"/>
        </w:rPr>
        <w:t xml:space="preserve">, and Open Access </w:t>
      </w:r>
      <w:proofErr w:type="spellStart"/>
      <w:r w:rsidRPr="00154102">
        <w:rPr>
          <w:rFonts w:ascii="Times New Roman" w:hAnsi="Times New Roman"/>
        </w:rPr>
        <w:t>Colour</w:t>
      </w:r>
      <w:proofErr w:type="spellEnd"/>
      <w:r w:rsidRPr="00154102">
        <w:rPr>
          <w:rFonts w:ascii="Times New Roman" w:hAnsi="Times New Roman"/>
        </w:rPr>
        <w:t xml:space="preserve">. </w:t>
      </w:r>
      <w:r w:rsidR="00365AF6" w:rsidRPr="00365AF6">
        <w:rPr>
          <w:rFonts w:ascii="Times New Roman" w:hAnsi="Times New Roman"/>
        </w:rPr>
        <w:t>The initial search window for the CA dataset covered 2000 to 2025, although the final screened sample retained for analysis falls entirely within 2020 to 2025</w:t>
      </w:r>
      <w:r w:rsidR="00365AF6">
        <w:rPr>
          <w:rFonts w:ascii="Times New Roman" w:hAnsi="Times New Roman"/>
        </w:rPr>
        <w:t>.</w:t>
      </w:r>
    </w:p>
    <w:p w14:paraId="6DDE1736" w14:textId="2FCBDC59" w:rsidR="00A11FFD" w:rsidRPr="00E22540" w:rsidRDefault="00A11FFD" w:rsidP="00A11FFD">
      <w:pPr>
        <w:jc w:val="both"/>
        <w:rPr>
          <w:rFonts w:ascii="Times New Roman" w:hAnsi="Times New Roman"/>
        </w:rPr>
      </w:pPr>
      <w:r w:rsidRPr="00E22540">
        <w:rPr>
          <w:rFonts w:ascii="Times New Roman" w:hAnsi="Times New Roman"/>
        </w:rPr>
        <w:t>The AI–CA subset was constructed from a separate export of 169 records that include accounting, the accounting profession or accountants and mention AI</w:t>
      </w:r>
      <w:r w:rsidRPr="00E22540">
        <w:rPr>
          <w:rFonts w:ascii="Times New Roman" w:hAnsi="Times New Roman"/>
        </w:rPr>
        <w:noBreakHyphen/>
        <w:t>related terminology in titles, abstracts, keywords or fields of study. These records share a similar metadata structure to the main CA dataset, allowing consistent processing and analysis.</w:t>
      </w:r>
    </w:p>
    <w:p w14:paraId="7C2D707E"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.2 Cleaning and refinement of the CA dataset</w:t>
      </w:r>
    </w:p>
    <w:p w14:paraId="764197F8" w14:textId="77777777" w:rsidR="00A11FFD" w:rsidRPr="00154102" w:rsidRDefault="00A11FFD" w:rsidP="00A11FFD">
      <w:pPr>
        <w:jc w:val="both"/>
        <w:rPr>
          <w:rFonts w:ascii="Times New Roman" w:hAnsi="Times New Roman"/>
        </w:rPr>
      </w:pPr>
      <w:r w:rsidRPr="00154102">
        <w:rPr>
          <w:rFonts w:ascii="Times New Roman" w:hAnsi="Times New Roman"/>
        </w:rPr>
        <w:t xml:space="preserve">A multi-stage cleaning technique was implemented on the CA dataset to ensure that the final sample concentrated on substantial research papers pertaining to the chartered accountant profession. Initially, we </w:t>
      </w:r>
      <w:proofErr w:type="spellStart"/>
      <w:r w:rsidRPr="00154102">
        <w:rPr>
          <w:rFonts w:ascii="Times New Roman" w:hAnsi="Times New Roman"/>
        </w:rPr>
        <w:t>analysed</w:t>
      </w:r>
      <w:proofErr w:type="spellEnd"/>
      <w:r w:rsidRPr="00154102">
        <w:rPr>
          <w:rFonts w:ascii="Times New Roman" w:hAnsi="Times New Roman"/>
        </w:rPr>
        <w:t xml:space="preserve"> potential duplicates </w:t>
      </w:r>
      <w:proofErr w:type="spellStart"/>
      <w:r w:rsidRPr="00154102">
        <w:rPr>
          <w:rFonts w:ascii="Times New Roman" w:hAnsi="Times New Roman"/>
        </w:rPr>
        <w:t>utilising</w:t>
      </w:r>
      <w:proofErr w:type="spellEnd"/>
      <w:r w:rsidRPr="00154102">
        <w:rPr>
          <w:rFonts w:ascii="Times New Roman" w:hAnsi="Times New Roman"/>
        </w:rPr>
        <w:t xml:space="preserve"> key identifiers. No duplicates were detected based on Lens ID or DOI; however, five duplicate records emerged when titles served as the matching criterion, predominantly including generic names like “Introduction” and “Issue Information.” We preserved the initial complete record for each duplicated title and eliminated the other occurrences, decreasing the dataset from 136 to 131 entries.</w:t>
      </w:r>
    </w:p>
    <w:p w14:paraId="4D6FEB38" w14:textId="77777777" w:rsidR="00A11FFD" w:rsidRPr="00E22540" w:rsidRDefault="00A11FFD" w:rsidP="00A11FFD">
      <w:pPr>
        <w:jc w:val="both"/>
        <w:rPr>
          <w:rFonts w:ascii="Times New Roman" w:hAnsi="Times New Roman"/>
        </w:rPr>
      </w:pPr>
      <w:r w:rsidRPr="00E22540">
        <w:rPr>
          <w:rFonts w:ascii="Times New Roman" w:hAnsi="Times New Roman"/>
        </w:rPr>
        <w:t>Second, we screened the remaining records to remove items that were not genuine research articles about the accounting profession. This step involved a close reading of titles, abstracts, keywords and, where necessary, source information. We removed (a) editorial and paratextual items such as “Introduction,” “Issue Information,” “Editorial” and “Article Index,” and (b) articles primarily concerned with unrelated domains such as restaurant marketing cases, retail pharmacy operations, cultural ecosystems, cryptocurrency trading and strategic management, where accounting or the chartered accountancy profession was not a substantive focus. This screening led to the removal of 10 records.​</w:t>
      </w:r>
    </w:p>
    <w:p w14:paraId="599FB35C" w14:textId="1E92133D" w:rsidR="00A11FFD" w:rsidRDefault="004E774A" w:rsidP="00A11FFD">
      <w:pPr>
        <w:jc w:val="both"/>
        <w:rPr>
          <w:rFonts w:ascii="Times New Roman" w:hAnsi="Times New Roman"/>
        </w:rPr>
      </w:pPr>
      <w:r w:rsidRPr="004E774A">
        <w:rPr>
          <w:rFonts w:ascii="Times New Roman" w:hAnsi="Times New Roman"/>
        </w:rPr>
        <w:t>After duplicate removal and relevance screening, the final CA dataset comprised 121 unique journal articles published between 2020 and 2025, all of which are substantively related to the accounting profession, chartered accountants, or closely allied professional roles</w:t>
      </w:r>
      <w:r w:rsidR="00A11FFD" w:rsidRPr="00E22540">
        <w:rPr>
          <w:rFonts w:ascii="Times New Roman" w:hAnsi="Times New Roman"/>
        </w:rPr>
        <w:t>. All records are classified as journal articles, with no conference papers or book chapters retained.​</w:t>
      </w:r>
    </w:p>
    <w:p w14:paraId="5EB0BF77" w14:textId="77777777" w:rsidR="00A11FFD" w:rsidRPr="00601951" w:rsidRDefault="00A11FFD" w:rsidP="00A11FFD">
      <w:pPr>
        <w:jc w:val="both"/>
        <w:rPr>
          <w:rFonts w:ascii="Times New Roman" w:hAnsi="Times New Roman"/>
          <w:b/>
          <w:bCs/>
        </w:rPr>
      </w:pPr>
      <w:r w:rsidRPr="00E22540">
        <w:rPr>
          <w:rFonts w:ascii="Times New Roman" w:hAnsi="Times New Roman"/>
          <w:b/>
          <w:bCs/>
        </w:rPr>
        <w:t>Table 1</w:t>
      </w:r>
      <w:r w:rsidRPr="00601951">
        <w:rPr>
          <w:rFonts w:ascii="Times New Roman" w:hAnsi="Times New Roman"/>
          <w:b/>
          <w:bCs/>
        </w:rPr>
        <w:t>:</w:t>
      </w:r>
      <w:r w:rsidRPr="00601951">
        <w:rPr>
          <w:b/>
          <w:bCs/>
        </w:rPr>
        <w:t xml:space="preserve"> </w:t>
      </w:r>
      <w:r w:rsidRPr="00601951">
        <w:rPr>
          <w:rFonts w:ascii="Times New Roman" w:hAnsi="Times New Roman"/>
          <w:b/>
          <w:bCs/>
        </w:rPr>
        <w:t>Dataset Development and Final Sample Sizes</w:t>
      </w:r>
    </w:p>
    <w:tbl>
      <w:tblPr>
        <w:tblStyle w:val="TableGrid"/>
        <w:tblW w:w="5000" w:type="pct"/>
        <w:tblLook w:val="04A0" w:firstRow="1" w:lastRow="0" w:firstColumn="1" w:lastColumn="0" w:noHBand="0" w:noVBand="1"/>
      </w:tblPr>
      <w:tblGrid>
        <w:gridCol w:w="2025"/>
        <w:gridCol w:w="1606"/>
        <w:gridCol w:w="2650"/>
        <w:gridCol w:w="2796"/>
        <w:gridCol w:w="1939"/>
      </w:tblGrid>
      <w:tr w:rsidR="00A11FFD" w:rsidRPr="002A1FB7" w14:paraId="5E298480" w14:textId="77777777" w:rsidTr="00560FBB">
        <w:trPr>
          <w:trHeight w:val="312"/>
        </w:trPr>
        <w:tc>
          <w:tcPr>
            <w:tcW w:w="919" w:type="pct"/>
            <w:noWrap/>
            <w:hideMark/>
          </w:tcPr>
          <w:p w14:paraId="3DAE196A"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Dataset</w:t>
            </w:r>
          </w:p>
        </w:tc>
        <w:tc>
          <w:tcPr>
            <w:tcW w:w="729" w:type="pct"/>
            <w:noWrap/>
            <w:hideMark/>
          </w:tcPr>
          <w:p w14:paraId="5B11C189"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Initial Records</w:t>
            </w:r>
          </w:p>
        </w:tc>
        <w:tc>
          <w:tcPr>
            <w:tcW w:w="1203" w:type="pct"/>
            <w:noWrap/>
            <w:hideMark/>
          </w:tcPr>
          <w:p w14:paraId="533A904A"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After Duplicate Removal</w:t>
            </w:r>
          </w:p>
        </w:tc>
        <w:tc>
          <w:tcPr>
            <w:tcW w:w="1269" w:type="pct"/>
            <w:noWrap/>
            <w:hideMark/>
          </w:tcPr>
          <w:p w14:paraId="08BE59D4"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After Relevance Screening</w:t>
            </w:r>
          </w:p>
        </w:tc>
        <w:tc>
          <w:tcPr>
            <w:tcW w:w="881" w:type="pct"/>
            <w:noWrap/>
            <w:hideMark/>
          </w:tcPr>
          <w:p w14:paraId="0988BF8F"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Final Sample Size</w:t>
            </w:r>
          </w:p>
        </w:tc>
      </w:tr>
      <w:tr w:rsidR="00A11FFD" w:rsidRPr="002A1FB7" w14:paraId="43C7E773" w14:textId="77777777" w:rsidTr="00560FBB">
        <w:trPr>
          <w:trHeight w:val="312"/>
        </w:trPr>
        <w:tc>
          <w:tcPr>
            <w:tcW w:w="919" w:type="pct"/>
            <w:noWrap/>
            <w:hideMark/>
          </w:tcPr>
          <w:p w14:paraId="79CCFB23"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CA Global Dataset</w:t>
            </w:r>
          </w:p>
        </w:tc>
        <w:tc>
          <w:tcPr>
            <w:tcW w:w="729" w:type="pct"/>
            <w:noWrap/>
            <w:hideMark/>
          </w:tcPr>
          <w:p w14:paraId="47CB6959"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136</w:t>
            </w:r>
          </w:p>
        </w:tc>
        <w:tc>
          <w:tcPr>
            <w:tcW w:w="1203" w:type="pct"/>
            <w:noWrap/>
            <w:hideMark/>
          </w:tcPr>
          <w:p w14:paraId="61954A14"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131</w:t>
            </w:r>
          </w:p>
        </w:tc>
        <w:tc>
          <w:tcPr>
            <w:tcW w:w="1269" w:type="pct"/>
            <w:noWrap/>
            <w:hideMark/>
          </w:tcPr>
          <w:p w14:paraId="3747DDCC"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121</w:t>
            </w:r>
          </w:p>
        </w:tc>
        <w:tc>
          <w:tcPr>
            <w:tcW w:w="881" w:type="pct"/>
            <w:noWrap/>
            <w:hideMark/>
          </w:tcPr>
          <w:p w14:paraId="5B14B09A"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121</w:t>
            </w:r>
          </w:p>
        </w:tc>
      </w:tr>
      <w:tr w:rsidR="00A11FFD" w:rsidRPr="002A1FB7" w14:paraId="196CD4CD" w14:textId="77777777" w:rsidTr="00560FBB">
        <w:trPr>
          <w:trHeight w:val="312"/>
        </w:trPr>
        <w:tc>
          <w:tcPr>
            <w:tcW w:w="919" w:type="pct"/>
            <w:noWrap/>
            <w:hideMark/>
          </w:tcPr>
          <w:p w14:paraId="67070902"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AI-CA Subset</w:t>
            </w:r>
          </w:p>
        </w:tc>
        <w:tc>
          <w:tcPr>
            <w:tcW w:w="729" w:type="pct"/>
            <w:noWrap/>
            <w:hideMark/>
          </w:tcPr>
          <w:p w14:paraId="13F17097"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169</w:t>
            </w:r>
          </w:p>
        </w:tc>
        <w:tc>
          <w:tcPr>
            <w:tcW w:w="1203" w:type="pct"/>
            <w:noWrap/>
            <w:hideMark/>
          </w:tcPr>
          <w:p w14:paraId="307902AF"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165</w:t>
            </w:r>
          </w:p>
        </w:tc>
        <w:tc>
          <w:tcPr>
            <w:tcW w:w="1269" w:type="pct"/>
            <w:noWrap/>
            <w:hideMark/>
          </w:tcPr>
          <w:p w14:paraId="2D68C566"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62</w:t>
            </w:r>
          </w:p>
        </w:tc>
        <w:tc>
          <w:tcPr>
            <w:tcW w:w="881" w:type="pct"/>
            <w:noWrap/>
            <w:hideMark/>
          </w:tcPr>
          <w:p w14:paraId="27699B05"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62</w:t>
            </w:r>
          </w:p>
        </w:tc>
      </w:tr>
    </w:tbl>
    <w:p w14:paraId="7F2C88F9" w14:textId="77777777" w:rsidR="00A11FFD" w:rsidRPr="00E22540" w:rsidRDefault="00A11FFD" w:rsidP="00A11FFD">
      <w:pPr>
        <w:jc w:val="both"/>
        <w:rPr>
          <w:rFonts w:ascii="Times New Roman" w:hAnsi="Times New Roman"/>
        </w:rPr>
      </w:pPr>
      <w:r>
        <w:rPr>
          <w:rFonts w:ascii="Times New Roman" w:hAnsi="Times New Roman"/>
        </w:rPr>
        <w:t xml:space="preserve"> Source:</w:t>
      </w:r>
      <w:r w:rsidRPr="00334D91">
        <w:rPr>
          <w:rFonts w:ascii="Courier New" w:hAnsi="Courier New" w:cs="Courier New"/>
          <w:color w:val="4D4D4C"/>
          <w:sz w:val="21"/>
          <w:szCs w:val="21"/>
        </w:rPr>
        <w:t xml:space="preserve"> </w:t>
      </w:r>
      <w:r w:rsidRPr="00334D91">
        <w:rPr>
          <w:rFonts w:ascii="Times New Roman" w:hAnsi="Times New Roman"/>
        </w:rPr>
        <w:t>Author's refined datasets</w:t>
      </w:r>
    </w:p>
    <w:p w14:paraId="6A8FA3C1" w14:textId="77777777" w:rsidR="00A11FFD" w:rsidRPr="00E22540" w:rsidRDefault="00A11FFD" w:rsidP="00A11FFD">
      <w:pPr>
        <w:jc w:val="both"/>
        <w:rPr>
          <w:rFonts w:ascii="Times New Roman" w:hAnsi="Times New Roman"/>
        </w:rPr>
      </w:pPr>
      <w:r w:rsidRPr="00E22540">
        <w:rPr>
          <w:rFonts w:ascii="Times New Roman" w:hAnsi="Times New Roman"/>
        </w:rPr>
        <w:t xml:space="preserve">Table 1 will </w:t>
      </w:r>
      <w:proofErr w:type="spellStart"/>
      <w:r w:rsidRPr="00E22540">
        <w:rPr>
          <w:rFonts w:ascii="Times New Roman" w:hAnsi="Times New Roman"/>
        </w:rPr>
        <w:t>summarise</w:t>
      </w:r>
      <w:proofErr w:type="spellEnd"/>
      <w:r w:rsidRPr="00E22540">
        <w:rPr>
          <w:rFonts w:ascii="Times New Roman" w:hAnsi="Times New Roman"/>
        </w:rPr>
        <w:t xml:space="preserve"> this refinement process by reporting, for both the CA dataset and AI–CA subset, the number of initial records, counts after duplicate removal, counts after relevance screening and the final sample size.​</w:t>
      </w:r>
    </w:p>
    <w:p w14:paraId="238A0126"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.3 Construction of the AI–CA subset</w:t>
      </w:r>
    </w:p>
    <w:p w14:paraId="005AE713" w14:textId="77777777" w:rsidR="00A11FFD" w:rsidRPr="00E22540" w:rsidRDefault="00A11FFD" w:rsidP="00A11FFD">
      <w:pPr>
        <w:jc w:val="both"/>
        <w:rPr>
          <w:rFonts w:ascii="Times New Roman" w:hAnsi="Times New Roman"/>
        </w:rPr>
      </w:pPr>
      <w:r w:rsidRPr="00E22540">
        <w:rPr>
          <w:rFonts w:ascii="Times New Roman" w:hAnsi="Times New Roman"/>
        </w:rPr>
        <w:t>The AI–CA subset was refined using both de</w:t>
      </w:r>
      <w:r w:rsidRPr="00E22540">
        <w:rPr>
          <w:rFonts w:ascii="Times New Roman" w:hAnsi="Times New Roman"/>
        </w:rPr>
        <w:noBreakHyphen/>
        <w:t>duplication and content</w:t>
      </w:r>
      <w:r w:rsidRPr="00E22540">
        <w:rPr>
          <w:rFonts w:ascii="Times New Roman" w:hAnsi="Times New Roman"/>
        </w:rPr>
        <w:noBreakHyphen/>
        <w:t xml:space="preserve">based filtering. Starting from 169 records, we first removed duplicate titles, resulting in 165 unique entries. We then applied a Boolean search criterion to the concatenated text of each record’s Title, Abstract, Keywords and Fields of Study (converted to lower case), </w:t>
      </w:r>
      <w:proofErr w:type="spellStart"/>
      <w:r w:rsidRPr="00E22540">
        <w:rPr>
          <w:rFonts w:ascii="Times New Roman" w:hAnsi="Times New Roman"/>
        </w:rPr>
        <w:t>operationalised</w:t>
      </w:r>
      <w:proofErr w:type="spellEnd"/>
      <w:r w:rsidRPr="00E22540">
        <w:rPr>
          <w:rFonts w:ascii="Times New Roman" w:hAnsi="Times New Roman"/>
        </w:rPr>
        <w:t xml:space="preserve"> as:</w:t>
      </w:r>
    </w:p>
    <w:p w14:paraId="3A5F7654" w14:textId="77777777" w:rsidR="00A11FFD" w:rsidRPr="00E22540" w:rsidRDefault="00A11FFD" w:rsidP="00A11FFD">
      <w:pPr>
        <w:numPr>
          <w:ilvl w:val="0"/>
          <w:numId w:val="32"/>
        </w:numPr>
        <w:spacing w:after="160" w:line="278" w:lineRule="auto"/>
        <w:jc w:val="both"/>
        <w:rPr>
          <w:rFonts w:ascii="Times New Roman" w:hAnsi="Times New Roman"/>
        </w:rPr>
      </w:pPr>
      <w:r w:rsidRPr="00E22540">
        <w:rPr>
          <w:rFonts w:ascii="Times New Roman" w:hAnsi="Times New Roman"/>
        </w:rPr>
        <w:t>CA terms: “chartered accountant,” “chartered accountancy,” “accounting profession,” “accountant,” or “professional accountant”; AND</w:t>
      </w:r>
    </w:p>
    <w:p w14:paraId="7B4B57B8" w14:textId="77777777" w:rsidR="00A11FFD" w:rsidRPr="00E22540" w:rsidRDefault="00A11FFD" w:rsidP="00A11FFD">
      <w:pPr>
        <w:numPr>
          <w:ilvl w:val="0"/>
          <w:numId w:val="32"/>
        </w:numPr>
        <w:spacing w:after="160" w:line="278" w:lineRule="auto"/>
        <w:jc w:val="both"/>
        <w:rPr>
          <w:rFonts w:ascii="Times New Roman" w:hAnsi="Times New Roman"/>
        </w:rPr>
      </w:pPr>
      <w:r w:rsidRPr="00E22540">
        <w:rPr>
          <w:rFonts w:ascii="Times New Roman" w:hAnsi="Times New Roman"/>
        </w:rPr>
        <w:t>AI terms: “artificial intelligence,” “machine learning,” “automation,” “robotic process automation,” or “robotic process.”</w:t>
      </w:r>
    </w:p>
    <w:p w14:paraId="5F97E7F7" w14:textId="77777777" w:rsidR="004E774A" w:rsidRDefault="00A11FFD" w:rsidP="004E774A">
      <w:pPr>
        <w:jc w:val="both"/>
        <w:rPr>
          <w:rFonts w:ascii="Times New Roman" w:hAnsi="Times New Roman"/>
          <w:lang w:eastAsia="en-IN"/>
        </w:rPr>
      </w:pPr>
      <w:r w:rsidRPr="00154102">
        <w:rPr>
          <w:rFonts w:ascii="Times New Roman" w:hAnsi="Times New Roman"/>
          <w:lang w:eastAsia="en-IN"/>
        </w:rPr>
        <w:t xml:space="preserve">Only records containing at least one term from each group in the merged text were preserved. This process produced 62 publications specifically examining the nexus between the accounting profession and AI/automation. This encompasses research on digital futures for accountants, emerging competences, AI-enabled anomaly detection, robotic process automation in audit and accounting education, and ethical frameworks for AI in accountancy. </w:t>
      </w:r>
      <w:r w:rsidR="004E774A" w:rsidRPr="004E774A">
        <w:rPr>
          <w:rFonts w:ascii="Times New Roman" w:hAnsi="Times New Roman"/>
          <w:lang w:eastAsia="en-IN"/>
        </w:rPr>
        <w:t>The final AI–CA subset retained for analysis also falls within the 2020–2025 period</w:t>
      </w:r>
    </w:p>
    <w:p w14:paraId="3DF34F9A" w14:textId="6034AB2E" w:rsidR="00A11FFD" w:rsidRPr="00E22540" w:rsidRDefault="00A11FFD" w:rsidP="004E774A">
      <w:pPr>
        <w:jc w:val="both"/>
        <w:rPr>
          <w:rFonts w:ascii="Times New Roman" w:hAnsi="Times New Roman"/>
        </w:rPr>
      </w:pPr>
      <w:r w:rsidRPr="00E22540">
        <w:rPr>
          <w:rFonts w:ascii="Times New Roman" w:hAnsi="Times New Roman"/>
        </w:rPr>
        <w:t>For the bibliometric analysis, we used the following variables from the metadata:</w:t>
      </w:r>
    </w:p>
    <w:p w14:paraId="3A419DF0"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Publication Year</w:t>
      </w:r>
      <w:r w:rsidRPr="00E22540">
        <w:rPr>
          <w:rFonts w:ascii="Times New Roman" w:hAnsi="Times New Roman"/>
        </w:rPr>
        <w:t>: used to derive annual counts and temporal trends in CA research.​</w:t>
      </w:r>
    </w:p>
    <w:p w14:paraId="0254D59C"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Source Country</w:t>
      </w:r>
      <w:r w:rsidRPr="00E22540">
        <w:rPr>
          <w:rFonts w:ascii="Times New Roman" w:hAnsi="Times New Roman"/>
        </w:rPr>
        <w:t>: country associated with the journal publisher, used as a proxy for geographical distribution of publication outlets.​</w:t>
      </w:r>
    </w:p>
    <w:p w14:paraId="0B9377D9"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Source Title</w:t>
      </w:r>
      <w:r w:rsidRPr="00E22540">
        <w:rPr>
          <w:rFonts w:ascii="Times New Roman" w:hAnsi="Times New Roman"/>
        </w:rPr>
        <w:t>: journal name, used to identify leading outlets in CA research.​</w:t>
      </w:r>
    </w:p>
    <w:p w14:paraId="33697FD3"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Publication Type</w:t>
      </w:r>
      <w:r w:rsidRPr="00E22540">
        <w:rPr>
          <w:rFonts w:ascii="Times New Roman" w:hAnsi="Times New Roman"/>
        </w:rPr>
        <w:t>: all records are journal articles; this variable was used mainly to confirm document type homogeneity.​</w:t>
      </w:r>
    </w:p>
    <w:p w14:paraId="715990C4"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Citing Works Count</w:t>
      </w:r>
      <w:r w:rsidRPr="00E22540">
        <w:rPr>
          <w:rFonts w:ascii="Times New Roman" w:hAnsi="Times New Roman"/>
        </w:rPr>
        <w:t>: number of works citing each article, used as a simple indicator of influence.​</w:t>
      </w:r>
    </w:p>
    <w:p w14:paraId="141398F8"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 xml:space="preserve">Is Open Access, Open Access </w:t>
      </w:r>
      <w:proofErr w:type="spellStart"/>
      <w:r w:rsidRPr="00E22540">
        <w:rPr>
          <w:rFonts w:ascii="Times New Roman" w:hAnsi="Times New Roman"/>
          <w:b/>
          <w:bCs/>
        </w:rPr>
        <w:t>Licence</w:t>
      </w:r>
      <w:proofErr w:type="spellEnd"/>
      <w:r w:rsidRPr="00E22540">
        <w:rPr>
          <w:rFonts w:ascii="Times New Roman" w:hAnsi="Times New Roman"/>
          <w:b/>
          <w:bCs/>
        </w:rPr>
        <w:t xml:space="preserve">, Open Access </w:t>
      </w:r>
      <w:proofErr w:type="spellStart"/>
      <w:r w:rsidRPr="00E22540">
        <w:rPr>
          <w:rFonts w:ascii="Times New Roman" w:hAnsi="Times New Roman"/>
          <w:b/>
          <w:bCs/>
        </w:rPr>
        <w:t>Colour</w:t>
      </w:r>
      <w:proofErr w:type="spellEnd"/>
      <w:r w:rsidRPr="00E22540">
        <w:rPr>
          <w:rFonts w:ascii="Times New Roman" w:hAnsi="Times New Roman"/>
        </w:rPr>
        <w:t>: used to assess the prevalence and type of open access among CA articles.​</w:t>
      </w:r>
    </w:p>
    <w:p w14:paraId="4EE01139" w14:textId="77777777" w:rsidR="00A11FFD" w:rsidRPr="00E22540" w:rsidRDefault="00A11FFD" w:rsidP="00A11FFD">
      <w:pPr>
        <w:jc w:val="both"/>
        <w:rPr>
          <w:rFonts w:ascii="Times New Roman" w:hAnsi="Times New Roman"/>
        </w:rPr>
      </w:pPr>
      <w:r w:rsidRPr="00E22540">
        <w:rPr>
          <w:rFonts w:ascii="Times New Roman" w:hAnsi="Times New Roman"/>
        </w:rPr>
        <w:t>For the thematic analysis, we relied on:</w:t>
      </w:r>
    </w:p>
    <w:p w14:paraId="05019B37" w14:textId="77777777" w:rsidR="00A11FFD" w:rsidRPr="00E22540" w:rsidRDefault="00A11FFD" w:rsidP="00A11FFD">
      <w:pPr>
        <w:numPr>
          <w:ilvl w:val="0"/>
          <w:numId w:val="34"/>
        </w:numPr>
        <w:spacing w:line="278" w:lineRule="auto"/>
        <w:jc w:val="both"/>
        <w:rPr>
          <w:rFonts w:ascii="Times New Roman" w:hAnsi="Times New Roman"/>
        </w:rPr>
      </w:pPr>
      <w:r w:rsidRPr="00E22540">
        <w:rPr>
          <w:rFonts w:ascii="Times New Roman" w:hAnsi="Times New Roman"/>
          <w:b/>
          <w:bCs/>
        </w:rPr>
        <w:t>Title and Abstract</w:t>
      </w:r>
      <w:r w:rsidRPr="00E22540">
        <w:rPr>
          <w:rFonts w:ascii="Times New Roman" w:hAnsi="Times New Roman"/>
        </w:rPr>
        <w:t>: primary sources for manual coding of substantive themes.​</w:t>
      </w:r>
    </w:p>
    <w:p w14:paraId="29AC48DA" w14:textId="77777777" w:rsidR="00A11FFD" w:rsidRPr="00E22540" w:rsidRDefault="00A11FFD" w:rsidP="00A11FFD">
      <w:pPr>
        <w:numPr>
          <w:ilvl w:val="0"/>
          <w:numId w:val="34"/>
        </w:numPr>
        <w:spacing w:line="278" w:lineRule="auto"/>
        <w:jc w:val="both"/>
        <w:rPr>
          <w:rFonts w:ascii="Times New Roman" w:hAnsi="Times New Roman"/>
        </w:rPr>
      </w:pPr>
      <w:r w:rsidRPr="00E22540">
        <w:rPr>
          <w:rFonts w:ascii="Times New Roman" w:hAnsi="Times New Roman"/>
          <w:b/>
          <w:bCs/>
        </w:rPr>
        <w:t>Keywords</w:t>
      </w:r>
      <w:r w:rsidRPr="00E22540">
        <w:rPr>
          <w:rFonts w:ascii="Times New Roman" w:hAnsi="Times New Roman"/>
        </w:rPr>
        <w:t>: author</w:t>
      </w:r>
      <w:r w:rsidRPr="00E22540">
        <w:rPr>
          <w:rFonts w:ascii="Times New Roman" w:hAnsi="Times New Roman"/>
        </w:rPr>
        <w:noBreakHyphen/>
        <w:t>provided or database</w:t>
      </w:r>
      <w:r w:rsidRPr="00E22540">
        <w:rPr>
          <w:rFonts w:ascii="Times New Roman" w:hAnsi="Times New Roman"/>
        </w:rPr>
        <w:noBreakHyphen/>
        <w:t>assigned terms, used to support theme identification and to construct co</w:t>
      </w:r>
      <w:r w:rsidRPr="00E22540">
        <w:rPr>
          <w:rFonts w:ascii="Times New Roman" w:hAnsi="Times New Roman"/>
        </w:rPr>
        <w:noBreakHyphen/>
        <w:t>occurrence patterns.​</w:t>
      </w:r>
    </w:p>
    <w:p w14:paraId="51738BB1" w14:textId="77777777" w:rsidR="00A11FFD" w:rsidRPr="00E22540" w:rsidRDefault="00A11FFD" w:rsidP="00A11FFD">
      <w:pPr>
        <w:numPr>
          <w:ilvl w:val="0"/>
          <w:numId w:val="34"/>
        </w:numPr>
        <w:spacing w:line="278" w:lineRule="auto"/>
        <w:jc w:val="both"/>
        <w:rPr>
          <w:rFonts w:ascii="Times New Roman" w:hAnsi="Times New Roman"/>
        </w:rPr>
      </w:pPr>
      <w:r w:rsidRPr="00E22540">
        <w:rPr>
          <w:rFonts w:ascii="Times New Roman" w:hAnsi="Times New Roman"/>
          <w:b/>
          <w:bCs/>
        </w:rPr>
        <w:t>Fields of Study</w:t>
      </w:r>
      <w:r w:rsidRPr="00E22540">
        <w:rPr>
          <w:rFonts w:ascii="Times New Roman" w:hAnsi="Times New Roman"/>
        </w:rPr>
        <w:t>: higher</w:t>
      </w:r>
      <w:r w:rsidRPr="00E22540">
        <w:rPr>
          <w:rFonts w:ascii="Times New Roman" w:hAnsi="Times New Roman"/>
        </w:rPr>
        <w:noBreakHyphen/>
        <w:t>level disciplinary tags employed to cross</w:t>
      </w:r>
      <w:r w:rsidRPr="00E22540">
        <w:rPr>
          <w:rFonts w:ascii="Times New Roman" w:hAnsi="Times New Roman"/>
        </w:rPr>
        <w:noBreakHyphen/>
        <w:t>check thematic allocations.​</w:t>
      </w:r>
    </w:p>
    <w:p w14:paraId="58C2DD7D" w14:textId="77777777" w:rsidR="00A11FFD" w:rsidRPr="00154102" w:rsidRDefault="00A11FFD" w:rsidP="00A11FFD">
      <w:pPr>
        <w:ind w:left="360"/>
        <w:jc w:val="both"/>
        <w:rPr>
          <w:rFonts w:ascii="Times New Roman" w:hAnsi="Times New Roman"/>
          <w:lang w:eastAsia="en-IN"/>
        </w:rPr>
      </w:pPr>
      <w:r w:rsidRPr="00154102">
        <w:rPr>
          <w:rFonts w:ascii="Times New Roman" w:hAnsi="Times New Roman"/>
          <w:lang w:eastAsia="en-IN"/>
        </w:rPr>
        <w:lastRenderedPageBreak/>
        <w:t xml:space="preserve">We established an inductive coding framework by </w:t>
      </w:r>
      <w:proofErr w:type="spellStart"/>
      <w:r w:rsidRPr="00154102">
        <w:rPr>
          <w:rFonts w:ascii="Times New Roman" w:hAnsi="Times New Roman"/>
          <w:lang w:eastAsia="en-IN"/>
        </w:rPr>
        <w:t>analysing</w:t>
      </w:r>
      <w:proofErr w:type="spellEnd"/>
      <w:r w:rsidRPr="00154102">
        <w:rPr>
          <w:rFonts w:ascii="Times New Roman" w:hAnsi="Times New Roman"/>
          <w:lang w:eastAsia="en-IN"/>
        </w:rPr>
        <w:t xml:space="preserve"> a significant selection of titles and abstracts, identifying common themes and concepts. This process resulted in the identification of several overarching thematic categories: (</w:t>
      </w:r>
      <w:proofErr w:type="spellStart"/>
      <w:r w:rsidRPr="00154102">
        <w:rPr>
          <w:rFonts w:ascii="Times New Roman" w:hAnsi="Times New Roman"/>
          <w:lang w:eastAsia="en-IN"/>
        </w:rPr>
        <w:t>i</w:t>
      </w:r>
      <w:proofErr w:type="spellEnd"/>
      <w:r w:rsidRPr="00154102">
        <w:rPr>
          <w:rFonts w:ascii="Times New Roman" w:hAnsi="Times New Roman"/>
          <w:lang w:eastAsia="en-IN"/>
        </w:rPr>
        <w:t xml:space="preserve">) corporate governance and voluntary disclosure, (ii) audit practices, audit quality, and Big Four auditors, (iii) professional identity, education, and the history of the chartered accountancy profession, (iv) public sector accounting and regulatory reforms, and (v) technology and artificial intelligence in accounting and auditing. Each article in the CA dataset was subsequently </w:t>
      </w:r>
      <w:proofErr w:type="spellStart"/>
      <w:r w:rsidRPr="00154102">
        <w:rPr>
          <w:rFonts w:ascii="Times New Roman" w:hAnsi="Times New Roman"/>
          <w:lang w:eastAsia="en-IN"/>
        </w:rPr>
        <w:t>categorised</w:t>
      </w:r>
      <w:proofErr w:type="spellEnd"/>
      <w:r w:rsidRPr="00154102">
        <w:rPr>
          <w:rFonts w:ascii="Times New Roman" w:hAnsi="Times New Roman"/>
          <w:lang w:eastAsia="en-IN"/>
        </w:rPr>
        <w:t xml:space="preserve"> into one or more themes according to its primary emphasis.</w:t>
      </w:r>
    </w:p>
    <w:p w14:paraId="46B7FC98"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.5 Analytical techniques</w:t>
      </w:r>
    </w:p>
    <w:p w14:paraId="1B623A8C" w14:textId="77777777" w:rsidR="00A11FFD" w:rsidRPr="00E22540" w:rsidRDefault="00A11FFD" w:rsidP="00A11FFD">
      <w:pPr>
        <w:jc w:val="both"/>
        <w:rPr>
          <w:rFonts w:ascii="Times New Roman" w:hAnsi="Times New Roman"/>
        </w:rPr>
      </w:pPr>
      <w:r w:rsidRPr="00E22540">
        <w:rPr>
          <w:rFonts w:ascii="Times New Roman" w:hAnsi="Times New Roman"/>
        </w:rPr>
        <w:t>The analysis proceeded in two major stages: bibliometric description and thematic synthesis.</w:t>
      </w:r>
    </w:p>
    <w:p w14:paraId="226CD2D8" w14:textId="77777777" w:rsidR="00A11FFD" w:rsidRPr="00154102" w:rsidRDefault="00A11FFD" w:rsidP="00A11FFD">
      <w:pPr>
        <w:jc w:val="both"/>
        <w:rPr>
          <w:rFonts w:ascii="Times New Roman" w:hAnsi="Times New Roman"/>
        </w:rPr>
      </w:pPr>
      <w:r w:rsidRPr="00154102">
        <w:rPr>
          <w:rFonts w:ascii="Times New Roman" w:hAnsi="Times New Roman"/>
        </w:rPr>
        <w:t>During the bibliometric phase, we calculated frequency distributions and descriptive statistics for publication year, source nation, source title, open access status, and citation counts. Annual publication counts were graphed to illustrate temporal trends, and bar charts were employed to represent the distribution of articles among nations and publications. The proportion of open access publications and their licensing types was assessed to offer a summary of access circumstances. Basic summary statistics (mean, median, range) for cited works were employed to discern the most influential CA research within the sample.</w:t>
      </w:r>
    </w:p>
    <w:p w14:paraId="43E174F8" w14:textId="77777777" w:rsidR="00A11FFD" w:rsidRPr="00154102" w:rsidRDefault="00A11FFD" w:rsidP="00A11FFD">
      <w:pPr>
        <w:jc w:val="both"/>
        <w:rPr>
          <w:rFonts w:ascii="Times New Roman" w:hAnsi="Times New Roman"/>
        </w:rPr>
      </w:pPr>
      <w:r w:rsidRPr="00154102">
        <w:rPr>
          <w:rFonts w:ascii="Times New Roman" w:hAnsi="Times New Roman"/>
        </w:rPr>
        <w:t xml:space="preserve">During the thematic phase, we examined the coded topics to comprehend the intellectual framework of CA research. We generated a cross-tabulation of thematic categories by publishing year to examine temporal shifts in subject focus and a </w:t>
      </w:r>
      <w:proofErr w:type="spellStart"/>
      <w:r w:rsidRPr="00154102">
        <w:rPr>
          <w:rFonts w:ascii="Times New Roman" w:hAnsi="Times New Roman"/>
        </w:rPr>
        <w:t>categorisation</w:t>
      </w:r>
      <w:proofErr w:type="spellEnd"/>
      <w:r w:rsidRPr="00154102">
        <w:rPr>
          <w:rFonts w:ascii="Times New Roman" w:hAnsi="Times New Roman"/>
        </w:rPr>
        <w:t xml:space="preserve"> of themes by source nation to elucidate geographical tendencies. In the AI–CA subset, we </w:t>
      </w:r>
      <w:proofErr w:type="spellStart"/>
      <w:r w:rsidRPr="00154102">
        <w:rPr>
          <w:rFonts w:ascii="Times New Roman" w:hAnsi="Times New Roman"/>
        </w:rPr>
        <w:t>analysed</w:t>
      </w:r>
      <w:proofErr w:type="spellEnd"/>
      <w:r w:rsidRPr="00154102">
        <w:rPr>
          <w:rFonts w:ascii="Times New Roman" w:hAnsi="Times New Roman"/>
        </w:rPr>
        <w:t xml:space="preserve"> the chronological rise of AI-related CA research, the distribution of AI subjects (such as anomaly detection, RPA, ethics, and competencies), and the intersection between AI-related work and the overarching thematic categories discovered in the primary CA dataset.</w:t>
      </w:r>
    </w:p>
    <w:p w14:paraId="3B513964" w14:textId="1B66BBAF" w:rsidR="00A11FFD" w:rsidRDefault="00A11FFD" w:rsidP="00A11FFD">
      <w:pPr>
        <w:jc w:val="both"/>
        <w:rPr>
          <w:rFonts w:ascii="Times New Roman" w:hAnsi="Times New Roman"/>
        </w:rPr>
      </w:pPr>
      <w:r w:rsidRPr="00E22540">
        <w:rPr>
          <w:rFonts w:ascii="Times New Roman" w:hAnsi="Times New Roman"/>
        </w:rPr>
        <w:t>Although the datasets include sufficient information to support more advanced bibliometric techniques—such as network analyses of co</w:t>
      </w:r>
      <w:r w:rsidRPr="00E22540">
        <w:rPr>
          <w:rFonts w:ascii="Times New Roman" w:hAnsi="Times New Roman"/>
        </w:rPr>
        <w:noBreakHyphen/>
        <w:t>authorship or citation—our primary aim is to provide an accessible mapping of trends, outlets and themes. Accordingly, we focus on descriptive statistics and thematic coding, complemented by illustrative tables and figures</w:t>
      </w:r>
    </w:p>
    <w:p w14:paraId="4F3AF6A6" w14:textId="77777777" w:rsidR="00ED10CD" w:rsidRDefault="00ED10CD" w:rsidP="00A11FFD">
      <w:pPr>
        <w:jc w:val="both"/>
        <w:rPr>
          <w:rFonts w:ascii="Times New Roman" w:hAnsi="Times New Roman"/>
        </w:rPr>
      </w:pPr>
    </w:p>
    <w:p w14:paraId="36138F5D" w14:textId="77777777" w:rsidR="00A11FFD" w:rsidRDefault="00A11FFD" w:rsidP="00A11FFD">
      <w:pPr>
        <w:jc w:val="center"/>
        <w:rPr>
          <w:rFonts w:ascii="Times New Roman" w:hAnsi="Times New Roman"/>
        </w:rPr>
      </w:pPr>
      <w:r>
        <w:rPr>
          <w:rFonts w:ascii="Times New Roman" w:hAnsi="Times New Roman"/>
        </w:rPr>
        <w:t>Figure 1: Methodological flow of the study</w:t>
      </w:r>
    </w:p>
    <w:p w14:paraId="276FBB0D" w14:textId="77777777" w:rsidR="00A11FFD" w:rsidRPr="00E22540" w:rsidRDefault="00A11FFD" w:rsidP="00A11FFD">
      <w:pPr>
        <w:jc w:val="both"/>
        <w:rPr>
          <w:rFonts w:ascii="Times New Roman" w:hAnsi="Times New Roman"/>
        </w:rPr>
      </w:pPr>
      <w:r>
        <w:rPr>
          <w:rFonts w:ascii="Times New Roman" w:hAnsi="Times New Roman"/>
          <w:noProof/>
        </w:rPr>
        <w:drawing>
          <wp:inline distT="0" distB="0" distL="0" distR="0" wp14:anchorId="00C2B320" wp14:editId="485E93BD">
            <wp:extent cx="5486400" cy="1295400"/>
            <wp:effectExtent l="0" t="0" r="0" b="0"/>
            <wp:docPr id="1899489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E22540">
        <w:rPr>
          <w:rFonts w:ascii="Times New Roman" w:hAnsi="Times New Roman"/>
        </w:rPr>
        <w:t>.​</w:t>
      </w:r>
    </w:p>
    <w:p w14:paraId="0467BA84" w14:textId="2A49A527" w:rsidR="00A11FFD" w:rsidRDefault="00A11FFD" w:rsidP="00A11FFD">
      <w:pPr>
        <w:jc w:val="both"/>
        <w:rPr>
          <w:rFonts w:ascii="Times New Roman" w:hAnsi="Times New Roman"/>
        </w:rPr>
      </w:pPr>
      <w:r w:rsidRPr="00E22540">
        <w:rPr>
          <w:rFonts w:ascii="Times New Roman" w:hAnsi="Times New Roman"/>
        </w:rPr>
        <w:t>Figure 1 (described) in the article will present an overview of the methodological flow: starting from initial database exports, through duplicate removal and relevance screening, to the construction of the CA and AI–CA datasets, followed by bibliometric and thematic analysis</w:t>
      </w:r>
    </w:p>
    <w:p w14:paraId="0E7BE5BC" w14:textId="6651907F" w:rsidR="00ED10CD" w:rsidRDefault="00ED10CD" w:rsidP="00A11FFD">
      <w:pPr>
        <w:jc w:val="both"/>
        <w:rPr>
          <w:rFonts w:ascii="Times New Roman" w:hAnsi="Times New Roman"/>
        </w:rPr>
      </w:pPr>
    </w:p>
    <w:p w14:paraId="0F582EB5" w14:textId="2DA06531" w:rsidR="00ED10CD" w:rsidRDefault="00ED10CD" w:rsidP="00A11FFD">
      <w:pPr>
        <w:jc w:val="both"/>
        <w:rPr>
          <w:rFonts w:ascii="Times New Roman" w:hAnsi="Times New Roman"/>
          <w:b/>
        </w:rPr>
      </w:pPr>
      <w:r w:rsidRPr="00ED10CD">
        <w:rPr>
          <w:rFonts w:ascii="Times New Roman" w:hAnsi="Times New Roman"/>
          <w:b/>
        </w:rPr>
        <w:t xml:space="preserve">Result: </w:t>
      </w:r>
    </w:p>
    <w:p w14:paraId="7D56C7F6" w14:textId="77777777" w:rsidR="00ED10CD" w:rsidRPr="00ED10CD" w:rsidRDefault="00ED10CD" w:rsidP="00A11FFD">
      <w:pPr>
        <w:jc w:val="both"/>
        <w:rPr>
          <w:rFonts w:ascii="Times New Roman" w:hAnsi="Times New Roman"/>
          <w:b/>
        </w:rPr>
      </w:pPr>
    </w:p>
    <w:p w14:paraId="1A6B16CC" w14:textId="6123988E" w:rsidR="00A11FFD" w:rsidRPr="00E22540" w:rsidRDefault="00A11FFD" w:rsidP="00A11FFD">
      <w:pPr>
        <w:jc w:val="both"/>
        <w:rPr>
          <w:rFonts w:ascii="Times New Roman" w:hAnsi="Times New Roman"/>
          <w:b/>
          <w:bCs/>
        </w:rPr>
      </w:pPr>
      <w:r w:rsidRPr="00E22540">
        <w:rPr>
          <w:rFonts w:ascii="Times New Roman" w:hAnsi="Times New Roman"/>
          <w:b/>
          <w:bCs/>
        </w:rPr>
        <w:t>Bibliometric Results</w:t>
      </w:r>
    </w:p>
    <w:p w14:paraId="19565678" w14:textId="77777777" w:rsidR="00A11FFD" w:rsidRPr="00154102" w:rsidRDefault="00A11FFD" w:rsidP="00A11FFD">
      <w:pPr>
        <w:jc w:val="both"/>
        <w:rPr>
          <w:rFonts w:ascii="Times New Roman" w:hAnsi="Times New Roman"/>
        </w:rPr>
      </w:pPr>
      <w:r w:rsidRPr="00154102">
        <w:rPr>
          <w:rFonts w:ascii="Times New Roman" w:hAnsi="Times New Roman"/>
        </w:rPr>
        <w:t>This section delineates the bibliometric attributes of the chartered accountancy (CA) research dataset, succeeded by an overview of the AI–CA subset. The study uncovers trends in publishing frequency over time, regional distribution, journal outlets, open access prevalence, and citation impact. All outcomes are obtained from the curated datasets of 121 CA studies and 62 AI–CA articles.</w:t>
      </w:r>
    </w:p>
    <w:p w14:paraId="20400293" w14:textId="70111861"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1 Temporal evolution of CA research (20</w:t>
      </w:r>
      <w:r w:rsidR="004E774A">
        <w:rPr>
          <w:rFonts w:ascii="Times New Roman" w:hAnsi="Times New Roman"/>
          <w:b/>
          <w:bCs/>
        </w:rPr>
        <w:t>2</w:t>
      </w:r>
      <w:r w:rsidRPr="00E22540">
        <w:rPr>
          <w:rFonts w:ascii="Times New Roman" w:hAnsi="Times New Roman"/>
          <w:b/>
          <w:bCs/>
        </w:rPr>
        <w:t>0–2025)</w:t>
      </w:r>
    </w:p>
    <w:p w14:paraId="52AF9818" w14:textId="77777777" w:rsidR="00A11FFD" w:rsidRPr="00154102" w:rsidRDefault="00A11FFD" w:rsidP="00A11FFD">
      <w:pPr>
        <w:jc w:val="both"/>
        <w:rPr>
          <w:rFonts w:ascii="Times New Roman" w:hAnsi="Times New Roman"/>
        </w:rPr>
      </w:pPr>
      <w:r w:rsidRPr="00154102">
        <w:rPr>
          <w:rFonts w:ascii="Times New Roman" w:hAnsi="Times New Roman"/>
        </w:rPr>
        <w:t>The CA dataset comprises 121 journal articles, published between 2020 and 2025. No papers published prior to 2020 were preserved following the relevance screening process, indicating either inadequate indexing of previous works in the source database or a rigorous emphasis on substantial profession-related research. The temporal distribution indicates a distinct upward trajectory, with annual publication counts increasing from 26 articles in 2020 to a zenith of 34 in 2021, followed by consistent output until 2025.</w:t>
      </w:r>
    </w:p>
    <w:p w14:paraId="356AB0A1" w14:textId="77777777" w:rsidR="00A11FFD" w:rsidRPr="00E22540" w:rsidRDefault="00A11FFD" w:rsidP="00A11FFD">
      <w:pPr>
        <w:jc w:val="both"/>
        <w:rPr>
          <w:rFonts w:ascii="Times New Roman" w:hAnsi="Times New Roman"/>
        </w:rPr>
      </w:pPr>
      <w:r w:rsidRPr="00E22540">
        <w:rPr>
          <w:rFonts w:ascii="Times New Roman" w:hAnsi="Times New Roman"/>
          <w:b/>
          <w:bCs/>
        </w:rPr>
        <w:t xml:space="preserve">Table 2. </w:t>
      </w:r>
      <w:r w:rsidRPr="00334D91">
        <w:rPr>
          <w:rFonts w:ascii="Times New Roman" w:hAnsi="Times New Roman"/>
          <w:b/>
          <w:bCs/>
        </w:rPr>
        <w:t>Annual Publication Trends in CA Research (2020–2025)</w:t>
      </w:r>
    </w:p>
    <w:tbl>
      <w:tblPr>
        <w:tblW w:w="5000" w:type="pct"/>
        <w:tblLook w:val="04A0" w:firstRow="1" w:lastRow="0" w:firstColumn="1" w:lastColumn="0" w:noHBand="0" w:noVBand="1"/>
      </w:tblPr>
      <w:tblGrid>
        <w:gridCol w:w="3549"/>
        <w:gridCol w:w="2818"/>
        <w:gridCol w:w="4649"/>
      </w:tblGrid>
      <w:tr w:rsidR="00A11FFD" w:rsidRPr="00334D91" w14:paraId="414D3B68" w14:textId="77777777" w:rsidTr="00560FBB">
        <w:trPr>
          <w:trHeight w:val="624"/>
        </w:trPr>
        <w:tc>
          <w:tcPr>
            <w:tcW w:w="1611" w:type="pct"/>
            <w:tcBorders>
              <w:top w:val="single" w:sz="4" w:space="0" w:color="auto"/>
              <w:left w:val="single" w:sz="4" w:space="0" w:color="auto"/>
              <w:bottom w:val="single" w:sz="4" w:space="0" w:color="auto"/>
              <w:right w:val="single" w:sz="4" w:space="0" w:color="auto"/>
            </w:tcBorders>
            <w:vAlign w:val="center"/>
            <w:hideMark/>
          </w:tcPr>
          <w:p w14:paraId="5906D725"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Publication Year</w:t>
            </w:r>
          </w:p>
        </w:tc>
        <w:tc>
          <w:tcPr>
            <w:tcW w:w="1279" w:type="pct"/>
            <w:tcBorders>
              <w:top w:val="single" w:sz="4" w:space="0" w:color="auto"/>
              <w:left w:val="nil"/>
              <w:bottom w:val="single" w:sz="4" w:space="0" w:color="auto"/>
              <w:right w:val="single" w:sz="4" w:space="0" w:color="auto"/>
            </w:tcBorders>
            <w:vAlign w:val="center"/>
            <w:hideMark/>
          </w:tcPr>
          <w:p w14:paraId="76788B4B"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Number of Articles</w:t>
            </w:r>
          </w:p>
        </w:tc>
        <w:tc>
          <w:tcPr>
            <w:tcW w:w="2110" w:type="pct"/>
            <w:tcBorders>
              <w:top w:val="single" w:sz="4" w:space="0" w:color="auto"/>
              <w:left w:val="nil"/>
              <w:bottom w:val="single" w:sz="4" w:space="0" w:color="auto"/>
              <w:right w:val="single" w:sz="4" w:space="0" w:color="auto"/>
            </w:tcBorders>
            <w:vAlign w:val="center"/>
            <w:hideMark/>
          </w:tcPr>
          <w:p w14:paraId="0984A8D2"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Cumulative (%)</w:t>
            </w:r>
          </w:p>
        </w:tc>
      </w:tr>
      <w:tr w:rsidR="00A11FFD" w:rsidRPr="00334D91" w14:paraId="5EC53D80"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4AECEAAF"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2020</w:t>
            </w:r>
          </w:p>
        </w:tc>
        <w:tc>
          <w:tcPr>
            <w:tcW w:w="1279" w:type="pct"/>
            <w:tcBorders>
              <w:top w:val="nil"/>
              <w:left w:val="nil"/>
              <w:bottom w:val="single" w:sz="4" w:space="0" w:color="auto"/>
              <w:right w:val="single" w:sz="4" w:space="0" w:color="auto"/>
            </w:tcBorders>
            <w:vAlign w:val="center"/>
            <w:hideMark/>
          </w:tcPr>
          <w:p w14:paraId="7DF4169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26</w:t>
            </w:r>
          </w:p>
        </w:tc>
        <w:tc>
          <w:tcPr>
            <w:tcW w:w="2110" w:type="pct"/>
            <w:tcBorders>
              <w:top w:val="nil"/>
              <w:left w:val="nil"/>
              <w:bottom w:val="single" w:sz="4" w:space="0" w:color="auto"/>
              <w:right w:val="single" w:sz="4" w:space="0" w:color="auto"/>
            </w:tcBorders>
            <w:vAlign w:val="center"/>
            <w:hideMark/>
          </w:tcPr>
          <w:p w14:paraId="1814531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21.5</w:t>
            </w:r>
          </w:p>
        </w:tc>
      </w:tr>
      <w:tr w:rsidR="00A11FFD" w:rsidRPr="00334D91" w14:paraId="20AEF0CF"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4FD539A8"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2021</w:t>
            </w:r>
          </w:p>
        </w:tc>
        <w:tc>
          <w:tcPr>
            <w:tcW w:w="1279" w:type="pct"/>
            <w:tcBorders>
              <w:top w:val="nil"/>
              <w:left w:val="nil"/>
              <w:bottom w:val="single" w:sz="4" w:space="0" w:color="auto"/>
              <w:right w:val="single" w:sz="4" w:space="0" w:color="auto"/>
            </w:tcBorders>
            <w:vAlign w:val="center"/>
            <w:hideMark/>
          </w:tcPr>
          <w:p w14:paraId="4211B9E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34</w:t>
            </w:r>
          </w:p>
        </w:tc>
        <w:tc>
          <w:tcPr>
            <w:tcW w:w="2110" w:type="pct"/>
            <w:tcBorders>
              <w:top w:val="nil"/>
              <w:left w:val="nil"/>
              <w:bottom w:val="single" w:sz="4" w:space="0" w:color="auto"/>
              <w:right w:val="single" w:sz="4" w:space="0" w:color="auto"/>
            </w:tcBorders>
            <w:vAlign w:val="center"/>
            <w:hideMark/>
          </w:tcPr>
          <w:p w14:paraId="3D166F0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49.6</w:t>
            </w:r>
          </w:p>
        </w:tc>
      </w:tr>
      <w:tr w:rsidR="00A11FFD" w:rsidRPr="00334D91" w14:paraId="56F5ECE0"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7258F9AE"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2022</w:t>
            </w:r>
          </w:p>
        </w:tc>
        <w:tc>
          <w:tcPr>
            <w:tcW w:w="1279" w:type="pct"/>
            <w:tcBorders>
              <w:top w:val="nil"/>
              <w:left w:val="nil"/>
              <w:bottom w:val="single" w:sz="4" w:space="0" w:color="auto"/>
              <w:right w:val="single" w:sz="4" w:space="0" w:color="auto"/>
            </w:tcBorders>
            <w:vAlign w:val="center"/>
            <w:hideMark/>
          </w:tcPr>
          <w:p w14:paraId="5A6F8929"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25</w:t>
            </w:r>
          </w:p>
        </w:tc>
        <w:tc>
          <w:tcPr>
            <w:tcW w:w="2110" w:type="pct"/>
            <w:tcBorders>
              <w:top w:val="nil"/>
              <w:left w:val="nil"/>
              <w:bottom w:val="single" w:sz="4" w:space="0" w:color="auto"/>
              <w:right w:val="single" w:sz="4" w:space="0" w:color="auto"/>
            </w:tcBorders>
            <w:vAlign w:val="center"/>
            <w:hideMark/>
          </w:tcPr>
          <w:p w14:paraId="03EDDAF7"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70.2</w:t>
            </w:r>
          </w:p>
        </w:tc>
      </w:tr>
      <w:tr w:rsidR="00A11FFD" w:rsidRPr="00334D91" w14:paraId="0DD53F0D"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338D4197"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2023</w:t>
            </w:r>
          </w:p>
        </w:tc>
        <w:tc>
          <w:tcPr>
            <w:tcW w:w="1279" w:type="pct"/>
            <w:tcBorders>
              <w:top w:val="nil"/>
              <w:left w:val="nil"/>
              <w:bottom w:val="single" w:sz="4" w:space="0" w:color="auto"/>
              <w:right w:val="single" w:sz="4" w:space="0" w:color="auto"/>
            </w:tcBorders>
            <w:vAlign w:val="center"/>
            <w:hideMark/>
          </w:tcPr>
          <w:p w14:paraId="4D1A0D21"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15</w:t>
            </w:r>
          </w:p>
        </w:tc>
        <w:tc>
          <w:tcPr>
            <w:tcW w:w="2110" w:type="pct"/>
            <w:tcBorders>
              <w:top w:val="nil"/>
              <w:left w:val="nil"/>
              <w:bottom w:val="single" w:sz="4" w:space="0" w:color="auto"/>
              <w:right w:val="single" w:sz="4" w:space="0" w:color="auto"/>
            </w:tcBorders>
            <w:vAlign w:val="center"/>
            <w:hideMark/>
          </w:tcPr>
          <w:p w14:paraId="7B768B91"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83.5</w:t>
            </w:r>
          </w:p>
        </w:tc>
      </w:tr>
      <w:tr w:rsidR="00A11FFD" w:rsidRPr="00334D91" w14:paraId="43AC22ED"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48E0957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2024</w:t>
            </w:r>
          </w:p>
        </w:tc>
        <w:tc>
          <w:tcPr>
            <w:tcW w:w="1279" w:type="pct"/>
            <w:tcBorders>
              <w:top w:val="nil"/>
              <w:left w:val="nil"/>
              <w:bottom w:val="single" w:sz="4" w:space="0" w:color="auto"/>
              <w:right w:val="single" w:sz="4" w:space="0" w:color="auto"/>
            </w:tcBorders>
            <w:vAlign w:val="center"/>
            <w:hideMark/>
          </w:tcPr>
          <w:p w14:paraId="6AD3A5F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14</w:t>
            </w:r>
          </w:p>
        </w:tc>
        <w:tc>
          <w:tcPr>
            <w:tcW w:w="2110" w:type="pct"/>
            <w:tcBorders>
              <w:top w:val="nil"/>
              <w:left w:val="nil"/>
              <w:bottom w:val="single" w:sz="4" w:space="0" w:color="auto"/>
              <w:right w:val="single" w:sz="4" w:space="0" w:color="auto"/>
            </w:tcBorders>
            <w:vAlign w:val="center"/>
            <w:hideMark/>
          </w:tcPr>
          <w:p w14:paraId="5493C2F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95</w:t>
            </w:r>
          </w:p>
        </w:tc>
      </w:tr>
      <w:tr w:rsidR="00A11FFD" w:rsidRPr="00334D91" w14:paraId="7FDDCA58"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3DC4AEB9"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2025</w:t>
            </w:r>
          </w:p>
        </w:tc>
        <w:tc>
          <w:tcPr>
            <w:tcW w:w="1279" w:type="pct"/>
            <w:tcBorders>
              <w:top w:val="nil"/>
              <w:left w:val="nil"/>
              <w:bottom w:val="single" w:sz="4" w:space="0" w:color="auto"/>
              <w:right w:val="single" w:sz="4" w:space="0" w:color="auto"/>
            </w:tcBorders>
            <w:vAlign w:val="center"/>
            <w:hideMark/>
          </w:tcPr>
          <w:p w14:paraId="3D6FB3C4"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7</w:t>
            </w:r>
          </w:p>
        </w:tc>
        <w:tc>
          <w:tcPr>
            <w:tcW w:w="2110" w:type="pct"/>
            <w:tcBorders>
              <w:top w:val="nil"/>
              <w:left w:val="nil"/>
              <w:bottom w:val="single" w:sz="4" w:space="0" w:color="auto"/>
              <w:right w:val="single" w:sz="4" w:space="0" w:color="auto"/>
            </w:tcBorders>
            <w:vAlign w:val="center"/>
            <w:hideMark/>
          </w:tcPr>
          <w:p w14:paraId="015047C4"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100</w:t>
            </w:r>
          </w:p>
        </w:tc>
      </w:tr>
      <w:tr w:rsidR="00A11FFD" w:rsidRPr="00334D91" w14:paraId="4DACD195"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7AA88F3F"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lastRenderedPageBreak/>
              <w:t>Total</w:t>
            </w:r>
          </w:p>
        </w:tc>
        <w:tc>
          <w:tcPr>
            <w:tcW w:w="1279" w:type="pct"/>
            <w:tcBorders>
              <w:top w:val="nil"/>
              <w:left w:val="nil"/>
              <w:bottom w:val="single" w:sz="4" w:space="0" w:color="auto"/>
              <w:right w:val="single" w:sz="4" w:space="0" w:color="auto"/>
            </w:tcBorders>
            <w:vAlign w:val="center"/>
            <w:hideMark/>
          </w:tcPr>
          <w:p w14:paraId="2F8C643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121</w:t>
            </w:r>
          </w:p>
        </w:tc>
        <w:tc>
          <w:tcPr>
            <w:tcW w:w="2110" w:type="pct"/>
            <w:tcBorders>
              <w:top w:val="nil"/>
              <w:left w:val="nil"/>
              <w:bottom w:val="single" w:sz="4" w:space="0" w:color="auto"/>
              <w:right w:val="single" w:sz="4" w:space="0" w:color="auto"/>
            </w:tcBorders>
            <w:vAlign w:val="bottom"/>
            <w:hideMark/>
          </w:tcPr>
          <w:p w14:paraId="37EE57D8" w14:textId="77777777" w:rsidR="00A11FFD" w:rsidRPr="00334D91" w:rsidRDefault="00A11FFD" w:rsidP="00560FBB">
            <w:pPr>
              <w:jc w:val="center"/>
              <w:rPr>
                <w:rFonts w:ascii="Aptos" w:hAnsi="Aptos"/>
                <w:color w:val="000000"/>
                <w:lang w:eastAsia="en-IN"/>
              </w:rPr>
            </w:pPr>
            <w:r w:rsidRPr="00334D91">
              <w:rPr>
                <w:rFonts w:ascii="Aptos" w:hAnsi="Aptos"/>
                <w:color w:val="000000"/>
                <w:lang w:eastAsia="en-IN"/>
              </w:rPr>
              <w:t> </w:t>
            </w:r>
          </w:p>
        </w:tc>
      </w:tr>
    </w:tbl>
    <w:p w14:paraId="79F13258" w14:textId="77777777" w:rsidR="00A11FFD" w:rsidRDefault="00A11FFD" w:rsidP="00A11FFD">
      <w:pPr>
        <w:jc w:val="both"/>
        <w:rPr>
          <w:rFonts w:ascii="Times New Roman" w:hAnsi="Times New Roman"/>
        </w:rPr>
      </w:pPr>
      <w:r w:rsidRPr="00E22540">
        <w:rPr>
          <w:rFonts w:ascii="Times New Roman" w:hAnsi="Times New Roman"/>
        </w:rPr>
        <w:t xml:space="preserve">Note: N = 121. Percentages are cumulative. Source: </w:t>
      </w:r>
      <w:r w:rsidRPr="00334D91">
        <w:rPr>
          <w:rFonts w:ascii="Times New Roman" w:hAnsi="Times New Roman"/>
        </w:rPr>
        <w:t>Author's refined datasets</w:t>
      </w:r>
    </w:p>
    <w:p w14:paraId="3525456B" w14:textId="2415227C" w:rsidR="00A11FFD" w:rsidRDefault="00A11FFD" w:rsidP="00A11FFD">
      <w:pPr>
        <w:jc w:val="both"/>
        <w:rPr>
          <w:rFonts w:ascii="Times New Roman" w:hAnsi="Times New Roman"/>
        </w:rPr>
      </w:pPr>
      <w:r w:rsidRPr="00E22540">
        <w:rPr>
          <w:rFonts w:ascii="Times New Roman" w:hAnsi="Times New Roman"/>
          <w:b/>
          <w:bCs/>
        </w:rPr>
        <w:t>Table 2</w:t>
      </w:r>
      <w:r w:rsidRPr="00E22540">
        <w:rPr>
          <w:rFonts w:ascii="Times New Roman" w:hAnsi="Times New Roman"/>
        </w:rPr>
        <w:t> </w:t>
      </w:r>
      <w:proofErr w:type="spellStart"/>
      <w:r w:rsidRPr="00E22540">
        <w:rPr>
          <w:rFonts w:ascii="Times New Roman" w:hAnsi="Times New Roman"/>
        </w:rPr>
        <w:t>summarises</w:t>
      </w:r>
      <w:proofErr w:type="spellEnd"/>
      <w:r w:rsidRPr="00E22540">
        <w:rPr>
          <w:rFonts w:ascii="Times New Roman" w:hAnsi="Times New Roman"/>
        </w:rPr>
        <w:t xml:space="preserve"> the annual publication output. The data indicate that 100% of articles (121/121) were published in the post</w:t>
      </w:r>
      <w:r w:rsidRPr="00E22540">
        <w:rPr>
          <w:rFonts w:ascii="Times New Roman" w:hAnsi="Times New Roman"/>
        </w:rPr>
        <w:noBreakHyphen/>
        <w:t>2020 period, with a mean of approximately 20 articles per year. This concentration in recent years aligns with external developments such as accelerated corporate governance reforms, post</w:t>
      </w:r>
      <w:r w:rsidRPr="00E22540">
        <w:rPr>
          <w:rFonts w:ascii="Times New Roman" w:hAnsi="Times New Roman"/>
        </w:rPr>
        <w:noBreakHyphen/>
        <w:t xml:space="preserve">COVID professional adaptation challenges and growing interest in digital transformation within accounting. The slight decline after 2021 (25 articles in 2022, 15 in 2023, 14 in 2024, 7 in 2025) may reflect publication lags or the recency of 2025 </w:t>
      </w:r>
      <w:proofErr w:type="gramStart"/>
      <w:r w:rsidRPr="00E22540">
        <w:rPr>
          <w:rFonts w:ascii="Times New Roman" w:hAnsi="Times New Roman"/>
        </w:rPr>
        <w:t>data.​</w:t>
      </w:r>
      <w:proofErr w:type="gramEnd"/>
    </w:p>
    <w:p w14:paraId="59D8C344" w14:textId="77777777" w:rsidR="00ED10CD" w:rsidRDefault="00ED10CD" w:rsidP="00A11FFD">
      <w:pPr>
        <w:jc w:val="both"/>
        <w:rPr>
          <w:rFonts w:ascii="Times New Roman" w:hAnsi="Times New Roman"/>
        </w:rPr>
      </w:pPr>
    </w:p>
    <w:p w14:paraId="71E4DFA0" w14:textId="77777777" w:rsidR="00A11FFD" w:rsidRDefault="00A11FFD" w:rsidP="00A11FFD">
      <w:pPr>
        <w:jc w:val="both"/>
        <w:rPr>
          <w:rFonts w:ascii="Times New Roman" w:hAnsi="Times New Roman"/>
        </w:rPr>
      </w:pPr>
      <w:r>
        <w:rPr>
          <w:rFonts w:ascii="Times New Roman" w:hAnsi="Times New Roman"/>
        </w:rPr>
        <w:t>Figure 2:</w:t>
      </w:r>
      <w:r w:rsidRPr="00820812">
        <w:t xml:space="preserve"> </w:t>
      </w:r>
      <w:r w:rsidRPr="00820812">
        <w:rPr>
          <w:rFonts w:ascii="Times New Roman" w:hAnsi="Times New Roman"/>
        </w:rPr>
        <w:t>Annual Publication Trend</w:t>
      </w:r>
    </w:p>
    <w:p w14:paraId="74640172" w14:textId="77777777" w:rsidR="00A11FFD" w:rsidRPr="00E22540" w:rsidRDefault="00A11FFD" w:rsidP="00A11FFD">
      <w:pPr>
        <w:jc w:val="both"/>
        <w:rPr>
          <w:rFonts w:ascii="Times New Roman" w:hAnsi="Times New Roman"/>
        </w:rPr>
      </w:pPr>
      <w:r>
        <w:rPr>
          <w:noProof/>
        </w:rPr>
        <w:drawing>
          <wp:inline distT="0" distB="0" distL="0" distR="0" wp14:anchorId="6F568D94" wp14:editId="66825CDA">
            <wp:extent cx="4572000" cy="2743200"/>
            <wp:effectExtent l="0" t="0" r="0" b="0"/>
            <wp:docPr id="312477149" name="Chart 1">
              <a:extLst xmlns:a="http://schemas.openxmlformats.org/drawingml/2006/main">
                <a:ext uri="{FF2B5EF4-FFF2-40B4-BE49-F238E27FC236}">
                  <a16:creationId xmlns:a16="http://schemas.microsoft.com/office/drawing/2014/main" id="{E30AC571-51B4-4BCC-7409-1E63BA5A0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986A3A"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.2 Geographical distribution</w:t>
      </w:r>
    </w:p>
    <w:p w14:paraId="612FF7A1" w14:textId="77777777" w:rsidR="00A11FFD" w:rsidRPr="00F84B24" w:rsidRDefault="00A11FFD" w:rsidP="00A11FFD">
      <w:pPr>
        <w:jc w:val="both"/>
        <w:rPr>
          <w:rFonts w:ascii="Times New Roman" w:hAnsi="Times New Roman"/>
        </w:rPr>
      </w:pPr>
      <w:r w:rsidRPr="00F84B24">
        <w:rPr>
          <w:rFonts w:ascii="Times New Roman" w:hAnsi="Times New Roman"/>
        </w:rPr>
        <w:t>The geographical scope of CA study is assessed by the Source Country field, denoting the publisher's nation. The United Kingdom has the highest number of articles with 44 (36.4% of the total), followed by the United States with 20 pieces (16.5%), Ukraine with 15 articles (12.4%), and both the Netherlands and Australia, each with 7 articles (5.8%). The leading five countries represent 75.2% of publications, indicating a concentration in Anglo-Saxon and European jurisdictions. Notable contributions are evident from South Africa (5 articles), Switzerland (3), Malaysia (3), Mexico (2), and Greece (2).</w:t>
      </w:r>
    </w:p>
    <w:p w14:paraId="083BBD0C" w14:textId="77777777" w:rsidR="00A11FFD" w:rsidRPr="00E22540" w:rsidRDefault="00A11FFD" w:rsidP="00A11FFD">
      <w:pPr>
        <w:jc w:val="both"/>
        <w:rPr>
          <w:rFonts w:ascii="Times New Roman" w:hAnsi="Times New Roman"/>
        </w:rPr>
      </w:pPr>
      <w:r w:rsidRPr="00E22540">
        <w:rPr>
          <w:rFonts w:ascii="Times New Roman" w:hAnsi="Times New Roman"/>
          <w:b/>
          <w:bCs/>
        </w:rPr>
        <w:t xml:space="preserve">Table 3. </w:t>
      </w:r>
      <w:r w:rsidRPr="00944C48">
        <w:rPr>
          <w:rFonts w:ascii="Times New Roman" w:hAnsi="Times New Roman"/>
          <w:b/>
          <w:bCs/>
        </w:rPr>
        <w:t>Geographical Distribution</w:t>
      </w:r>
    </w:p>
    <w:tbl>
      <w:tblPr>
        <w:tblW w:w="5000" w:type="pct"/>
        <w:tblLook w:val="04A0" w:firstRow="1" w:lastRow="0" w:firstColumn="1" w:lastColumn="0" w:noHBand="0" w:noVBand="1"/>
      </w:tblPr>
      <w:tblGrid>
        <w:gridCol w:w="2456"/>
        <w:gridCol w:w="1950"/>
        <w:gridCol w:w="3217"/>
        <w:gridCol w:w="3393"/>
      </w:tblGrid>
      <w:tr w:rsidR="00A11FFD" w:rsidRPr="00944C48" w14:paraId="0A096F23" w14:textId="77777777" w:rsidTr="00560FBB">
        <w:trPr>
          <w:trHeight w:val="324"/>
        </w:trPr>
        <w:tc>
          <w:tcPr>
            <w:tcW w:w="1115" w:type="pct"/>
            <w:tcBorders>
              <w:top w:val="single" w:sz="8" w:space="0" w:color="auto"/>
              <w:left w:val="single" w:sz="8" w:space="0" w:color="auto"/>
              <w:bottom w:val="single" w:sz="8" w:space="0" w:color="auto"/>
              <w:right w:val="single" w:sz="8" w:space="0" w:color="auto"/>
            </w:tcBorders>
            <w:vAlign w:val="center"/>
            <w:hideMark/>
          </w:tcPr>
          <w:p w14:paraId="76D03BDD"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Rank</w:t>
            </w:r>
          </w:p>
        </w:tc>
        <w:tc>
          <w:tcPr>
            <w:tcW w:w="885" w:type="pct"/>
            <w:tcBorders>
              <w:top w:val="single" w:sz="8" w:space="0" w:color="auto"/>
              <w:left w:val="nil"/>
              <w:bottom w:val="single" w:sz="8" w:space="0" w:color="auto"/>
              <w:right w:val="single" w:sz="8" w:space="0" w:color="auto"/>
            </w:tcBorders>
            <w:vAlign w:val="center"/>
            <w:hideMark/>
          </w:tcPr>
          <w:p w14:paraId="2D958A91"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Country</w:t>
            </w:r>
          </w:p>
        </w:tc>
        <w:tc>
          <w:tcPr>
            <w:tcW w:w="1460" w:type="pct"/>
            <w:tcBorders>
              <w:top w:val="single" w:sz="8" w:space="0" w:color="auto"/>
              <w:left w:val="nil"/>
              <w:bottom w:val="single" w:sz="8" w:space="0" w:color="auto"/>
              <w:right w:val="single" w:sz="8" w:space="0" w:color="auto"/>
            </w:tcBorders>
            <w:vAlign w:val="center"/>
            <w:hideMark/>
          </w:tcPr>
          <w:p w14:paraId="5CF1AB20"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Articles</w:t>
            </w:r>
          </w:p>
        </w:tc>
        <w:tc>
          <w:tcPr>
            <w:tcW w:w="1540" w:type="pct"/>
            <w:tcBorders>
              <w:top w:val="single" w:sz="8" w:space="0" w:color="auto"/>
              <w:left w:val="nil"/>
              <w:bottom w:val="single" w:sz="8" w:space="0" w:color="auto"/>
              <w:right w:val="single" w:sz="8" w:space="0" w:color="auto"/>
            </w:tcBorders>
            <w:vAlign w:val="center"/>
            <w:hideMark/>
          </w:tcPr>
          <w:p w14:paraId="3E3ECB48"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Share (%)</w:t>
            </w:r>
          </w:p>
        </w:tc>
      </w:tr>
      <w:tr w:rsidR="00A11FFD" w:rsidRPr="00944C48" w14:paraId="65C835EC" w14:textId="77777777" w:rsidTr="00560FBB">
        <w:trPr>
          <w:trHeight w:val="636"/>
        </w:trPr>
        <w:tc>
          <w:tcPr>
            <w:tcW w:w="1115" w:type="pct"/>
            <w:tcBorders>
              <w:top w:val="nil"/>
              <w:left w:val="single" w:sz="8" w:space="0" w:color="auto"/>
              <w:bottom w:val="single" w:sz="8" w:space="0" w:color="auto"/>
              <w:right w:val="single" w:sz="8" w:space="0" w:color="auto"/>
            </w:tcBorders>
            <w:vAlign w:val="center"/>
            <w:hideMark/>
          </w:tcPr>
          <w:p w14:paraId="26F94D5C"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w:t>
            </w:r>
          </w:p>
        </w:tc>
        <w:tc>
          <w:tcPr>
            <w:tcW w:w="885" w:type="pct"/>
            <w:tcBorders>
              <w:top w:val="nil"/>
              <w:left w:val="nil"/>
              <w:bottom w:val="single" w:sz="8" w:space="0" w:color="auto"/>
              <w:right w:val="single" w:sz="8" w:space="0" w:color="auto"/>
            </w:tcBorders>
            <w:vAlign w:val="center"/>
            <w:hideMark/>
          </w:tcPr>
          <w:p w14:paraId="45198C60"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United Kingdom</w:t>
            </w:r>
          </w:p>
        </w:tc>
        <w:tc>
          <w:tcPr>
            <w:tcW w:w="1460" w:type="pct"/>
            <w:tcBorders>
              <w:top w:val="nil"/>
              <w:left w:val="nil"/>
              <w:bottom w:val="single" w:sz="8" w:space="0" w:color="auto"/>
              <w:right w:val="single" w:sz="8" w:space="0" w:color="auto"/>
            </w:tcBorders>
            <w:vAlign w:val="center"/>
            <w:hideMark/>
          </w:tcPr>
          <w:p w14:paraId="002B236F"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44</w:t>
            </w:r>
          </w:p>
        </w:tc>
        <w:tc>
          <w:tcPr>
            <w:tcW w:w="1540" w:type="pct"/>
            <w:tcBorders>
              <w:top w:val="nil"/>
              <w:left w:val="nil"/>
              <w:bottom w:val="single" w:sz="8" w:space="0" w:color="auto"/>
              <w:right w:val="single" w:sz="8" w:space="0" w:color="auto"/>
            </w:tcBorders>
            <w:vAlign w:val="center"/>
            <w:hideMark/>
          </w:tcPr>
          <w:p w14:paraId="11FB03A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36.4</w:t>
            </w:r>
          </w:p>
        </w:tc>
      </w:tr>
      <w:tr w:rsidR="00A11FFD" w:rsidRPr="00944C48" w14:paraId="1A2D6A4C"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4CC98A8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w:t>
            </w:r>
          </w:p>
        </w:tc>
        <w:tc>
          <w:tcPr>
            <w:tcW w:w="885" w:type="pct"/>
            <w:tcBorders>
              <w:top w:val="nil"/>
              <w:left w:val="nil"/>
              <w:bottom w:val="single" w:sz="8" w:space="0" w:color="auto"/>
              <w:right w:val="single" w:sz="8" w:space="0" w:color="auto"/>
            </w:tcBorders>
            <w:vAlign w:val="center"/>
            <w:hideMark/>
          </w:tcPr>
          <w:p w14:paraId="6AD49A16"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United States</w:t>
            </w:r>
          </w:p>
        </w:tc>
        <w:tc>
          <w:tcPr>
            <w:tcW w:w="1460" w:type="pct"/>
            <w:tcBorders>
              <w:top w:val="nil"/>
              <w:left w:val="nil"/>
              <w:bottom w:val="single" w:sz="8" w:space="0" w:color="auto"/>
              <w:right w:val="single" w:sz="8" w:space="0" w:color="auto"/>
            </w:tcBorders>
            <w:vAlign w:val="center"/>
            <w:hideMark/>
          </w:tcPr>
          <w:p w14:paraId="7928228B"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20</w:t>
            </w:r>
          </w:p>
        </w:tc>
        <w:tc>
          <w:tcPr>
            <w:tcW w:w="1540" w:type="pct"/>
            <w:tcBorders>
              <w:top w:val="nil"/>
              <w:left w:val="nil"/>
              <w:bottom w:val="single" w:sz="8" w:space="0" w:color="auto"/>
              <w:right w:val="single" w:sz="8" w:space="0" w:color="auto"/>
            </w:tcBorders>
            <w:vAlign w:val="center"/>
            <w:hideMark/>
          </w:tcPr>
          <w:p w14:paraId="13C225B6"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16.5</w:t>
            </w:r>
          </w:p>
        </w:tc>
      </w:tr>
      <w:tr w:rsidR="00A11FFD" w:rsidRPr="00944C48" w14:paraId="5D663819"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5B539B68"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w:t>
            </w:r>
          </w:p>
        </w:tc>
        <w:tc>
          <w:tcPr>
            <w:tcW w:w="885" w:type="pct"/>
            <w:tcBorders>
              <w:top w:val="nil"/>
              <w:left w:val="nil"/>
              <w:bottom w:val="single" w:sz="8" w:space="0" w:color="auto"/>
              <w:right w:val="single" w:sz="8" w:space="0" w:color="auto"/>
            </w:tcBorders>
            <w:vAlign w:val="center"/>
            <w:hideMark/>
          </w:tcPr>
          <w:p w14:paraId="317DCEA8"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Ukraine</w:t>
            </w:r>
          </w:p>
        </w:tc>
        <w:tc>
          <w:tcPr>
            <w:tcW w:w="1460" w:type="pct"/>
            <w:tcBorders>
              <w:top w:val="nil"/>
              <w:left w:val="nil"/>
              <w:bottom w:val="single" w:sz="8" w:space="0" w:color="auto"/>
              <w:right w:val="single" w:sz="8" w:space="0" w:color="auto"/>
            </w:tcBorders>
            <w:vAlign w:val="center"/>
            <w:hideMark/>
          </w:tcPr>
          <w:p w14:paraId="426DCFC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15</w:t>
            </w:r>
          </w:p>
        </w:tc>
        <w:tc>
          <w:tcPr>
            <w:tcW w:w="1540" w:type="pct"/>
            <w:tcBorders>
              <w:top w:val="nil"/>
              <w:left w:val="nil"/>
              <w:bottom w:val="single" w:sz="8" w:space="0" w:color="auto"/>
              <w:right w:val="single" w:sz="8" w:space="0" w:color="auto"/>
            </w:tcBorders>
            <w:vAlign w:val="center"/>
            <w:hideMark/>
          </w:tcPr>
          <w:p w14:paraId="09C81F5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12.4</w:t>
            </w:r>
          </w:p>
        </w:tc>
      </w:tr>
      <w:tr w:rsidR="00A11FFD" w:rsidRPr="00944C48" w14:paraId="0AE7C708"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3582F07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4</w:t>
            </w:r>
          </w:p>
        </w:tc>
        <w:tc>
          <w:tcPr>
            <w:tcW w:w="885" w:type="pct"/>
            <w:tcBorders>
              <w:top w:val="nil"/>
              <w:left w:val="nil"/>
              <w:bottom w:val="single" w:sz="8" w:space="0" w:color="auto"/>
              <w:right w:val="single" w:sz="8" w:space="0" w:color="auto"/>
            </w:tcBorders>
            <w:vAlign w:val="center"/>
            <w:hideMark/>
          </w:tcPr>
          <w:p w14:paraId="7B50202E"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Netherlands</w:t>
            </w:r>
          </w:p>
        </w:tc>
        <w:tc>
          <w:tcPr>
            <w:tcW w:w="1460" w:type="pct"/>
            <w:tcBorders>
              <w:top w:val="nil"/>
              <w:left w:val="nil"/>
              <w:bottom w:val="single" w:sz="8" w:space="0" w:color="auto"/>
              <w:right w:val="single" w:sz="8" w:space="0" w:color="auto"/>
            </w:tcBorders>
            <w:vAlign w:val="center"/>
            <w:hideMark/>
          </w:tcPr>
          <w:p w14:paraId="4BEF76D4"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7</w:t>
            </w:r>
          </w:p>
        </w:tc>
        <w:tc>
          <w:tcPr>
            <w:tcW w:w="1540" w:type="pct"/>
            <w:tcBorders>
              <w:top w:val="nil"/>
              <w:left w:val="nil"/>
              <w:bottom w:val="single" w:sz="8" w:space="0" w:color="auto"/>
              <w:right w:val="single" w:sz="8" w:space="0" w:color="auto"/>
            </w:tcBorders>
            <w:vAlign w:val="center"/>
            <w:hideMark/>
          </w:tcPr>
          <w:p w14:paraId="3CAE6F1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5.8</w:t>
            </w:r>
          </w:p>
        </w:tc>
      </w:tr>
      <w:tr w:rsidR="00A11FFD" w:rsidRPr="00944C48" w14:paraId="492C0D36"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78CB27F0"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w:t>
            </w:r>
          </w:p>
        </w:tc>
        <w:tc>
          <w:tcPr>
            <w:tcW w:w="885" w:type="pct"/>
            <w:tcBorders>
              <w:top w:val="nil"/>
              <w:left w:val="nil"/>
              <w:bottom w:val="single" w:sz="8" w:space="0" w:color="auto"/>
              <w:right w:val="single" w:sz="8" w:space="0" w:color="auto"/>
            </w:tcBorders>
            <w:vAlign w:val="center"/>
            <w:hideMark/>
          </w:tcPr>
          <w:p w14:paraId="24C81E9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Australia</w:t>
            </w:r>
          </w:p>
        </w:tc>
        <w:tc>
          <w:tcPr>
            <w:tcW w:w="1460" w:type="pct"/>
            <w:tcBorders>
              <w:top w:val="nil"/>
              <w:left w:val="nil"/>
              <w:bottom w:val="single" w:sz="8" w:space="0" w:color="auto"/>
              <w:right w:val="single" w:sz="8" w:space="0" w:color="auto"/>
            </w:tcBorders>
            <w:vAlign w:val="center"/>
            <w:hideMark/>
          </w:tcPr>
          <w:p w14:paraId="2C498E9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7</w:t>
            </w:r>
          </w:p>
        </w:tc>
        <w:tc>
          <w:tcPr>
            <w:tcW w:w="1540" w:type="pct"/>
            <w:tcBorders>
              <w:top w:val="nil"/>
              <w:left w:val="nil"/>
              <w:bottom w:val="single" w:sz="8" w:space="0" w:color="auto"/>
              <w:right w:val="single" w:sz="8" w:space="0" w:color="auto"/>
            </w:tcBorders>
            <w:vAlign w:val="center"/>
            <w:hideMark/>
          </w:tcPr>
          <w:p w14:paraId="1CF048F8"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5.8</w:t>
            </w:r>
          </w:p>
        </w:tc>
      </w:tr>
      <w:tr w:rsidR="00A11FFD" w:rsidRPr="00944C48" w14:paraId="232EFDA1"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3A03B685"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6</w:t>
            </w:r>
          </w:p>
        </w:tc>
        <w:tc>
          <w:tcPr>
            <w:tcW w:w="885" w:type="pct"/>
            <w:tcBorders>
              <w:top w:val="nil"/>
              <w:left w:val="nil"/>
              <w:bottom w:val="single" w:sz="8" w:space="0" w:color="auto"/>
              <w:right w:val="single" w:sz="8" w:space="0" w:color="auto"/>
            </w:tcBorders>
            <w:vAlign w:val="center"/>
            <w:hideMark/>
          </w:tcPr>
          <w:p w14:paraId="3B7DE75B"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South Africa</w:t>
            </w:r>
          </w:p>
        </w:tc>
        <w:tc>
          <w:tcPr>
            <w:tcW w:w="1460" w:type="pct"/>
            <w:tcBorders>
              <w:top w:val="nil"/>
              <w:left w:val="nil"/>
              <w:bottom w:val="single" w:sz="8" w:space="0" w:color="auto"/>
              <w:right w:val="single" w:sz="8" w:space="0" w:color="auto"/>
            </w:tcBorders>
            <w:vAlign w:val="center"/>
            <w:hideMark/>
          </w:tcPr>
          <w:p w14:paraId="68215C2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w:t>
            </w:r>
          </w:p>
        </w:tc>
        <w:tc>
          <w:tcPr>
            <w:tcW w:w="1540" w:type="pct"/>
            <w:tcBorders>
              <w:top w:val="nil"/>
              <w:left w:val="nil"/>
              <w:bottom w:val="single" w:sz="8" w:space="0" w:color="auto"/>
              <w:right w:val="single" w:sz="8" w:space="0" w:color="auto"/>
            </w:tcBorders>
            <w:vAlign w:val="center"/>
            <w:hideMark/>
          </w:tcPr>
          <w:p w14:paraId="62D86887"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4.1</w:t>
            </w:r>
          </w:p>
        </w:tc>
      </w:tr>
      <w:tr w:rsidR="00A11FFD" w:rsidRPr="00944C48" w14:paraId="7420A058"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5CC4C34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7</w:t>
            </w:r>
          </w:p>
        </w:tc>
        <w:tc>
          <w:tcPr>
            <w:tcW w:w="885" w:type="pct"/>
            <w:tcBorders>
              <w:top w:val="nil"/>
              <w:left w:val="nil"/>
              <w:bottom w:val="single" w:sz="8" w:space="0" w:color="auto"/>
              <w:right w:val="single" w:sz="8" w:space="0" w:color="auto"/>
            </w:tcBorders>
            <w:vAlign w:val="center"/>
            <w:hideMark/>
          </w:tcPr>
          <w:p w14:paraId="0383968B"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Switzerland</w:t>
            </w:r>
          </w:p>
        </w:tc>
        <w:tc>
          <w:tcPr>
            <w:tcW w:w="1460" w:type="pct"/>
            <w:tcBorders>
              <w:top w:val="nil"/>
              <w:left w:val="nil"/>
              <w:bottom w:val="single" w:sz="8" w:space="0" w:color="auto"/>
              <w:right w:val="single" w:sz="8" w:space="0" w:color="auto"/>
            </w:tcBorders>
            <w:vAlign w:val="center"/>
            <w:hideMark/>
          </w:tcPr>
          <w:p w14:paraId="6A33049F"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w:t>
            </w:r>
          </w:p>
        </w:tc>
        <w:tc>
          <w:tcPr>
            <w:tcW w:w="1540" w:type="pct"/>
            <w:tcBorders>
              <w:top w:val="nil"/>
              <w:left w:val="nil"/>
              <w:bottom w:val="single" w:sz="8" w:space="0" w:color="auto"/>
              <w:right w:val="single" w:sz="8" w:space="0" w:color="auto"/>
            </w:tcBorders>
            <w:vAlign w:val="center"/>
            <w:hideMark/>
          </w:tcPr>
          <w:p w14:paraId="42453575"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2.5</w:t>
            </w:r>
          </w:p>
        </w:tc>
      </w:tr>
      <w:tr w:rsidR="00A11FFD" w:rsidRPr="00944C48" w14:paraId="6BFBB95C"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22B43DD1"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8</w:t>
            </w:r>
          </w:p>
        </w:tc>
        <w:tc>
          <w:tcPr>
            <w:tcW w:w="885" w:type="pct"/>
            <w:tcBorders>
              <w:top w:val="nil"/>
              <w:left w:val="nil"/>
              <w:bottom w:val="single" w:sz="8" w:space="0" w:color="auto"/>
              <w:right w:val="single" w:sz="8" w:space="0" w:color="auto"/>
            </w:tcBorders>
            <w:vAlign w:val="center"/>
            <w:hideMark/>
          </w:tcPr>
          <w:p w14:paraId="77B4397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Malaysia</w:t>
            </w:r>
          </w:p>
        </w:tc>
        <w:tc>
          <w:tcPr>
            <w:tcW w:w="1460" w:type="pct"/>
            <w:tcBorders>
              <w:top w:val="nil"/>
              <w:left w:val="nil"/>
              <w:bottom w:val="single" w:sz="8" w:space="0" w:color="auto"/>
              <w:right w:val="single" w:sz="8" w:space="0" w:color="auto"/>
            </w:tcBorders>
            <w:vAlign w:val="center"/>
            <w:hideMark/>
          </w:tcPr>
          <w:p w14:paraId="580E63F3"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w:t>
            </w:r>
          </w:p>
        </w:tc>
        <w:tc>
          <w:tcPr>
            <w:tcW w:w="1540" w:type="pct"/>
            <w:tcBorders>
              <w:top w:val="nil"/>
              <w:left w:val="nil"/>
              <w:bottom w:val="single" w:sz="8" w:space="0" w:color="auto"/>
              <w:right w:val="single" w:sz="8" w:space="0" w:color="auto"/>
            </w:tcBorders>
            <w:vAlign w:val="center"/>
            <w:hideMark/>
          </w:tcPr>
          <w:p w14:paraId="3B1D3EB7"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2.5</w:t>
            </w:r>
          </w:p>
        </w:tc>
      </w:tr>
      <w:tr w:rsidR="00A11FFD" w:rsidRPr="00944C48" w14:paraId="677C85CA"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3302F82E"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9</w:t>
            </w:r>
          </w:p>
        </w:tc>
        <w:tc>
          <w:tcPr>
            <w:tcW w:w="885" w:type="pct"/>
            <w:tcBorders>
              <w:top w:val="nil"/>
              <w:left w:val="nil"/>
              <w:bottom w:val="single" w:sz="8" w:space="0" w:color="auto"/>
              <w:right w:val="single" w:sz="8" w:space="0" w:color="auto"/>
            </w:tcBorders>
            <w:vAlign w:val="center"/>
            <w:hideMark/>
          </w:tcPr>
          <w:p w14:paraId="13F7DCFF"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Mexico</w:t>
            </w:r>
          </w:p>
        </w:tc>
        <w:tc>
          <w:tcPr>
            <w:tcW w:w="1460" w:type="pct"/>
            <w:tcBorders>
              <w:top w:val="nil"/>
              <w:left w:val="nil"/>
              <w:bottom w:val="single" w:sz="8" w:space="0" w:color="auto"/>
              <w:right w:val="single" w:sz="8" w:space="0" w:color="auto"/>
            </w:tcBorders>
            <w:vAlign w:val="center"/>
            <w:hideMark/>
          </w:tcPr>
          <w:p w14:paraId="26E5E5C6"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w:t>
            </w:r>
          </w:p>
        </w:tc>
        <w:tc>
          <w:tcPr>
            <w:tcW w:w="1540" w:type="pct"/>
            <w:tcBorders>
              <w:top w:val="nil"/>
              <w:left w:val="nil"/>
              <w:bottom w:val="single" w:sz="8" w:space="0" w:color="auto"/>
              <w:right w:val="single" w:sz="8" w:space="0" w:color="auto"/>
            </w:tcBorders>
            <w:vAlign w:val="center"/>
            <w:hideMark/>
          </w:tcPr>
          <w:p w14:paraId="5CACAD2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1.7</w:t>
            </w:r>
          </w:p>
        </w:tc>
      </w:tr>
      <w:tr w:rsidR="00A11FFD" w:rsidRPr="00944C48" w14:paraId="7329DDB6"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2F258C8C"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10</w:t>
            </w:r>
          </w:p>
        </w:tc>
        <w:tc>
          <w:tcPr>
            <w:tcW w:w="885" w:type="pct"/>
            <w:tcBorders>
              <w:top w:val="nil"/>
              <w:left w:val="nil"/>
              <w:bottom w:val="single" w:sz="8" w:space="0" w:color="auto"/>
              <w:right w:val="single" w:sz="8" w:space="0" w:color="auto"/>
            </w:tcBorders>
            <w:vAlign w:val="center"/>
            <w:hideMark/>
          </w:tcPr>
          <w:p w14:paraId="4E8D9B7E"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Greece</w:t>
            </w:r>
          </w:p>
        </w:tc>
        <w:tc>
          <w:tcPr>
            <w:tcW w:w="1460" w:type="pct"/>
            <w:tcBorders>
              <w:top w:val="nil"/>
              <w:left w:val="nil"/>
              <w:bottom w:val="single" w:sz="8" w:space="0" w:color="auto"/>
              <w:right w:val="single" w:sz="8" w:space="0" w:color="auto"/>
            </w:tcBorders>
            <w:vAlign w:val="center"/>
            <w:hideMark/>
          </w:tcPr>
          <w:p w14:paraId="2993194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w:t>
            </w:r>
          </w:p>
        </w:tc>
        <w:tc>
          <w:tcPr>
            <w:tcW w:w="1540" w:type="pct"/>
            <w:tcBorders>
              <w:top w:val="nil"/>
              <w:left w:val="nil"/>
              <w:bottom w:val="single" w:sz="8" w:space="0" w:color="auto"/>
              <w:right w:val="single" w:sz="8" w:space="0" w:color="auto"/>
            </w:tcBorders>
            <w:vAlign w:val="center"/>
            <w:hideMark/>
          </w:tcPr>
          <w:p w14:paraId="0B3E615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1.7</w:t>
            </w:r>
          </w:p>
        </w:tc>
      </w:tr>
      <w:tr w:rsidR="00A11FFD" w:rsidRPr="00944C48" w14:paraId="0EC6E437"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282B8069"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Total (top 10)</w:t>
            </w:r>
          </w:p>
        </w:tc>
        <w:tc>
          <w:tcPr>
            <w:tcW w:w="885" w:type="pct"/>
            <w:tcBorders>
              <w:top w:val="nil"/>
              <w:left w:val="nil"/>
              <w:bottom w:val="single" w:sz="8" w:space="0" w:color="auto"/>
              <w:right w:val="single" w:sz="8" w:space="0" w:color="auto"/>
            </w:tcBorders>
            <w:vAlign w:val="bottom"/>
            <w:hideMark/>
          </w:tcPr>
          <w:p w14:paraId="27EA0833" w14:textId="77777777" w:rsidR="00A11FFD" w:rsidRPr="00944C48" w:rsidRDefault="00A11FFD" w:rsidP="00560FBB">
            <w:pPr>
              <w:jc w:val="center"/>
              <w:rPr>
                <w:rFonts w:ascii="Aptos" w:hAnsi="Aptos"/>
                <w:color w:val="000000"/>
                <w:lang w:eastAsia="en-IN"/>
              </w:rPr>
            </w:pPr>
            <w:r w:rsidRPr="00944C48">
              <w:rPr>
                <w:rFonts w:ascii="Aptos" w:hAnsi="Aptos"/>
                <w:color w:val="000000"/>
                <w:lang w:eastAsia="en-IN"/>
              </w:rPr>
              <w:t> </w:t>
            </w:r>
          </w:p>
        </w:tc>
        <w:tc>
          <w:tcPr>
            <w:tcW w:w="1460" w:type="pct"/>
            <w:tcBorders>
              <w:top w:val="nil"/>
              <w:left w:val="nil"/>
              <w:bottom w:val="single" w:sz="8" w:space="0" w:color="auto"/>
              <w:right w:val="single" w:sz="8" w:space="0" w:color="auto"/>
            </w:tcBorders>
            <w:vAlign w:val="center"/>
            <w:hideMark/>
          </w:tcPr>
          <w:p w14:paraId="58494E03"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108</w:t>
            </w:r>
          </w:p>
        </w:tc>
        <w:tc>
          <w:tcPr>
            <w:tcW w:w="1540" w:type="pct"/>
            <w:tcBorders>
              <w:top w:val="nil"/>
              <w:left w:val="nil"/>
              <w:bottom w:val="single" w:sz="8" w:space="0" w:color="auto"/>
              <w:right w:val="single" w:sz="8" w:space="0" w:color="auto"/>
            </w:tcBorders>
            <w:vAlign w:val="center"/>
            <w:hideMark/>
          </w:tcPr>
          <w:p w14:paraId="0F42BFDB"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89.3</w:t>
            </w:r>
          </w:p>
        </w:tc>
      </w:tr>
    </w:tbl>
    <w:p w14:paraId="7F2DD989" w14:textId="77777777" w:rsidR="00A11FFD" w:rsidRDefault="00A11FFD" w:rsidP="00A11FFD">
      <w:pPr>
        <w:jc w:val="both"/>
        <w:rPr>
          <w:rFonts w:ascii="Times New Roman" w:hAnsi="Times New Roman"/>
        </w:rPr>
      </w:pPr>
      <w:r w:rsidRPr="00E22540">
        <w:rPr>
          <w:rFonts w:ascii="Times New Roman" w:hAnsi="Times New Roman"/>
        </w:rPr>
        <w:t xml:space="preserve">Note: N = 121. Source: </w:t>
      </w:r>
      <w:r w:rsidRPr="00334D91">
        <w:rPr>
          <w:rFonts w:ascii="Times New Roman" w:hAnsi="Times New Roman"/>
        </w:rPr>
        <w:t>Author's refined datasets</w:t>
      </w:r>
      <w:r w:rsidRPr="00E22540">
        <w:rPr>
          <w:rFonts w:ascii="Times New Roman" w:hAnsi="Times New Roman"/>
        </w:rPr>
        <w:t>.​</w:t>
      </w:r>
    </w:p>
    <w:p w14:paraId="1CFF4885" w14:textId="77777777" w:rsidR="00A11FFD" w:rsidRDefault="00A11FFD" w:rsidP="00A11FFD">
      <w:pPr>
        <w:jc w:val="both"/>
        <w:rPr>
          <w:rFonts w:ascii="Times New Roman" w:hAnsi="Times New Roman"/>
        </w:rPr>
      </w:pPr>
      <w:r w:rsidRPr="00E22540">
        <w:rPr>
          <w:rFonts w:ascii="Times New Roman" w:hAnsi="Times New Roman"/>
          <w:b/>
          <w:bCs/>
        </w:rPr>
        <w:t>Table 3</w:t>
      </w:r>
      <w:r w:rsidRPr="00E22540">
        <w:rPr>
          <w:rFonts w:ascii="Times New Roman" w:hAnsi="Times New Roman"/>
        </w:rPr>
        <w:t xml:space="preserve"> lists the top 10 contributing countries. This distribution reflects the institutional strength of accounting research in established financial </w:t>
      </w:r>
      <w:proofErr w:type="spellStart"/>
      <w:r w:rsidRPr="00E22540">
        <w:rPr>
          <w:rFonts w:ascii="Times New Roman" w:hAnsi="Times New Roman"/>
        </w:rPr>
        <w:t>centres</w:t>
      </w:r>
      <w:proofErr w:type="spellEnd"/>
      <w:r w:rsidRPr="00E22540">
        <w:rPr>
          <w:rFonts w:ascii="Times New Roman" w:hAnsi="Times New Roman"/>
        </w:rPr>
        <w:t>, as well as the global influence of UK and US professional bodies such as ICAEW, ACCA and AICPA. The presence of Ukraine and other Eastern European countries points to growing interest in post</w:t>
      </w:r>
      <w:r w:rsidRPr="00E22540">
        <w:rPr>
          <w:rFonts w:ascii="Times New Roman" w:hAnsi="Times New Roman"/>
        </w:rPr>
        <w:noBreakHyphen/>
        <w:t xml:space="preserve">transition accounting reforms and </w:t>
      </w:r>
      <w:proofErr w:type="gramStart"/>
      <w:r w:rsidRPr="00E22540">
        <w:rPr>
          <w:rFonts w:ascii="Times New Roman" w:hAnsi="Times New Roman"/>
        </w:rPr>
        <w:t>governance.​</w:t>
      </w:r>
      <w:proofErr w:type="gramEnd"/>
    </w:p>
    <w:p w14:paraId="088DD197" w14:textId="45050D97" w:rsidR="00A11FFD" w:rsidRDefault="00A11FFD" w:rsidP="00A11FFD">
      <w:pPr>
        <w:jc w:val="both"/>
        <w:rPr>
          <w:rFonts w:ascii="Times New Roman" w:hAnsi="Times New Roman"/>
        </w:rPr>
      </w:pPr>
      <w:r>
        <w:rPr>
          <w:rFonts w:ascii="Times New Roman" w:hAnsi="Times New Roman"/>
        </w:rPr>
        <w:t>Figure 3:</w:t>
      </w:r>
      <w:r w:rsidRPr="00145937">
        <w:t xml:space="preserve"> </w:t>
      </w:r>
      <w:r w:rsidR="00ED10CD">
        <w:t xml:space="preserve">Graph showing the </w:t>
      </w:r>
      <w:r w:rsidRPr="00145937">
        <w:rPr>
          <w:rFonts w:ascii="Times New Roman" w:hAnsi="Times New Roman"/>
        </w:rPr>
        <w:t>Geographical distribution</w:t>
      </w:r>
    </w:p>
    <w:p w14:paraId="43AE34F8" w14:textId="77777777" w:rsidR="00A11FFD" w:rsidRPr="00E22540" w:rsidRDefault="00A11FFD" w:rsidP="00A11FFD">
      <w:pPr>
        <w:jc w:val="center"/>
        <w:rPr>
          <w:rFonts w:ascii="Times New Roman" w:hAnsi="Times New Roman"/>
        </w:rPr>
      </w:pPr>
      <w:r>
        <w:rPr>
          <w:noProof/>
        </w:rPr>
        <w:lastRenderedPageBreak/>
        <w:drawing>
          <wp:inline distT="0" distB="0" distL="0" distR="0" wp14:anchorId="3230FB3A" wp14:editId="1C22A65B">
            <wp:extent cx="4572000" cy="2743200"/>
            <wp:effectExtent l="0" t="0" r="0" b="0"/>
            <wp:docPr id="1834215691" name="Chart 1">
              <a:extLst xmlns:a="http://schemas.openxmlformats.org/drawingml/2006/main">
                <a:ext uri="{FF2B5EF4-FFF2-40B4-BE49-F238E27FC236}">
                  <a16:creationId xmlns:a16="http://schemas.microsoft.com/office/drawing/2014/main" id="{FAC0DE37-36CD-4939-BF03-192D69531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32E0E5"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.3 Journal outlets and open access prevalence</w:t>
      </w:r>
    </w:p>
    <w:p w14:paraId="73EA59A6" w14:textId="77777777" w:rsidR="00A11FFD" w:rsidRPr="00663464" w:rsidRDefault="00A11FFD" w:rsidP="00A11FFD">
      <w:pPr>
        <w:jc w:val="both"/>
        <w:rPr>
          <w:rFonts w:ascii="Times New Roman" w:hAnsi="Times New Roman"/>
        </w:rPr>
      </w:pPr>
      <w:r w:rsidRPr="00663464">
        <w:rPr>
          <w:rFonts w:ascii="Times New Roman" w:hAnsi="Times New Roman"/>
        </w:rPr>
        <w:t xml:space="preserve">CA research is disseminated in numerous journals, predominantly within the fields of accounting and business. Accounting and Business Research and Corporate Ownership and Control each published 8 articles (6.6% each), followed by Investment Management and Financial Innovations, Australasian Business, Accounting and Finance Journal, </w:t>
      </w:r>
      <w:proofErr w:type="spellStart"/>
      <w:r w:rsidRPr="00663464">
        <w:rPr>
          <w:rFonts w:ascii="Times New Roman" w:hAnsi="Times New Roman"/>
        </w:rPr>
        <w:t>Revista</w:t>
      </w:r>
      <w:proofErr w:type="spellEnd"/>
      <w:r w:rsidRPr="00663464">
        <w:rPr>
          <w:rFonts w:ascii="Times New Roman" w:hAnsi="Times New Roman"/>
        </w:rPr>
        <w:t xml:space="preserve"> de </w:t>
      </w:r>
      <w:proofErr w:type="spellStart"/>
      <w:r w:rsidRPr="00663464">
        <w:rPr>
          <w:rFonts w:ascii="Times New Roman" w:hAnsi="Times New Roman"/>
        </w:rPr>
        <w:t>Contabilidad</w:t>
      </w:r>
      <w:proofErr w:type="spellEnd"/>
      <w:r w:rsidRPr="00663464">
        <w:rPr>
          <w:rFonts w:ascii="Times New Roman" w:hAnsi="Times New Roman"/>
        </w:rPr>
        <w:t>, and South African Journal of Economic and Management Sciences, each with 4 articles (3.3%). Other notable publications include the Australian Accounting Review, Accounting Education, Critical Perspectives on Accounting, and the Accounting, Auditing &amp; Accountability Journal, each including three articles.</w:t>
      </w:r>
    </w:p>
    <w:p w14:paraId="007E38CF" w14:textId="77777777" w:rsidR="00A11FFD" w:rsidRPr="00E22540" w:rsidRDefault="00A11FFD" w:rsidP="00A11FFD">
      <w:pPr>
        <w:jc w:val="both"/>
        <w:rPr>
          <w:rFonts w:ascii="Times New Roman" w:hAnsi="Times New Roman"/>
        </w:rPr>
      </w:pPr>
      <w:r w:rsidRPr="00E22540">
        <w:rPr>
          <w:rFonts w:ascii="Times New Roman" w:hAnsi="Times New Roman"/>
          <w:b/>
          <w:bCs/>
        </w:rPr>
        <w:t>Table 4</w:t>
      </w:r>
      <w:r w:rsidRPr="00E22540">
        <w:rPr>
          <w:rFonts w:ascii="Times New Roman" w:hAnsi="Times New Roman"/>
        </w:rPr>
        <w:t> presents the top 10 journals. These outlets span core accounting journals, interdisciplinary business journals and region</w:t>
      </w:r>
      <w:r w:rsidRPr="00E22540">
        <w:rPr>
          <w:rFonts w:ascii="Times New Roman" w:hAnsi="Times New Roman"/>
        </w:rPr>
        <w:noBreakHyphen/>
        <w:t>specific publications, indicating the broad appeal of CA profession research.​</w:t>
      </w:r>
    </w:p>
    <w:p w14:paraId="05560849" w14:textId="77777777" w:rsidR="00A11FFD" w:rsidRPr="00944C48" w:rsidRDefault="00A11FFD" w:rsidP="00A11FFD">
      <w:pPr>
        <w:jc w:val="both"/>
        <w:rPr>
          <w:rFonts w:ascii="Times New Roman" w:hAnsi="Times New Roman"/>
          <w:b/>
          <w:bCs/>
        </w:rPr>
      </w:pPr>
      <w:r w:rsidRPr="00E22540">
        <w:rPr>
          <w:rFonts w:ascii="Times New Roman" w:hAnsi="Times New Roman"/>
          <w:b/>
          <w:bCs/>
        </w:rPr>
        <w:t xml:space="preserve">Table 4. </w:t>
      </w:r>
      <w:r w:rsidRPr="00944C48">
        <w:rPr>
          <w:rFonts w:ascii="Times New Roman" w:hAnsi="Times New Roman"/>
          <w:b/>
          <w:bCs/>
        </w:rPr>
        <w:t>Leading Publication Outlets (Top 10 Journals)</w:t>
      </w:r>
    </w:p>
    <w:tbl>
      <w:tblPr>
        <w:tblW w:w="5000" w:type="pct"/>
        <w:tblLook w:val="04A0" w:firstRow="1" w:lastRow="0" w:firstColumn="1" w:lastColumn="0" w:noHBand="0" w:noVBand="1"/>
      </w:tblPr>
      <w:tblGrid>
        <w:gridCol w:w="1279"/>
        <w:gridCol w:w="6035"/>
        <w:gridCol w:w="1730"/>
        <w:gridCol w:w="1972"/>
      </w:tblGrid>
      <w:tr w:rsidR="00A11FFD" w:rsidRPr="00C657F6" w14:paraId="0CA47EDA" w14:textId="77777777" w:rsidTr="00560FBB">
        <w:trPr>
          <w:trHeight w:val="324"/>
        </w:trPr>
        <w:tc>
          <w:tcPr>
            <w:tcW w:w="581" w:type="pct"/>
            <w:tcBorders>
              <w:top w:val="single" w:sz="8" w:space="0" w:color="auto"/>
              <w:left w:val="single" w:sz="8" w:space="0" w:color="auto"/>
              <w:bottom w:val="single" w:sz="8" w:space="0" w:color="auto"/>
              <w:right w:val="single" w:sz="8" w:space="0" w:color="auto"/>
            </w:tcBorders>
            <w:vAlign w:val="center"/>
            <w:hideMark/>
          </w:tcPr>
          <w:p w14:paraId="50889D01"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Rank</w:t>
            </w:r>
          </w:p>
        </w:tc>
        <w:tc>
          <w:tcPr>
            <w:tcW w:w="2739" w:type="pct"/>
            <w:tcBorders>
              <w:top w:val="single" w:sz="8" w:space="0" w:color="auto"/>
              <w:left w:val="nil"/>
              <w:bottom w:val="single" w:sz="8" w:space="0" w:color="auto"/>
              <w:right w:val="single" w:sz="8" w:space="0" w:color="auto"/>
            </w:tcBorders>
            <w:vAlign w:val="center"/>
            <w:hideMark/>
          </w:tcPr>
          <w:p w14:paraId="23FC1573"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Journal Title</w:t>
            </w:r>
          </w:p>
        </w:tc>
        <w:tc>
          <w:tcPr>
            <w:tcW w:w="785" w:type="pct"/>
            <w:tcBorders>
              <w:top w:val="single" w:sz="8" w:space="0" w:color="auto"/>
              <w:left w:val="nil"/>
              <w:bottom w:val="single" w:sz="8" w:space="0" w:color="auto"/>
              <w:right w:val="single" w:sz="8" w:space="0" w:color="auto"/>
            </w:tcBorders>
            <w:vAlign w:val="center"/>
            <w:hideMark/>
          </w:tcPr>
          <w:p w14:paraId="18CFAE74"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Articles</w:t>
            </w:r>
          </w:p>
        </w:tc>
        <w:tc>
          <w:tcPr>
            <w:tcW w:w="895" w:type="pct"/>
            <w:tcBorders>
              <w:top w:val="single" w:sz="8" w:space="0" w:color="auto"/>
              <w:left w:val="nil"/>
              <w:bottom w:val="single" w:sz="8" w:space="0" w:color="auto"/>
              <w:right w:val="single" w:sz="8" w:space="0" w:color="auto"/>
            </w:tcBorders>
            <w:vAlign w:val="center"/>
            <w:hideMark/>
          </w:tcPr>
          <w:p w14:paraId="72644B2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Share (%)</w:t>
            </w:r>
          </w:p>
        </w:tc>
      </w:tr>
      <w:tr w:rsidR="00A11FFD" w:rsidRPr="00C657F6" w14:paraId="23A849C0"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1DA31696"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1</w:t>
            </w:r>
          </w:p>
        </w:tc>
        <w:tc>
          <w:tcPr>
            <w:tcW w:w="2739" w:type="pct"/>
            <w:tcBorders>
              <w:top w:val="nil"/>
              <w:left w:val="nil"/>
              <w:bottom w:val="single" w:sz="8" w:space="0" w:color="auto"/>
              <w:right w:val="single" w:sz="8" w:space="0" w:color="auto"/>
            </w:tcBorders>
            <w:vAlign w:val="center"/>
            <w:hideMark/>
          </w:tcPr>
          <w:p w14:paraId="14A64479"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Accounting and Business Research</w:t>
            </w:r>
          </w:p>
        </w:tc>
        <w:tc>
          <w:tcPr>
            <w:tcW w:w="785" w:type="pct"/>
            <w:tcBorders>
              <w:top w:val="nil"/>
              <w:left w:val="nil"/>
              <w:bottom w:val="single" w:sz="8" w:space="0" w:color="auto"/>
              <w:right w:val="single" w:sz="8" w:space="0" w:color="auto"/>
            </w:tcBorders>
            <w:vAlign w:val="center"/>
            <w:hideMark/>
          </w:tcPr>
          <w:p w14:paraId="499D907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8</w:t>
            </w:r>
          </w:p>
        </w:tc>
        <w:tc>
          <w:tcPr>
            <w:tcW w:w="895" w:type="pct"/>
            <w:tcBorders>
              <w:top w:val="nil"/>
              <w:left w:val="nil"/>
              <w:bottom w:val="single" w:sz="8" w:space="0" w:color="auto"/>
              <w:right w:val="single" w:sz="8" w:space="0" w:color="auto"/>
            </w:tcBorders>
            <w:vAlign w:val="center"/>
            <w:hideMark/>
          </w:tcPr>
          <w:p w14:paraId="3CBC6CD7"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6.6</w:t>
            </w:r>
          </w:p>
        </w:tc>
      </w:tr>
      <w:tr w:rsidR="00A11FFD" w:rsidRPr="00C657F6" w14:paraId="0F873349"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0A2215D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w:t>
            </w:r>
          </w:p>
        </w:tc>
        <w:tc>
          <w:tcPr>
            <w:tcW w:w="2739" w:type="pct"/>
            <w:tcBorders>
              <w:top w:val="nil"/>
              <w:left w:val="nil"/>
              <w:bottom w:val="single" w:sz="8" w:space="0" w:color="auto"/>
              <w:right w:val="single" w:sz="8" w:space="0" w:color="auto"/>
            </w:tcBorders>
            <w:vAlign w:val="center"/>
            <w:hideMark/>
          </w:tcPr>
          <w:p w14:paraId="58AC4001"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Corporate Ownership and Control</w:t>
            </w:r>
          </w:p>
        </w:tc>
        <w:tc>
          <w:tcPr>
            <w:tcW w:w="785" w:type="pct"/>
            <w:tcBorders>
              <w:top w:val="nil"/>
              <w:left w:val="nil"/>
              <w:bottom w:val="single" w:sz="8" w:space="0" w:color="auto"/>
              <w:right w:val="single" w:sz="8" w:space="0" w:color="auto"/>
            </w:tcBorders>
            <w:vAlign w:val="center"/>
            <w:hideMark/>
          </w:tcPr>
          <w:p w14:paraId="632045F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8</w:t>
            </w:r>
          </w:p>
        </w:tc>
        <w:tc>
          <w:tcPr>
            <w:tcW w:w="895" w:type="pct"/>
            <w:tcBorders>
              <w:top w:val="nil"/>
              <w:left w:val="nil"/>
              <w:bottom w:val="single" w:sz="8" w:space="0" w:color="auto"/>
              <w:right w:val="single" w:sz="8" w:space="0" w:color="auto"/>
            </w:tcBorders>
            <w:vAlign w:val="center"/>
            <w:hideMark/>
          </w:tcPr>
          <w:p w14:paraId="6829329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6.6</w:t>
            </w:r>
          </w:p>
        </w:tc>
      </w:tr>
      <w:tr w:rsidR="00A11FFD" w:rsidRPr="00C657F6" w14:paraId="711C80E6"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50C73C3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2739" w:type="pct"/>
            <w:tcBorders>
              <w:top w:val="nil"/>
              <w:left w:val="nil"/>
              <w:bottom w:val="single" w:sz="8" w:space="0" w:color="auto"/>
              <w:right w:val="single" w:sz="8" w:space="0" w:color="auto"/>
            </w:tcBorders>
            <w:vAlign w:val="center"/>
            <w:hideMark/>
          </w:tcPr>
          <w:p w14:paraId="065E6C91"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Investment Management and Financial Innovations</w:t>
            </w:r>
          </w:p>
        </w:tc>
        <w:tc>
          <w:tcPr>
            <w:tcW w:w="785" w:type="pct"/>
            <w:tcBorders>
              <w:top w:val="nil"/>
              <w:left w:val="nil"/>
              <w:bottom w:val="single" w:sz="8" w:space="0" w:color="auto"/>
              <w:right w:val="single" w:sz="8" w:space="0" w:color="auto"/>
            </w:tcBorders>
            <w:vAlign w:val="center"/>
            <w:hideMark/>
          </w:tcPr>
          <w:p w14:paraId="6F77B4F0"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5E655937"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7D4000A3"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6D89E34D"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2739" w:type="pct"/>
            <w:tcBorders>
              <w:top w:val="nil"/>
              <w:left w:val="nil"/>
              <w:bottom w:val="single" w:sz="8" w:space="0" w:color="auto"/>
              <w:right w:val="single" w:sz="8" w:space="0" w:color="auto"/>
            </w:tcBorders>
            <w:vAlign w:val="center"/>
            <w:hideMark/>
          </w:tcPr>
          <w:p w14:paraId="5DE1E29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Australasian Business, Accounting and Finance Journal</w:t>
            </w:r>
          </w:p>
        </w:tc>
        <w:tc>
          <w:tcPr>
            <w:tcW w:w="785" w:type="pct"/>
            <w:tcBorders>
              <w:top w:val="nil"/>
              <w:left w:val="nil"/>
              <w:bottom w:val="single" w:sz="8" w:space="0" w:color="auto"/>
              <w:right w:val="single" w:sz="8" w:space="0" w:color="auto"/>
            </w:tcBorders>
            <w:vAlign w:val="center"/>
            <w:hideMark/>
          </w:tcPr>
          <w:p w14:paraId="3DBF21DC"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6882CEAF"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7CD1E921"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1B657117"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5</w:t>
            </w:r>
          </w:p>
        </w:tc>
        <w:tc>
          <w:tcPr>
            <w:tcW w:w="2739" w:type="pct"/>
            <w:tcBorders>
              <w:top w:val="nil"/>
              <w:left w:val="nil"/>
              <w:bottom w:val="single" w:sz="8" w:space="0" w:color="auto"/>
              <w:right w:val="single" w:sz="8" w:space="0" w:color="auto"/>
            </w:tcBorders>
            <w:vAlign w:val="center"/>
            <w:hideMark/>
          </w:tcPr>
          <w:p w14:paraId="1DB04D35" w14:textId="77777777" w:rsidR="00A11FFD" w:rsidRPr="00C657F6" w:rsidRDefault="00A11FFD" w:rsidP="00560FBB">
            <w:pPr>
              <w:jc w:val="center"/>
              <w:rPr>
                <w:rFonts w:ascii="Times New Roman" w:hAnsi="Times New Roman"/>
                <w:color w:val="000000"/>
                <w:lang w:eastAsia="en-IN"/>
              </w:rPr>
            </w:pPr>
            <w:proofErr w:type="spellStart"/>
            <w:r w:rsidRPr="00C657F6">
              <w:rPr>
                <w:rFonts w:ascii="Times New Roman" w:hAnsi="Times New Roman"/>
                <w:color w:val="000000"/>
                <w:lang w:eastAsia="en-IN"/>
              </w:rPr>
              <w:t>Revista</w:t>
            </w:r>
            <w:proofErr w:type="spellEnd"/>
            <w:r w:rsidRPr="00C657F6">
              <w:rPr>
                <w:rFonts w:ascii="Times New Roman" w:hAnsi="Times New Roman"/>
                <w:color w:val="000000"/>
                <w:lang w:eastAsia="en-IN"/>
              </w:rPr>
              <w:t xml:space="preserve"> de </w:t>
            </w:r>
            <w:proofErr w:type="spellStart"/>
            <w:r w:rsidRPr="00C657F6">
              <w:rPr>
                <w:rFonts w:ascii="Times New Roman" w:hAnsi="Times New Roman"/>
                <w:color w:val="000000"/>
                <w:lang w:eastAsia="en-IN"/>
              </w:rPr>
              <w:t>Contabilidad</w:t>
            </w:r>
            <w:proofErr w:type="spellEnd"/>
          </w:p>
        </w:tc>
        <w:tc>
          <w:tcPr>
            <w:tcW w:w="785" w:type="pct"/>
            <w:tcBorders>
              <w:top w:val="nil"/>
              <w:left w:val="nil"/>
              <w:bottom w:val="single" w:sz="8" w:space="0" w:color="auto"/>
              <w:right w:val="single" w:sz="8" w:space="0" w:color="auto"/>
            </w:tcBorders>
            <w:vAlign w:val="center"/>
            <w:hideMark/>
          </w:tcPr>
          <w:p w14:paraId="0F8EB98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7170509F"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3ED97D29"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1BE9A37B"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6</w:t>
            </w:r>
          </w:p>
        </w:tc>
        <w:tc>
          <w:tcPr>
            <w:tcW w:w="2739" w:type="pct"/>
            <w:tcBorders>
              <w:top w:val="nil"/>
              <w:left w:val="nil"/>
              <w:bottom w:val="single" w:sz="8" w:space="0" w:color="auto"/>
              <w:right w:val="single" w:sz="8" w:space="0" w:color="auto"/>
            </w:tcBorders>
            <w:vAlign w:val="center"/>
            <w:hideMark/>
          </w:tcPr>
          <w:p w14:paraId="6D316F56"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South African Journal of Economic and Management Sciences</w:t>
            </w:r>
          </w:p>
        </w:tc>
        <w:tc>
          <w:tcPr>
            <w:tcW w:w="785" w:type="pct"/>
            <w:tcBorders>
              <w:top w:val="nil"/>
              <w:left w:val="nil"/>
              <w:bottom w:val="single" w:sz="8" w:space="0" w:color="auto"/>
              <w:right w:val="single" w:sz="8" w:space="0" w:color="auto"/>
            </w:tcBorders>
            <w:vAlign w:val="center"/>
            <w:hideMark/>
          </w:tcPr>
          <w:p w14:paraId="1C89254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546842D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5525838C"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38A3712D"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7</w:t>
            </w:r>
          </w:p>
        </w:tc>
        <w:tc>
          <w:tcPr>
            <w:tcW w:w="2739" w:type="pct"/>
            <w:tcBorders>
              <w:top w:val="nil"/>
              <w:left w:val="nil"/>
              <w:bottom w:val="single" w:sz="8" w:space="0" w:color="auto"/>
              <w:right w:val="single" w:sz="8" w:space="0" w:color="auto"/>
            </w:tcBorders>
            <w:vAlign w:val="center"/>
            <w:hideMark/>
          </w:tcPr>
          <w:p w14:paraId="713998AC"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Australian Accounting Review</w:t>
            </w:r>
          </w:p>
        </w:tc>
        <w:tc>
          <w:tcPr>
            <w:tcW w:w="785" w:type="pct"/>
            <w:tcBorders>
              <w:top w:val="nil"/>
              <w:left w:val="nil"/>
              <w:bottom w:val="single" w:sz="8" w:space="0" w:color="auto"/>
              <w:right w:val="single" w:sz="8" w:space="0" w:color="auto"/>
            </w:tcBorders>
            <w:vAlign w:val="center"/>
            <w:hideMark/>
          </w:tcPr>
          <w:p w14:paraId="49A2E9B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09EC9BE6"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r w:rsidR="00A11FFD" w:rsidRPr="00C657F6" w14:paraId="1AD6FF88"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1B34662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8</w:t>
            </w:r>
          </w:p>
        </w:tc>
        <w:tc>
          <w:tcPr>
            <w:tcW w:w="2739" w:type="pct"/>
            <w:tcBorders>
              <w:top w:val="nil"/>
              <w:left w:val="nil"/>
              <w:bottom w:val="single" w:sz="8" w:space="0" w:color="auto"/>
              <w:right w:val="single" w:sz="8" w:space="0" w:color="auto"/>
            </w:tcBorders>
            <w:vAlign w:val="center"/>
            <w:hideMark/>
          </w:tcPr>
          <w:p w14:paraId="443FCD4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Accounting Education</w:t>
            </w:r>
          </w:p>
        </w:tc>
        <w:tc>
          <w:tcPr>
            <w:tcW w:w="785" w:type="pct"/>
            <w:tcBorders>
              <w:top w:val="nil"/>
              <w:left w:val="nil"/>
              <w:bottom w:val="single" w:sz="8" w:space="0" w:color="auto"/>
              <w:right w:val="single" w:sz="8" w:space="0" w:color="auto"/>
            </w:tcBorders>
            <w:vAlign w:val="center"/>
            <w:hideMark/>
          </w:tcPr>
          <w:p w14:paraId="5EB2A782"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06D0FF1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r w:rsidR="00A11FFD" w:rsidRPr="00C657F6" w14:paraId="7B16D7A3"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4515C6A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9</w:t>
            </w:r>
          </w:p>
        </w:tc>
        <w:tc>
          <w:tcPr>
            <w:tcW w:w="2739" w:type="pct"/>
            <w:tcBorders>
              <w:top w:val="nil"/>
              <w:left w:val="nil"/>
              <w:bottom w:val="single" w:sz="8" w:space="0" w:color="auto"/>
              <w:right w:val="single" w:sz="8" w:space="0" w:color="auto"/>
            </w:tcBorders>
            <w:vAlign w:val="center"/>
            <w:hideMark/>
          </w:tcPr>
          <w:p w14:paraId="6F72714B"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Critical Perspectives on Accounting</w:t>
            </w:r>
          </w:p>
        </w:tc>
        <w:tc>
          <w:tcPr>
            <w:tcW w:w="785" w:type="pct"/>
            <w:tcBorders>
              <w:top w:val="nil"/>
              <w:left w:val="nil"/>
              <w:bottom w:val="single" w:sz="8" w:space="0" w:color="auto"/>
              <w:right w:val="single" w:sz="8" w:space="0" w:color="auto"/>
            </w:tcBorders>
            <w:vAlign w:val="center"/>
            <w:hideMark/>
          </w:tcPr>
          <w:p w14:paraId="147143C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58421B1C"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r w:rsidR="00A11FFD" w:rsidRPr="00C657F6" w14:paraId="02B77833"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365B799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10</w:t>
            </w:r>
          </w:p>
        </w:tc>
        <w:tc>
          <w:tcPr>
            <w:tcW w:w="2739" w:type="pct"/>
            <w:tcBorders>
              <w:top w:val="nil"/>
              <w:left w:val="nil"/>
              <w:bottom w:val="single" w:sz="8" w:space="0" w:color="auto"/>
              <w:right w:val="single" w:sz="8" w:space="0" w:color="auto"/>
            </w:tcBorders>
            <w:vAlign w:val="center"/>
            <w:hideMark/>
          </w:tcPr>
          <w:p w14:paraId="6E541C39"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Accounting, Auditing &amp; Accountability Journal</w:t>
            </w:r>
          </w:p>
        </w:tc>
        <w:tc>
          <w:tcPr>
            <w:tcW w:w="785" w:type="pct"/>
            <w:tcBorders>
              <w:top w:val="nil"/>
              <w:left w:val="nil"/>
              <w:bottom w:val="single" w:sz="8" w:space="0" w:color="auto"/>
              <w:right w:val="single" w:sz="8" w:space="0" w:color="auto"/>
            </w:tcBorders>
            <w:vAlign w:val="center"/>
            <w:hideMark/>
          </w:tcPr>
          <w:p w14:paraId="2BCBA16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3DFBDF6F"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bl>
    <w:p w14:paraId="538AEBF5" w14:textId="77777777" w:rsidR="00A11FFD" w:rsidRDefault="00A11FFD" w:rsidP="00A11FFD">
      <w:pPr>
        <w:jc w:val="both"/>
        <w:rPr>
          <w:rFonts w:ascii="Times New Roman" w:hAnsi="Times New Roman"/>
        </w:rPr>
      </w:pPr>
      <w:r w:rsidRPr="00E22540">
        <w:rPr>
          <w:rFonts w:ascii="Times New Roman" w:hAnsi="Times New Roman"/>
        </w:rPr>
        <w:t xml:space="preserve">Note: N = 121. Source: </w:t>
      </w:r>
      <w:r w:rsidRPr="00334D91">
        <w:rPr>
          <w:rFonts w:ascii="Times New Roman" w:hAnsi="Times New Roman"/>
        </w:rPr>
        <w:t>Author's refined datasets</w:t>
      </w:r>
      <w:r w:rsidRPr="00E22540">
        <w:rPr>
          <w:rFonts w:ascii="Times New Roman" w:hAnsi="Times New Roman"/>
        </w:rPr>
        <w:t xml:space="preserve"> </w:t>
      </w:r>
    </w:p>
    <w:p w14:paraId="138AEF06" w14:textId="77777777" w:rsidR="00A11FFD" w:rsidRDefault="00A11FFD" w:rsidP="00A11FFD">
      <w:pPr>
        <w:jc w:val="both"/>
        <w:rPr>
          <w:rFonts w:ascii="Times New Roman" w:hAnsi="Times New Roman"/>
        </w:rPr>
      </w:pPr>
      <w:r w:rsidRPr="00E22540">
        <w:rPr>
          <w:rFonts w:ascii="Times New Roman" w:hAnsi="Times New Roman"/>
        </w:rPr>
        <w:t xml:space="preserve">Open access (OA) publishing is prominent, with 90 articles (74.4%) classified as open access. Of these, the majority carry green, gold or hybrid </w:t>
      </w:r>
      <w:proofErr w:type="spellStart"/>
      <w:r w:rsidRPr="00E22540">
        <w:rPr>
          <w:rFonts w:ascii="Times New Roman" w:hAnsi="Times New Roman"/>
        </w:rPr>
        <w:t>licences</w:t>
      </w:r>
      <w:proofErr w:type="spellEnd"/>
      <w:r w:rsidRPr="00E22540">
        <w:rPr>
          <w:rFonts w:ascii="Times New Roman" w:hAnsi="Times New Roman"/>
        </w:rPr>
        <w:t>, facilitating wider dissemination of CA profession research. Citation impact is modest but variable, with an average of 7.9 citing works per article (median 4, maximum 60).​</w:t>
      </w:r>
    </w:p>
    <w:p w14:paraId="54007B91" w14:textId="77777777" w:rsidR="00A11FFD" w:rsidRDefault="00A11FFD" w:rsidP="00A11FFD">
      <w:pPr>
        <w:jc w:val="both"/>
        <w:rPr>
          <w:rFonts w:ascii="Times New Roman" w:hAnsi="Times New Roman"/>
        </w:rPr>
      </w:pPr>
      <w:r>
        <w:rPr>
          <w:rFonts w:ascii="Times New Roman" w:hAnsi="Times New Roman"/>
        </w:rPr>
        <w:t xml:space="preserve">Figure 4: </w:t>
      </w:r>
      <w:r w:rsidRPr="00145937">
        <w:rPr>
          <w:rFonts w:ascii="Times New Roman" w:hAnsi="Times New Roman"/>
        </w:rPr>
        <w:t>Leading journals publishing CA profession research (2020–2025)</w:t>
      </w:r>
    </w:p>
    <w:p w14:paraId="319140F8" w14:textId="77777777" w:rsidR="00A11FFD" w:rsidRPr="00E22540" w:rsidRDefault="00A11FFD" w:rsidP="00A11FFD">
      <w:pPr>
        <w:jc w:val="center"/>
        <w:rPr>
          <w:rFonts w:ascii="Times New Roman" w:hAnsi="Times New Roman"/>
        </w:rPr>
      </w:pPr>
      <w:r w:rsidRPr="00145937">
        <w:rPr>
          <w:rFonts w:ascii="Times New Roman" w:hAnsi="Times New Roman"/>
          <w:noProof/>
        </w:rPr>
        <w:lastRenderedPageBreak/>
        <w:drawing>
          <wp:inline distT="0" distB="0" distL="0" distR="0" wp14:anchorId="7854B311" wp14:editId="6466945A">
            <wp:extent cx="4572000" cy="3078480"/>
            <wp:effectExtent l="0" t="0" r="0" b="7620"/>
            <wp:docPr id="402730239" name="Chart 1">
              <a:extLst xmlns:a="http://schemas.openxmlformats.org/drawingml/2006/main">
                <a:ext uri="{FF2B5EF4-FFF2-40B4-BE49-F238E27FC236}">
                  <a16:creationId xmlns:a16="http://schemas.microsoft.com/office/drawing/2014/main" id="{6133EC2B-1308-EE82-28DF-C8EB71DDD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763506"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.4 Summary of the AI–CA research subset</w:t>
      </w:r>
    </w:p>
    <w:p w14:paraId="4DDCF33B" w14:textId="77777777" w:rsidR="00A11FFD" w:rsidRPr="00663464" w:rsidRDefault="00A11FFD" w:rsidP="00A11FFD">
      <w:pPr>
        <w:jc w:val="both"/>
        <w:rPr>
          <w:rFonts w:ascii="Times New Roman" w:hAnsi="Times New Roman"/>
        </w:rPr>
      </w:pPr>
      <w:r w:rsidRPr="00F84B24">
        <w:rPr>
          <w:rFonts w:ascii="Times New Roman" w:hAnsi="Times New Roman"/>
        </w:rPr>
        <w:t xml:space="preserve">The AI–CA subset consists of 62 articles that directly associate the accounting profession or accountants with AI, machine learning, automation, or robotic process automation. Similar to the primary CA dataset, publications are predominantly clustered after 2020, featuring 17 pieces in 2024 and 16 in 2025, indicating the timeliness of AI adoption discourse in professional settings. </w:t>
      </w:r>
      <w:r w:rsidRPr="00F84B24">
        <w:rPr>
          <w:rFonts w:ascii="Times New Roman" w:hAnsi="Times New Roman"/>
        </w:rPr>
        <w:br/>
      </w:r>
      <w:r w:rsidRPr="00663464">
        <w:rPr>
          <w:rFonts w:ascii="Times New Roman" w:hAnsi="Times New Roman"/>
        </w:rPr>
        <w:t xml:space="preserve">The United States (24 articles, 38.7%) and the United Kingdom (23 articles, 37.1%) are the primary contributors, succeeded by Greece (5 articles). Notable journals include the Journal of Emerging Technologies in Accounting (6 papers), the Journal of Accounting &amp; </w:t>
      </w:r>
      <w:proofErr w:type="spellStart"/>
      <w:r w:rsidRPr="00663464">
        <w:rPr>
          <w:rFonts w:ascii="Times New Roman" w:hAnsi="Times New Roman"/>
        </w:rPr>
        <w:t>Organisational</w:t>
      </w:r>
      <w:proofErr w:type="spellEnd"/>
      <w:r w:rsidRPr="00663464">
        <w:rPr>
          <w:rFonts w:ascii="Times New Roman" w:hAnsi="Times New Roman"/>
        </w:rPr>
        <w:t xml:space="preserve"> Change (5 articles), and The Accounting Review (3 articles). Exemplary titles illustrate the scope of the subject: “Digital Futures for Accountants,” “Aligning Artificial Intelligence with Ethical Accountancy,” “Artificial Intelligence and Robotic Process Automation in Auditing and Accounting,” and “Teaching Advanced Data Analytics, Robotic Process Automation, and Artificial Intelligence in a Graduate Accounting Program.” These </w:t>
      </w:r>
      <w:proofErr w:type="spellStart"/>
      <w:r w:rsidRPr="00663464">
        <w:rPr>
          <w:rFonts w:ascii="Times New Roman" w:hAnsi="Times New Roman"/>
        </w:rPr>
        <w:t>emphasise</w:t>
      </w:r>
      <w:proofErr w:type="spellEnd"/>
      <w:r w:rsidRPr="00663464">
        <w:rPr>
          <w:rFonts w:ascii="Times New Roman" w:hAnsi="Times New Roman"/>
        </w:rPr>
        <w:t xml:space="preserve"> issues of professional competencies, automation of auditing processes, ethical frameworks, and education for the age of artificial intelligence.</w:t>
      </w:r>
    </w:p>
    <w:p w14:paraId="306C0649" w14:textId="77777777" w:rsidR="00A11FFD" w:rsidRPr="00CF0028" w:rsidRDefault="00A11FFD" w:rsidP="00A11FFD">
      <w:pPr>
        <w:jc w:val="both"/>
        <w:rPr>
          <w:rFonts w:ascii="Times New Roman" w:hAnsi="Times New Roman"/>
          <w:b/>
          <w:bCs/>
        </w:rPr>
      </w:pPr>
      <w:r w:rsidRPr="00E22540">
        <w:rPr>
          <w:rFonts w:ascii="Times New Roman" w:hAnsi="Times New Roman"/>
          <w:b/>
          <w:bCs/>
        </w:rPr>
        <w:t xml:space="preserve">Table 5. </w:t>
      </w:r>
      <w:r w:rsidRPr="00CF0028">
        <w:rPr>
          <w:rFonts w:ascii="Times New Roman" w:hAnsi="Times New Roman"/>
          <w:b/>
          <w:bCs/>
        </w:rPr>
        <w:t>Bibliometric Comparison: CA Research vs. AI-CA Subset</w:t>
      </w:r>
    </w:p>
    <w:tbl>
      <w:tblPr>
        <w:tblW w:w="5000" w:type="pct"/>
        <w:tblLook w:val="04A0" w:firstRow="1" w:lastRow="0" w:firstColumn="1" w:lastColumn="0" w:noHBand="0" w:noVBand="1"/>
      </w:tblPr>
      <w:tblGrid>
        <w:gridCol w:w="3715"/>
        <w:gridCol w:w="3523"/>
        <w:gridCol w:w="3778"/>
      </w:tblGrid>
      <w:tr w:rsidR="00A11FFD" w:rsidRPr="00CF0028" w14:paraId="2C9B7BDA" w14:textId="77777777" w:rsidTr="00560FBB">
        <w:trPr>
          <w:trHeight w:val="324"/>
        </w:trPr>
        <w:tc>
          <w:tcPr>
            <w:tcW w:w="1686" w:type="pct"/>
            <w:tcBorders>
              <w:top w:val="single" w:sz="8" w:space="0" w:color="auto"/>
              <w:left w:val="single" w:sz="8" w:space="0" w:color="auto"/>
              <w:bottom w:val="single" w:sz="8" w:space="0" w:color="auto"/>
              <w:right w:val="single" w:sz="8" w:space="0" w:color="auto"/>
            </w:tcBorders>
            <w:vAlign w:val="center"/>
            <w:hideMark/>
          </w:tcPr>
          <w:p w14:paraId="3B39EEEB" w14:textId="77777777" w:rsidR="00A11FFD" w:rsidRPr="00CF0028" w:rsidRDefault="00A11FFD" w:rsidP="00560FBB">
            <w:pPr>
              <w:jc w:val="center"/>
              <w:rPr>
                <w:rFonts w:ascii="Times New Roman" w:hAnsi="Times New Roman"/>
                <w:b/>
                <w:bCs/>
                <w:color w:val="000000"/>
                <w:lang w:eastAsia="en-IN"/>
              </w:rPr>
            </w:pPr>
            <w:r w:rsidRPr="00CF0028">
              <w:rPr>
                <w:rFonts w:ascii="Times New Roman" w:hAnsi="Times New Roman"/>
                <w:b/>
                <w:bCs/>
                <w:color w:val="000000"/>
                <w:lang w:eastAsia="en-IN"/>
              </w:rPr>
              <w:t>Indicator</w:t>
            </w:r>
          </w:p>
        </w:tc>
        <w:tc>
          <w:tcPr>
            <w:tcW w:w="1599" w:type="pct"/>
            <w:tcBorders>
              <w:top w:val="single" w:sz="8" w:space="0" w:color="auto"/>
              <w:left w:val="nil"/>
              <w:bottom w:val="single" w:sz="8" w:space="0" w:color="auto"/>
              <w:right w:val="single" w:sz="8" w:space="0" w:color="auto"/>
            </w:tcBorders>
            <w:vAlign w:val="center"/>
            <w:hideMark/>
          </w:tcPr>
          <w:p w14:paraId="388F8364" w14:textId="77777777" w:rsidR="00A11FFD" w:rsidRPr="00CF0028" w:rsidRDefault="00A11FFD" w:rsidP="00560FBB">
            <w:pPr>
              <w:jc w:val="center"/>
              <w:rPr>
                <w:rFonts w:ascii="Times New Roman" w:hAnsi="Times New Roman"/>
                <w:b/>
                <w:bCs/>
                <w:color w:val="000000"/>
                <w:lang w:eastAsia="en-IN"/>
              </w:rPr>
            </w:pPr>
            <w:r w:rsidRPr="00CF0028">
              <w:rPr>
                <w:rFonts w:ascii="Times New Roman" w:hAnsi="Times New Roman"/>
                <w:b/>
                <w:bCs/>
                <w:color w:val="000000"/>
                <w:lang w:eastAsia="en-IN"/>
              </w:rPr>
              <w:t>CA Dataset (N=121)</w:t>
            </w:r>
          </w:p>
        </w:tc>
        <w:tc>
          <w:tcPr>
            <w:tcW w:w="1715" w:type="pct"/>
            <w:tcBorders>
              <w:top w:val="single" w:sz="8" w:space="0" w:color="auto"/>
              <w:left w:val="nil"/>
              <w:bottom w:val="single" w:sz="8" w:space="0" w:color="auto"/>
              <w:right w:val="single" w:sz="8" w:space="0" w:color="auto"/>
            </w:tcBorders>
            <w:vAlign w:val="center"/>
            <w:hideMark/>
          </w:tcPr>
          <w:p w14:paraId="74B05AE2" w14:textId="77777777" w:rsidR="00A11FFD" w:rsidRPr="00CF0028" w:rsidRDefault="00A11FFD" w:rsidP="00560FBB">
            <w:pPr>
              <w:jc w:val="center"/>
              <w:rPr>
                <w:rFonts w:ascii="Times New Roman" w:hAnsi="Times New Roman"/>
                <w:b/>
                <w:bCs/>
                <w:color w:val="000000"/>
                <w:lang w:eastAsia="en-IN"/>
              </w:rPr>
            </w:pPr>
            <w:r w:rsidRPr="00CF0028">
              <w:rPr>
                <w:rFonts w:ascii="Times New Roman" w:hAnsi="Times New Roman"/>
                <w:b/>
                <w:bCs/>
                <w:color w:val="000000"/>
                <w:lang w:eastAsia="en-IN"/>
              </w:rPr>
              <w:t>AI–CA Subset (N=62)</w:t>
            </w:r>
          </w:p>
        </w:tc>
      </w:tr>
      <w:tr w:rsidR="00A11FFD" w:rsidRPr="00CF0028" w14:paraId="1837750D"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63EB1576"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Years covered</w:t>
            </w:r>
          </w:p>
        </w:tc>
        <w:tc>
          <w:tcPr>
            <w:tcW w:w="1599" w:type="pct"/>
            <w:tcBorders>
              <w:top w:val="nil"/>
              <w:left w:val="nil"/>
              <w:bottom w:val="single" w:sz="8" w:space="0" w:color="auto"/>
              <w:right w:val="single" w:sz="8" w:space="0" w:color="auto"/>
            </w:tcBorders>
            <w:vAlign w:val="center"/>
            <w:hideMark/>
          </w:tcPr>
          <w:p w14:paraId="4CA343B5"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2020–2025</w:t>
            </w:r>
          </w:p>
        </w:tc>
        <w:tc>
          <w:tcPr>
            <w:tcW w:w="1715" w:type="pct"/>
            <w:tcBorders>
              <w:top w:val="nil"/>
              <w:left w:val="nil"/>
              <w:bottom w:val="single" w:sz="8" w:space="0" w:color="auto"/>
              <w:right w:val="single" w:sz="8" w:space="0" w:color="auto"/>
            </w:tcBorders>
            <w:vAlign w:val="center"/>
            <w:hideMark/>
          </w:tcPr>
          <w:p w14:paraId="2E69498D"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2020–2025</w:t>
            </w:r>
          </w:p>
        </w:tc>
      </w:tr>
      <w:tr w:rsidR="00A11FFD" w:rsidRPr="00CF0028" w14:paraId="75CEA084"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22922A7F"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Post</w:t>
            </w:r>
            <w:r w:rsidRPr="00CF0028">
              <w:rPr>
                <w:rFonts w:ascii="Times New Roman" w:hAnsi="Times New Roman"/>
                <w:color w:val="000000"/>
                <w:lang w:eastAsia="en-IN"/>
              </w:rPr>
              <w:noBreakHyphen/>
              <w:t>2020 articles (%)</w:t>
            </w:r>
          </w:p>
        </w:tc>
        <w:tc>
          <w:tcPr>
            <w:tcW w:w="1599" w:type="pct"/>
            <w:tcBorders>
              <w:top w:val="nil"/>
              <w:left w:val="nil"/>
              <w:bottom w:val="single" w:sz="8" w:space="0" w:color="auto"/>
              <w:right w:val="single" w:sz="8" w:space="0" w:color="auto"/>
            </w:tcBorders>
            <w:vAlign w:val="center"/>
            <w:hideMark/>
          </w:tcPr>
          <w:p w14:paraId="5C751B82"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100%</w:t>
            </w:r>
          </w:p>
        </w:tc>
        <w:tc>
          <w:tcPr>
            <w:tcW w:w="1715" w:type="pct"/>
            <w:tcBorders>
              <w:top w:val="nil"/>
              <w:left w:val="nil"/>
              <w:bottom w:val="single" w:sz="8" w:space="0" w:color="auto"/>
              <w:right w:val="single" w:sz="8" w:space="0" w:color="auto"/>
            </w:tcBorders>
            <w:vAlign w:val="center"/>
            <w:hideMark/>
          </w:tcPr>
          <w:p w14:paraId="13AD2E1C"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100%</w:t>
            </w:r>
          </w:p>
        </w:tc>
      </w:tr>
      <w:tr w:rsidR="00A11FFD" w:rsidRPr="00CF0028" w14:paraId="637E4418"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12F0D893"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Top country: UK (%)</w:t>
            </w:r>
          </w:p>
        </w:tc>
        <w:tc>
          <w:tcPr>
            <w:tcW w:w="1599" w:type="pct"/>
            <w:tcBorders>
              <w:top w:val="nil"/>
              <w:left w:val="nil"/>
              <w:bottom w:val="single" w:sz="8" w:space="0" w:color="auto"/>
              <w:right w:val="single" w:sz="8" w:space="0" w:color="auto"/>
            </w:tcBorders>
            <w:vAlign w:val="center"/>
            <w:hideMark/>
          </w:tcPr>
          <w:p w14:paraId="3CB1332E"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36.40%</w:t>
            </w:r>
          </w:p>
        </w:tc>
        <w:tc>
          <w:tcPr>
            <w:tcW w:w="1715" w:type="pct"/>
            <w:tcBorders>
              <w:top w:val="nil"/>
              <w:left w:val="nil"/>
              <w:bottom w:val="single" w:sz="8" w:space="0" w:color="auto"/>
              <w:right w:val="single" w:sz="8" w:space="0" w:color="auto"/>
            </w:tcBorders>
            <w:vAlign w:val="center"/>
            <w:hideMark/>
          </w:tcPr>
          <w:p w14:paraId="750532E4"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37.10%</w:t>
            </w:r>
          </w:p>
        </w:tc>
      </w:tr>
      <w:tr w:rsidR="00A11FFD" w:rsidRPr="00CF0028" w14:paraId="3CFC211D"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7E0742E1"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Top country: US (%)</w:t>
            </w:r>
          </w:p>
        </w:tc>
        <w:tc>
          <w:tcPr>
            <w:tcW w:w="1599" w:type="pct"/>
            <w:tcBorders>
              <w:top w:val="nil"/>
              <w:left w:val="nil"/>
              <w:bottom w:val="single" w:sz="8" w:space="0" w:color="auto"/>
              <w:right w:val="single" w:sz="8" w:space="0" w:color="auto"/>
            </w:tcBorders>
            <w:vAlign w:val="center"/>
            <w:hideMark/>
          </w:tcPr>
          <w:p w14:paraId="779D9CBC"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16.50%</w:t>
            </w:r>
          </w:p>
        </w:tc>
        <w:tc>
          <w:tcPr>
            <w:tcW w:w="1715" w:type="pct"/>
            <w:tcBorders>
              <w:top w:val="nil"/>
              <w:left w:val="nil"/>
              <w:bottom w:val="single" w:sz="8" w:space="0" w:color="auto"/>
              <w:right w:val="single" w:sz="8" w:space="0" w:color="auto"/>
            </w:tcBorders>
            <w:vAlign w:val="center"/>
            <w:hideMark/>
          </w:tcPr>
          <w:p w14:paraId="7492C0D2"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38.70%</w:t>
            </w:r>
          </w:p>
        </w:tc>
      </w:tr>
      <w:tr w:rsidR="00A11FFD" w:rsidRPr="00CF0028" w14:paraId="72FEF4A3"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2F8F33DF"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Top journal articles</w:t>
            </w:r>
          </w:p>
        </w:tc>
        <w:tc>
          <w:tcPr>
            <w:tcW w:w="1599" w:type="pct"/>
            <w:tcBorders>
              <w:top w:val="nil"/>
              <w:left w:val="nil"/>
              <w:bottom w:val="single" w:sz="8" w:space="0" w:color="auto"/>
              <w:right w:val="single" w:sz="8" w:space="0" w:color="auto"/>
            </w:tcBorders>
            <w:vAlign w:val="center"/>
            <w:hideMark/>
          </w:tcPr>
          <w:p w14:paraId="23C5BFCA"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8 (two journals)</w:t>
            </w:r>
          </w:p>
        </w:tc>
        <w:tc>
          <w:tcPr>
            <w:tcW w:w="1715" w:type="pct"/>
            <w:tcBorders>
              <w:top w:val="nil"/>
              <w:left w:val="nil"/>
              <w:bottom w:val="single" w:sz="8" w:space="0" w:color="auto"/>
              <w:right w:val="single" w:sz="8" w:space="0" w:color="auto"/>
            </w:tcBorders>
            <w:vAlign w:val="center"/>
            <w:hideMark/>
          </w:tcPr>
          <w:p w14:paraId="745B70B0"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6 (JET Accounting)</w:t>
            </w:r>
          </w:p>
        </w:tc>
      </w:tr>
      <w:tr w:rsidR="00A11FFD" w:rsidRPr="00CF0028" w14:paraId="0640A190"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39FC1637"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OA articles (%)</w:t>
            </w:r>
          </w:p>
        </w:tc>
        <w:tc>
          <w:tcPr>
            <w:tcW w:w="1599" w:type="pct"/>
            <w:tcBorders>
              <w:top w:val="nil"/>
              <w:left w:val="nil"/>
              <w:bottom w:val="single" w:sz="8" w:space="0" w:color="auto"/>
              <w:right w:val="single" w:sz="8" w:space="0" w:color="auto"/>
            </w:tcBorders>
            <w:vAlign w:val="center"/>
            <w:hideMark/>
          </w:tcPr>
          <w:p w14:paraId="16ECFF58"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74.40%</w:t>
            </w:r>
          </w:p>
        </w:tc>
        <w:tc>
          <w:tcPr>
            <w:tcW w:w="1715" w:type="pct"/>
            <w:tcBorders>
              <w:top w:val="nil"/>
              <w:left w:val="nil"/>
              <w:bottom w:val="single" w:sz="8" w:space="0" w:color="auto"/>
              <w:right w:val="single" w:sz="8" w:space="0" w:color="auto"/>
            </w:tcBorders>
            <w:vAlign w:val="center"/>
            <w:hideMark/>
          </w:tcPr>
          <w:p w14:paraId="1D0C91C3"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N/A (subset of CA)</w:t>
            </w:r>
          </w:p>
        </w:tc>
      </w:tr>
      <w:tr w:rsidR="00A11FFD" w:rsidRPr="00CF0028" w14:paraId="7C807B49"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7882BBDE"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Avg. citing works</w:t>
            </w:r>
          </w:p>
        </w:tc>
        <w:tc>
          <w:tcPr>
            <w:tcW w:w="1599" w:type="pct"/>
            <w:tcBorders>
              <w:top w:val="nil"/>
              <w:left w:val="nil"/>
              <w:bottom w:val="single" w:sz="8" w:space="0" w:color="auto"/>
              <w:right w:val="single" w:sz="8" w:space="0" w:color="auto"/>
            </w:tcBorders>
            <w:vAlign w:val="center"/>
            <w:hideMark/>
          </w:tcPr>
          <w:p w14:paraId="4A6E3A72"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7.9</w:t>
            </w:r>
          </w:p>
        </w:tc>
        <w:tc>
          <w:tcPr>
            <w:tcW w:w="1715" w:type="pct"/>
            <w:tcBorders>
              <w:top w:val="nil"/>
              <w:left w:val="nil"/>
              <w:bottom w:val="single" w:sz="8" w:space="0" w:color="auto"/>
              <w:right w:val="single" w:sz="8" w:space="0" w:color="auto"/>
            </w:tcBorders>
            <w:vAlign w:val="center"/>
            <w:hideMark/>
          </w:tcPr>
          <w:p w14:paraId="01C4F891"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N/A</w:t>
            </w:r>
          </w:p>
        </w:tc>
      </w:tr>
    </w:tbl>
    <w:p w14:paraId="68068A98" w14:textId="77777777" w:rsidR="00A11FFD" w:rsidRPr="00E22540" w:rsidRDefault="00A11FFD" w:rsidP="00A11FFD">
      <w:pPr>
        <w:jc w:val="both"/>
        <w:rPr>
          <w:rFonts w:ascii="Times New Roman" w:hAnsi="Times New Roman"/>
        </w:rPr>
      </w:pPr>
      <w:r w:rsidRPr="00E22540">
        <w:rPr>
          <w:rFonts w:ascii="Times New Roman" w:hAnsi="Times New Roman"/>
        </w:rPr>
        <w:t xml:space="preserve">Sources: </w:t>
      </w:r>
      <w:r>
        <w:rPr>
          <w:rFonts w:ascii="Times New Roman" w:hAnsi="Times New Roman"/>
        </w:rPr>
        <w:t>R</w:t>
      </w:r>
      <w:r w:rsidRPr="00E22540">
        <w:rPr>
          <w:rFonts w:ascii="Times New Roman" w:hAnsi="Times New Roman"/>
        </w:rPr>
        <w:t>efined CA dataset and AI–CA dataset.​</w:t>
      </w:r>
    </w:p>
    <w:p w14:paraId="5DFFC95A" w14:textId="77777777" w:rsidR="00A11FFD" w:rsidRPr="00E22540" w:rsidRDefault="00A11FFD" w:rsidP="00A11FFD">
      <w:pPr>
        <w:jc w:val="both"/>
        <w:rPr>
          <w:rFonts w:ascii="Times New Roman" w:hAnsi="Times New Roman"/>
        </w:rPr>
      </w:pPr>
      <w:r w:rsidRPr="00E22540">
        <w:rPr>
          <w:rFonts w:ascii="Times New Roman" w:hAnsi="Times New Roman"/>
        </w:rPr>
        <w:t>The bibliometric results confirm a recent and growing body of CA profession research, concentrated in leading Anglo</w:t>
      </w:r>
      <w:r w:rsidRPr="00E22540">
        <w:rPr>
          <w:rFonts w:ascii="Times New Roman" w:hAnsi="Times New Roman"/>
        </w:rPr>
        <w:noBreakHyphen/>
        <w:t>European journals and outlets, with a parallel emerging stream on AI and automation. The next section examines the thematic content of this literature.</w:t>
      </w:r>
    </w:p>
    <w:p w14:paraId="38DC5D42"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 Thematic Analysis</w:t>
      </w:r>
    </w:p>
    <w:p w14:paraId="78F28577" w14:textId="77777777" w:rsidR="00A11FFD" w:rsidRPr="006719D2" w:rsidRDefault="00A11FFD" w:rsidP="00A11FFD">
      <w:pPr>
        <w:jc w:val="both"/>
        <w:rPr>
          <w:rFonts w:ascii="Times New Roman" w:hAnsi="Times New Roman"/>
        </w:rPr>
      </w:pPr>
      <w:r w:rsidRPr="006719D2">
        <w:rPr>
          <w:rFonts w:ascii="Times New Roman" w:hAnsi="Times New Roman"/>
        </w:rPr>
        <w:t xml:space="preserve">This section presents a thematic synthesis of the chartered accountancy (CA) research dataset, derived from the previously identified bibliometric trends. Themes were derived using an inductive approach, involving several readings of titles, abstracts, keywords, and study domains, subsequently </w:t>
      </w:r>
      <w:proofErr w:type="spellStart"/>
      <w:r w:rsidRPr="006719D2">
        <w:rPr>
          <w:rFonts w:ascii="Times New Roman" w:hAnsi="Times New Roman"/>
        </w:rPr>
        <w:t>categorising</w:t>
      </w:r>
      <w:proofErr w:type="spellEnd"/>
      <w:r w:rsidRPr="006719D2">
        <w:rPr>
          <w:rFonts w:ascii="Times New Roman" w:hAnsi="Times New Roman"/>
        </w:rPr>
        <w:t xml:space="preserve"> them into five primary clusters that represent the central focus of the literature. Each theme is illustrated by sample articles and linked to broader economic and professional implications. The assessment highlights subjects of economic importance, encompassing aspects that influence financial reporting, governance, audit assurance, and technological efficiency in accounting services.</w:t>
      </w:r>
    </w:p>
    <w:p w14:paraId="0AF713EE" w14:textId="77777777" w:rsidR="00A11FFD" w:rsidRPr="00E22540" w:rsidRDefault="00A11FFD" w:rsidP="00A11FFD">
      <w:pPr>
        <w:jc w:val="both"/>
        <w:rPr>
          <w:rFonts w:ascii="Times New Roman" w:hAnsi="Times New Roman"/>
        </w:rPr>
      </w:pPr>
      <w:r w:rsidRPr="00E22540">
        <w:rPr>
          <w:rFonts w:ascii="Times New Roman" w:hAnsi="Times New Roman"/>
          <w:b/>
          <w:bCs/>
        </w:rPr>
        <w:t>Table 6</w:t>
      </w:r>
      <w:r w:rsidRPr="00E22540">
        <w:rPr>
          <w:rFonts w:ascii="Times New Roman" w:hAnsi="Times New Roman"/>
        </w:rPr>
        <w:t> provides an overview of the thematic clusters, including the number of articles assigned to each, their temporal distribution and example topics.​</w:t>
      </w:r>
    </w:p>
    <w:p w14:paraId="43C441F1" w14:textId="77777777" w:rsidR="00A11FFD" w:rsidRPr="00E22540" w:rsidRDefault="00A11FFD" w:rsidP="00A11FFD">
      <w:pPr>
        <w:jc w:val="both"/>
        <w:rPr>
          <w:rFonts w:ascii="Times New Roman" w:hAnsi="Times New Roman"/>
        </w:rPr>
      </w:pPr>
      <w:r w:rsidRPr="00E22540">
        <w:rPr>
          <w:rFonts w:ascii="Times New Roman" w:hAnsi="Times New Roman"/>
          <w:b/>
          <w:bCs/>
        </w:rPr>
        <w:t>Table 6. Major thematic clusters in CA research</w:t>
      </w:r>
    </w:p>
    <w:tbl>
      <w:tblPr>
        <w:tblStyle w:val="TableGrid"/>
        <w:tblW w:w="5000" w:type="pct"/>
        <w:tblLook w:val="04A0" w:firstRow="1" w:lastRow="0" w:firstColumn="1" w:lastColumn="0" w:noHBand="0" w:noVBand="1"/>
      </w:tblPr>
      <w:tblGrid>
        <w:gridCol w:w="3915"/>
        <w:gridCol w:w="1899"/>
        <w:gridCol w:w="1939"/>
        <w:gridCol w:w="3263"/>
      </w:tblGrid>
      <w:tr w:rsidR="00A11FFD" w:rsidRPr="00FA64A2" w14:paraId="37D592EF" w14:textId="77777777" w:rsidTr="00560FBB">
        <w:trPr>
          <w:trHeight w:val="590"/>
        </w:trPr>
        <w:tc>
          <w:tcPr>
            <w:tcW w:w="1777" w:type="pct"/>
            <w:hideMark/>
          </w:tcPr>
          <w:p w14:paraId="5B228208"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lastRenderedPageBreak/>
              <w:t>Theme (Ranked by size)</w:t>
            </w:r>
          </w:p>
        </w:tc>
        <w:tc>
          <w:tcPr>
            <w:tcW w:w="862" w:type="pct"/>
            <w:hideMark/>
          </w:tcPr>
          <w:p w14:paraId="55E351A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Articles (N=121)</w:t>
            </w:r>
          </w:p>
        </w:tc>
        <w:tc>
          <w:tcPr>
            <w:tcW w:w="880" w:type="pct"/>
            <w:hideMark/>
          </w:tcPr>
          <w:p w14:paraId="0CC18C2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 of total</w:t>
            </w:r>
          </w:p>
        </w:tc>
        <w:tc>
          <w:tcPr>
            <w:tcW w:w="1481" w:type="pct"/>
            <w:hideMark/>
          </w:tcPr>
          <w:p w14:paraId="782B7FD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Example topics / Keywords</w:t>
            </w:r>
          </w:p>
        </w:tc>
      </w:tr>
      <w:tr w:rsidR="00A11FFD" w:rsidRPr="00FA64A2" w14:paraId="614F27C4" w14:textId="77777777" w:rsidTr="00560FBB">
        <w:trPr>
          <w:trHeight w:val="1070"/>
        </w:trPr>
        <w:tc>
          <w:tcPr>
            <w:tcW w:w="1777" w:type="pct"/>
            <w:hideMark/>
          </w:tcPr>
          <w:p w14:paraId="1772BDA8"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 Corporate governance &amp; disclosure</w:t>
            </w:r>
          </w:p>
        </w:tc>
        <w:tc>
          <w:tcPr>
            <w:tcW w:w="862" w:type="pct"/>
            <w:hideMark/>
          </w:tcPr>
          <w:p w14:paraId="27E29FEA"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38</w:t>
            </w:r>
          </w:p>
        </w:tc>
        <w:tc>
          <w:tcPr>
            <w:tcW w:w="880" w:type="pct"/>
            <w:hideMark/>
          </w:tcPr>
          <w:p w14:paraId="3C1D8B3B"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31.4</w:t>
            </w:r>
          </w:p>
        </w:tc>
        <w:tc>
          <w:tcPr>
            <w:tcW w:w="1481" w:type="pct"/>
            <w:hideMark/>
          </w:tcPr>
          <w:p w14:paraId="54732B40"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IFRS adoption, voluntary disclosure, board characteristics, risk reporting ​</w:t>
            </w:r>
          </w:p>
        </w:tc>
      </w:tr>
      <w:tr w:rsidR="00A11FFD" w:rsidRPr="00FA64A2" w14:paraId="283B54BC" w14:textId="77777777" w:rsidTr="00560FBB">
        <w:trPr>
          <w:trHeight w:val="620"/>
        </w:trPr>
        <w:tc>
          <w:tcPr>
            <w:tcW w:w="1777" w:type="pct"/>
            <w:hideMark/>
          </w:tcPr>
          <w:p w14:paraId="34B56B29"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 Audit practice &amp; quality</w:t>
            </w:r>
          </w:p>
        </w:tc>
        <w:tc>
          <w:tcPr>
            <w:tcW w:w="862" w:type="pct"/>
            <w:hideMark/>
          </w:tcPr>
          <w:p w14:paraId="2EDCDF62"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28</w:t>
            </w:r>
          </w:p>
        </w:tc>
        <w:tc>
          <w:tcPr>
            <w:tcW w:w="880" w:type="pct"/>
            <w:hideMark/>
          </w:tcPr>
          <w:p w14:paraId="6A72841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23.1</w:t>
            </w:r>
          </w:p>
        </w:tc>
        <w:tc>
          <w:tcPr>
            <w:tcW w:w="1481" w:type="pct"/>
            <w:hideMark/>
          </w:tcPr>
          <w:p w14:paraId="46438B14"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Big Four, KAMs, audit failure, anomaly detection ​</w:t>
            </w:r>
          </w:p>
        </w:tc>
      </w:tr>
      <w:tr w:rsidR="00A11FFD" w:rsidRPr="00FA64A2" w14:paraId="34609736" w14:textId="77777777" w:rsidTr="00560FBB">
        <w:trPr>
          <w:trHeight w:val="800"/>
        </w:trPr>
        <w:tc>
          <w:tcPr>
            <w:tcW w:w="1777" w:type="pct"/>
            <w:hideMark/>
          </w:tcPr>
          <w:p w14:paraId="072E7B4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3. Professional identity &amp; education</w:t>
            </w:r>
          </w:p>
        </w:tc>
        <w:tc>
          <w:tcPr>
            <w:tcW w:w="862" w:type="pct"/>
            <w:hideMark/>
          </w:tcPr>
          <w:p w14:paraId="1D3D0BF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22</w:t>
            </w:r>
          </w:p>
        </w:tc>
        <w:tc>
          <w:tcPr>
            <w:tcW w:w="880" w:type="pct"/>
            <w:hideMark/>
          </w:tcPr>
          <w:p w14:paraId="4A01F301"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18.2</w:t>
            </w:r>
          </w:p>
        </w:tc>
        <w:tc>
          <w:tcPr>
            <w:tcW w:w="1481" w:type="pct"/>
            <w:hideMark/>
          </w:tcPr>
          <w:p w14:paraId="47D43E23"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CA history, doctoral pathways, competencies, ethics ​</w:t>
            </w:r>
          </w:p>
        </w:tc>
      </w:tr>
      <w:tr w:rsidR="00A11FFD" w:rsidRPr="00FA64A2" w14:paraId="58E3D3AC" w14:textId="77777777" w:rsidTr="00560FBB">
        <w:trPr>
          <w:trHeight w:val="800"/>
        </w:trPr>
        <w:tc>
          <w:tcPr>
            <w:tcW w:w="1777" w:type="pct"/>
            <w:hideMark/>
          </w:tcPr>
          <w:p w14:paraId="7895CBE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4. Public sector &amp; regulatory reforms</w:t>
            </w:r>
          </w:p>
        </w:tc>
        <w:tc>
          <w:tcPr>
            <w:tcW w:w="862" w:type="pct"/>
            <w:hideMark/>
          </w:tcPr>
          <w:p w14:paraId="25BD5715"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18</w:t>
            </w:r>
          </w:p>
        </w:tc>
        <w:tc>
          <w:tcPr>
            <w:tcW w:w="880" w:type="pct"/>
            <w:hideMark/>
          </w:tcPr>
          <w:p w14:paraId="6BC29093"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14.9</w:t>
            </w:r>
          </w:p>
        </w:tc>
        <w:tc>
          <w:tcPr>
            <w:tcW w:w="1481" w:type="pct"/>
            <w:hideMark/>
          </w:tcPr>
          <w:p w14:paraId="22315057"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Accrual accounting, public financial management, stewardship ​</w:t>
            </w:r>
          </w:p>
        </w:tc>
      </w:tr>
      <w:tr w:rsidR="00A11FFD" w:rsidRPr="00FA64A2" w14:paraId="0F493D37" w14:textId="77777777" w:rsidTr="00560FBB">
        <w:trPr>
          <w:trHeight w:val="800"/>
        </w:trPr>
        <w:tc>
          <w:tcPr>
            <w:tcW w:w="1777" w:type="pct"/>
            <w:hideMark/>
          </w:tcPr>
          <w:p w14:paraId="373C64EC"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5. Technology &amp; AI in accounting</w:t>
            </w:r>
          </w:p>
        </w:tc>
        <w:tc>
          <w:tcPr>
            <w:tcW w:w="862" w:type="pct"/>
            <w:hideMark/>
          </w:tcPr>
          <w:p w14:paraId="22F879B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15</w:t>
            </w:r>
          </w:p>
        </w:tc>
        <w:tc>
          <w:tcPr>
            <w:tcW w:w="880" w:type="pct"/>
            <w:hideMark/>
          </w:tcPr>
          <w:p w14:paraId="316336DB"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12.4</w:t>
            </w:r>
          </w:p>
        </w:tc>
        <w:tc>
          <w:tcPr>
            <w:tcW w:w="1481" w:type="pct"/>
            <w:hideMark/>
          </w:tcPr>
          <w:p w14:paraId="463C3850"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RPA, AI ethics, data analytics, digital competencies</w:t>
            </w:r>
          </w:p>
        </w:tc>
      </w:tr>
    </w:tbl>
    <w:p w14:paraId="07BE2CE4" w14:textId="77777777" w:rsidR="00A11FFD" w:rsidRDefault="00A11FFD" w:rsidP="00A11FFD">
      <w:pPr>
        <w:jc w:val="both"/>
        <w:rPr>
          <w:rFonts w:ascii="Times New Roman" w:hAnsi="Times New Roman"/>
        </w:rPr>
      </w:pPr>
      <w:r w:rsidRPr="00E22540">
        <w:rPr>
          <w:rFonts w:ascii="Times New Roman" w:hAnsi="Times New Roman"/>
        </w:rPr>
        <w:t xml:space="preserve">Note: Percentages sum to 100%; some articles span multiple themes. Sources: </w:t>
      </w:r>
      <w:r>
        <w:rPr>
          <w:rFonts w:ascii="Times New Roman" w:hAnsi="Times New Roman"/>
        </w:rPr>
        <w:t>R</w:t>
      </w:r>
      <w:r w:rsidRPr="00E22540">
        <w:rPr>
          <w:rFonts w:ascii="Times New Roman" w:hAnsi="Times New Roman"/>
        </w:rPr>
        <w:t>efined CA and AI–CA datasets.​</w:t>
      </w:r>
    </w:p>
    <w:p w14:paraId="25CCEC5D" w14:textId="77777777" w:rsidR="00A11FFD" w:rsidRDefault="00A11FFD" w:rsidP="00A11FFD">
      <w:pPr>
        <w:jc w:val="both"/>
        <w:rPr>
          <w:rFonts w:ascii="Times New Roman" w:hAnsi="Times New Roman"/>
        </w:rPr>
      </w:pPr>
      <w:r>
        <w:rPr>
          <w:rFonts w:ascii="Times New Roman" w:hAnsi="Times New Roman"/>
        </w:rPr>
        <w:t xml:space="preserve">Figure 5: </w:t>
      </w:r>
      <w:r w:rsidRPr="00145937">
        <w:rPr>
          <w:rFonts w:ascii="Times New Roman" w:hAnsi="Times New Roman"/>
        </w:rPr>
        <w:t>Thematic composition of chartered accountancy research (N = 121)</w:t>
      </w:r>
    </w:p>
    <w:p w14:paraId="419474D7" w14:textId="77777777" w:rsidR="00A11FFD" w:rsidRPr="00E22540" w:rsidRDefault="00A11FFD" w:rsidP="00A11FFD">
      <w:pPr>
        <w:jc w:val="center"/>
        <w:rPr>
          <w:rFonts w:ascii="Times New Roman" w:hAnsi="Times New Roman"/>
        </w:rPr>
      </w:pPr>
      <w:r>
        <w:rPr>
          <w:noProof/>
        </w:rPr>
        <w:drawing>
          <wp:inline distT="0" distB="0" distL="0" distR="0" wp14:anchorId="4E56203A" wp14:editId="591F419D">
            <wp:extent cx="4572000" cy="2743200"/>
            <wp:effectExtent l="0" t="0" r="0" b="0"/>
            <wp:docPr id="1006465012" name="Chart 1">
              <a:extLst xmlns:a="http://schemas.openxmlformats.org/drawingml/2006/main">
                <a:ext uri="{FF2B5EF4-FFF2-40B4-BE49-F238E27FC236}">
                  <a16:creationId xmlns:a16="http://schemas.microsoft.com/office/drawing/2014/main" id="{A544F9F9-92F6-061E-CD2C-88A8E377D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5339C3"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.1 Corporate governance and disclosure (31.4% of articles)</w:t>
      </w:r>
    </w:p>
    <w:p w14:paraId="4EDBEFFD" w14:textId="77777777" w:rsidR="00A11FFD" w:rsidRPr="00F84B24" w:rsidRDefault="00A11FFD" w:rsidP="00A11FFD">
      <w:pPr>
        <w:jc w:val="both"/>
        <w:rPr>
          <w:rFonts w:ascii="Times New Roman" w:hAnsi="Times New Roman"/>
        </w:rPr>
      </w:pPr>
      <w:r w:rsidRPr="00F84B24">
        <w:rPr>
          <w:rFonts w:ascii="Times New Roman" w:hAnsi="Times New Roman"/>
        </w:rPr>
        <w:t xml:space="preserve">The primary issue involves examining the role of chartered accountants in company governance via financial reporting and disclosure standards. Research investigates voluntary disclosures in annual reports following IFRS adoption, board attributes and their influence on reporting quality, risk factor disclosures in bond prospectuses, and the function of independent directors in emerging markets. Boateng et al. (2022) examine governance systems in Ghanaian publicly traded </w:t>
      </w:r>
      <w:proofErr w:type="spellStart"/>
      <w:r w:rsidRPr="00F84B24">
        <w:rPr>
          <w:rFonts w:ascii="Times New Roman" w:hAnsi="Times New Roman"/>
        </w:rPr>
        <w:t>organisations</w:t>
      </w:r>
      <w:proofErr w:type="spellEnd"/>
      <w:r w:rsidRPr="00F84B24">
        <w:rPr>
          <w:rFonts w:ascii="Times New Roman" w:hAnsi="Times New Roman"/>
        </w:rPr>
        <w:t xml:space="preserve">, whereas </w:t>
      </w:r>
      <w:proofErr w:type="spellStart"/>
      <w:r w:rsidRPr="00F84B24">
        <w:rPr>
          <w:rFonts w:ascii="Times New Roman" w:hAnsi="Times New Roman"/>
        </w:rPr>
        <w:t>Prez</w:t>
      </w:r>
      <w:proofErr w:type="spellEnd"/>
      <w:r w:rsidRPr="00F84B24">
        <w:rPr>
          <w:rFonts w:ascii="Times New Roman" w:hAnsi="Times New Roman"/>
        </w:rPr>
        <w:t xml:space="preserve"> et al. (2021) investigate risk disclosures in Spanish non-financial corporations.</w:t>
      </w:r>
    </w:p>
    <w:p w14:paraId="6692AA61" w14:textId="77777777" w:rsidR="00A11FFD" w:rsidRPr="00E22540" w:rsidRDefault="00A11FFD" w:rsidP="00A11FFD">
      <w:pPr>
        <w:jc w:val="both"/>
        <w:rPr>
          <w:rFonts w:ascii="Times New Roman" w:hAnsi="Times New Roman"/>
        </w:rPr>
      </w:pPr>
      <w:r w:rsidRPr="00E22540">
        <w:rPr>
          <w:rFonts w:ascii="Times New Roman" w:hAnsi="Times New Roman"/>
          <w:b/>
          <w:bCs/>
        </w:rPr>
        <w:t>Economic implications</w:t>
      </w:r>
      <w:r w:rsidRPr="00E22540">
        <w:rPr>
          <w:rFonts w:ascii="Times New Roman" w:hAnsi="Times New Roman"/>
        </w:rPr>
        <w:t>: This cluster is highly relevant to capital market efficiency, as accountants’ disclosure practices influence investor decision</w:t>
      </w:r>
      <w:r w:rsidRPr="00E22540">
        <w:rPr>
          <w:rFonts w:ascii="Times New Roman" w:hAnsi="Times New Roman"/>
        </w:rPr>
        <w:noBreakHyphen/>
        <w:t>making, cost of capital and market transparency. The prevalence of IFRS</w:t>
      </w:r>
      <w:r w:rsidRPr="00E22540">
        <w:rPr>
          <w:rFonts w:ascii="Times New Roman" w:hAnsi="Times New Roman"/>
        </w:rPr>
        <w:noBreakHyphen/>
        <w:t xml:space="preserve">related work reflects global </w:t>
      </w:r>
      <w:proofErr w:type="spellStart"/>
      <w:r w:rsidRPr="00E22540">
        <w:rPr>
          <w:rFonts w:ascii="Times New Roman" w:hAnsi="Times New Roman"/>
        </w:rPr>
        <w:t>harmonisation</w:t>
      </w:r>
      <w:proofErr w:type="spellEnd"/>
      <w:r w:rsidRPr="00E22540">
        <w:rPr>
          <w:rFonts w:ascii="Times New Roman" w:hAnsi="Times New Roman"/>
        </w:rPr>
        <w:t xml:space="preserve"> efforts, with implications for cross</w:t>
      </w:r>
      <w:r w:rsidRPr="00E22540">
        <w:rPr>
          <w:rFonts w:ascii="Times New Roman" w:hAnsi="Times New Roman"/>
        </w:rPr>
        <w:noBreakHyphen/>
        <w:t>border investment and regulatory convergence.​</w:t>
      </w:r>
    </w:p>
    <w:p w14:paraId="239F338A"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.2 Audit practice, audit quality and Big Four (23.1%)</w:t>
      </w:r>
    </w:p>
    <w:p w14:paraId="1AF6204E" w14:textId="77777777" w:rsidR="00C60159" w:rsidRDefault="00A11FFD" w:rsidP="00A11FFD">
      <w:pPr>
        <w:jc w:val="both"/>
        <w:rPr>
          <w:rFonts w:ascii="Times New Roman" w:hAnsi="Times New Roman"/>
        </w:rPr>
      </w:pPr>
      <w:r w:rsidRPr="006719D2">
        <w:rPr>
          <w:rFonts w:ascii="Times New Roman" w:hAnsi="Times New Roman"/>
        </w:rPr>
        <w:t>Research focused on auditing examines the supervisory role of chartered accountants, the assessments performed by the Big Four companies, detailed audit reports, and the incorporation of emerging technologies in auditing practices. Primary topics include major audit matters (KAMs) in Spain, perception management by Big Four auditors during public enquiries, and the impact of CEO/CFO external directorships on auditor selection. Anomaly detection techniques for journal entries are also developed, merging traditional auditing with artificial intelligence.</w:t>
      </w:r>
    </w:p>
    <w:p w14:paraId="2D8908FB" w14:textId="03EC4A96" w:rsidR="00A11FFD" w:rsidRPr="006719D2" w:rsidRDefault="00A11FFD" w:rsidP="00A11FFD">
      <w:pPr>
        <w:jc w:val="both"/>
        <w:rPr>
          <w:rFonts w:ascii="Times New Roman" w:hAnsi="Times New Roman"/>
        </w:rPr>
      </w:pPr>
      <w:r w:rsidRPr="006719D2">
        <w:rPr>
          <w:rFonts w:ascii="Times New Roman" w:hAnsi="Times New Roman"/>
        </w:rPr>
        <w:t xml:space="preserve"> </w:t>
      </w:r>
      <w:r w:rsidRPr="006719D2">
        <w:rPr>
          <w:rFonts w:ascii="Times New Roman" w:hAnsi="Times New Roman"/>
        </w:rPr>
        <w:br/>
        <w:t xml:space="preserve">The </w:t>
      </w:r>
      <w:proofErr w:type="spellStart"/>
      <w:r w:rsidRPr="006719D2">
        <w:rPr>
          <w:rFonts w:ascii="Times New Roman" w:hAnsi="Times New Roman"/>
        </w:rPr>
        <w:t>calibre</w:t>
      </w:r>
      <w:proofErr w:type="spellEnd"/>
      <w:r w:rsidRPr="006719D2">
        <w:rPr>
          <w:rFonts w:ascii="Times New Roman" w:hAnsi="Times New Roman"/>
        </w:rPr>
        <w:t xml:space="preserve"> of audits directly impacts the reliability of financial accounts, the confidence of creditors, and systemic risk. The conclusions regarding the preeminence of the Big Four and regulatory constraints have substantial ramifications for competition policy and investor protection in capital markets.</w:t>
      </w:r>
    </w:p>
    <w:p w14:paraId="7D2A4279" w14:textId="77777777" w:rsidR="00A11FFD" w:rsidRPr="00E22540" w:rsidRDefault="00A11FFD" w:rsidP="00A11FFD">
      <w:pPr>
        <w:jc w:val="both"/>
        <w:rPr>
          <w:rFonts w:ascii="Times New Roman" w:hAnsi="Times New Roman"/>
          <w:b/>
          <w:bCs/>
        </w:rPr>
      </w:pPr>
      <w:r>
        <w:rPr>
          <w:rFonts w:ascii="Times New Roman" w:hAnsi="Times New Roman"/>
          <w:b/>
          <w:bCs/>
        </w:rPr>
        <w:lastRenderedPageBreak/>
        <w:t>5</w:t>
      </w:r>
      <w:r w:rsidRPr="00E22540">
        <w:rPr>
          <w:rFonts w:ascii="Times New Roman" w:hAnsi="Times New Roman"/>
          <w:b/>
          <w:bCs/>
        </w:rPr>
        <w:t>.3 Professional identity, education and history (18.2%)</w:t>
      </w:r>
    </w:p>
    <w:p w14:paraId="59450C20" w14:textId="77777777" w:rsidR="00A11FFD" w:rsidRDefault="00A11FFD" w:rsidP="00A11FFD">
      <w:pPr>
        <w:jc w:val="both"/>
        <w:rPr>
          <w:rFonts w:ascii="Times New Roman" w:hAnsi="Times New Roman"/>
        </w:rPr>
      </w:pPr>
      <w:r w:rsidRPr="006719D2">
        <w:rPr>
          <w:rFonts w:ascii="Times New Roman" w:hAnsi="Times New Roman"/>
        </w:rPr>
        <w:t xml:space="preserve">This issue explores the sociology and history of the CA profession, including professional associations, motivations for pursuing accounting doctorates, and the propagation of professional norms. Historical case studies include mergers in the Australian Chartered Accountancy profession, the social mobility of Scottish chartered accountants, and individual biographies, such as that of John Franklyn </w:t>
      </w:r>
      <w:proofErr w:type="spellStart"/>
      <w:r w:rsidRPr="006719D2">
        <w:rPr>
          <w:rFonts w:ascii="Times New Roman" w:hAnsi="Times New Roman"/>
        </w:rPr>
        <w:t>Venner</w:t>
      </w:r>
      <w:proofErr w:type="spellEnd"/>
      <w:r w:rsidRPr="006719D2">
        <w:rPr>
          <w:rFonts w:ascii="Times New Roman" w:hAnsi="Times New Roman"/>
        </w:rPr>
        <w:t xml:space="preserve">. Educational study investigates PhD pathways and student reflections. </w:t>
      </w:r>
    </w:p>
    <w:p w14:paraId="48EEFE51" w14:textId="77777777" w:rsidR="00A11FFD" w:rsidRPr="006719D2" w:rsidRDefault="00A11FFD" w:rsidP="00A11FFD">
      <w:pPr>
        <w:jc w:val="both"/>
        <w:rPr>
          <w:rFonts w:ascii="Times New Roman" w:hAnsi="Times New Roman"/>
        </w:rPr>
      </w:pPr>
      <w:r w:rsidRPr="006719D2">
        <w:rPr>
          <w:rFonts w:ascii="Times New Roman" w:hAnsi="Times New Roman"/>
        </w:rPr>
        <w:br/>
        <w:t xml:space="preserve">The economic ramifications of professional identity research impact human capital development in accounting services, encompassing </w:t>
      </w:r>
      <w:proofErr w:type="spellStart"/>
      <w:r w:rsidRPr="006719D2">
        <w:rPr>
          <w:rFonts w:ascii="Times New Roman" w:hAnsi="Times New Roman"/>
        </w:rPr>
        <w:t>labour</w:t>
      </w:r>
      <w:proofErr w:type="spellEnd"/>
      <w:r w:rsidRPr="006719D2">
        <w:rPr>
          <w:rFonts w:ascii="Times New Roman" w:hAnsi="Times New Roman"/>
        </w:rPr>
        <w:t xml:space="preserve"> market dynamics, talent pipelines, and the regulatory licensing of accountants.</w:t>
      </w:r>
    </w:p>
    <w:p w14:paraId="139F4956"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.4 Public sector and regulatory reforms (14.9%)</w:t>
      </w:r>
    </w:p>
    <w:p w14:paraId="5D3B02C3" w14:textId="77777777" w:rsidR="008F78FE" w:rsidRDefault="00A11FFD" w:rsidP="00A11FFD">
      <w:pPr>
        <w:jc w:val="both"/>
        <w:rPr>
          <w:rFonts w:ascii="Times New Roman" w:hAnsi="Times New Roman"/>
        </w:rPr>
      </w:pPr>
      <w:r w:rsidRPr="006719D2">
        <w:rPr>
          <w:rFonts w:ascii="Times New Roman" w:hAnsi="Times New Roman"/>
        </w:rPr>
        <w:t xml:space="preserve">Articles </w:t>
      </w:r>
      <w:proofErr w:type="spellStart"/>
      <w:r w:rsidRPr="006719D2">
        <w:rPr>
          <w:rFonts w:ascii="Times New Roman" w:hAnsi="Times New Roman"/>
        </w:rPr>
        <w:t>analyse</w:t>
      </w:r>
      <w:proofErr w:type="spellEnd"/>
      <w:r w:rsidRPr="006719D2">
        <w:rPr>
          <w:rFonts w:ascii="Times New Roman" w:hAnsi="Times New Roman"/>
        </w:rPr>
        <w:t xml:space="preserve"> the implementation of accrual accounting in government, stewardship, and decision usefulness within historical contexts, as well as advancements in risk disclosure. Studies from India, Poland, and South Africa highlight institutional barriers in public financial management.</w:t>
      </w:r>
    </w:p>
    <w:p w14:paraId="60CD2EE6" w14:textId="3BA5A86C" w:rsidR="00A11FFD" w:rsidRPr="006719D2" w:rsidRDefault="00A11FFD" w:rsidP="00A11FFD">
      <w:pPr>
        <w:jc w:val="both"/>
        <w:rPr>
          <w:rFonts w:ascii="Times New Roman" w:hAnsi="Times New Roman"/>
        </w:rPr>
      </w:pPr>
      <w:r w:rsidRPr="006719D2">
        <w:rPr>
          <w:rFonts w:ascii="Times New Roman" w:hAnsi="Times New Roman"/>
        </w:rPr>
        <w:t xml:space="preserve"> </w:t>
      </w:r>
      <w:r w:rsidRPr="006719D2">
        <w:rPr>
          <w:rFonts w:ascii="Times New Roman" w:hAnsi="Times New Roman"/>
        </w:rPr>
        <w:br/>
        <w:t>The economic consequences of public sector accounting reforms encompass fiscal transparency, debt sustainability, and the allocation of public resources—essential macroeconomic concerns. Findings support the establishment of evidence-based policies for governmental financial reporting.</w:t>
      </w:r>
    </w:p>
    <w:p w14:paraId="3A8D1269"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.5 Technology and AI in accounting (12.4%)</w:t>
      </w:r>
    </w:p>
    <w:p w14:paraId="51080C5A" w14:textId="77777777" w:rsidR="00A11FFD" w:rsidRDefault="00A11FFD" w:rsidP="00A11FFD">
      <w:pPr>
        <w:jc w:val="both"/>
        <w:rPr>
          <w:rFonts w:ascii="Times New Roman" w:hAnsi="Times New Roman"/>
        </w:rPr>
      </w:pPr>
      <w:r w:rsidRPr="006719D2">
        <w:rPr>
          <w:rFonts w:ascii="Times New Roman" w:hAnsi="Times New Roman"/>
        </w:rPr>
        <w:t xml:space="preserve">The most quickly developing theme is from the AI–CA subgroup, which includes digital competencies, robotic process automation in auditing, ethical frameworks for AI, and the integration of analytics into accounting courses. Titles such as “Digital Futures for Accountants” and “Artificial Intelligence and Robotic Process Automation in Auditing and Accounting” exemplify this focus. The tempo post-2020, featuring 17 items in 2024 and 16 in 2025, underscores the urgency. </w:t>
      </w:r>
    </w:p>
    <w:p w14:paraId="3CCEBA1A" w14:textId="77777777" w:rsidR="00A11FFD" w:rsidRPr="006719D2" w:rsidRDefault="00A11FFD" w:rsidP="00A11FFD">
      <w:pPr>
        <w:jc w:val="both"/>
        <w:rPr>
          <w:rFonts w:ascii="Times New Roman" w:hAnsi="Times New Roman"/>
        </w:rPr>
      </w:pPr>
      <w:r w:rsidRPr="006719D2">
        <w:rPr>
          <w:rFonts w:ascii="Times New Roman" w:hAnsi="Times New Roman"/>
        </w:rPr>
        <w:t xml:space="preserve">The economic implications of AI adoption suggest possible productivity improvements in accounting services by the automation of routine tasks; nevertheless, it also raises issues around job displacement, the need for skill development, and ethical governance. This matter is directly relevant to the plans of professional </w:t>
      </w:r>
      <w:proofErr w:type="spellStart"/>
      <w:r w:rsidRPr="006719D2">
        <w:rPr>
          <w:rFonts w:ascii="Times New Roman" w:hAnsi="Times New Roman"/>
        </w:rPr>
        <w:t>organisations</w:t>
      </w:r>
      <w:proofErr w:type="spellEnd"/>
      <w:r w:rsidRPr="006719D2">
        <w:rPr>
          <w:rFonts w:ascii="Times New Roman" w:hAnsi="Times New Roman"/>
        </w:rPr>
        <w:t xml:space="preserve"> and the regulatory modifications necessary for digital assurance.</w:t>
      </w:r>
    </w:p>
    <w:p w14:paraId="61C65661" w14:textId="77777777" w:rsidR="00A11FFD" w:rsidRPr="00E22540" w:rsidRDefault="00A11FFD" w:rsidP="00A11FFD">
      <w:pPr>
        <w:jc w:val="both"/>
        <w:rPr>
          <w:rFonts w:ascii="Times New Roman" w:hAnsi="Times New Roman"/>
        </w:rPr>
      </w:pPr>
      <w:r w:rsidRPr="00E22540">
        <w:rPr>
          <w:rFonts w:ascii="Times New Roman" w:hAnsi="Times New Roman"/>
        </w:rPr>
        <w:t>The thematic structure reveals a field balancing traditional concerns (governance, audit, regulation) with emerging challenges (technology, digital ethics), with strong economic relevance across financial stability, market efficiency and public fiscal management. The next section discusses these patterns and their implications.​</w:t>
      </w:r>
    </w:p>
    <w:p w14:paraId="10ECA667" w14:textId="6DE7223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1B864C1" w14:textId="77777777" w:rsidR="00790ADA" w:rsidRPr="00FB3A86" w:rsidRDefault="00790ADA" w:rsidP="00441B6F">
      <w:pPr>
        <w:pStyle w:val="Head1"/>
        <w:spacing w:after="0"/>
        <w:jc w:val="both"/>
        <w:rPr>
          <w:rFonts w:ascii="Arial" w:hAnsi="Arial" w:cs="Arial"/>
        </w:rPr>
      </w:pPr>
    </w:p>
    <w:p w14:paraId="79FE27D0" w14:textId="77777777" w:rsidR="00A11FFD" w:rsidRPr="00EE7F9F" w:rsidRDefault="00A11FFD" w:rsidP="00A11FFD">
      <w:pPr>
        <w:jc w:val="both"/>
        <w:rPr>
          <w:rFonts w:ascii="Times New Roman" w:hAnsi="Times New Roman"/>
        </w:rPr>
      </w:pPr>
      <w:r w:rsidRPr="00EE7F9F">
        <w:rPr>
          <w:rFonts w:ascii="Times New Roman" w:hAnsi="Times New Roman"/>
        </w:rPr>
        <w:t>The bibliometric and thematic analysis of chartered accountancy (CA) research reveals several key patterns with significant implications for the profession, regulatory bodies, educators and policymakers. This section interprets the findings in relation to prior literature, highlights economic contributions and outlines practical and research implications.​</w:t>
      </w:r>
    </w:p>
    <w:p w14:paraId="264A3F64"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.1 Interpretation of key findings</w:t>
      </w:r>
    </w:p>
    <w:p w14:paraId="7A73FAAC" w14:textId="77777777" w:rsidR="008F78FE" w:rsidRDefault="00A11FFD" w:rsidP="00A11FFD">
      <w:pPr>
        <w:jc w:val="both"/>
        <w:rPr>
          <w:rFonts w:ascii="Times New Roman" w:hAnsi="Times New Roman"/>
        </w:rPr>
      </w:pPr>
      <w:r w:rsidRPr="00D54326">
        <w:rPr>
          <w:rFonts w:ascii="Times New Roman" w:hAnsi="Times New Roman"/>
        </w:rPr>
        <w:t xml:space="preserve">The concentration of CA research in the post-2020 period (100% of 121 articles) signifies a reaction to heightened global pressures on the accounting profession, encompassing corporate governance scandals, challenges in IFRS implementation, public sector accounting reforms, and the COVID-19-induced acceleration of </w:t>
      </w:r>
      <w:proofErr w:type="spellStart"/>
      <w:r w:rsidRPr="00D54326">
        <w:rPr>
          <w:rFonts w:ascii="Times New Roman" w:hAnsi="Times New Roman"/>
        </w:rPr>
        <w:t>digitalisation</w:t>
      </w:r>
      <w:proofErr w:type="spellEnd"/>
      <w:r w:rsidRPr="00D54326">
        <w:rPr>
          <w:rFonts w:ascii="Times New Roman" w:hAnsi="Times New Roman"/>
        </w:rPr>
        <w:t xml:space="preserve">. The preeminence of UK (36.4%) and US (16.5%) publishers highlights the enduring influence of Anglo-Saxon professional </w:t>
      </w:r>
      <w:proofErr w:type="spellStart"/>
      <w:r w:rsidRPr="00D54326">
        <w:rPr>
          <w:rFonts w:ascii="Times New Roman" w:hAnsi="Times New Roman"/>
        </w:rPr>
        <w:t>organisations</w:t>
      </w:r>
      <w:proofErr w:type="spellEnd"/>
      <w:r w:rsidRPr="00D54326">
        <w:rPr>
          <w:rFonts w:ascii="Times New Roman" w:hAnsi="Times New Roman"/>
        </w:rPr>
        <w:t xml:space="preserve"> such as ICAEW, AICPA, and ACCA, which persist in shaping global discussions on accounting standards and ethics. Recent contributions from Ukraine, South Africa, and Malaysia indicate an increasing research capacity in transitional and developing economies, where Chartered Accountants are crucial in market development and regulatory capacity enhancement.</w:t>
      </w:r>
    </w:p>
    <w:p w14:paraId="096E974E" w14:textId="3BE5D047" w:rsidR="00A11FFD" w:rsidRPr="00D54326" w:rsidRDefault="00A11FFD" w:rsidP="00A11FFD">
      <w:pPr>
        <w:jc w:val="both"/>
        <w:rPr>
          <w:rFonts w:ascii="Times New Roman" w:hAnsi="Times New Roman"/>
        </w:rPr>
      </w:pPr>
      <w:r w:rsidRPr="00D54326">
        <w:rPr>
          <w:rFonts w:ascii="Times New Roman" w:hAnsi="Times New Roman"/>
        </w:rPr>
        <w:t xml:space="preserve"> </w:t>
      </w:r>
      <w:r w:rsidRPr="00D54326">
        <w:rPr>
          <w:rFonts w:ascii="Times New Roman" w:hAnsi="Times New Roman"/>
        </w:rPr>
        <w:br/>
        <w:t xml:space="preserve">The concentration of journals like Accounting and Business Research and Corporate Ownership and Control suggests that studies related to the CA profession attract both core accounting and interdisciplinary governance readers. The substantial open access share (74.4%) amplifies the global accessibility of our findings, particularly advantageous for professional </w:t>
      </w:r>
      <w:proofErr w:type="spellStart"/>
      <w:r w:rsidRPr="00D54326">
        <w:rPr>
          <w:rFonts w:ascii="Times New Roman" w:hAnsi="Times New Roman"/>
        </w:rPr>
        <w:t>organisations</w:t>
      </w:r>
      <w:proofErr w:type="spellEnd"/>
      <w:r w:rsidRPr="00D54326">
        <w:rPr>
          <w:rFonts w:ascii="Times New Roman" w:hAnsi="Times New Roman"/>
        </w:rPr>
        <w:t xml:space="preserve"> and regulators in resource-limited environments.</w:t>
      </w:r>
    </w:p>
    <w:p w14:paraId="72AF32BF" w14:textId="77777777" w:rsidR="00A11FFD" w:rsidRPr="00D54326" w:rsidRDefault="00A11FFD" w:rsidP="00A11FFD">
      <w:pPr>
        <w:jc w:val="both"/>
        <w:rPr>
          <w:rFonts w:ascii="Times New Roman" w:hAnsi="Times New Roman"/>
        </w:rPr>
      </w:pPr>
      <w:r w:rsidRPr="00D54326">
        <w:rPr>
          <w:rFonts w:ascii="Times New Roman" w:hAnsi="Times New Roman"/>
        </w:rPr>
        <w:t xml:space="preserve">Thematically, the predominance of corporate governance and disclosure (31.4%) corresponds with post-financial crisis concerns about financial transparency and investor protection. Research on audit quality (23.1%) engages in current discussions over the market dominance of the Big Four and the dependability of assurance, whilst studies on professional identity (18.2%) examine the changing function of chartered accountants in the context of automation and legislative transformations. Public sector reforms (14.9%) underscore issues in fiscal responsibility within government accounting, while the technology/AI theme (12.4%) reflects the profession's response to digital disruption. The swift expansion of AI–CA research following 2023 (33 publications in 2024–2025 out of 62) reflects wider trends in the </w:t>
      </w:r>
      <w:proofErr w:type="spellStart"/>
      <w:r w:rsidRPr="00D54326">
        <w:rPr>
          <w:rFonts w:ascii="Times New Roman" w:hAnsi="Times New Roman"/>
        </w:rPr>
        <w:t>digitisation</w:t>
      </w:r>
      <w:proofErr w:type="spellEnd"/>
      <w:r w:rsidRPr="00D54326">
        <w:rPr>
          <w:rFonts w:ascii="Times New Roman" w:hAnsi="Times New Roman"/>
        </w:rPr>
        <w:t xml:space="preserve"> of professional services.</w:t>
      </w:r>
    </w:p>
    <w:p w14:paraId="463AB80E"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.2 Economic implications</w:t>
      </w:r>
    </w:p>
    <w:p w14:paraId="7735AC55" w14:textId="77777777" w:rsidR="008F78FE" w:rsidRDefault="00A11FFD" w:rsidP="00A11FFD">
      <w:pPr>
        <w:jc w:val="both"/>
        <w:rPr>
          <w:rFonts w:ascii="Times New Roman" w:hAnsi="Times New Roman"/>
        </w:rPr>
      </w:pPr>
      <w:r w:rsidRPr="00D54326">
        <w:rPr>
          <w:rFonts w:ascii="Times New Roman" w:hAnsi="Times New Roman"/>
        </w:rPr>
        <w:t>The topic framework of CA research is directly pertinent to financial stability, market efficiency, and resource allocation from an economic standpoint. Studies on corporate governance and disclosure guide policies that mitigate information asymmetry between companies and investors, potentially decreasing the cost of capital and improving market liquidity. Research on audit quality reinforces reliable financial assurance, which is essential for credit allocation and systemic risk management—vital for banking stability and economic development.</w:t>
      </w:r>
    </w:p>
    <w:p w14:paraId="55B3D5DD" w14:textId="034B34CF" w:rsidR="00A11FFD" w:rsidRPr="00D54326" w:rsidRDefault="00A11FFD" w:rsidP="00A11FFD">
      <w:pPr>
        <w:jc w:val="both"/>
        <w:rPr>
          <w:rFonts w:ascii="Times New Roman" w:hAnsi="Times New Roman"/>
        </w:rPr>
      </w:pPr>
      <w:r w:rsidRPr="00D54326">
        <w:rPr>
          <w:rFonts w:ascii="Times New Roman" w:hAnsi="Times New Roman"/>
        </w:rPr>
        <w:br/>
        <w:t xml:space="preserve">Public sector accounting reforms, highlighted in the dataset, pertain to fiscal transparency and debt sustainability, affecting sovereign </w:t>
      </w:r>
      <w:r w:rsidRPr="00D54326">
        <w:rPr>
          <w:rFonts w:ascii="Times New Roman" w:hAnsi="Times New Roman"/>
        </w:rPr>
        <w:lastRenderedPageBreak/>
        <w:t xml:space="preserve">credit ratings and the efficiency of public investment. The AI–CA theme presents significant potential for productivity enhancements: the automation of routine tasks (such as journal entry anomaly detection and robotic process automation in auditing) could decrease accounting service expenses by 20–40%, thereby enabling chartered accountants to engage in more valuable advisory functions related to strategy, sustainability reporting, and AI ethics. This change, however, poses dangers of </w:t>
      </w:r>
      <w:proofErr w:type="spellStart"/>
      <w:r w:rsidRPr="00D54326">
        <w:rPr>
          <w:rFonts w:ascii="Times New Roman" w:hAnsi="Times New Roman"/>
        </w:rPr>
        <w:t>labour</w:t>
      </w:r>
      <w:proofErr w:type="spellEnd"/>
      <w:r w:rsidRPr="00D54326">
        <w:rPr>
          <w:rFonts w:ascii="Times New Roman" w:hAnsi="Times New Roman"/>
        </w:rPr>
        <w:t xml:space="preserve"> displacement and necessitates investments in reskilling, while also impacting the macroeconomic trade balances of professional services.</w:t>
      </w:r>
    </w:p>
    <w:p w14:paraId="6F2064E3" w14:textId="77777777" w:rsidR="00A11FFD" w:rsidRPr="00EE7F9F" w:rsidRDefault="00A11FFD" w:rsidP="00A11FFD">
      <w:pPr>
        <w:jc w:val="both"/>
        <w:rPr>
          <w:rFonts w:ascii="Times New Roman" w:hAnsi="Times New Roman"/>
        </w:rPr>
      </w:pPr>
      <w:r w:rsidRPr="00EE7F9F">
        <w:rPr>
          <w:rFonts w:ascii="Times New Roman" w:hAnsi="Times New Roman"/>
        </w:rPr>
        <w:t>Geographically, the Anglo</w:t>
      </w:r>
      <w:r w:rsidRPr="00EE7F9F">
        <w:rPr>
          <w:rFonts w:ascii="Times New Roman" w:hAnsi="Times New Roman"/>
        </w:rPr>
        <w:noBreakHyphen/>
        <w:t xml:space="preserve">European dominance suggests potential knowledge gaps in Global South contexts, where CA professionals often lead informal economy </w:t>
      </w:r>
      <w:proofErr w:type="spellStart"/>
      <w:r w:rsidRPr="00EE7F9F">
        <w:rPr>
          <w:rFonts w:ascii="Times New Roman" w:hAnsi="Times New Roman"/>
        </w:rPr>
        <w:t>formalisation</w:t>
      </w:r>
      <w:proofErr w:type="spellEnd"/>
      <w:r w:rsidRPr="00EE7F9F">
        <w:rPr>
          <w:rFonts w:ascii="Times New Roman" w:hAnsi="Times New Roman"/>
        </w:rPr>
        <w:t xml:space="preserve"> and SME financial inclusion—key drivers of inclusive growth.​</w:t>
      </w:r>
    </w:p>
    <w:p w14:paraId="48CB3DFE"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.3 Implications for the CA profession</w:t>
      </w:r>
    </w:p>
    <w:p w14:paraId="381617E9" w14:textId="77777777" w:rsidR="00A11FFD" w:rsidRPr="00D54326" w:rsidRDefault="00A11FFD" w:rsidP="00A11FFD">
      <w:pPr>
        <w:jc w:val="both"/>
        <w:rPr>
          <w:rFonts w:ascii="Times New Roman" w:hAnsi="Times New Roman"/>
        </w:rPr>
      </w:pPr>
      <w:r w:rsidRPr="00D54326">
        <w:rPr>
          <w:rFonts w:ascii="Times New Roman" w:hAnsi="Times New Roman"/>
        </w:rPr>
        <w:t xml:space="preserve">Professional </w:t>
      </w:r>
      <w:proofErr w:type="spellStart"/>
      <w:r w:rsidRPr="00D54326">
        <w:rPr>
          <w:rFonts w:ascii="Times New Roman" w:hAnsi="Times New Roman"/>
        </w:rPr>
        <w:t>organisations</w:t>
      </w:r>
      <w:proofErr w:type="spellEnd"/>
      <w:r w:rsidRPr="00D54326">
        <w:rPr>
          <w:rFonts w:ascii="Times New Roman" w:hAnsi="Times New Roman"/>
        </w:rPr>
        <w:t xml:space="preserve"> (e.g., ICAEW, AICPA, CAANZ) may </w:t>
      </w:r>
      <w:proofErr w:type="spellStart"/>
      <w:r w:rsidRPr="00D54326">
        <w:rPr>
          <w:rFonts w:ascii="Times New Roman" w:hAnsi="Times New Roman"/>
        </w:rPr>
        <w:t>utilise</w:t>
      </w:r>
      <w:proofErr w:type="spellEnd"/>
      <w:r w:rsidRPr="00D54326">
        <w:rPr>
          <w:rFonts w:ascii="Times New Roman" w:hAnsi="Times New Roman"/>
        </w:rPr>
        <w:t xml:space="preserve"> these findings to promote continuing professional development (CPD) initiatives. Themes of governance and audit highlight the necessity for advanced training in IFRS disclosure and comprehensive audit reporting, while AI competencies like as data analytics, robotic process automation, and ethical AI frameworks should constitute fundamental modules. The literature on professional identity advocates for focused recruitment initiatives that </w:t>
      </w:r>
      <w:proofErr w:type="spellStart"/>
      <w:r w:rsidRPr="00D54326">
        <w:rPr>
          <w:rFonts w:ascii="Times New Roman" w:hAnsi="Times New Roman"/>
        </w:rPr>
        <w:t>emphasise</w:t>
      </w:r>
      <w:proofErr w:type="spellEnd"/>
      <w:r w:rsidRPr="00D54326">
        <w:rPr>
          <w:rFonts w:ascii="Times New Roman" w:hAnsi="Times New Roman"/>
        </w:rPr>
        <w:t xml:space="preserve"> the profession's historical resilience and societal significance.</w:t>
      </w:r>
    </w:p>
    <w:p w14:paraId="42A008EE" w14:textId="77777777" w:rsidR="00A11FFD" w:rsidRPr="00D54326" w:rsidRDefault="00A11FFD" w:rsidP="00A11FFD">
      <w:pPr>
        <w:jc w:val="both"/>
        <w:rPr>
          <w:rFonts w:ascii="Times New Roman" w:hAnsi="Times New Roman"/>
        </w:rPr>
      </w:pPr>
      <w:r w:rsidRPr="00D54326">
        <w:rPr>
          <w:rFonts w:ascii="Times New Roman" w:hAnsi="Times New Roman"/>
        </w:rPr>
        <w:t xml:space="preserve">Regulators ought to </w:t>
      </w:r>
      <w:proofErr w:type="spellStart"/>
      <w:r w:rsidRPr="00D54326">
        <w:rPr>
          <w:rFonts w:ascii="Times New Roman" w:hAnsi="Times New Roman"/>
        </w:rPr>
        <w:t>utilise</w:t>
      </w:r>
      <w:proofErr w:type="spellEnd"/>
      <w:r w:rsidRPr="00D54326">
        <w:rPr>
          <w:rFonts w:ascii="Times New Roman" w:hAnsi="Times New Roman"/>
        </w:rPr>
        <w:t xml:space="preserve"> studies on transparency and public sector reform to enhance standards, such as obligatory Key Audit Matters (KAMs) or accrual-based government reporting, while balancing compliance costs against economic advantages like enhanced budgetary discipline.</w:t>
      </w:r>
    </w:p>
    <w:p w14:paraId="108370A6"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.4 Implications for accounting education and research</w:t>
      </w:r>
    </w:p>
    <w:p w14:paraId="1D855025" w14:textId="3526E4F9" w:rsidR="00A11FFD" w:rsidRPr="00EE7F9F" w:rsidRDefault="00A11FFD" w:rsidP="00A11FFD">
      <w:pPr>
        <w:jc w:val="both"/>
        <w:rPr>
          <w:rFonts w:ascii="Times New Roman" w:hAnsi="Times New Roman"/>
        </w:rPr>
      </w:pPr>
      <w:r w:rsidRPr="00EE7F9F">
        <w:rPr>
          <w:rFonts w:ascii="Times New Roman" w:hAnsi="Times New Roman"/>
          <w:b/>
          <w:bCs/>
        </w:rPr>
        <w:t>Educators</w:t>
      </w:r>
      <w:r w:rsidRPr="00EE7F9F">
        <w:rPr>
          <w:rFonts w:ascii="Times New Roman" w:hAnsi="Times New Roman"/>
        </w:rPr>
        <w:t xml:space="preserve"> face a clear mandate to integrate thematic priorities into curricula: governance case studies, audit simulation with AI tools, historical perspectives on </w:t>
      </w:r>
      <w:proofErr w:type="spellStart"/>
      <w:r w:rsidR="00C60159">
        <w:rPr>
          <w:rFonts w:ascii="Times New Roman" w:hAnsi="Times New Roman"/>
        </w:rPr>
        <w:t>professionalisation</w:t>
      </w:r>
      <w:proofErr w:type="spellEnd"/>
      <w:r w:rsidRPr="00EE7F9F">
        <w:rPr>
          <w:rFonts w:ascii="Times New Roman" w:hAnsi="Times New Roman"/>
        </w:rPr>
        <w:t xml:space="preserve">, and public sector accounting modules. Doctoral </w:t>
      </w:r>
      <w:proofErr w:type="spellStart"/>
      <w:r w:rsidRPr="00EE7F9F">
        <w:rPr>
          <w:rFonts w:ascii="Times New Roman" w:hAnsi="Times New Roman"/>
        </w:rPr>
        <w:t>programmes</w:t>
      </w:r>
      <w:proofErr w:type="spellEnd"/>
      <w:r w:rsidRPr="00EE7F9F">
        <w:rPr>
          <w:rFonts w:ascii="Times New Roman" w:hAnsi="Times New Roman"/>
        </w:rPr>
        <w:t xml:space="preserve"> should </w:t>
      </w:r>
      <w:proofErr w:type="spellStart"/>
      <w:r w:rsidRPr="00EE7F9F">
        <w:rPr>
          <w:rFonts w:ascii="Times New Roman" w:hAnsi="Times New Roman"/>
        </w:rPr>
        <w:t>emphasise</w:t>
      </w:r>
      <w:proofErr w:type="spellEnd"/>
      <w:r w:rsidRPr="00EE7F9F">
        <w:rPr>
          <w:rFonts w:ascii="Times New Roman" w:hAnsi="Times New Roman"/>
        </w:rPr>
        <w:t xml:space="preserve"> mixed</w:t>
      </w:r>
      <w:r w:rsidRPr="00EE7F9F">
        <w:rPr>
          <w:rFonts w:ascii="Times New Roman" w:hAnsi="Times New Roman"/>
        </w:rPr>
        <w:noBreakHyphen/>
        <w:t>methods approaches to bridge the research–practice gap highlighted in enrolment motivation studies.​</w:t>
      </w:r>
    </w:p>
    <w:p w14:paraId="1E606BFE" w14:textId="77777777" w:rsidR="00A11FFD" w:rsidRPr="00EE7F9F" w:rsidRDefault="00A11FFD" w:rsidP="00A11FFD">
      <w:pPr>
        <w:jc w:val="both"/>
        <w:rPr>
          <w:rFonts w:ascii="Times New Roman" w:hAnsi="Times New Roman"/>
        </w:rPr>
      </w:pPr>
      <w:r w:rsidRPr="00EE7F9F">
        <w:rPr>
          <w:rFonts w:ascii="Times New Roman" w:hAnsi="Times New Roman"/>
          <w:b/>
          <w:bCs/>
        </w:rPr>
        <w:t>Researchers</w:t>
      </w:r>
      <w:r w:rsidRPr="00EE7F9F">
        <w:rPr>
          <w:rFonts w:ascii="Times New Roman" w:hAnsi="Times New Roman"/>
        </w:rPr>
        <w:t> are encouraged to:</w:t>
      </w:r>
    </w:p>
    <w:p w14:paraId="741BACDD"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Expand geographical coverage to underrepresented regions (e.g., Africa, Latin America).​</w:t>
      </w:r>
    </w:p>
    <w:p w14:paraId="64C37FF6"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Conduct longitudinal studies tracking AI adoption impacts on CA productivity and job roles.</w:t>
      </w:r>
    </w:p>
    <w:p w14:paraId="3B10ECF0"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Explore intersections with sustainability reporting and ESG assurance, building on governance themes.​</w:t>
      </w:r>
    </w:p>
    <w:p w14:paraId="135E9499"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Use experimental methods to test disclosure effectiveness in AI</w:t>
      </w:r>
      <w:r w:rsidRPr="00EE7F9F">
        <w:rPr>
          <w:rFonts w:ascii="Times New Roman" w:hAnsi="Times New Roman"/>
        </w:rPr>
        <w:noBreakHyphen/>
        <w:t>augmented environments.</w:t>
      </w:r>
    </w:p>
    <w:p w14:paraId="2E776A27" w14:textId="77777777" w:rsidR="00E053D0" w:rsidRDefault="00E053D0" w:rsidP="00441B6F">
      <w:pPr>
        <w:pStyle w:val="Body"/>
        <w:spacing w:after="0"/>
        <w:rPr>
          <w:rFonts w:ascii="Arial" w:hAnsi="Arial" w:cs="Arial"/>
        </w:rPr>
      </w:pPr>
    </w:p>
    <w:p w14:paraId="36303954" w14:textId="77777777" w:rsidR="00790ADA" w:rsidRPr="00FB3A86" w:rsidRDefault="00790ADA" w:rsidP="00441B6F">
      <w:pPr>
        <w:pStyle w:val="Body"/>
        <w:spacing w:after="0"/>
        <w:rPr>
          <w:rFonts w:ascii="Arial" w:hAnsi="Arial" w:cs="Arial"/>
        </w:rPr>
      </w:pPr>
    </w:p>
    <w:p w14:paraId="731419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183AAE" w14:textId="77777777" w:rsidR="00790ADA" w:rsidRPr="00FB3A86" w:rsidRDefault="00790ADA" w:rsidP="00441B6F">
      <w:pPr>
        <w:pStyle w:val="ConcHead"/>
        <w:spacing w:after="0"/>
        <w:jc w:val="both"/>
        <w:rPr>
          <w:rFonts w:ascii="Arial" w:hAnsi="Arial" w:cs="Arial"/>
        </w:rPr>
      </w:pPr>
    </w:p>
    <w:p w14:paraId="2D08FAD9" w14:textId="77777777" w:rsidR="00C60159" w:rsidRPr="00D41A88" w:rsidRDefault="00C60159" w:rsidP="00C60159">
      <w:pPr>
        <w:jc w:val="both"/>
        <w:rPr>
          <w:rFonts w:ascii="Times New Roman" w:hAnsi="Times New Roman"/>
        </w:rPr>
      </w:pPr>
      <w:r>
        <w:rPr>
          <w:rFonts w:ascii="Times New Roman" w:hAnsi="Times New Roman"/>
        </w:rPr>
        <w:t xml:space="preserve">In this study we done the bibliometric and thematic analysis on the profession of chartered accountant using 121 journal articles published between the time span of 2020 to 2025 along with a focused subset of 62 studies how artificial intelligence changes the profession of chartered accountant. The findings show that due to the artificial intelligence in this area the working pattern of the chartered accountant shows a drastic change since 2020, seen this with most publications coming from the UK and the US, and with major themes </w:t>
      </w:r>
      <w:proofErr w:type="spellStart"/>
      <w:r>
        <w:rPr>
          <w:rFonts w:ascii="Times New Roman" w:hAnsi="Times New Roman"/>
        </w:rPr>
        <w:t>centred</w:t>
      </w:r>
      <w:proofErr w:type="spellEnd"/>
      <w:r>
        <w:rPr>
          <w:rFonts w:ascii="Times New Roman" w:hAnsi="Times New Roman"/>
        </w:rPr>
        <w:t xml:space="preserve"> on governance, audit, professional development and the growing role of AI in skills, and automation of repetitive work and ethical task. Overall, this study suggest that the profession of chartered accountant is changing with the involvement of artificial intelligence from day-to-day repetitive entries to decision making. Further this change matters not only for the profession itself but for the economy development, market transparency, audit trust, fiscal accountability and the efficiency in professional services.</w:t>
      </w:r>
    </w:p>
    <w:p w14:paraId="4A774D87" w14:textId="1C84C868" w:rsidR="00A11FFD" w:rsidRPr="00D54326" w:rsidRDefault="00A11FFD" w:rsidP="00A11FFD">
      <w:pPr>
        <w:jc w:val="both"/>
        <w:rPr>
          <w:rFonts w:ascii="Times New Roman" w:hAnsi="Times New Roman"/>
        </w:rPr>
      </w:pPr>
      <w:r w:rsidRPr="00D54326">
        <w:rPr>
          <w:rFonts w:ascii="Times New Roman" w:hAnsi="Times New Roman"/>
        </w:rPr>
        <w:br/>
        <w:t>The limitations encompass an exclusive focus on the English language, a concentration on recent years, and a dependence on descriptive bibliometrics instead of sophisticated citation networks. Future study should tackle these issues by integrating non-English sources, exploring pre-2020 archives, and use network analysis to examine co-citation trends. Focused research on the effects of AI in Global South CA practices, sustainability assurance functions, and regulatory experiments would enhance the discipline.</w:t>
      </w:r>
    </w:p>
    <w:p w14:paraId="5DE6215D" w14:textId="77777777" w:rsidR="00790ADA" w:rsidRPr="00FB3A86" w:rsidRDefault="00790ADA" w:rsidP="00441B6F">
      <w:pPr>
        <w:pStyle w:val="Body"/>
        <w:spacing w:after="0"/>
        <w:rPr>
          <w:rFonts w:ascii="Arial" w:hAnsi="Arial" w:cs="Arial"/>
        </w:rPr>
      </w:pPr>
    </w:p>
    <w:p w14:paraId="71EB212B" w14:textId="77777777" w:rsidR="00455FD1" w:rsidRPr="00ED10CD" w:rsidRDefault="00455FD1" w:rsidP="00455FD1">
      <w:pPr>
        <w:pStyle w:val="NoSpacing"/>
        <w:rPr>
          <w:rFonts w:ascii="Arial" w:hAnsi="Arial" w:cs="Arial"/>
          <w:b/>
          <w:highlight w:val="yellow"/>
        </w:rPr>
      </w:pPr>
      <w:bookmarkStart w:id="1" w:name="_Hlk198031404"/>
      <w:r w:rsidRPr="00ED10CD">
        <w:rPr>
          <w:rFonts w:ascii="Arial" w:hAnsi="Arial" w:cs="Arial"/>
          <w:b/>
          <w:highlight w:val="yellow"/>
        </w:rPr>
        <w:t>Disclaimer (Artificial intelligence)</w:t>
      </w:r>
    </w:p>
    <w:p w14:paraId="646460E3" w14:textId="77777777" w:rsidR="00455FD1" w:rsidRPr="00005ED1" w:rsidRDefault="00455FD1" w:rsidP="00455FD1">
      <w:pPr>
        <w:pStyle w:val="NoSpacing"/>
        <w:rPr>
          <w:rFonts w:ascii="Arial" w:hAnsi="Arial" w:cs="Arial"/>
          <w:highlight w:val="yellow"/>
        </w:rPr>
      </w:pPr>
    </w:p>
    <w:p w14:paraId="79E5BE73" w14:textId="77777777" w:rsidR="00455FD1" w:rsidRPr="00005ED1" w:rsidRDefault="00455FD1" w:rsidP="00455FD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DC847BF" w14:textId="77777777" w:rsidR="00455FD1" w:rsidRDefault="00455FD1" w:rsidP="00455FD1">
      <w:pPr>
        <w:pStyle w:val="NoSpacing"/>
        <w:rPr>
          <w:rFonts w:ascii="Arial" w:hAnsi="Arial" w:cs="Arial"/>
        </w:rPr>
      </w:pPr>
    </w:p>
    <w:p w14:paraId="1700BAE9" w14:textId="1F95A9EB" w:rsidR="00315186" w:rsidRDefault="00315186" w:rsidP="00441B6F"/>
    <w:p w14:paraId="4BA45817" w14:textId="7AD43B46" w:rsidR="00455FD1" w:rsidRDefault="00455FD1" w:rsidP="00441B6F"/>
    <w:p w14:paraId="3AF2F33A" w14:textId="77777777" w:rsidR="00455FD1" w:rsidRPr="00315186" w:rsidRDefault="00455FD1" w:rsidP="00441B6F"/>
    <w:p w14:paraId="120F2BA1" w14:textId="77777777" w:rsidR="00315186" w:rsidRPr="00315186" w:rsidRDefault="00315186" w:rsidP="00441B6F"/>
    <w:p w14:paraId="15710FFF"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208FE7BD" w14:textId="77777777" w:rsidR="008242BB" w:rsidRPr="008242BB" w:rsidRDefault="008242BB" w:rsidP="008242BB">
      <w:pPr>
        <w:pStyle w:val="ReferHead"/>
        <w:spacing w:after="0"/>
        <w:jc w:val="both"/>
        <w:rPr>
          <w:rFonts w:ascii="Arial" w:hAnsi="Arial" w:cs="Arial"/>
          <w:b w:val="0"/>
          <w:bCs/>
        </w:rPr>
      </w:pPr>
    </w:p>
    <w:p w14:paraId="4BBA0C42" w14:textId="4F1CDE08"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Antwi</w:t>
      </w:r>
      <w:proofErr w:type="spellEnd"/>
      <w:r w:rsidRPr="008242BB">
        <w:rPr>
          <w:rFonts w:ascii="Arial" w:hAnsi="Arial" w:cs="Arial"/>
          <w:b w:val="0"/>
          <w:bCs/>
          <w:caps w:val="0"/>
        </w:rPr>
        <w:t xml:space="preserve">, </w:t>
      </w:r>
      <w:proofErr w:type="spellStart"/>
      <w:r w:rsidRPr="008242BB">
        <w:rPr>
          <w:rFonts w:ascii="Arial" w:hAnsi="Arial" w:cs="Arial"/>
          <w:b w:val="0"/>
          <w:bCs/>
          <w:caps w:val="0"/>
        </w:rPr>
        <w:t>i</w:t>
      </w:r>
      <w:proofErr w:type="spellEnd"/>
      <w:r w:rsidRPr="008242BB">
        <w:rPr>
          <w:rFonts w:ascii="Arial" w:hAnsi="Arial" w:cs="Arial"/>
          <w:b w:val="0"/>
          <w:bCs/>
          <w:caps w:val="0"/>
        </w:rPr>
        <w:t xml:space="preserve">. F. (2021). Bibliometric analysis: agency theory in accounting. Journal of accounting, finance and auditing studies, 7(1), 56–76. </w:t>
      </w:r>
      <w:hyperlink r:id="rId23" w:history="1">
        <w:r w:rsidRPr="00FA41B2">
          <w:rPr>
            <w:rStyle w:val="Hyperlink"/>
            <w:rFonts w:ascii="Arial" w:hAnsi="Arial" w:cs="Arial"/>
            <w:b w:val="0"/>
            <w:bCs/>
            <w:caps w:val="0"/>
          </w:rPr>
          <w:t>Https://doi.org/10.32602/jafas.2021.003</w:t>
        </w:r>
      </w:hyperlink>
    </w:p>
    <w:p w14:paraId="198874C7" w14:textId="2DBA5206"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Arimany</w:t>
      </w:r>
      <w:proofErr w:type="spellEnd"/>
      <w:r w:rsidRPr="008242BB">
        <w:rPr>
          <w:rFonts w:ascii="Arial" w:hAnsi="Arial" w:cs="Arial"/>
          <w:b w:val="0"/>
          <w:bCs/>
          <w:caps w:val="0"/>
        </w:rPr>
        <w:t xml:space="preserve"> </w:t>
      </w:r>
      <w:proofErr w:type="spellStart"/>
      <w:r w:rsidRPr="008242BB">
        <w:rPr>
          <w:rFonts w:ascii="Arial" w:hAnsi="Arial" w:cs="Arial"/>
          <w:b w:val="0"/>
          <w:bCs/>
          <w:caps w:val="0"/>
        </w:rPr>
        <w:t>serrat</w:t>
      </w:r>
      <w:proofErr w:type="spellEnd"/>
      <w:r w:rsidRPr="008242BB">
        <w:rPr>
          <w:rFonts w:ascii="Arial" w:hAnsi="Arial" w:cs="Arial"/>
          <w:b w:val="0"/>
          <w:bCs/>
          <w:caps w:val="0"/>
        </w:rPr>
        <w:t xml:space="preserve">, n., </w:t>
      </w:r>
      <w:proofErr w:type="spellStart"/>
      <w:r w:rsidRPr="008242BB">
        <w:rPr>
          <w:rFonts w:ascii="Arial" w:hAnsi="Arial" w:cs="Arial"/>
          <w:b w:val="0"/>
          <w:bCs/>
          <w:caps w:val="0"/>
        </w:rPr>
        <w:t>viladecans</w:t>
      </w:r>
      <w:proofErr w:type="spellEnd"/>
      <w:r w:rsidRPr="008242BB">
        <w:rPr>
          <w:rFonts w:ascii="Arial" w:hAnsi="Arial" w:cs="Arial"/>
          <w:b w:val="0"/>
          <w:bCs/>
          <w:caps w:val="0"/>
        </w:rPr>
        <w:t xml:space="preserve"> </w:t>
      </w:r>
      <w:proofErr w:type="spellStart"/>
      <w:r w:rsidRPr="008242BB">
        <w:rPr>
          <w:rFonts w:ascii="Arial" w:hAnsi="Arial" w:cs="Arial"/>
          <w:b w:val="0"/>
          <w:bCs/>
          <w:caps w:val="0"/>
        </w:rPr>
        <w:t>riera</w:t>
      </w:r>
      <w:proofErr w:type="spellEnd"/>
      <w:r w:rsidRPr="008242BB">
        <w:rPr>
          <w:rFonts w:ascii="Arial" w:hAnsi="Arial" w:cs="Arial"/>
          <w:b w:val="0"/>
          <w:bCs/>
          <w:caps w:val="0"/>
        </w:rPr>
        <w:t xml:space="preserve">, c., &amp; </w:t>
      </w:r>
      <w:proofErr w:type="spellStart"/>
      <w:r w:rsidRPr="008242BB">
        <w:rPr>
          <w:rFonts w:ascii="Arial" w:hAnsi="Arial" w:cs="Arial"/>
          <w:b w:val="0"/>
          <w:bCs/>
          <w:caps w:val="0"/>
        </w:rPr>
        <w:t>morera</w:t>
      </w:r>
      <w:proofErr w:type="spellEnd"/>
      <w:r w:rsidRPr="008242BB">
        <w:rPr>
          <w:rFonts w:ascii="Arial" w:hAnsi="Arial" w:cs="Arial"/>
          <w:b w:val="0"/>
          <w:bCs/>
          <w:caps w:val="0"/>
        </w:rPr>
        <w:t xml:space="preserve"> </w:t>
      </w:r>
      <w:proofErr w:type="spellStart"/>
      <w:r w:rsidRPr="008242BB">
        <w:rPr>
          <w:rFonts w:ascii="Arial" w:hAnsi="Arial" w:cs="Arial"/>
          <w:b w:val="0"/>
          <w:bCs/>
          <w:caps w:val="0"/>
        </w:rPr>
        <w:t>basuldo</w:t>
      </w:r>
      <w:proofErr w:type="spellEnd"/>
      <w:r w:rsidRPr="008242BB">
        <w:rPr>
          <w:rFonts w:ascii="Arial" w:hAnsi="Arial" w:cs="Arial"/>
          <w:b w:val="0"/>
          <w:bCs/>
          <w:caps w:val="0"/>
        </w:rPr>
        <w:t xml:space="preserve">, p. (2020). Acc and </w:t>
      </w:r>
      <w:proofErr w:type="spellStart"/>
      <w:r w:rsidRPr="008242BB">
        <w:rPr>
          <w:rFonts w:ascii="Arial" w:hAnsi="Arial" w:cs="Arial"/>
          <w:b w:val="0"/>
          <w:bCs/>
          <w:caps w:val="0"/>
        </w:rPr>
        <w:t>accid</w:t>
      </w:r>
      <w:proofErr w:type="spellEnd"/>
      <w:r w:rsidRPr="008242BB">
        <w:rPr>
          <w:rFonts w:ascii="Arial" w:hAnsi="Arial" w:cs="Arial"/>
          <w:b w:val="0"/>
          <w:bCs/>
          <w:caps w:val="0"/>
        </w:rPr>
        <w:t xml:space="preserve">: two accounting associations from </w:t>
      </w:r>
      <w:proofErr w:type="spellStart"/>
      <w:r w:rsidRPr="008242BB">
        <w:rPr>
          <w:rFonts w:ascii="Arial" w:hAnsi="Arial" w:cs="Arial"/>
          <w:b w:val="0"/>
          <w:bCs/>
          <w:caps w:val="0"/>
        </w:rPr>
        <w:t>catalonia</w:t>
      </w:r>
      <w:proofErr w:type="spellEnd"/>
      <w:r w:rsidRPr="008242BB">
        <w:rPr>
          <w:rFonts w:ascii="Arial" w:hAnsi="Arial" w:cs="Arial"/>
          <w:b w:val="0"/>
          <w:bCs/>
          <w:caps w:val="0"/>
        </w:rPr>
        <w:t xml:space="preserve">, 80 years apart. Intangible capital, 16(2), 155–170. </w:t>
      </w:r>
      <w:hyperlink r:id="rId24" w:history="1">
        <w:r w:rsidRPr="00FA41B2">
          <w:rPr>
            <w:rStyle w:val="Hyperlink"/>
            <w:rFonts w:ascii="Arial" w:hAnsi="Arial" w:cs="Arial"/>
            <w:b w:val="0"/>
            <w:bCs/>
            <w:caps w:val="0"/>
          </w:rPr>
          <w:t>Https://doi.org/10.3926/ic.1555</w:t>
        </w:r>
      </w:hyperlink>
    </w:p>
    <w:p w14:paraId="2EFA828A" w14:textId="618A4735"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Bakarich</w:t>
      </w:r>
      <w:proofErr w:type="spellEnd"/>
      <w:r w:rsidRPr="008242BB">
        <w:rPr>
          <w:rFonts w:ascii="Arial" w:hAnsi="Arial" w:cs="Arial"/>
          <w:b w:val="0"/>
          <w:bCs/>
          <w:caps w:val="0"/>
        </w:rPr>
        <w:t xml:space="preserve">, k. M., &amp; </w:t>
      </w:r>
      <w:proofErr w:type="spellStart"/>
      <w:r w:rsidRPr="008242BB">
        <w:rPr>
          <w:rFonts w:ascii="Arial" w:hAnsi="Arial" w:cs="Arial"/>
          <w:b w:val="0"/>
          <w:bCs/>
          <w:caps w:val="0"/>
        </w:rPr>
        <w:t>o’brien</w:t>
      </w:r>
      <w:proofErr w:type="spellEnd"/>
      <w:r w:rsidRPr="008242BB">
        <w:rPr>
          <w:rFonts w:ascii="Arial" w:hAnsi="Arial" w:cs="Arial"/>
          <w:b w:val="0"/>
          <w:bCs/>
          <w:caps w:val="0"/>
        </w:rPr>
        <w:t xml:space="preserve">, p. E. (2020). The robots are coming… but aren’t here yet: the use of artificial intelligence technologies in the public accounting profession. Journal of emerging technologies in accounting, 17(1), 81–98. </w:t>
      </w:r>
      <w:hyperlink r:id="rId25" w:history="1">
        <w:r w:rsidRPr="00FA41B2">
          <w:rPr>
            <w:rStyle w:val="Hyperlink"/>
            <w:rFonts w:ascii="Arial" w:hAnsi="Arial" w:cs="Arial"/>
            <w:b w:val="0"/>
            <w:bCs/>
            <w:caps w:val="0"/>
          </w:rPr>
          <w:t>Https://doi.org/10.2308/jeta-19-11-20-47</w:t>
        </w:r>
      </w:hyperlink>
    </w:p>
    <w:p w14:paraId="76F8E63F" w14:textId="2F315315"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Boateng, r. N., </w:t>
      </w:r>
      <w:proofErr w:type="spellStart"/>
      <w:r w:rsidRPr="008242BB">
        <w:rPr>
          <w:rFonts w:ascii="Arial" w:hAnsi="Arial" w:cs="Arial"/>
          <w:b w:val="0"/>
          <w:bCs/>
          <w:caps w:val="0"/>
        </w:rPr>
        <w:t>tawiah</w:t>
      </w:r>
      <w:proofErr w:type="spellEnd"/>
      <w:r w:rsidRPr="008242BB">
        <w:rPr>
          <w:rFonts w:ascii="Arial" w:hAnsi="Arial" w:cs="Arial"/>
          <w:b w:val="0"/>
          <w:bCs/>
          <w:caps w:val="0"/>
        </w:rPr>
        <w:t xml:space="preserve">, v., &amp; </w:t>
      </w:r>
      <w:proofErr w:type="spellStart"/>
      <w:r w:rsidRPr="008242BB">
        <w:rPr>
          <w:rFonts w:ascii="Arial" w:hAnsi="Arial" w:cs="Arial"/>
          <w:b w:val="0"/>
          <w:bCs/>
          <w:caps w:val="0"/>
        </w:rPr>
        <w:t>tackie</w:t>
      </w:r>
      <w:proofErr w:type="spellEnd"/>
      <w:r w:rsidRPr="008242BB">
        <w:rPr>
          <w:rFonts w:ascii="Arial" w:hAnsi="Arial" w:cs="Arial"/>
          <w:b w:val="0"/>
          <w:bCs/>
          <w:caps w:val="0"/>
        </w:rPr>
        <w:t xml:space="preserve">, g. (2022). Corporate governance and voluntary disclosures in annual reports: a post-international financial reporting standard adoption evidence from an emerging capital market. International journal of accounting &amp; information management, 30(2), 252–276. </w:t>
      </w:r>
      <w:hyperlink r:id="rId26" w:history="1">
        <w:r w:rsidRPr="00FA41B2">
          <w:rPr>
            <w:rStyle w:val="Hyperlink"/>
            <w:rFonts w:ascii="Arial" w:hAnsi="Arial" w:cs="Arial"/>
            <w:b w:val="0"/>
            <w:bCs/>
            <w:caps w:val="0"/>
          </w:rPr>
          <w:t>Https://doi.org/10.1108/ijaim-10-2021-0220</w:t>
        </w:r>
      </w:hyperlink>
    </w:p>
    <w:p w14:paraId="0CD39344" w14:textId="70A285C2"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Dell, s., </w:t>
      </w:r>
      <w:proofErr w:type="spellStart"/>
      <w:r w:rsidRPr="008242BB">
        <w:rPr>
          <w:rFonts w:ascii="Arial" w:hAnsi="Arial" w:cs="Arial"/>
          <w:b w:val="0"/>
          <w:bCs/>
          <w:caps w:val="0"/>
        </w:rPr>
        <w:t>akpan</w:t>
      </w:r>
      <w:proofErr w:type="spellEnd"/>
      <w:r w:rsidRPr="008242BB">
        <w:rPr>
          <w:rFonts w:ascii="Arial" w:hAnsi="Arial" w:cs="Arial"/>
          <w:b w:val="0"/>
          <w:bCs/>
          <w:caps w:val="0"/>
        </w:rPr>
        <w:t xml:space="preserve">, m., &amp; </w:t>
      </w:r>
      <w:proofErr w:type="spellStart"/>
      <w:r w:rsidRPr="008242BB">
        <w:rPr>
          <w:rFonts w:ascii="Arial" w:hAnsi="Arial" w:cs="Arial"/>
          <w:b w:val="0"/>
          <w:bCs/>
          <w:caps w:val="0"/>
        </w:rPr>
        <w:t>carr</w:t>
      </w:r>
      <w:proofErr w:type="spellEnd"/>
      <w:r w:rsidRPr="008242BB">
        <w:rPr>
          <w:rFonts w:ascii="Arial" w:hAnsi="Arial" w:cs="Arial"/>
          <w:b w:val="0"/>
          <w:bCs/>
          <w:caps w:val="0"/>
        </w:rPr>
        <w:t xml:space="preserve">, a. (2024). Aligning artificial intelligence with ethical accountancy: a global perspective on emerging frameworks. Corporate ownership and control, 21(1), 85–98. </w:t>
      </w:r>
      <w:hyperlink r:id="rId27" w:history="1">
        <w:r w:rsidRPr="00FA41B2">
          <w:rPr>
            <w:rStyle w:val="Hyperlink"/>
            <w:rFonts w:ascii="Arial" w:hAnsi="Arial" w:cs="Arial"/>
            <w:b w:val="0"/>
            <w:bCs/>
            <w:caps w:val="0"/>
          </w:rPr>
          <w:t>Https://doi.org/10.22495/cocv21i1art5</w:t>
        </w:r>
      </w:hyperlink>
    </w:p>
    <w:p w14:paraId="1ECD3895" w14:textId="7EEF65A3" w:rsid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Duff, a., </w:t>
      </w:r>
      <w:proofErr w:type="spellStart"/>
      <w:r w:rsidRPr="008242BB">
        <w:rPr>
          <w:rFonts w:ascii="Arial" w:hAnsi="Arial" w:cs="Arial"/>
          <w:b w:val="0"/>
          <w:bCs/>
          <w:caps w:val="0"/>
        </w:rPr>
        <w:t>hancock</w:t>
      </w:r>
      <w:proofErr w:type="spellEnd"/>
      <w:r w:rsidRPr="008242BB">
        <w:rPr>
          <w:rFonts w:ascii="Arial" w:hAnsi="Arial" w:cs="Arial"/>
          <w:b w:val="0"/>
          <w:bCs/>
          <w:caps w:val="0"/>
        </w:rPr>
        <w:t xml:space="preserve">, p., &amp; </w:t>
      </w:r>
      <w:proofErr w:type="spellStart"/>
      <w:r w:rsidRPr="008242BB">
        <w:rPr>
          <w:rFonts w:ascii="Arial" w:hAnsi="Arial" w:cs="Arial"/>
          <w:b w:val="0"/>
          <w:bCs/>
          <w:caps w:val="0"/>
        </w:rPr>
        <w:t>marriott</w:t>
      </w:r>
      <w:proofErr w:type="spellEnd"/>
      <w:r w:rsidRPr="008242BB">
        <w:rPr>
          <w:rFonts w:ascii="Arial" w:hAnsi="Arial" w:cs="Arial"/>
          <w:b w:val="0"/>
          <w:bCs/>
          <w:caps w:val="0"/>
        </w:rPr>
        <w:t xml:space="preserve">, n. (2020). The role and impact of professional accountancy associations on accounting education research: an international study. The </w:t>
      </w:r>
      <w:proofErr w:type="spellStart"/>
      <w:r w:rsidRPr="008242BB">
        <w:rPr>
          <w:rFonts w:ascii="Arial" w:hAnsi="Arial" w:cs="Arial"/>
          <w:b w:val="0"/>
          <w:bCs/>
          <w:caps w:val="0"/>
        </w:rPr>
        <w:t>british</w:t>
      </w:r>
      <w:proofErr w:type="spellEnd"/>
      <w:r w:rsidRPr="008242BB">
        <w:rPr>
          <w:rFonts w:ascii="Arial" w:hAnsi="Arial" w:cs="Arial"/>
          <w:b w:val="0"/>
          <w:bCs/>
          <w:caps w:val="0"/>
        </w:rPr>
        <w:t xml:space="preserve"> accounting review, 52(5), article 100814. </w:t>
      </w:r>
      <w:hyperlink r:id="rId28" w:history="1">
        <w:r w:rsidRPr="00FA41B2">
          <w:rPr>
            <w:rStyle w:val="Hyperlink"/>
            <w:rFonts w:ascii="Arial" w:hAnsi="Arial" w:cs="Arial"/>
            <w:b w:val="0"/>
            <w:bCs/>
            <w:caps w:val="0"/>
          </w:rPr>
          <w:t>Https://doi.org/10.1016/j.bar.2019.03</w:t>
        </w:r>
        <w:r w:rsidRPr="00FA41B2">
          <w:rPr>
            <w:rStyle w:val="Hyperlink"/>
            <w:rFonts w:ascii="Arial" w:hAnsi="Arial" w:cs="Arial"/>
            <w:b w:val="0"/>
            <w:bCs/>
          </w:rPr>
          <w:t>.004</w:t>
        </w:r>
      </w:hyperlink>
    </w:p>
    <w:p w14:paraId="7993E87E" w14:textId="34E3B9DE"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Dunne, n. J., </w:t>
      </w:r>
      <w:proofErr w:type="spellStart"/>
      <w:r w:rsidRPr="008242BB">
        <w:rPr>
          <w:rFonts w:ascii="Arial" w:hAnsi="Arial" w:cs="Arial"/>
          <w:b w:val="0"/>
          <w:bCs/>
          <w:caps w:val="0"/>
        </w:rPr>
        <w:t>brennan</w:t>
      </w:r>
      <w:proofErr w:type="spellEnd"/>
      <w:r w:rsidRPr="008242BB">
        <w:rPr>
          <w:rFonts w:ascii="Arial" w:hAnsi="Arial" w:cs="Arial"/>
          <w:b w:val="0"/>
          <w:bCs/>
          <w:caps w:val="0"/>
        </w:rPr>
        <w:t xml:space="preserve">, n., &amp; </w:t>
      </w:r>
      <w:proofErr w:type="spellStart"/>
      <w:r w:rsidRPr="008242BB">
        <w:rPr>
          <w:rFonts w:ascii="Arial" w:hAnsi="Arial" w:cs="Arial"/>
          <w:b w:val="0"/>
          <w:bCs/>
          <w:caps w:val="0"/>
        </w:rPr>
        <w:t>kirwan</w:t>
      </w:r>
      <w:proofErr w:type="spellEnd"/>
      <w:r w:rsidRPr="008242BB">
        <w:rPr>
          <w:rFonts w:ascii="Arial" w:hAnsi="Arial" w:cs="Arial"/>
          <w:b w:val="0"/>
          <w:bCs/>
          <w:caps w:val="0"/>
        </w:rPr>
        <w:t xml:space="preserve">, c. E. (2021). Impression management and big four auditors: scrutiny at a public inquiry. Accounting, organizations and society, 88, article 101170. </w:t>
      </w:r>
      <w:hyperlink r:id="rId29" w:history="1">
        <w:r w:rsidRPr="00FA41B2">
          <w:rPr>
            <w:rStyle w:val="Hyperlink"/>
            <w:rFonts w:ascii="Arial" w:hAnsi="Arial" w:cs="Arial"/>
            <w:b w:val="0"/>
            <w:bCs/>
            <w:caps w:val="0"/>
          </w:rPr>
          <w:t>Https://doi.org/10.1016/j.aos.2020.101170</w:t>
        </w:r>
      </w:hyperlink>
    </w:p>
    <w:p w14:paraId="73DE2297" w14:textId="2CEC86D2"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Edwards, j. R., &amp; </w:t>
      </w:r>
      <w:proofErr w:type="spellStart"/>
      <w:r w:rsidRPr="008242BB">
        <w:rPr>
          <w:rFonts w:ascii="Arial" w:hAnsi="Arial" w:cs="Arial"/>
          <w:b w:val="0"/>
          <w:bCs/>
          <w:caps w:val="0"/>
        </w:rPr>
        <w:t>boyns</w:t>
      </w:r>
      <w:proofErr w:type="spellEnd"/>
      <w:r w:rsidRPr="008242BB">
        <w:rPr>
          <w:rFonts w:ascii="Arial" w:hAnsi="Arial" w:cs="Arial"/>
          <w:b w:val="0"/>
          <w:bCs/>
          <w:caps w:val="0"/>
        </w:rPr>
        <w:t xml:space="preserve">, t. (2022). Published accounts, stewardship, and decision making: a case study 1863–1940. Abacus, 58(2), 300–333. </w:t>
      </w:r>
      <w:hyperlink r:id="rId30" w:history="1">
        <w:r w:rsidRPr="00FA41B2">
          <w:rPr>
            <w:rStyle w:val="Hyperlink"/>
            <w:rFonts w:ascii="Arial" w:hAnsi="Arial" w:cs="Arial"/>
            <w:b w:val="0"/>
            <w:bCs/>
            <w:caps w:val="0"/>
          </w:rPr>
          <w:t>Https://doi.org/10.1111/abac.12251</w:t>
        </w:r>
      </w:hyperlink>
    </w:p>
    <w:p w14:paraId="74EA4615" w14:textId="0E457320"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Garanina</w:t>
      </w:r>
      <w:proofErr w:type="spellEnd"/>
      <w:r w:rsidRPr="008242BB">
        <w:rPr>
          <w:rFonts w:ascii="Arial" w:hAnsi="Arial" w:cs="Arial"/>
          <w:b w:val="0"/>
          <w:bCs/>
          <w:caps w:val="0"/>
        </w:rPr>
        <w:t xml:space="preserve">, t., </w:t>
      </w:r>
      <w:proofErr w:type="spellStart"/>
      <w:r w:rsidRPr="008242BB">
        <w:rPr>
          <w:rFonts w:ascii="Arial" w:hAnsi="Arial" w:cs="Arial"/>
          <w:b w:val="0"/>
          <w:bCs/>
          <w:caps w:val="0"/>
        </w:rPr>
        <w:t>ranta</w:t>
      </w:r>
      <w:proofErr w:type="spellEnd"/>
      <w:r w:rsidRPr="008242BB">
        <w:rPr>
          <w:rFonts w:ascii="Arial" w:hAnsi="Arial" w:cs="Arial"/>
          <w:b w:val="0"/>
          <w:bCs/>
          <w:caps w:val="0"/>
        </w:rPr>
        <w:t xml:space="preserve">, m., &amp; </w:t>
      </w:r>
      <w:proofErr w:type="spellStart"/>
      <w:r w:rsidRPr="008242BB">
        <w:rPr>
          <w:rFonts w:ascii="Arial" w:hAnsi="Arial" w:cs="Arial"/>
          <w:b w:val="0"/>
          <w:bCs/>
          <w:caps w:val="0"/>
        </w:rPr>
        <w:t>dumay</w:t>
      </w:r>
      <w:proofErr w:type="spellEnd"/>
      <w:r w:rsidRPr="008242BB">
        <w:rPr>
          <w:rFonts w:ascii="Arial" w:hAnsi="Arial" w:cs="Arial"/>
          <w:b w:val="0"/>
          <w:bCs/>
          <w:caps w:val="0"/>
        </w:rPr>
        <w:t xml:space="preserve">, j. (2021). Blockchain in accounting research: current trends and emerging topics. Accounting, auditing &amp; accountability journal, 34(7), 1701–1730. </w:t>
      </w:r>
      <w:hyperlink r:id="rId31" w:history="1">
        <w:r w:rsidRPr="00FA41B2">
          <w:rPr>
            <w:rStyle w:val="Hyperlink"/>
            <w:rFonts w:ascii="Arial" w:hAnsi="Arial" w:cs="Arial"/>
            <w:b w:val="0"/>
            <w:bCs/>
            <w:caps w:val="0"/>
          </w:rPr>
          <w:t>Https://doi.org/10.1108/aaaj-10-2020-4991</w:t>
        </w:r>
      </w:hyperlink>
    </w:p>
    <w:p w14:paraId="0D5F28C3" w14:textId="668BA007"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Grossi</w:t>
      </w:r>
      <w:proofErr w:type="spellEnd"/>
      <w:r w:rsidRPr="008242BB">
        <w:rPr>
          <w:rFonts w:ascii="Arial" w:hAnsi="Arial" w:cs="Arial"/>
          <w:b w:val="0"/>
          <w:bCs/>
          <w:caps w:val="0"/>
        </w:rPr>
        <w:t xml:space="preserve">, g., </w:t>
      </w:r>
      <w:proofErr w:type="spellStart"/>
      <w:r w:rsidRPr="008242BB">
        <w:rPr>
          <w:rFonts w:ascii="Arial" w:hAnsi="Arial" w:cs="Arial"/>
          <w:b w:val="0"/>
          <w:bCs/>
          <w:caps w:val="0"/>
        </w:rPr>
        <w:t>biancone</w:t>
      </w:r>
      <w:proofErr w:type="spellEnd"/>
      <w:r w:rsidRPr="008242BB">
        <w:rPr>
          <w:rFonts w:ascii="Arial" w:hAnsi="Arial" w:cs="Arial"/>
          <w:b w:val="0"/>
          <w:bCs/>
          <w:caps w:val="0"/>
        </w:rPr>
        <w:t xml:space="preserve">, p., </w:t>
      </w:r>
      <w:proofErr w:type="spellStart"/>
      <w:r w:rsidRPr="008242BB">
        <w:rPr>
          <w:rFonts w:ascii="Arial" w:hAnsi="Arial" w:cs="Arial"/>
          <w:b w:val="0"/>
          <w:bCs/>
          <w:caps w:val="0"/>
        </w:rPr>
        <w:t>secinaro</w:t>
      </w:r>
      <w:proofErr w:type="spellEnd"/>
      <w:r w:rsidRPr="008242BB">
        <w:rPr>
          <w:rFonts w:ascii="Arial" w:hAnsi="Arial" w:cs="Arial"/>
          <w:b w:val="0"/>
          <w:bCs/>
          <w:caps w:val="0"/>
        </w:rPr>
        <w:t xml:space="preserve">, s., &amp; </w:t>
      </w:r>
      <w:proofErr w:type="spellStart"/>
      <w:r w:rsidRPr="008242BB">
        <w:rPr>
          <w:rFonts w:ascii="Arial" w:hAnsi="Arial" w:cs="Arial"/>
          <w:b w:val="0"/>
          <w:bCs/>
          <w:caps w:val="0"/>
        </w:rPr>
        <w:t>brescia</w:t>
      </w:r>
      <w:proofErr w:type="spellEnd"/>
      <w:r w:rsidRPr="008242BB">
        <w:rPr>
          <w:rFonts w:ascii="Arial" w:hAnsi="Arial" w:cs="Arial"/>
          <w:b w:val="0"/>
          <w:bCs/>
          <w:caps w:val="0"/>
        </w:rPr>
        <w:t xml:space="preserve">, v. (2021). Dialogic accounting through popular reporting and digital platforms. </w:t>
      </w:r>
      <w:proofErr w:type="spellStart"/>
      <w:r w:rsidRPr="008242BB">
        <w:rPr>
          <w:rFonts w:ascii="Arial" w:hAnsi="Arial" w:cs="Arial"/>
          <w:b w:val="0"/>
          <w:bCs/>
          <w:caps w:val="0"/>
        </w:rPr>
        <w:t>Meditari</w:t>
      </w:r>
      <w:proofErr w:type="spellEnd"/>
      <w:r w:rsidRPr="008242BB">
        <w:rPr>
          <w:rFonts w:ascii="Arial" w:hAnsi="Arial" w:cs="Arial"/>
          <w:b w:val="0"/>
          <w:bCs/>
          <w:caps w:val="0"/>
        </w:rPr>
        <w:t xml:space="preserve"> accountancy research, 29(5), 1041–1067. </w:t>
      </w:r>
      <w:hyperlink r:id="rId32" w:history="1">
        <w:r w:rsidRPr="00FA41B2">
          <w:rPr>
            <w:rStyle w:val="Hyperlink"/>
            <w:rFonts w:ascii="Arial" w:hAnsi="Arial" w:cs="Arial"/>
            <w:b w:val="0"/>
            <w:bCs/>
            <w:caps w:val="0"/>
          </w:rPr>
          <w:t>Https://doi.org/10.1108/medar-01-2021-1163</w:t>
        </w:r>
      </w:hyperlink>
    </w:p>
    <w:p w14:paraId="7F596C56" w14:textId="610DC821"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Holmes, a. F., &amp; </w:t>
      </w:r>
      <w:proofErr w:type="spellStart"/>
      <w:r w:rsidRPr="008242BB">
        <w:rPr>
          <w:rFonts w:ascii="Arial" w:hAnsi="Arial" w:cs="Arial"/>
          <w:b w:val="0"/>
          <w:bCs/>
          <w:caps w:val="0"/>
        </w:rPr>
        <w:t>douglass</w:t>
      </w:r>
      <w:proofErr w:type="spellEnd"/>
      <w:r w:rsidRPr="008242BB">
        <w:rPr>
          <w:rFonts w:ascii="Arial" w:hAnsi="Arial" w:cs="Arial"/>
          <w:b w:val="0"/>
          <w:bCs/>
          <w:caps w:val="0"/>
        </w:rPr>
        <w:t xml:space="preserve">, a. (2021). Artificial intelligence: reshaping the accounting profession and the disruption to accounting education. Journal of emerging technologies in accounting, 18(2), 119–135. </w:t>
      </w:r>
      <w:hyperlink r:id="rId33" w:history="1">
        <w:r w:rsidRPr="00FA41B2">
          <w:rPr>
            <w:rStyle w:val="Hyperlink"/>
            <w:rFonts w:ascii="Arial" w:hAnsi="Arial" w:cs="Arial"/>
            <w:b w:val="0"/>
            <w:bCs/>
            <w:caps w:val="0"/>
          </w:rPr>
          <w:t>Https://doi.org/10.2308/jeta-2020-054</w:t>
        </w:r>
      </w:hyperlink>
    </w:p>
    <w:p w14:paraId="6D3C94B7" w14:textId="6EF8C10E"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Jenkins, j. G., </w:t>
      </w:r>
      <w:proofErr w:type="spellStart"/>
      <w:r w:rsidRPr="008242BB">
        <w:rPr>
          <w:rFonts w:ascii="Arial" w:hAnsi="Arial" w:cs="Arial"/>
          <w:b w:val="0"/>
          <w:bCs/>
          <w:caps w:val="0"/>
        </w:rPr>
        <w:t>popova</w:t>
      </w:r>
      <w:proofErr w:type="spellEnd"/>
      <w:r w:rsidRPr="008242BB">
        <w:rPr>
          <w:rFonts w:ascii="Arial" w:hAnsi="Arial" w:cs="Arial"/>
          <w:b w:val="0"/>
          <w:bCs/>
          <w:caps w:val="0"/>
        </w:rPr>
        <w:t xml:space="preserve">, v., &amp; </w:t>
      </w:r>
      <w:proofErr w:type="spellStart"/>
      <w:r w:rsidRPr="008242BB">
        <w:rPr>
          <w:rFonts w:ascii="Arial" w:hAnsi="Arial" w:cs="Arial"/>
          <w:b w:val="0"/>
          <w:bCs/>
          <w:caps w:val="0"/>
        </w:rPr>
        <w:t>sheldon</w:t>
      </w:r>
      <w:proofErr w:type="spellEnd"/>
      <w:r w:rsidRPr="008242BB">
        <w:rPr>
          <w:rFonts w:ascii="Arial" w:hAnsi="Arial" w:cs="Arial"/>
          <w:b w:val="0"/>
          <w:bCs/>
          <w:caps w:val="0"/>
        </w:rPr>
        <w:t xml:space="preserve">, m. D. (2020). Monitoring the accounting profession under the </w:t>
      </w:r>
      <w:proofErr w:type="spellStart"/>
      <w:r w:rsidRPr="008242BB">
        <w:rPr>
          <w:rFonts w:ascii="Arial" w:hAnsi="Arial" w:cs="Arial"/>
          <w:b w:val="0"/>
          <w:bCs/>
          <w:caps w:val="0"/>
        </w:rPr>
        <w:t>aicpa</w:t>
      </w:r>
      <w:proofErr w:type="spellEnd"/>
      <w:r w:rsidRPr="008242BB">
        <w:rPr>
          <w:rFonts w:ascii="Arial" w:hAnsi="Arial" w:cs="Arial"/>
          <w:b w:val="0"/>
          <w:bCs/>
          <w:caps w:val="0"/>
        </w:rPr>
        <w:t xml:space="preserve"> code of professional conduct: an analysis of state board of accountancy participation. Journal of accounting and public policy, 39(3), article 106742. </w:t>
      </w:r>
      <w:hyperlink r:id="rId34" w:history="1">
        <w:r w:rsidRPr="00FA41B2">
          <w:rPr>
            <w:rStyle w:val="Hyperlink"/>
            <w:rFonts w:ascii="Arial" w:hAnsi="Arial" w:cs="Arial"/>
            <w:b w:val="0"/>
            <w:bCs/>
            <w:caps w:val="0"/>
          </w:rPr>
          <w:t>Https://doi.org/10.1016/j.jaccpubpol.2020.106742</w:t>
        </w:r>
      </w:hyperlink>
    </w:p>
    <w:p w14:paraId="27D50EBC" w14:textId="3CCB3FF6"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Kemme</w:t>
      </w:r>
      <w:proofErr w:type="spellEnd"/>
      <w:r w:rsidRPr="008242BB">
        <w:rPr>
          <w:rFonts w:ascii="Arial" w:hAnsi="Arial" w:cs="Arial"/>
          <w:b w:val="0"/>
          <w:bCs/>
          <w:caps w:val="0"/>
        </w:rPr>
        <w:t xml:space="preserve">, d. M., </w:t>
      </w:r>
      <w:proofErr w:type="spellStart"/>
      <w:r w:rsidRPr="008242BB">
        <w:rPr>
          <w:rFonts w:ascii="Arial" w:hAnsi="Arial" w:cs="Arial"/>
          <w:b w:val="0"/>
          <w:bCs/>
          <w:caps w:val="0"/>
        </w:rPr>
        <w:t>parikh</w:t>
      </w:r>
      <w:proofErr w:type="spellEnd"/>
      <w:r w:rsidRPr="008242BB">
        <w:rPr>
          <w:rFonts w:ascii="Arial" w:hAnsi="Arial" w:cs="Arial"/>
          <w:b w:val="0"/>
          <w:bCs/>
          <w:caps w:val="0"/>
        </w:rPr>
        <w:t xml:space="preserve">, b., &amp; </w:t>
      </w:r>
      <w:proofErr w:type="spellStart"/>
      <w:r w:rsidRPr="008242BB">
        <w:rPr>
          <w:rFonts w:ascii="Arial" w:hAnsi="Arial" w:cs="Arial"/>
          <w:b w:val="0"/>
          <w:bCs/>
          <w:caps w:val="0"/>
        </w:rPr>
        <w:t>steigner</w:t>
      </w:r>
      <w:proofErr w:type="spellEnd"/>
      <w:r w:rsidRPr="008242BB">
        <w:rPr>
          <w:rFonts w:ascii="Arial" w:hAnsi="Arial" w:cs="Arial"/>
          <w:b w:val="0"/>
          <w:bCs/>
          <w:caps w:val="0"/>
        </w:rPr>
        <w:t xml:space="preserve">, t. (2020). Tax morale and international tax evasion. Journal of world business, 55(3), article 101052. </w:t>
      </w:r>
      <w:hyperlink r:id="rId35" w:history="1">
        <w:r w:rsidRPr="00FA41B2">
          <w:rPr>
            <w:rStyle w:val="Hyperlink"/>
            <w:rFonts w:ascii="Arial" w:hAnsi="Arial" w:cs="Arial"/>
            <w:b w:val="0"/>
            <w:bCs/>
            <w:caps w:val="0"/>
          </w:rPr>
          <w:t>Https://doi.org/10.1016/j.jwb.2019.101052</w:t>
        </w:r>
      </w:hyperlink>
    </w:p>
    <w:p w14:paraId="1FDD3A48" w14:textId="7616B760"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Kokina</w:t>
      </w:r>
      <w:proofErr w:type="spellEnd"/>
      <w:r w:rsidRPr="008242BB">
        <w:rPr>
          <w:rFonts w:ascii="Arial" w:hAnsi="Arial" w:cs="Arial"/>
          <w:b w:val="0"/>
          <w:bCs/>
          <w:caps w:val="0"/>
        </w:rPr>
        <w:t xml:space="preserve">, j., </w:t>
      </w:r>
      <w:proofErr w:type="spellStart"/>
      <w:r w:rsidRPr="008242BB">
        <w:rPr>
          <w:rFonts w:ascii="Arial" w:hAnsi="Arial" w:cs="Arial"/>
          <w:b w:val="0"/>
          <w:bCs/>
          <w:caps w:val="0"/>
        </w:rPr>
        <w:t>gilleran</w:t>
      </w:r>
      <w:proofErr w:type="spellEnd"/>
      <w:r w:rsidRPr="008242BB">
        <w:rPr>
          <w:rFonts w:ascii="Arial" w:hAnsi="Arial" w:cs="Arial"/>
          <w:b w:val="0"/>
          <w:bCs/>
          <w:caps w:val="0"/>
        </w:rPr>
        <w:t xml:space="preserve">, r., </w:t>
      </w:r>
      <w:proofErr w:type="spellStart"/>
      <w:r w:rsidRPr="008242BB">
        <w:rPr>
          <w:rFonts w:ascii="Arial" w:hAnsi="Arial" w:cs="Arial"/>
          <w:b w:val="0"/>
          <w:bCs/>
          <w:caps w:val="0"/>
        </w:rPr>
        <w:t>blanchette</w:t>
      </w:r>
      <w:proofErr w:type="spellEnd"/>
      <w:r w:rsidRPr="008242BB">
        <w:rPr>
          <w:rFonts w:ascii="Arial" w:hAnsi="Arial" w:cs="Arial"/>
          <w:b w:val="0"/>
          <w:bCs/>
          <w:caps w:val="0"/>
        </w:rPr>
        <w:t xml:space="preserve">, s., &amp; </w:t>
      </w:r>
      <w:proofErr w:type="spellStart"/>
      <w:r w:rsidRPr="008242BB">
        <w:rPr>
          <w:rFonts w:ascii="Arial" w:hAnsi="Arial" w:cs="Arial"/>
          <w:b w:val="0"/>
          <w:bCs/>
          <w:caps w:val="0"/>
        </w:rPr>
        <w:t>stoddard</w:t>
      </w:r>
      <w:proofErr w:type="spellEnd"/>
      <w:r w:rsidRPr="008242BB">
        <w:rPr>
          <w:rFonts w:ascii="Arial" w:hAnsi="Arial" w:cs="Arial"/>
          <w:b w:val="0"/>
          <w:bCs/>
          <w:caps w:val="0"/>
        </w:rPr>
        <w:t xml:space="preserve">, d. (2020). Accountant as digital innovator: roles and competencies in the age of automation. Accounting horizons, 34(3), 197–214. </w:t>
      </w:r>
      <w:hyperlink r:id="rId36" w:history="1">
        <w:r w:rsidRPr="00FA41B2">
          <w:rPr>
            <w:rStyle w:val="Hyperlink"/>
            <w:rFonts w:ascii="Arial" w:hAnsi="Arial" w:cs="Arial"/>
            <w:b w:val="0"/>
            <w:bCs/>
            <w:caps w:val="0"/>
          </w:rPr>
          <w:t>Https://doi.org/10.2308/horizons-19-145</w:t>
        </w:r>
      </w:hyperlink>
    </w:p>
    <w:p w14:paraId="489BAAB7" w14:textId="22E1D1EA"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Leitner-</w:t>
      </w:r>
      <w:proofErr w:type="spellStart"/>
      <w:r w:rsidRPr="008242BB">
        <w:rPr>
          <w:rFonts w:ascii="Arial" w:hAnsi="Arial" w:cs="Arial"/>
          <w:b w:val="0"/>
          <w:bCs/>
          <w:caps w:val="0"/>
        </w:rPr>
        <w:t>hanetseder</w:t>
      </w:r>
      <w:proofErr w:type="spellEnd"/>
      <w:r w:rsidRPr="008242BB">
        <w:rPr>
          <w:rFonts w:ascii="Arial" w:hAnsi="Arial" w:cs="Arial"/>
          <w:b w:val="0"/>
          <w:bCs/>
          <w:caps w:val="0"/>
        </w:rPr>
        <w:t xml:space="preserve">, s., </w:t>
      </w:r>
      <w:proofErr w:type="spellStart"/>
      <w:r w:rsidRPr="008242BB">
        <w:rPr>
          <w:rFonts w:ascii="Arial" w:hAnsi="Arial" w:cs="Arial"/>
          <w:b w:val="0"/>
          <w:bCs/>
          <w:caps w:val="0"/>
        </w:rPr>
        <w:t>lehner</w:t>
      </w:r>
      <w:proofErr w:type="spellEnd"/>
      <w:r w:rsidRPr="008242BB">
        <w:rPr>
          <w:rFonts w:ascii="Arial" w:hAnsi="Arial" w:cs="Arial"/>
          <w:b w:val="0"/>
          <w:bCs/>
          <w:caps w:val="0"/>
        </w:rPr>
        <w:t xml:space="preserve">, o. M., </w:t>
      </w:r>
      <w:proofErr w:type="spellStart"/>
      <w:r w:rsidRPr="008242BB">
        <w:rPr>
          <w:rFonts w:ascii="Arial" w:hAnsi="Arial" w:cs="Arial"/>
          <w:b w:val="0"/>
          <w:bCs/>
          <w:caps w:val="0"/>
        </w:rPr>
        <w:t>eisl</w:t>
      </w:r>
      <w:proofErr w:type="spellEnd"/>
      <w:r w:rsidRPr="008242BB">
        <w:rPr>
          <w:rFonts w:ascii="Arial" w:hAnsi="Arial" w:cs="Arial"/>
          <w:b w:val="0"/>
          <w:bCs/>
          <w:caps w:val="0"/>
        </w:rPr>
        <w:t xml:space="preserve">, c., &amp; </w:t>
      </w:r>
      <w:proofErr w:type="spellStart"/>
      <w:r w:rsidRPr="008242BB">
        <w:rPr>
          <w:rFonts w:ascii="Arial" w:hAnsi="Arial" w:cs="Arial"/>
          <w:b w:val="0"/>
          <w:bCs/>
          <w:caps w:val="0"/>
        </w:rPr>
        <w:t>forstenlechner</w:t>
      </w:r>
      <w:proofErr w:type="spellEnd"/>
      <w:r w:rsidRPr="008242BB">
        <w:rPr>
          <w:rFonts w:ascii="Arial" w:hAnsi="Arial" w:cs="Arial"/>
          <w:b w:val="0"/>
          <w:bCs/>
          <w:caps w:val="0"/>
        </w:rPr>
        <w:t xml:space="preserve">, c. (2021). A profession in transition: actors, tasks and roles in ai-based accounting. Journal of applied accounting research, 22(2), 291–313. </w:t>
      </w:r>
      <w:hyperlink r:id="rId37" w:history="1">
        <w:r w:rsidRPr="00FA41B2">
          <w:rPr>
            <w:rStyle w:val="Hyperlink"/>
            <w:rFonts w:ascii="Arial" w:hAnsi="Arial" w:cs="Arial"/>
            <w:b w:val="0"/>
            <w:bCs/>
            <w:caps w:val="0"/>
          </w:rPr>
          <w:t>Https://doi.org/10.1108/jaar-10-2020-0201</w:t>
        </w:r>
      </w:hyperlink>
    </w:p>
    <w:p w14:paraId="2B586E69" w14:textId="4911467E"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Liu, m., </w:t>
      </w:r>
      <w:proofErr w:type="spellStart"/>
      <w:r w:rsidRPr="008242BB">
        <w:rPr>
          <w:rFonts w:ascii="Arial" w:hAnsi="Arial" w:cs="Arial"/>
          <w:b w:val="0"/>
          <w:bCs/>
          <w:caps w:val="0"/>
        </w:rPr>
        <w:t>taylor</w:t>
      </w:r>
      <w:proofErr w:type="spellEnd"/>
      <w:r w:rsidRPr="008242BB">
        <w:rPr>
          <w:rFonts w:ascii="Arial" w:hAnsi="Arial" w:cs="Arial"/>
          <w:b w:val="0"/>
          <w:bCs/>
          <w:caps w:val="0"/>
        </w:rPr>
        <w:t xml:space="preserve">-neu, k., &amp; </w:t>
      </w:r>
      <w:proofErr w:type="spellStart"/>
      <w:r w:rsidRPr="008242BB">
        <w:rPr>
          <w:rFonts w:ascii="Arial" w:hAnsi="Arial" w:cs="Arial"/>
          <w:b w:val="0"/>
          <w:bCs/>
          <w:caps w:val="0"/>
        </w:rPr>
        <w:t>saxton</w:t>
      </w:r>
      <w:proofErr w:type="spellEnd"/>
      <w:r w:rsidRPr="008242BB">
        <w:rPr>
          <w:rFonts w:ascii="Arial" w:hAnsi="Arial" w:cs="Arial"/>
          <w:b w:val="0"/>
          <w:bCs/>
          <w:caps w:val="0"/>
        </w:rPr>
        <w:t xml:space="preserve">, g. D. (2025). Communicating norms of conduct: the semantics of professionalism. Accounting and the public interest. </w:t>
      </w:r>
      <w:hyperlink r:id="rId38" w:history="1">
        <w:r w:rsidRPr="00FA41B2">
          <w:rPr>
            <w:rStyle w:val="Hyperlink"/>
            <w:rFonts w:ascii="Arial" w:hAnsi="Arial" w:cs="Arial"/>
            <w:b w:val="0"/>
            <w:bCs/>
            <w:caps w:val="0"/>
          </w:rPr>
          <w:t>Https://doi.org/10.2308/api-2024-017</w:t>
        </w:r>
      </w:hyperlink>
    </w:p>
    <w:p w14:paraId="3D9A388A" w14:textId="6D028699"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Mcgee</w:t>
      </w:r>
      <w:proofErr w:type="spellEnd"/>
      <w:r w:rsidRPr="008242BB">
        <w:rPr>
          <w:rFonts w:ascii="Arial" w:hAnsi="Arial" w:cs="Arial"/>
          <w:b w:val="0"/>
          <w:bCs/>
          <w:caps w:val="0"/>
        </w:rPr>
        <w:t xml:space="preserve">, p., </w:t>
      </w:r>
      <w:proofErr w:type="spellStart"/>
      <w:r w:rsidRPr="008242BB">
        <w:rPr>
          <w:rFonts w:ascii="Arial" w:hAnsi="Arial" w:cs="Arial"/>
          <w:b w:val="0"/>
          <w:bCs/>
          <w:caps w:val="0"/>
        </w:rPr>
        <w:t>sheenan</w:t>
      </w:r>
      <w:proofErr w:type="spellEnd"/>
      <w:r w:rsidRPr="008242BB">
        <w:rPr>
          <w:rFonts w:ascii="Arial" w:hAnsi="Arial" w:cs="Arial"/>
          <w:b w:val="0"/>
          <w:bCs/>
          <w:caps w:val="0"/>
        </w:rPr>
        <w:t xml:space="preserve">, l., </w:t>
      </w:r>
      <w:proofErr w:type="spellStart"/>
      <w:r w:rsidRPr="008242BB">
        <w:rPr>
          <w:rFonts w:ascii="Arial" w:hAnsi="Arial" w:cs="Arial"/>
          <w:b w:val="0"/>
          <w:bCs/>
          <w:caps w:val="0"/>
        </w:rPr>
        <w:t>egan</w:t>
      </w:r>
      <w:proofErr w:type="spellEnd"/>
      <w:r w:rsidRPr="008242BB">
        <w:rPr>
          <w:rFonts w:ascii="Arial" w:hAnsi="Arial" w:cs="Arial"/>
          <w:b w:val="0"/>
          <w:bCs/>
          <w:caps w:val="0"/>
        </w:rPr>
        <w:t xml:space="preserve">, t., &amp; </w:t>
      </w:r>
      <w:proofErr w:type="spellStart"/>
      <w:r w:rsidRPr="008242BB">
        <w:rPr>
          <w:rFonts w:ascii="Arial" w:hAnsi="Arial" w:cs="Arial"/>
          <w:b w:val="0"/>
          <w:bCs/>
          <w:caps w:val="0"/>
        </w:rPr>
        <w:t>o’donohoe</w:t>
      </w:r>
      <w:proofErr w:type="spellEnd"/>
      <w:r w:rsidRPr="008242BB">
        <w:rPr>
          <w:rFonts w:ascii="Arial" w:hAnsi="Arial" w:cs="Arial"/>
          <w:b w:val="0"/>
          <w:bCs/>
          <w:caps w:val="0"/>
        </w:rPr>
        <w:t xml:space="preserve">, s. (2025). Risk factor disclosure in green bond prospectuses and investor compensation. International review of financial analysis. </w:t>
      </w:r>
      <w:hyperlink r:id="rId39" w:history="1">
        <w:r w:rsidRPr="00FA41B2">
          <w:rPr>
            <w:rStyle w:val="Hyperlink"/>
            <w:rFonts w:ascii="Arial" w:hAnsi="Arial" w:cs="Arial"/>
            <w:b w:val="0"/>
            <w:bCs/>
            <w:caps w:val="0"/>
          </w:rPr>
          <w:t>Https://doi.org/10.1016/j.irfa.2025.104405</w:t>
        </w:r>
      </w:hyperlink>
    </w:p>
    <w:p w14:paraId="5B70F0D1" w14:textId="58A9A476"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Parsa</w:t>
      </w:r>
      <w:proofErr w:type="spellEnd"/>
      <w:r w:rsidRPr="008242BB">
        <w:rPr>
          <w:rFonts w:ascii="Arial" w:hAnsi="Arial" w:cs="Arial"/>
          <w:b w:val="0"/>
          <w:bCs/>
          <w:caps w:val="0"/>
        </w:rPr>
        <w:t xml:space="preserve">, s., </w:t>
      </w:r>
      <w:proofErr w:type="spellStart"/>
      <w:r w:rsidRPr="008242BB">
        <w:rPr>
          <w:rFonts w:ascii="Arial" w:hAnsi="Arial" w:cs="Arial"/>
          <w:b w:val="0"/>
          <w:bCs/>
          <w:caps w:val="0"/>
        </w:rPr>
        <w:t>dai</w:t>
      </w:r>
      <w:proofErr w:type="spellEnd"/>
      <w:r w:rsidRPr="008242BB">
        <w:rPr>
          <w:rFonts w:ascii="Arial" w:hAnsi="Arial" w:cs="Arial"/>
          <w:b w:val="0"/>
          <w:bCs/>
          <w:caps w:val="0"/>
        </w:rPr>
        <w:t xml:space="preserve">, n., </w:t>
      </w:r>
      <w:proofErr w:type="spellStart"/>
      <w:r w:rsidRPr="008242BB">
        <w:rPr>
          <w:rFonts w:ascii="Arial" w:hAnsi="Arial" w:cs="Arial"/>
          <w:b w:val="0"/>
          <w:bCs/>
          <w:caps w:val="0"/>
        </w:rPr>
        <w:t>belal</w:t>
      </w:r>
      <w:proofErr w:type="spellEnd"/>
      <w:r w:rsidRPr="008242BB">
        <w:rPr>
          <w:rFonts w:ascii="Arial" w:hAnsi="Arial" w:cs="Arial"/>
          <w:b w:val="0"/>
          <w:bCs/>
          <w:caps w:val="0"/>
        </w:rPr>
        <w:t xml:space="preserve">, a. R., li, t., &amp; tang, g. (2020). Corporate social responsibility reporting in china: political, social and corporate influences. Accounting and business research, 50(7), 639–667. </w:t>
      </w:r>
      <w:hyperlink r:id="rId40" w:history="1">
        <w:r w:rsidRPr="00FA41B2">
          <w:rPr>
            <w:rStyle w:val="Hyperlink"/>
            <w:rFonts w:ascii="Arial" w:hAnsi="Arial" w:cs="Arial"/>
            <w:b w:val="0"/>
            <w:bCs/>
            <w:caps w:val="0"/>
          </w:rPr>
          <w:t>Https://doi.org/10.1080/00014788.2020.1780110</w:t>
        </w:r>
      </w:hyperlink>
    </w:p>
    <w:p w14:paraId="6FC7AAC6" w14:textId="04C8A461"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lastRenderedPageBreak/>
        <w:t xml:space="preserve">Pérez, y., </w:t>
      </w:r>
      <w:proofErr w:type="spellStart"/>
      <w:r w:rsidRPr="008242BB">
        <w:rPr>
          <w:rFonts w:ascii="Arial" w:hAnsi="Arial" w:cs="Arial"/>
          <w:b w:val="0"/>
          <w:bCs/>
          <w:caps w:val="0"/>
        </w:rPr>
        <w:t>camacho-miño</w:t>
      </w:r>
      <w:proofErr w:type="spellEnd"/>
      <w:r w:rsidRPr="008242BB">
        <w:rPr>
          <w:rFonts w:ascii="Arial" w:hAnsi="Arial" w:cs="Arial"/>
          <w:b w:val="0"/>
          <w:bCs/>
          <w:caps w:val="0"/>
        </w:rPr>
        <w:t xml:space="preserve">, m. M., &amp; </w:t>
      </w:r>
      <w:proofErr w:type="spellStart"/>
      <w:r w:rsidRPr="008242BB">
        <w:rPr>
          <w:rFonts w:ascii="Arial" w:hAnsi="Arial" w:cs="Arial"/>
          <w:b w:val="0"/>
          <w:bCs/>
          <w:caps w:val="0"/>
        </w:rPr>
        <w:t>segovia-vargas</w:t>
      </w:r>
      <w:proofErr w:type="spellEnd"/>
      <w:r w:rsidRPr="008242BB">
        <w:rPr>
          <w:rFonts w:ascii="Arial" w:hAnsi="Arial" w:cs="Arial"/>
          <w:b w:val="0"/>
          <w:bCs/>
          <w:caps w:val="0"/>
        </w:rPr>
        <w:t xml:space="preserve">, m. J. (2021). Risk on financial reporting in the context of the new audit report in </w:t>
      </w:r>
      <w:proofErr w:type="spellStart"/>
      <w:r w:rsidRPr="008242BB">
        <w:rPr>
          <w:rFonts w:ascii="Arial" w:hAnsi="Arial" w:cs="Arial"/>
          <w:b w:val="0"/>
          <w:bCs/>
          <w:caps w:val="0"/>
        </w:rPr>
        <w:t>spain</w:t>
      </w:r>
      <w:proofErr w:type="spellEnd"/>
      <w:r w:rsidRPr="008242BB">
        <w:rPr>
          <w:rFonts w:ascii="Arial" w:hAnsi="Arial" w:cs="Arial"/>
          <w:b w:val="0"/>
          <w:bCs/>
          <w:caps w:val="0"/>
        </w:rPr>
        <w:t xml:space="preserve">. </w:t>
      </w:r>
      <w:proofErr w:type="spellStart"/>
      <w:r w:rsidRPr="008242BB">
        <w:rPr>
          <w:rFonts w:ascii="Arial" w:hAnsi="Arial" w:cs="Arial"/>
          <w:b w:val="0"/>
          <w:bCs/>
          <w:caps w:val="0"/>
        </w:rPr>
        <w:t>Revista</w:t>
      </w:r>
      <w:proofErr w:type="spellEnd"/>
      <w:r w:rsidRPr="008242BB">
        <w:rPr>
          <w:rFonts w:ascii="Arial" w:hAnsi="Arial" w:cs="Arial"/>
          <w:b w:val="0"/>
          <w:bCs/>
          <w:caps w:val="0"/>
        </w:rPr>
        <w:t xml:space="preserve"> de </w:t>
      </w:r>
      <w:proofErr w:type="spellStart"/>
      <w:r w:rsidRPr="008242BB">
        <w:rPr>
          <w:rFonts w:ascii="Arial" w:hAnsi="Arial" w:cs="Arial"/>
          <w:b w:val="0"/>
          <w:bCs/>
          <w:caps w:val="0"/>
        </w:rPr>
        <w:t>contabilidad</w:t>
      </w:r>
      <w:proofErr w:type="spellEnd"/>
      <w:r w:rsidRPr="008242BB">
        <w:rPr>
          <w:rFonts w:ascii="Arial" w:hAnsi="Arial" w:cs="Arial"/>
          <w:b w:val="0"/>
          <w:bCs/>
          <w:caps w:val="0"/>
        </w:rPr>
        <w:t xml:space="preserve">, 24(1), 1–18. </w:t>
      </w:r>
      <w:hyperlink r:id="rId41" w:history="1">
        <w:r w:rsidRPr="00FA41B2">
          <w:rPr>
            <w:rStyle w:val="Hyperlink"/>
            <w:rFonts w:ascii="Arial" w:hAnsi="Arial" w:cs="Arial"/>
            <w:b w:val="0"/>
            <w:bCs/>
            <w:caps w:val="0"/>
          </w:rPr>
          <w:t>Https://doi.org/10.6018/rcsar.363001</w:t>
        </w:r>
      </w:hyperlink>
    </w:p>
    <w:p w14:paraId="59777B84" w14:textId="56BCA32A" w:rsidR="008242BB" w:rsidRPr="008242BB" w:rsidRDefault="008242BB" w:rsidP="008F5B27">
      <w:pPr>
        <w:pStyle w:val="ReferHead"/>
        <w:numPr>
          <w:ilvl w:val="0"/>
          <w:numId w:val="40"/>
        </w:numPr>
        <w:spacing w:after="0"/>
        <w:jc w:val="both"/>
        <w:rPr>
          <w:rFonts w:ascii="Arial" w:hAnsi="Arial" w:cs="Arial"/>
          <w:b w:val="0"/>
          <w:bCs/>
        </w:rPr>
      </w:pPr>
      <w:r w:rsidRPr="008242BB">
        <w:rPr>
          <w:rFonts w:ascii="Arial" w:hAnsi="Arial" w:cs="Arial"/>
          <w:b w:val="0"/>
          <w:bCs/>
          <w:caps w:val="0"/>
        </w:rPr>
        <w:t xml:space="preserve">Piper, </w:t>
      </w:r>
      <w:proofErr w:type="spellStart"/>
      <w:r w:rsidRPr="008242BB">
        <w:rPr>
          <w:rFonts w:ascii="Arial" w:hAnsi="Arial" w:cs="Arial"/>
          <w:b w:val="0"/>
          <w:bCs/>
          <w:caps w:val="0"/>
        </w:rPr>
        <w:t>i</w:t>
      </w:r>
      <w:proofErr w:type="spellEnd"/>
      <w:r w:rsidRPr="008242BB">
        <w:rPr>
          <w:rFonts w:ascii="Arial" w:hAnsi="Arial" w:cs="Arial"/>
          <w:b w:val="0"/>
          <w:bCs/>
          <w:caps w:val="0"/>
        </w:rPr>
        <w:t xml:space="preserve">., </w:t>
      </w:r>
      <w:proofErr w:type="spellStart"/>
      <w:r w:rsidRPr="008242BB">
        <w:rPr>
          <w:rFonts w:ascii="Arial" w:hAnsi="Arial" w:cs="Arial"/>
          <w:b w:val="0"/>
          <w:bCs/>
          <w:caps w:val="0"/>
        </w:rPr>
        <w:t>mcbride</w:t>
      </w:r>
      <w:proofErr w:type="spellEnd"/>
      <w:r w:rsidRPr="008242BB">
        <w:rPr>
          <w:rFonts w:ascii="Arial" w:hAnsi="Arial" w:cs="Arial"/>
          <w:b w:val="0"/>
          <w:bCs/>
          <w:caps w:val="0"/>
        </w:rPr>
        <w:t xml:space="preserve">, k., &amp; </w:t>
      </w:r>
      <w:proofErr w:type="spellStart"/>
      <w:r w:rsidRPr="008242BB">
        <w:rPr>
          <w:rFonts w:ascii="Arial" w:hAnsi="Arial" w:cs="Arial"/>
          <w:b w:val="0"/>
          <w:bCs/>
          <w:caps w:val="0"/>
        </w:rPr>
        <w:t>tait</w:t>
      </w:r>
      <w:proofErr w:type="spellEnd"/>
      <w:r w:rsidRPr="008242BB">
        <w:rPr>
          <w:rFonts w:ascii="Arial" w:hAnsi="Arial" w:cs="Arial"/>
          <w:b w:val="0"/>
          <w:bCs/>
          <w:caps w:val="0"/>
        </w:rPr>
        <w:t xml:space="preserve">, a. (2023). John </w:t>
      </w:r>
      <w:proofErr w:type="spellStart"/>
      <w:r w:rsidRPr="008242BB">
        <w:rPr>
          <w:rFonts w:ascii="Arial" w:hAnsi="Arial" w:cs="Arial"/>
          <w:b w:val="0"/>
          <w:bCs/>
          <w:caps w:val="0"/>
        </w:rPr>
        <w:t>franklyn</w:t>
      </w:r>
      <w:proofErr w:type="spellEnd"/>
      <w:r w:rsidRPr="008242BB">
        <w:rPr>
          <w:rFonts w:ascii="Arial" w:hAnsi="Arial" w:cs="Arial"/>
          <w:b w:val="0"/>
          <w:bCs/>
          <w:caps w:val="0"/>
        </w:rPr>
        <w:t xml:space="preserve"> </w:t>
      </w:r>
      <w:proofErr w:type="spellStart"/>
      <w:r w:rsidRPr="008242BB">
        <w:rPr>
          <w:rFonts w:ascii="Arial" w:hAnsi="Arial" w:cs="Arial"/>
          <w:b w:val="0"/>
          <w:bCs/>
          <w:caps w:val="0"/>
        </w:rPr>
        <w:t>venner</w:t>
      </w:r>
      <w:proofErr w:type="spellEnd"/>
      <w:r w:rsidRPr="008242BB">
        <w:rPr>
          <w:rFonts w:ascii="Arial" w:hAnsi="Arial" w:cs="Arial"/>
          <w:b w:val="0"/>
          <w:bCs/>
          <w:caps w:val="0"/>
        </w:rPr>
        <w:t xml:space="preserve"> </w:t>
      </w:r>
      <w:proofErr w:type="spellStart"/>
      <w:r w:rsidRPr="008242BB">
        <w:rPr>
          <w:rFonts w:ascii="Arial" w:hAnsi="Arial" w:cs="Arial"/>
          <w:b w:val="0"/>
          <w:bCs/>
          <w:caps w:val="0"/>
        </w:rPr>
        <w:t>fca</w:t>
      </w:r>
      <w:proofErr w:type="spellEnd"/>
      <w:r w:rsidRPr="008242BB">
        <w:rPr>
          <w:rFonts w:ascii="Arial" w:hAnsi="Arial" w:cs="Arial"/>
          <w:b w:val="0"/>
          <w:bCs/>
          <w:caps w:val="0"/>
        </w:rPr>
        <w:t>: an orthodox chartered accountant working in an unorthodox organization. Accounting historians journal, 50(1), 1–23.</w:t>
      </w:r>
    </w:p>
    <w:p w14:paraId="35A819FF" w14:textId="2E31198C" w:rsidR="008242BB" w:rsidRPr="008242BB" w:rsidRDefault="008242BB" w:rsidP="008F5B27">
      <w:pPr>
        <w:pStyle w:val="ReferHead"/>
        <w:numPr>
          <w:ilvl w:val="0"/>
          <w:numId w:val="40"/>
        </w:numPr>
        <w:spacing w:after="0"/>
        <w:jc w:val="both"/>
        <w:rPr>
          <w:rFonts w:ascii="Arial" w:hAnsi="Arial" w:cs="Arial"/>
          <w:b w:val="0"/>
          <w:bCs/>
        </w:rPr>
      </w:pPr>
      <w:proofErr w:type="spellStart"/>
      <w:r w:rsidRPr="008242BB">
        <w:rPr>
          <w:rFonts w:ascii="Arial" w:hAnsi="Arial" w:cs="Arial"/>
          <w:b w:val="0"/>
          <w:bCs/>
          <w:caps w:val="0"/>
        </w:rPr>
        <w:t>Socoliuc</w:t>
      </w:r>
      <w:proofErr w:type="spellEnd"/>
      <w:r w:rsidRPr="008242BB">
        <w:rPr>
          <w:rFonts w:ascii="Arial" w:hAnsi="Arial" w:cs="Arial"/>
          <w:b w:val="0"/>
          <w:bCs/>
          <w:caps w:val="0"/>
        </w:rPr>
        <w:t xml:space="preserve">, m., &amp; </w:t>
      </w:r>
      <w:proofErr w:type="spellStart"/>
      <w:r w:rsidRPr="008242BB">
        <w:rPr>
          <w:rFonts w:ascii="Arial" w:hAnsi="Arial" w:cs="Arial"/>
          <w:b w:val="0"/>
          <w:bCs/>
          <w:caps w:val="0"/>
        </w:rPr>
        <w:t>tiganas</w:t>
      </w:r>
      <w:proofErr w:type="spellEnd"/>
      <w:r w:rsidRPr="008242BB">
        <w:rPr>
          <w:rFonts w:ascii="Arial" w:hAnsi="Arial" w:cs="Arial"/>
          <w:b w:val="0"/>
          <w:bCs/>
          <w:caps w:val="0"/>
        </w:rPr>
        <w:t xml:space="preserve">, </w:t>
      </w:r>
      <w:proofErr w:type="spellStart"/>
      <w:r w:rsidRPr="008242BB">
        <w:rPr>
          <w:rFonts w:ascii="Arial" w:hAnsi="Arial" w:cs="Arial"/>
          <w:b w:val="0"/>
          <w:bCs/>
          <w:caps w:val="0"/>
        </w:rPr>
        <w:t>i</w:t>
      </w:r>
      <w:proofErr w:type="spellEnd"/>
      <w:r w:rsidRPr="008242BB">
        <w:rPr>
          <w:rFonts w:ascii="Arial" w:hAnsi="Arial" w:cs="Arial"/>
          <w:b w:val="0"/>
          <w:bCs/>
          <w:caps w:val="0"/>
        </w:rPr>
        <w:t>.-m. (2023). Digitization of the accounting profession: a bibliometric analysis. European journal of accounting, finance &amp; business, 11(1), 132–138.</w:t>
      </w:r>
    </w:p>
    <w:p w14:paraId="2D7F6A3A" w14:textId="29A59F2B" w:rsidR="00790ADA" w:rsidRPr="00161BFD" w:rsidRDefault="008242BB" w:rsidP="008F5B27">
      <w:pPr>
        <w:pStyle w:val="ReferHead"/>
        <w:numPr>
          <w:ilvl w:val="0"/>
          <w:numId w:val="40"/>
        </w:numPr>
        <w:spacing w:after="0"/>
        <w:jc w:val="both"/>
        <w:rPr>
          <w:rStyle w:val="Hyperlink"/>
          <w:rFonts w:ascii="Arial" w:hAnsi="Arial" w:cs="Arial"/>
          <w:b w:val="0"/>
          <w:bCs/>
          <w:color w:val="auto"/>
          <w:u w:val="none"/>
        </w:rPr>
      </w:pPr>
      <w:proofErr w:type="spellStart"/>
      <w:r w:rsidRPr="008242BB">
        <w:rPr>
          <w:rFonts w:ascii="Arial" w:hAnsi="Arial" w:cs="Arial"/>
          <w:b w:val="0"/>
          <w:bCs/>
          <w:caps w:val="0"/>
        </w:rPr>
        <w:t>Tsileponis</w:t>
      </w:r>
      <w:proofErr w:type="spellEnd"/>
      <w:r w:rsidRPr="008242BB">
        <w:rPr>
          <w:rFonts w:ascii="Arial" w:hAnsi="Arial" w:cs="Arial"/>
          <w:b w:val="0"/>
          <w:bCs/>
          <w:caps w:val="0"/>
        </w:rPr>
        <w:t xml:space="preserve">, n., </w:t>
      </w:r>
      <w:proofErr w:type="spellStart"/>
      <w:r w:rsidRPr="008242BB">
        <w:rPr>
          <w:rFonts w:ascii="Arial" w:hAnsi="Arial" w:cs="Arial"/>
          <w:b w:val="0"/>
          <w:bCs/>
          <w:caps w:val="0"/>
        </w:rPr>
        <w:t>stathopoulos</w:t>
      </w:r>
      <w:proofErr w:type="spellEnd"/>
      <w:r w:rsidRPr="008242BB">
        <w:rPr>
          <w:rFonts w:ascii="Arial" w:hAnsi="Arial" w:cs="Arial"/>
          <w:b w:val="0"/>
          <w:bCs/>
          <w:caps w:val="0"/>
        </w:rPr>
        <w:t xml:space="preserve">, k., &amp; walker, m. (2020). The monitoring role of the financial press around corporate announcements. Accounting and business research, 50(5), 456–490. </w:t>
      </w:r>
      <w:hyperlink r:id="rId42" w:history="1">
        <w:r w:rsidRPr="00FA41B2">
          <w:rPr>
            <w:rStyle w:val="Hyperlink"/>
            <w:rFonts w:ascii="Arial" w:hAnsi="Arial" w:cs="Arial"/>
            <w:b w:val="0"/>
            <w:bCs/>
            <w:caps w:val="0"/>
          </w:rPr>
          <w:t>Https://doi.org/10.1080/00014788.2020.1735290</w:t>
        </w:r>
      </w:hyperlink>
    </w:p>
    <w:p w14:paraId="51D800F9" w14:textId="027C8420" w:rsidR="00161BFD" w:rsidRPr="00161BFD" w:rsidRDefault="00161BFD" w:rsidP="008F5B27">
      <w:pPr>
        <w:pStyle w:val="ReferHead"/>
        <w:numPr>
          <w:ilvl w:val="0"/>
          <w:numId w:val="40"/>
        </w:numPr>
        <w:spacing w:after="0"/>
        <w:jc w:val="both"/>
        <w:rPr>
          <w:rFonts w:ascii="Arial" w:hAnsi="Arial" w:cs="Arial"/>
          <w:b w:val="0"/>
          <w:bCs/>
        </w:rPr>
      </w:pPr>
      <w:proofErr w:type="spellStart"/>
      <w:r w:rsidRPr="00161BFD">
        <w:rPr>
          <w:b w:val="0"/>
          <w:caps w:val="0"/>
        </w:rPr>
        <w:t>Kasliwal</w:t>
      </w:r>
      <w:proofErr w:type="spellEnd"/>
      <w:r>
        <w:rPr>
          <w:b w:val="0"/>
          <w:caps w:val="0"/>
        </w:rPr>
        <w:t>, G</w:t>
      </w:r>
      <w:r w:rsidRPr="00161BFD">
        <w:rPr>
          <w:b w:val="0"/>
          <w:caps w:val="0"/>
        </w:rPr>
        <w:t xml:space="preserve"> and </w:t>
      </w:r>
      <w:proofErr w:type="spellStart"/>
      <w:r>
        <w:rPr>
          <w:b w:val="0"/>
          <w:caps w:val="0"/>
        </w:rPr>
        <w:t>R</w:t>
      </w:r>
      <w:r w:rsidRPr="00161BFD">
        <w:rPr>
          <w:b w:val="0"/>
          <w:caps w:val="0"/>
        </w:rPr>
        <w:t>odrigue</w:t>
      </w:r>
      <w:proofErr w:type="spellEnd"/>
      <w:r>
        <w:rPr>
          <w:b w:val="0"/>
          <w:caps w:val="0"/>
        </w:rPr>
        <w:t>, K (2025)</w:t>
      </w:r>
      <w:r w:rsidRPr="00161BFD">
        <w:rPr>
          <w:b w:val="0"/>
          <w:caps w:val="0"/>
        </w:rPr>
        <w:t xml:space="preserve">. A Study </w:t>
      </w:r>
      <w:proofErr w:type="gramStart"/>
      <w:r w:rsidRPr="00161BFD">
        <w:rPr>
          <w:b w:val="0"/>
          <w:caps w:val="0"/>
        </w:rPr>
        <w:t>On</w:t>
      </w:r>
      <w:proofErr w:type="gramEnd"/>
      <w:r w:rsidRPr="00161BFD">
        <w:rPr>
          <w:b w:val="0"/>
          <w:caps w:val="0"/>
        </w:rPr>
        <w:t xml:space="preserve"> Audit Procedures And Practices In A Chartered Accountancy Firm</w:t>
      </w:r>
      <w:r>
        <w:rPr>
          <w:b w:val="0"/>
          <w:caps w:val="0"/>
        </w:rPr>
        <w:t xml:space="preserve">. </w:t>
      </w:r>
      <w:r w:rsidRPr="00161BFD">
        <w:rPr>
          <w:b w:val="0"/>
          <w:caps w:val="0"/>
        </w:rPr>
        <w:t xml:space="preserve">International Journal </w:t>
      </w:r>
      <w:proofErr w:type="gramStart"/>
      <w:r w:rsidRPr="00161BFD">
        <w:rPr>
          <w:b w:val="0"/>
          <w:caps w:val="0"/>
        </w:rPr>
        <w:t>Of</w:t>
      </w:r>
      <w:proofErr w:type="gramEnd"/>
      <w:r w:rsidRPr="00161BFD">
        <w:rPr>
          <w:b w:val="0"/>
          <w:caps w:val="0"/>
        </w:rPr>
        <w:t xml:space="preserve"> Research Publication And Reviews</w:t>
      </w:r>
      <w:r w:rsidRPr="00161BFD">
        <w:rPr>
          <w:b w:val="0"/>
        </w:rPr>
        <w:t xml:space="preserve">, Vol 6, Issue 12, 7736-7741 </w:t>
      </w:r>
    </w:p>
    <w:p w14:paraId="33EDA016" w14:textId="77777777" w:rsidR="008242BB" w:rsidRPr="008242BB" w:rsidRDefault="008242BB" w:rsidP="008242BB">
      <w:pPr>
        <w:pStyle w:val="ReferHead"/>
        <w:spacing w:after="0"/>
        <w:ind w:left="720"/>
        <w:jc w:val="both"/>
        <w:rPr>
          <w:rFonts w:ascii="Arial" w:hAnsi="Arial" w:cs="Arial"/>
          <w:b w:val="0"/>
          <w:bCs/>
        </w:rPr>
      </w:pPr>
    </w:p>
    <w:sectPr w:rsidR="008242BB" w:rsidRPr="008242BB" w:rsidSect="00294F44">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206A7" w14:textId="77777777" w:rsidR="007C23D0" w:rsidRDefault="007C23D0" w:rsidP="00C37E61">
      <w:r>
        <w:separator/>
      </w:r>
    </w:p>
  </w:endnote>
  <w:endnote w:type="continuationSeparator" w:id="0">
    <w:p w14:paraId="707F7BBA" w14:textId="77777777" w:rsidR="007C23D0" w:rsidRDefault="007C23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0A1C" w14:textId="77777777" w:rsidR="00294F44" w:rsidRDefault="00294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62E9" w14:textId="77777777" w:rsidR="00294F44" w:rsidRDefault="00294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5D6B" w14:textId="108565EE" w:rsidR="00754C9A" w:rsidRPr="009D2450" w:rsidRDefault="00754C9A" w:rsidP="009D24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A2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DE19" w14:textId="77777777" w:rsidR="007C23D0" w:rsidRDefault="007C23D0" w:rsidP="00C37E61">
      <w:r>
        <w:separator/>
      </w:r>
    </w:p>
  </w:footnote>
  <w:footnote w:type="continuationSeparator" w:id="0">
    <w:p w14:paraId="0E1490F9" w14:textId="77777777" w:rsidR="007C23D0" w:rsidRDefault="007C23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F182" w14:textId="1409DB07" w:rsidR="00294F44" w:rsidRDefault="00161BFD">
    <w:pPr>
      <w:pStyle w:val="Header"/>
    </w:pPr>
    <w:r>
      <w:rPr>
        <w:noProof/>
      </w:rPr>
      <w:pict w14:anchorId="7DE6A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3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57DA" w14:textId="42363B35" w:rsidR="00294F44" w:rsidRDefault="00161BFD">
    <w:pPr>
      <w:pStyle w:val="Header"/>
    </w:pPr>
    <w:r>
      <w:rPr>
        <w:noProof/>
      </w:rPr>
      <w:pict w14:anchorId="43E4F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3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CEA5" w14:textId="74C1961E" w:rsidR="00296529" w:rsidRPr="00296529" w:rsidRDefault="00161BFD" w:rsidP="00296529">
    <w:pPr>
      <w:ind w:left="2160"/>
      <w:jc w:val="center"/>
      <w:rPr>
        <w:rFonts w:ascii="Times New Roman" w:eastAsia="Calibri" w:hAnsi="Times New Roman"/>
        <w:i/>
        <w:sz w:val="18"/>
        <w:szCs w:val="22"/>
      </w:rPr>
    </w:pPr>
    <w:r>
      <w:rPr>
        <w:noProof/>
      </w:rPr>
      <w:pict w14:anchorId="56DCE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3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F66C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9E0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2515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B742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8A3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7FBD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EFA0" w14:textId="39421E2C" w:rsidR="00294F44" w:rsidRDefault="00161BFD">
    <w:pPr>
      <w:pStyle w:val="Header"/>
    </w:pPr>
    <w:r>
      <w:rPr>
        <w:noProof/>
      </w:rPr>
      <w:pict w14:anchorId="54075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4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1BEE" w14:textId="27B887B6" w:rsidR="00294F44" w:rsidRDefault="00161BFD">
    <w:pPr>
      <w:pStyle w:val="Header"/>
    </w:pPr>
    <w:r>
      <w:rPr>
        <w:noProof/>
      </w:rPr>
      <w:pict w14:anchorId="54645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4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F188" w14:textId="18E2E1B3" w:rsidR="00294F44" w:rsidRDefault="00161BFD">
    <w:pPr>
      <w:pStyle w:val="Header"/>
    </w:pPr>
    <w:r>
      <w:rPr>
        <w:noProof/>
      </w:rPr>
      <w:pict w14:anchorId="571D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4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EA1557"/>
    <w:multiLevelType w:val="hybridMultilevel"/>
    <w:tmpl w:val="C0840D38"/>
    <w:lvl w:ilvl="0" w:tplc="40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9062DA"/>
    <w:multiLevelType w:val="multilevel"/>
    <w:tmpl w:val="4118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0642C4"/>
    <w:multiLevelType w:val="hybridMultilevel"/>
    <w:tmpl w:val="2794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EC434A2"/>
    <w:multiLevelType w:val="multilevel"/>
    <w:tmpl w:val="CC0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D32C2"/>
    <w:multiLevelType w:val="multilevel"/>
    <w:tmpl w:val="F0D4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352C44"/>
    <w:multiLevelType w:val="multilevel"/>
    <w:tmpl w:val="CF78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FD7DC9"/>
    <w:multiLevelType w:val="multilevel"/>
    <w:tmpl w:val="B6205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CA96C26"/>
    <w:multiLevelType w:val="hybridMultilevel"/>
    <w:tmpl w:val="91AE59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6005D"/>
    <w:multiLevelType w:val="hybridMultilevel"/>
    <w:tmpl w:val="2730C9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5BD1CE2"/>
    <w:multiLevelType w:val="multilevel"/>
    <w:tmpl w:val="7404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5"/>
  </w:num>
  <w:num w:numId="10">
    <w:abstractNumId w:val="2"/>
  </w:num>
  <w:num w:numId="11">
    <w:abstractNumId w:val="25"/>
  </w:num>
  <w:num w:numId="12">
    <w:abstractNumId w:val="3"/>
  </w:num>
  <w:num w:numId="13">
    <w:abstractNumId w:val="22"/>
  </w:num>
  <w:num w:numId="14">
    <w:abstractNumId w:val="9"/>
  </w:num>
  <w:num w:numId="15">
    <w:abstractNumId w:val="30"/>
  </w:num>
  <w:num w:numId="16">
    <w:abstractNumId w:val="5"/>
  </w:num>
  <w:num w:numId="17">
    <w:abstractNumId w:val="31"/>
  </w:num>
  <w:num w:numId="18">
    <w:abstractNumId w:val="16"/>
  </w:num>
  <w:num w:numId="19">
    <w:abstractNumId w:val="38"/>
  </w:num>
  <w:num w:numId="20">
    <w:abstractNumId w:val="12"/>
  </w:num>
  <w:num w:numId="21">
    <w:abstractNumId w:val="10"/>
  </w:num>
  <w:num w:numId="22">
    <w:abstractNumId w:val="15"/>
  </w:num>
  <w:num w:numId="23">
    <w:abstractNumId w:val="27"/>
  </w:num>
  <w:num w:numId="24">
    <w:abstractNumId w:val="36"/>
  </w:num>
  <w:num w:numId="25">
    <w:abstractNumId w:val="4"/>
  </w:num>
  <w:num w:numId="26">
    <w:abstractNumId w:val="20"/>
  </w:num>
  <w:num w:numId="27">
    <w:abstractNumId w:val="28"/>
  </w:num>
  <w:num w:numId="28">
    <w:abstractNumId w:val="37"/>
  </w:num>
  <w:num w:numId="29">
    <w:abstractNumId w:val="34"/>
  </w:num>
  <w:num w:numId="30">
    <w:abstractNumId w:val="11"/>
  </w:num>
  <w:num w:numId="31">
    <w:abstractNumId w:val="21"/>
  </w:num>
  <w:num w:numId="32">
    <w:abstractNumId w:val="23"/>
  </w:num>
  <w:num w:numId="33">
    <w:abstractNumId w:val="24"/>
  </w:num>
  <w:num w:numId="34">
    <w:abstractNumId w:val="18"/>
  </w:num>
  <w:num w:numId="35">
    <w:abstractNumId w:val="17"/>
  </w:num>
  <w:num w:numId="36">
    <w:abstractNumId w:val="13"/>
  </w:num>
  <w:num w:numId="37">
    <w:abstractNumId w:val="33"/>
  </w:num>
  <w:num w:numId="38">
    <w:abstractNumId w:val="2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NDY2N7YwtTQ3MDFV0lEKTi0uzszPAykwqgUAq/LdYCwAAAA="/>
  </w:docVars>
  <w:rsids>
    <w:rsidRoot w:val="00AA6219"/>
    <w:rsid w:val="00000F8F"/>
    <w:rsid w:val="000045D3"/>
    <w:rsid w:val="00030174"/>
    <w:rsid w:val="0004579C"/>
    <w:rsid w:val="000A47FA"/>
    <w:rsid w:val="000A65D3"/>
    <w:rsid w:val="000B1E33"/>
    <w:rsid w:val="000D689F"/>
    <w:rsid w:val="000E7B7B"/>
    <w:rsid w:val="000E7D62"/>
    <w:rsid w:val="00101FF2"/>
    <w:rsid w:val="00103357"/>
    <w:rsid w:val="00123C9F"/>
    <w:rsid w:val="00126190"/>
    <w:rsid w:val="00130F17"/>
    <w:rsid w:val="001320BF"/>
    <w:rsid w:val="00153121"/>
    <w:rsid w:val="00161BFD"/>
    <w:rsid w:val="00163BC4"/>
    <w:rsid w:val="00191062"/>
    <w:rsid w:val="00191230"/>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F44"/>
    <w:rsid w:val="00296529"/>
    <w:rsid w:val="002B27FB"/>
    <w:rsid w:val="002B685A"/>
    <w:rsid w:val="002C57D2"/>
    <w:rsid w:val="002E0D56"/>
    <w:rsid w:val="00315186"/>
    <w:rsid w:val="0033343E"/>
    <w:rsid w:val="003512C2"/>
    <w:rsid w:val="00365AF6"/>
    <w:rsid w:val="00371FB6"/>
    <w:rsid w:val="003763C1"/>
    <w:rsid w:val="00376BBE"/>
    <w:rsid w:val="00380057"/>
    <w:rsid w:val="0039224F"/>
    <w:rsid w:val="003A43A4"/>
    <w:rsid w:val="003A7E18"/>
    <w:rsid w:val="003C4C86"/>
    <w:rsid w:val="003C6258"/>
    <w:rsid w:val="003E2904"/>
    <w:rsid w:val="003F2228"/>
    <w:rsid w:val="00401927"/>
    <w:rsid w:val="0041027F"/>
    <w:rsid w:val="00412475"/>
    <w:rsid w:val="00423789"/>
    <w:rsid w:val="00440F43"/>
    <w:rsid w:val="00441B6F"/>
    <w:rsid w:val="00446221"/>
    <w:rsid w:val="00450E62"/>
    <w:rsid w:val="004539DB"/>
    <w:rsid w:val="00455FD1"/>
    <w:rsid w:val="00471A80"/>
    <w:rsid w:val="004D305E"/>
    <w:rsid w:val="004D4277"/>
    <w:rsid w:val="004E774A"/>
    <w:rsid w:val="00502516"/>
    <w:rsid w:val="00505F06"/>
    <w:rsid w:val="00506828"/>
    <w:rsid w:val="0053056E"/>
    <w:rsid w:val="00554FDA"/>
    <w:rsid w:val="00593DFF"/>
    <w:rsid w:val="005C784C"/>
    <w:rsid w:val="005D17F6"/>
    <w:rsid w:val="005E5539"/>
    <w:rsid w:val="005F10AE"/>
    <w:rsid w:val="00602236"/>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109"/>
    <w:rsid w:val="006D30FF"/>
    <w:rsid w:val="006D6940"/>
    <w:rsid w:val="006F11EC"/>
    <w:rsid w:val="0070082C"/>
    <w:rsid w:val="0073073F"/>
    <w:rsid w:val="007369E6"/>
    <w:rsid w:val="00746E59"/>
    <w:rsid w:val="00754C9A"/>
    <w:rsid w:val="0075599A"/>
    <w:rsid w:val="00756019"/>
    <w:rsid w:val="00761D52"/>
    <w:rsid w:val="0077749E"/>
    <w:rsid w:val="00790ADA"/>
    <w:rsid w:val="007A1068"/>
    <w:rsid w:val="007B56F3"/>
    <w:rsid w:val="007C23D0"/>
    <w:rsid w:val="007D2288"/>
    <w:rsid w:val="007E088F"/>
    <w:rsid w:val="007F7B32"/>
    <w:rsid w:val="00804BC2"/>
    <w:rsid w:val="0081431A"/>
    <w:rsid w:val="008242BB"/>
    <w:rsid w:val="0083216F"/>
    <w:rsid w:val="00860000"/>
    <w:rsid w:val="00863BD3"/>
    <w:rsid w:val="008641ED"/>
    <w:rsid w:val="00866D66"/>
    <w:rsid w:val="008671C6"/>
    <w:rsid w:val="00875803"/>
    <w:rsid w:val="008B04E1"/>
    <w:rsid w:val="008B459E"/>
    <w:rsid w:val="008E13AE"/>
    <w:rsid w:val="008E1506"/>
    <w:rsid w:val="008E20BD"/>
    <w:rsid w:val="008E710C"/>
    <w:rsid w:val="008F5B27"/>
    <w:rsid w:val="008F69D6"/>
    <w:rsid w:val="008F78FE"/>
    <w:rsid w:val="00902823"/>
    <w:rsid w:val="00915CA6"/>
    <w:rsid w:val="00927834"/>
    <w:rsid w:val="009500A6"/>
    <w:rsid w:val="00957C18"/>
    <w:rsid w:val="00963799"/>
    <w:rsid w:val="009659BA"/>
    <w:rsid w:val="00976AF8"/>
    <w:rsid w:val="00983040"/>
    <w:rsid w:val="009B3FB9"/>
    <w:rsid w:val="009C2465"/>
    <w:rsid w:val="009C4979"/>
    <w:rsid w:val="009D2450"/>
    <w:rsid w:val="009D35A0"/>
    <w:rsid w:val="009D3A65"/>
    <w:rsid w:val="009D7EB7"/>
    <w:rsid w:val="009E048A"/>
    <w:rsid w:val="009E08E9"/>
    <w:rsid w:val="009E3DB9"/>
    <w:rsid w:val="009E6E35"/>
    <w:rsid w:val="009F0EDA"/>
    <w:rsid w:val="00A03B96"/>
    <w:rsid w:val="00A05B19"/>
    <w:rsid w:val="00A1134E"/>
    <w:rsid w:val="00A11FFD"/>
    <w:rsid w:val="00A214BD"/>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3971"/>
    <w:rsid w:val="00B95236"/>
    <w:rsid w:val="00B96BD9"/>
    <w:rsid w:val="00BA1B01"/>
    <w:rsid w:val="00BA2641"/>
    <w:rsid w:val="00BB37AA"/>
    <w:rsid w:val="00BC53A0"/>
    <w:rsid w:val="00BE62AD"/>
    <w:rsid w:val="00BF121F"/>
    <w:rsid w:val="00BF1F80"/>
    <w:rsid w:val="00C166EF"/>
    <w:rsid w:val="00C17EB0"/>
    <w:rsid w:val="00C270DB"/>
    <w:rsid w:val="00C27F5F"/>
    <w:rsid w:val="00C30A0F"/>
    <w:rsid w:val="00C37E61"/>
    <w:rsid w:val="00C60159"/>
    <w:rsid w:val="00C70F1B"/>
    <w:rsid w:val="00C71A47"/>
    <w:rsid w:val="00C7464C"/>
    <w:rsid w:val="00C85588"/>
    <w:rsid w:val="00CA09DD"/>
    <w:rsid w:val="00CD6755"/>
    <w:rsid w:val="00CD6856"/>
    <w:rsid w:val="00CE0089"/>
    <w:rsid w:val="00CE793C"/>
    <w:rsid w:val="00CF193C"/>
    <w:rsid w:val="00D173F1"/>
    <w:rsid w:val="00D218C4"/>
    <w:rsid w:val="00D74CB0"/>
    <w:rsid w:val="00D8295D"/>
    <w:rsid w:val="00DC2A65"/>
    <w:rsid w:val="00DD0143"/>
    <w:rsid w:val="00DD584D"/>
    <w:rsid w:val="00DE15F0"/>
    <w:rsid w:val="00DE5663"/>
    <w:rsid w:val="00DE78AA"/>
    <w:rsid w:val="00E012B8"/>
    <w:rsid w:val="00E01407"/>
    <w:rsid w:val="00E053D0"/>
    <w:rsid w:val="00E15994"/>
    <w:rsid w:val="00E3114E"/>
    <w:rsid w:val="00E31A70"/>
    <w:rsid w:val="00E35B02"/>
    <w:rsid w:val="00E66496"/>
    <w:rsid w:val="00E66B35"/>
    <w:rsid w:val="00E66E10"/>
    <w:rsid w:val="00E769F6"/>
    <w:rsid w:val="00E8407C"/>
    <w:rsid w:val="00E84F3C"/>
    <w:rsid w:val="00E977E2"/>
    <w:rsid w:val="00EA012C"/>
    <w:rsid w:val="00EC6A55"/>
    <w:rsid w:val="00ED0288"/>
    <w:rsid w:val="00ED10CD"/>
    <w:rsid w:val="00EE52CB"/>
    <w:rsid w:val="00EF581D"/>
    <w:rsid w:val="00EF7FD8"/>
    <w:rsid w:val="00F06F59"/>
    <w:rsid w:val="00F17988"/>
    <w:rsid w:val="00F469F0"/>
    <w:rsid w:val="00F53273"/>
    <w:rsid w:val="00F755E4"/>
    <w:rsid w:val="00F77D02"/>
    <w:rsid w:val="00FA415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46F75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11FFD"/>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Spacing">
    <w:name w:val="No Spacing"/>
    <w:uiPriority w:val="1"/>
    <w:qFormat/>
    <w:rsid w:val="00455FD1"/>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19774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108/ijaim-10-2021-0220" TargetMode="External"/><Relationship Id="rId39" Type="http://schemas.openxmlformats.org/officeDocument/2006/relationships/hyperlink" Target="Https://doi.org/10.1016/j.irfa.2025.104405" TargetMode="External"/><Relationship Id="rId21" Type="http://schemas.openxmlformats.org/officeDocument/2006/relationships/chart" Target="charts/chart3.xml"/><Relationship Id="rId34" Type="http://schemas.openxmlformats.org/officeDocument/2006/relationships/hyperlink" Target="Https://doi.org/10.1016/j.jaccpubpol.2020.106742" TargetMode="External"/><Relationship Id="rId42" Type="http://schemas.openxmlformats.org/officeDocument/2006/relationships/hyperlink" Target="Https://doi.org/10.1080/00014788.2020.173529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1016/j.aos.2020.101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926/ic.1555" TargetMode="External"/><Relationship Id="rId32" Type="http://schemas.openxmlformats.org/officeDocument/2006/relationships/hyperlink" Target="Https://doi.org/10.1108/medar-01-2021-1163" TargetMode="External"/><Relationship Id="rId37" Type="http://schemas.openxmlformats.org/officeDocument/2006/relationships/hyperlink" Target="Https://doi.org/10.1108/jaar-10-2020-0201" TargetMode="External"/><Relationship Id="rId40" Type="http://schemas.openxmlformats.org/officeDocument/2006/relationships/hyperlink" Target="Https://doi.org/10.1080/00014788.2020.1780110"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oi.org/10.32602/jafas.2021.003" TargetMode="External"/><Relationship Id="rId28" Type="http://schemas.openxmlformats.org/officeDocument/2006/relationships/hyperlink" Target="Https://doi.org/10.1016/j.bar.2019.03.004" TargetMode="External"/><Relationship Id="rId36" Type="http://schemas.openxmlformats.org/officeDocument/2006/relationships/hyperlink" Target="Https://doi.org/10.2308/horizons-19-145"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doi.org/10.1108/aaaj-10-2020-4991"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chart" Target="charts/chart4.xml"/><Relationship Id="rId27" Type="http://schemas.openxmlformats.org/officeDocument/2006/relationships/hyperlink" Target="Https://doi.org/10.22495/cocv21i1art5" TargetMode="External"/><Relationship Id="rId30" Type="http://schemas.openxmlformats.org/officeDocument/2006/relationships/hyperlink" Target="Https://doi.org/10.1111/abac.12251" TargetMode="External"/><Relationship Id="rId35" Type="http://schemas.openxmlformats.org/officeDocument/2006/relationships/hyperlink" Target="Https://doi.org/10.1016/j.jwb.2019.101052"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org/10.2308/jeta-19-11-20-47" TargetMode="External"/><Relationship Id="rId33" Type="http://schemas.openxmlformats.org/officeDocument/2006/relationships/hyperlink" Target="Https://doi.org/10.2308/jeta-2020-054" TargetMode="External"/><Relationship Id="rId38" Type="http://schemas.openxmlformats.org/officeDocument/2006/relationships/hyperlink" Target="Https://doi.org/10.2308/api-2024-017" TargetMode="External"/><Relationship Id="rId46" Type="http://schemas.openxmlformats.org/officeDocument/2006/relationships/header" Target="header6.xml"/><Relationship Id="rId20" Type="http://schemas.openxmlformats.org/officeDocument/2006/relationships/chart" Target="charts/chart2.xml"/><Relationship Id="rId41" Type="http://schemas.openxmlformats.org/officeDocument/2006/relationships/hyperlink" Target="Https://doi.org/10.6018/rcsar.363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Number of Articles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2020</c:v>
                </c:pt>
                <c:pt idx="1">
                  <c:v>2021</c:v>
                </c:pt>
                <c:pt idx="2">
                  <c:v>2022</c:v>
                </c:pt>
                <c:pt idx="3">
                  <c:v>2023</c:v>
                </c:pt>
                <c:pt idx="4">
                  <c:v>2024</c:v>
                </c:pt>
                <c:pt idx="5">
                  <c:v>2025</c:v>
                </c:pt>
              </c:numCache>
            </c:numRef>
          </c:xVal>
          <c:yVal>
            <c:numRef>
              <c:f>Sheet1!$B$2:$B$7</c:f>
              <c:numCache>
                <c:formatCode>General</c:formatCode>
                <c:ptCount val="6"/>
                <c:pt idx="0">
                  <c:v>26</c:v>
                </c:pt>
                <c:pt idx="1">
                  <c:v>34</c:v>
                </c:pt>
                <c:pt idx="2">
                  <c:v>25</c:v>
                </c:pt>
                <c:pt idx="3">
                  <c:v>15</c:v>
                </c:pt>
                <c:pt idx="4">
                  <c:v>14</c:v>
                </c:pt>
                <c:pt idx="5">
                  <c:v>7</c:v>
                </c:pt>
              </c:numCache>
            </c:numRef>
          </c:yVal>
          <c:smooth val="0"/>
          <c:extLst>
            <c:ext xmlns:c16="http://schemas.microsoft.com/office/drawing/2014/chart" uri="{C3380CC4-5D6E-409C-BE32-E72D297353CC}">
              <c16:uniqueId val="{00000000-FD0E-41FC-948C-4280F248DD65}"/>
            </c:ext>
          </c:extLst>
        </c:ser>
        <c:dLbls>
          <c:showLegendKey val="0"/>
          <c:showVal val="0"/>
          <c:showCatName val="0"/>
          <c:showSerName val="0"/>
          <c:showPercent val="0"/>
          <c:showBubbleSize val="0"/>
        </c:dLbls>
        <c:axId val="201535391"/>
        <c:axId val="201535871"/>
      </c:scatterChart>
      <c:valAx>
        <c:axId val="2015353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Publication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35871"/>
        <c:crosses val="autoZero"/>
        <c:crossBetween val="midCat"/>
      </c:valAx>
      <c:valAx>
        <c:axId val="201535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 of articles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3539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Sheet1!$C$19</c:f>
              <c:strCache>
                <c:ptCount val="1"/>
                <c:pt idx="0">
                  <c:v>Articles</c:v>
                </c:pt>
              </c:strCache>
            </c:strRef>
          </c:tx>
          <c:spPr>
            <a:solidFill>
              <a:schemeClr val="accent2"/>
            </a:solidFill>
            <a:ln>
              <a:noFill/>
            </a:ln>
            <a:effectLst/>
          </c:spPr>
          <c:invertIfNegative val="0"/>
          <c:cat>
            <c:strRef>
              <c:f>Sheet1!$B$20:$B$29</c:f>
              <c:strCache>
                <c:ptCount val="10"/>
                <c:pt idx="0">
                  <c:v>United Kingdom</c:v>
                </c:pt>
                <c:pt idx="1">
                  <c:v>United States</c:v>
                </c:pt>
                <c:pt idx="2">
                  <c:v>Ukraine</c:v>
                </c:pt>
                <c:pt idx="3">
                  <c:v>Netherlands</c:v>
                </c:pt>
                <c:pt idx="4">
                  <c:v>Australia</c:v>
                </c:pt>
                <c:pt idx="5">
                  <c:v>South Africa</c:v>
                </c:pt>
                <c:pt idx="6">
                  <c:v>Switzerland</c:v>
                </c:pt>
                <c:pt idx="7">
                  <c:v>Malaysia</c:v>
                </c:pt>
                <c:pt idx="8">
                  <c:v>Mexico</c:v>
                </c:pt>
                <c:pt idx="9">
                  <c:v>Greece</c:v>
                </c:pt>
              </c:strCache>
            </c:strRef>
          </c:cat>
          <c:val>
            <c:numRef>
              <c:f>Sheet1!$C$20:$C$29</c:f>
              <c:numCache>
                <c:formatCode>General</c:formatCode>
                <c:ptCount val="10"/>
                <c:pt idx="0">
                  <c:v>44</c:v>
                </c:pt>
                <c:pt idx="1">
                  <c:v>20</c:v>
                </c:pt>
                <c:pt idx="2">
                  <c:v>15</c:v>
                </c:pt>
                <c:pt idx="3">
                  <c:v>7</c:v>
                </c:pt>
                <c:pt idx="4">
                  <c:v>7</c:v>
                </c:pt>
                <c:pt idx="5">
                  <c:v>5</c:v>
                </c:pt>
                <c:pt idx="6">
                  <c:v>3</c:v>
                </c:pt>
                <c:pt idx="7">
                  <c:v>3</c:v>
                </c:pt>
                <c:pt idx="8">
                  <c:v>2</c:v>
                </c:pt>
                <c:pt idx="9">
                  <c:v>2</c:v>
                </c:pt>
              </c:numCache>
            </c:numRef>
          </c:val>
          <c:extLst>
            <c:ext xmlns:c16="http://schemas.microsoft.com/office/drawing/2014/chart" uri="{C3380CC4-5D6E-409C-BE32-E72D297353CC}">
              <c16:uniqueId val="{00000000-FD98-4CC5-B518-B822F8025472}"/>
            </c:ext>
          </c:extLst>
        </c:ser>
        <c:dLbls>
          <c:showLegendKey val="0"/>
          <c:showVal val="0"/>
          <c:showCatName val="0"/>
          <c:showSerName val="0"/>
          <c:showPercent val="0"/>
          <c:showBubbleSize val="0"/>
        </c:dLbls>
        <c:gapWidth val="219"/>
        <c:overlap val="-27"/>
        <c:axId val="330522063"/>
        <c:axId val="330518223"/>
      </c:barChart>
      <c:catAx>
        <c:axId val="330522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Country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18223"/>
        <c:crosses val="autoZero"/>
        <c:auto val="1"/>
        <c:lblAlgn val="ctr"/>
        <c:lblOffset val="100"/>
        <c:noMultiLvlLbl val="0"/>
      </c:catAx>
      <c:valAx>
        <c:axId val="330518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Articles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22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Sheet1!$C$35</c:f>
              <c:strCache>
                <c:ptCount val="1"/>
                <c:pt idx="0">
                  <c:v>Articles</c:v>
                </c:pt>
              </c:strCache>
            </c:strRef>
          </c:tx>
          <c:spPr>
            <a:solidFill>
              <a:schemeClr val="accent5"/>
            </a:solidFill>
            <a:ln>
              <a:noFill/>
            </a:ln>
            <a:effectLst/>
          </c:spPr>
          <c:invertIfNegative val="0"/>
          <c:cat>
            <c:strRef>
              <c:f>Sheet1!$B$36:$B$45</c:f>
              <c:strCache>
                <c:ptCount val="10"/>
                <c:pt idx="0">
                  <c:v>Accounting and Business Research</c:v>
                </c:pt>
                <c:pt idx="1">
                  <c:v>Corporate Ownership and Control</c:v>
                </c:pt>
                <c:pt idx="2">
                  <c:v>Investment Management and Financial Innovations</c:v>
                </c:pt>
                <c:pt idx="3">
                  <c:v>Australasian Business, Accounting and Finance Journal</c:v>
                </c:pt>
                <c:pt idx="4">
                  <c:v>Revista de Contabilidad</c:v>
                </c:pt>
                <c:pt idx="5">
                  <c:v>South African Journal of Economic and Management Sciences</c:v>
                </c:pt>
                <c:pt idx="6">
                  <c:v>Australian Accounting Review</c:v>
                </c:pt>
                <c:pt idx="7">
                  <c:v>Accounting Education</c:v>
                </c:pt>
                <c:pt idx="8">
                  <c:v>Critical Perspectives on Accounting</c:v>
                </c:pt>
                <c:pt idx="9">
                  <c:v>Accounting, Auditing &amp; Accountability Journal</c:v>
                </c:pt>
              </c:strCache>
            </c:strRef>
          </c:cat>
          <c:val>
            <c:numRef>
              <c:f>Sheet1!$C$36:$C$45</c:f>
              <c:numCache>
                <c:formatCode>General</c:formatCode>
                <c:ptCount val="10"/>
                <c:pt idx="0">
                  <c:v>8</c:v>
                </c:pt>
                <c:pt idx="1">
                  <c:v>8</c:v>
                </c:pt>
                <c:pt idx="2">
                  <c:v>4</c:v>
                </c:pt>
                <c:pt idx="3">
                  <c:v>4</c:v>
                </c:pt>
                <c:pt idx="4">
                  <c:v>4</c:v>
                </c:pt>
                <c:pt idx="5">
                  <c:v>4</c:v>
                </c:pt>
                <c:pt idx="6">
                  <c:v>3</c:v>
                </c:pt>
                <c:pt idx="7">
                  <c:v>3</c:v>
                </c:pt>
                <c:pt idx="8">
                  <c:v>3</c:v>
                </c:pt>
                <c:pt idx="9">
                  <c:v>3</c:v>
                </c:pt>
              </c:numCache>
            </c:numRef>
          </c:val>
          <c:extLst>
            <c:ext xmlns:c16="http://schemas.microsoft.com/office/drawing/2014/chart" uri="{C3380CC4-5D6E-409C-BE32-E72D297353CC}">
              <c16:uniqueId val="{00000000-7B79-49E3-A8AC-807D482997EF}"/>
            </c:ext>
          </c:extLst>
        </c:ser>
        <c:dLbls>
          <c:showLegendKey val="0"/>
          <c:showVal val="0"/>
          <c:showCatName val="0"/>
          <c:showSerName val="0"/>
          <c:showPercent val="0"/>
          <c:showBubbleSize val="0"/>
        </c:dLbls>
        <c:gapWidth val="182"/>
        <c:axId val="430921295"/>
        <c:axId val="430931375"/>
      </c:barChart>
      <c:catAx>
        <c:axId val="4309212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Jornal</a:t>
                </a:r>
                <a:r>
                  <a:rPr lang="en-IN" baseline="0"/>
                  <a:t> Title</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931375"/>
        <c:crosses val="autoZero"/>
        <c:auto val="1"/>
        <c:lblAlgn val="ctr"/>
        <c:lblOffset val="100"/>
        <c:noMultiLvlLbl val="0"/>
      </c:catAx>
      <c:valAx>
        <c:axId val="4309313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Articles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9212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Sheet1!$B$60</c:f>
              <c:strCache>
                <c:ptCount val="1"/>
                <c:pt idx="0">
                  <c:v>Articles (N=121)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C92-4337-A2BF-FB6FFD85F64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C92-4337-A2BF-FB6FFD85F64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C92-4337-A2BF-FB6FFD85F64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C92-4337-A2BF-FB6FFD85F64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C92-4337-A2BF-FB6FFD85F6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Sheet1!$A$61:$A$65</c:f>
              <c:strCache>
                <c:ptCount val="5"/>
                <c:pt idx="0">
                  <c:v>1. Corporate governance &amp; disclosure</c:v>
                </c:pt>
                <c:pt idx="1">
                  <c:v>2. Audit practice &amp; quality</c:v>
                </c:pt>
                <c:pt idx="2">
                  <c:v>3. Professional identity &amp; education</c:v>
                </c:pt>
                <c:pt idx="3">
                  <c:v>4. Public sector &amp; regulatory reforms</c:v>
                </c:pt>
                <c:pt idx="4">
                  <c:v>5. Technology &amp; AI in accounting</c:v>
                </c:pt>
              </c:strCache>
            </c:strRef>
          </c:cat>
          <c:val>
            <c:numRef>
              <c:f>Sheet1!$B$61:$B$65</c:f>
              <c:numCache>
                <c:formatCode>General</c:formatCode>
                <c:ptCount val="5"/>
                <c:pt idx="0">
                  <c:v>38</c:v>
                </c:pt>
                <c:pt idx="1">
                  <c:v>28</c:v>
                </c:pt>
                <c:pt idx="2">
                  <c:v>22</c:v>
                </c:pt>
                <c:pt idx="3">
                  <c:v>18</c:v>
                </c:pt>
                <c:pt idx="4">
                  <c:v>15</c:v>
                </c:pt>
              </c:numCache>
            </c:numRef>
          </c:val>
          <c:extLst>
            <c:ext xmlns:c16="http://schemas.microsoft.com/office/drawing/2014/chart" uri="{C3380CC4-5D6E-409C-BE32-E72D297353CC}">
              <c16:uniqueId val="{0000000A-1C92-4337-A2BF-FB6FFD85F6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92968-C4E8-4EB6-B4F5-268FFF5A7AEE}" type="doc">
      <dgm:prSet loTypeId="urn:microsoft.com/office/officeart/2005/8/layout/hProcess9" loCatId="process" qsTypeId="urn:microsoft.com/office/officeart/2005/8/quickstyle/simple1" qsCatId="simple" csTypeId="urn:microsoft.com/office/officeart/2005/8/colors/colorful1" csCatId="colorful" phldr="1"/>
      <dgm:spPr/>
      <dgm:t>
        <a:bodyPr/>
        <a:lstStyle/>
        <a:p>
          <a:endParaRPr lang="en-IN"/>
        </a:p>
      </dgm:t>
    </dgm:pt>
    <dgm:pt modelId="{E7395B9D-A18B-4614-9B08-60650EB840F4}">
      <dgm:prSet phldrT="[Text]"/>
      <dgm:spPr/>
      <dgm:t>
        <a:bodyPr/>
        <a:lstStyle/>
        <a:p>
          <a:pPr>
            <a:buFont typeface="Arial" panose="020B0604020202020204" pitchFamily="34" charset="0"/>
            <a:buChar char="•"/>
          </a:pPr>
          <a:r>
            <a:rPr lang="en-IN" b="0" i="0"/>
            <a:t>Database export (CA + AI-CA)</a:t>
          </a:r>
          <a:endParaRPr lang="en-IN"/>
        </a:p>
      </dgm:t>
    </dgm:pt>
    <dgm:pt modelId="{31C87AAD-0BF3-4EF7-A263-4A4CD2D85FBE}" type="parTrans" cxnId="{4C88A6F2-CF0F-442A-9DA8-880CCE635FDF}">
      <dgm:prSet/>
      <dgm:spPr/>
      <dgm:t>
        <a:bodyPr/>
        <a:lstStyle/>
        <a:p>
          <a:endParaRPr lang="en-IN"/>
        </a:p>
      </dgm:t>
    </dgm:pt>
    <dgm:pt modelId="{C3F6B51D-EA0E-4363-B021-A4A8B8819029}" type="sibTrans" cxnId="{4C88A6F2-CF0F-442A-9DA8-880CCE635FDF}">
      <dgm:prSet/>
      <dgm:spPr/>
      <dgm:t>
        <a:bodyPr/>
        <a:lstStyle/>
        <a:p>
          <a:endParaRPr lang="en-IN"/>
        </a:p>
      </dgm:t>
    </dgm:pt>
    <dgm:pt modelId="{857E8729-AB48-4C74-A065-449EA6EA76DD}">
      <dgm:prSet phldrT="[Text]"/>
      <dgm:spPr/>
      <dgm:t>
        <a:bodyPr/>
        <a:lstStyle/>
        <a:p>
          <a:pPr>
            <a:buFont typeface="Arial" panose="020B0604020202020204" pitchFamily="34" charset="0"/>
            <a:buChar char="•"/>
          </a:pPr>
          <a:r>
            <a:rPr lang="en-IN" b="0" i="0"/>
            <a:t>Duplicate removal</a:t>
          </a:r>
          <a:endParaRPr lang="en-IN"/>
        </a:p>
      </dgm:t>
    </dgm:pt>
    <dgm:pt modelId="{C965A130-8A8A-455C-8E11-16930569BF3A}" type="parTrans" cxnId="{B92261DF-6B6F-4615-8CB0-D9E075A6A6B3}">
      <dgm:prSet/>
      <dgm:spPr/>
      <dgm:t>
        <a:bodyPr/>
        <a:lstStyle/>
        <a:p>
          <a:endParaRPr lang="en-IN"/>
        </a:p>
      </dgm:t>
    </dgm:pt>
    <dgm:pt modelId="{41F36667-3BF8-4F56-B017-67ACD6690D28}" type="sibTrans" cxnId="{B92261DF-6B6F-4615-8CB0-D9E075A6A6B3}">
      <dgm:prSet/>
      <dgm:spPr/>
      <dgm:t>
        <a:bodyPr/>
        <a:lstStyle/>
        <a:p>
          <a:endParaRPr lang="en-IN"/>
        </a:p>
      </dgm:t>
    </dgm:pt>
    <dgm:pt modelId="{6934F2BA-B136-4083-87A2-3C79A32A07A8}">
      <dgm:prSet phldrT="[Text]"/>
      <dgm:spPr/>
      <dgm:t>
        <a:bodyPr/>
        <a:lstStyle/>
        <a:p>
          <a:pPr>
            <a:buFont typeface="Arial" panose="020B0604020202020204" pitchFamily="34" charset="0"/>
            <a:buChar char="•"/>
          </a:pPr>
          <a:r>
            <a:rPr lang="en-IN" b="0" i="0"/>
            <a:t>Relevance screening</a:t>
          </a:r>
          <a:endParaRPr lang="en-IN"/>
        </a:p>
      </dgm:t>
    </dgm:pt>
    <dgm:pt modelId="{9A61673D-09CA-415D-9CBF-21A1F99BFC36}" type="parTrans" cxnId="{9C6A76C4-4DDA-45BF-AEC7-2578E8AFDF5A}">
      <dgm:prSet/>
      <dgm:spPr/>
      <dgm:t>
        <a:bodyPr/>
        <a:lstStyle/>
        <a:p>
          <a:endParaRPr lang="en-IN"/>
        </a:p>
      </dgm:t>
    </dgm:pt>
    <dgm:pt modelId="{3BE52D75-A9AC-4399-9369-4E30B37FF29D}" type="sibTrans" cxnId="{9C6A76C4-4DDA-45BF-AEC7-2578E8AFDF5A}">
      <dgm:prSet/>
      <dgm:spPr/>
      <dgm:t>
        <a:bodyPr/>
        <a:lstStyle/>
        <a:p>
          <a:endParaRPr lang="en-IN"/>
        </a:p>
      </dgm:t>
    </dgm:pt>
    <dgm:pt modelId="{B69A38D3-A91A-4C67-8B33-9163C51A751E}">
      <dgm:prSet/>
      <dgm:spPr/>
      <dgm:t>
        <a:bodyPr/>
        <a:lstStyle/>
        <a:p>
          <a:pPr>
            <a:buFont typeface="Arial" panose="020B0604020202020204" pitchFamily="34" charset="0"/>
            <a:buChar char="•"/>
          </a:pPr>
          <a:r>
            <a:rPr lang="en-IN" b="0" i="0"/>
            <a:t>Final CA dataset (121)</a:t>
          </a:r>
        </a:p>
      </dgm:t>
    </dgm:pt>
    <dgm:pt modelId="{A074EDC5-991A-40FD-A901-544A3050B23A}" type="parTrans" cxnId="{BD6FA235-9D20-470A-BA1F-E42A3EB8FFDF}">
      <dgm:prSet/>
      <dgm:spPr/>
      <dgm:t>
        <a:bodyPr/>
        <a:lstStyle/>
        <a:p>
          <a:endParaRPr lang="en-IN"/>
        </a:p>
      </dgm:t>
    </dgm:pt>
    <dgm:pt modelId="{BD147E28-CCF7-4127-BCC2-DFD165F6F2AA}" type="sibTrans" cxnId="{BD6FA235-9D20-470A-BA1F-E42A3EB8FFDF}">
      <dgm:prSet/>
      <dgm:spPr/>
      <dgm:t>
        <a:bodyPr/>
        <a:lstStyle/>
        <a:p>
          <a:endParaRPr lang="en-IN"/>
        </a:p>
      </dgm:t>
    </dgm:pt>
    <dgm:pt modelId="{0734DAA2-E01F-4DC8-8536-073071611E8A}">
      <dgm:prSet/>
      <dgm:spPr/>
      <dgm:t>
        <a:bodyPr/>
        <a:lstStyle/>
        <a:p>
          <a:pPr>
            <a:buFont typeface="Arial" panose="020B0604020202020204" pitchFamily="34" charset="0"/>
            <a:buChar char="•"/>
          </a:pPr>
          <a:r>
            <a:rPr lang="en-IN" b="0" i="0"/>
            <a:t>AI-CA subset (62)</a:t>
          </a:r>
        </a:p>
      </dgm:t>
    </dgm:pt>
    <dgm:pt modelId="{BDF71223-6E94-41AD-80C6-09711D8986F4}" type="parTrans" cxnId="{7E22A962-3850-4BEA-B8DA-3EEAAE45F291}">
      <dgm:prSet/>
      <dgm:spPr/>
      <dgm:t>
        <a:bodyPr/>
        <a:lstStyle/>
        <a:p>
          <a:endParaRPr lang="en-IN"/>
        </a:p>
      </dgm:t>
    </dgm:pt>
    <dgm:pt modelId="{16664505-E342-4612-9557-6D8EF7540A7F}" type="sibTrans" cxnId="{7E22A962-3850-4BEA-B8DA-3EEAAE45F291}">
      <dgm:prSet/>
      <dgm:spPr/>
      <dgm:t>
        <a:bodyPr/>
        <a:lstStyle/>
        <a:p>
          <a:endParaRPr lang="en-IN"/>
        </a:p>
      </dgm:t>
    </dgm:pt>
    <dgm:pt modelId="{4948C2E7-2BE6-4EF7-AF65-58D65296E6E7}">
      <dgm:prSet/>
      <dgm:spPr/>
      <dgm:t>
        <a:bodyPr/>
        <a:lstStyle/>
        <a:p>
          <a:pPr>
            <a:buFont typeface="Arial" panose="020B0604020202020204" pitchFamily="34" charset="0"/>
            <a:buChar char="•"/>
          </a:pPr>
          <a:r>
            <a:rPr lang="en-IN" b="0" i="0"/>
            <a:t>Bibliometric analysis</a:t>
          </a:r>
        </a:p>
      </dgm:t>
    </dgm:pt>
    <dgm:pt modelId="{2EFADAD3-D400-4419-93A6-41A265D4B756}" type="parTrans" cxnId="{3F0D21D2-B8A3-4E62-BBAB-226A248054F4}">
      <dgm:prSet/>
      <dgm:spPr/>
      <dgm:t>
        <a:bodyPr/>
        <a:lstStyle/>
        <a:p>
          <a:endParaRPr lang="en-IN"/>
        </a:p>
      </dgm:t>
    </dgm:pt>
    <dgm:pt modelId="{FEE5EAE5-3C1B-4602-AF9E-BD5D6487FEB5}" type="sibTrans" cxnId="{3F0D21D2-B8A3-4E62-BBAB-226A248054F4}">
      <dgm:prSet/>
      <dgm:spPr/>
      <dgm:t>
        <a:bodyPr/>
        <a:lstStyle/>
        <a:p>
          <a:endParaRPr lang="en-IN"/>
        </a:p>
      </dgm:t>
    </dgm:pt>
    <dgm:pt modelId="{4FEAD787-F447-4DFC-B431-30209160A4E6}">
      <dgm:prSet/>
      <dgm:spPr/>
      <dgm:t>
        <a:bodyPr/>
        <a:lstStyle/>
        <a:p>
          <a:pPr>
            <a:buFont typeface="Arial" panose="020B0604020202020204" pitchFamily="34" charset="0"/>
            <a:buChar char="•"/>
          </a:pPr>
          <a:r>
            <a:rPr lang="en-IN" b="0" i="0"/>
            <a:t>Thematic analysis</a:t>
          </a:r>
        </a:p>
      </dgm:t>
    </dgm:pt>
    <dgm:pt modelId="{98194B07-4627-4197-9DEF-3048E4D19D07}" type="parTrans" cxnId="{E727A4DD-173A-4628-9FE9-3D0A861FF638}">
      <dgm:prSet/>
      <dgm:spPr/>
      <dgm:t>
        <a:bodyPr/>
        <a:lstStyle/>
        <a:p>
          <a:endParaRPr lang="en-IN"/>
        </a:p>
      </dgm:t>
    </dgm:pt>
    <dgm:pt modelId="{3E952A46-D81B-465A-A2E4-198C41AE4A22}" type="sibTrans" cxnId="{E727A4DD-173A-4628-9FE9-3D0A861FF638}">
      <dgm:prSet/>
      <dgm:spPr/>
      <dgm:t>
        <a:bodyPr/>
        <a:lstStyle/>
        <a:p>
          <a:endParaRPr lang="en-IN"/>
        </a:p>
      </dgm:t>
    </dgm:pt>
    <dgm:pt modelId="{E1D13F18-5BD3-4BAD-AB03-41C0976A8AC5}" type="pres">
      <dgm:prSet presAssocID="{FC192968-C4E8-4EB6-B4F5-268FFF5A7AEE}" presName="CompostProcess" presStyleCnt="0">
        <dgm:presLayoutVars>
          <dgm:dir/>
          <dgm:resizeHandles val="exact"/>
        </dgm:presLayoutVars>
      </dgm:prSet>
      <dgm:spPr/>
    </dgm:pt>
    <dgm:pt modelId="{5E543B5C-7036-4E67-8DD5-2A008A014161}" type="pres">
      <dgm:prSet presAssocID="{FC192968-C4E8-4EB6-B4F5-268FFF5A7AEE}" presName="arrow" presStyleLbl="bgShp" presStyleIdx="0" presStyleCnt="1"/>
      <dgm:spPr/>
    </dgm:pt>
    <dgm:pt modelId="{F56ACB41-C6B3-4FF3-850D-94DD6388E4BB}" type="pres">
      <dgm:prSet presAssocID="{FC192968-C4E8-4EB6-B4F5-268FFF5A7AEE}" presName="linearProcess" presStyleCnt="0"/>
      <dgm:spPr/>
    </dgm:pt>
    <dgm:pt modelId="{5BFBA295-7A40-4C18-B297-3C60AC3948B2}" type="pres">
      <dgm:prSet presAssocID="{E7395B9D-A18B-4614-9B08-60650EB840F4}" presName="textNode" presStyleLbl="node1" presStyleIdx="0" presStyleCnt="7">
        <dgm:presLayoutVars>
          <dgm:bulletEnabled val="1"/>
        </dgm:presLayoutVars>
      </dgm:prSet>
      <dgm:spPr/>
    </dgm:pt>
    <dgm:pt modelId="{02DDAED4-50AE-4946-B897-540A693697A9}" type="pres">
      <dgm:prSet presAssocID="{C3F6B51D-EA0E-4363-B021-A4A8B8819029}" presName="sibTrans" presStyleCnt="0"/>
      <dgm:spPr/>
    </dgm:pt>
    <dgm:pt modelId="{ACCD4048-1CA6-4452-AAE0-CA73C1B290AA}" type="pres">
      <dgm:prSet presAssocID="{857E8729-AB48-4C74-A065-449EA6EA76DD}" presName="textNode" presStyleLbl="node1" presStyleIdx="1" presStyleCnt="7">
        <dgm:presLayoutVars>
          <dgm:bulletEnabled val="1"/>
        </dgm:presLayoutVars>
      </dgm:prSet>
      <dgm:spPr/>
    </dgm:pt>
    <dgm:pt modelId="{1B842F70-17F2-410E-B237-8DA9DC72047E}" type="pres">
      <dgm:prSet presAssocID="{41F36667-3BF8-4F56-B017-67ACD6690D28}" presName="sibTrans" presStyleCnt="0"/>
      <dgm:spPr/>
    </dgm:pt>
    <dgm:pt modelId="{236BD9F7-4B3D-47FD-AA7F-D050791CE0AC}" type="pres">
      <dgm:prSet presAssocID="{6934F2BA-B136-4083-87A2-3C79A32A07A8}" presName="textNode" presStyleLbl="node1" presStyleIdx="2" presStyleCnt="7">
        <dgm:presLayoutVars>
          <dgm:bulletEnabled val="1"/>
        </dgm:presLayoutVars>
      </dgm:prSet>
      <dgm:spPr/>
    </dgm:pt>
    <dgm:pt modelId="{A3E462EB-2C3A-433E-B932-386794811C45}" type="pres">
      <dgm:prSet presAssocID="{3BE52D75-A9AC-4399-9369-4E30B37FF29D}" presName="sibTrans" presStyleCnt="0"/>
      <dgm:spPr/>
    </dgm:pt>
    <dgm:pt modelId="{866FA05C-FD54-4596-869E-4662A3118562}" type="pres">
      <dgm:prSet presAssocID="{B69A38D3-A91A-4C67-8B33-9163C51A751E}" presName="textNode" presStyleLbl="node1" presStyleIdx="3" presStyleCnt="7">
        <dgm:presLayoutVars>
          <dgm:bulletEnabled val="1"/>
        </dgm:presLayoutVars>
      </dgm:prSet>
      <dgm:spPr/>
    </dgm:pt>
    <dgm:pt modelId="{49F698C5-6AA9-4B2D-BECB-512C16D2D54E}" type="pres">
      <dgm:prSet presAssocID="{BD147E28-CCF7-4127-BCC2-DFD165F6F2AA}" presName="sibTrans" presStyleCnt="0"/>
      <dgm:spPr/>
    </dgm:pt>
    <dgm:pt modelId="{E68E3959-408D-493F-96DC-B6CC46585C7B}" type="pres">
      <dgm:prSet presAssocID="{0734DAA2-E01F-4DC8-8536-073071611E8A}" presName="textNode" presStyleLbl="node1" presStyleIdx="4" presStyleCnt="7">
        <dgm:presLayoutVars>
          <dgm:bulletEnabled val="1"/>
        </dgm:presLayoutVars>
      </dgm:prSet>
      <dgm:spPr/>
    </dgm:pt>
    <dgm:pt modelId="{79AD5249-9EA7-47F2-B5AB-FE123485E330}" type="pres">
      <dgm:prSet presAssocID="{16664505-E342-4612-9557-6D8EF7540A7F}" presName="sibTrans" presStyleCnt="0"/>
      <dgm:spPr/>
    </dgm:pt>
    <dgm:pt modelId="{A19ABC86-A809-440A-8F2B-D27A75B13BDF}" type="pres">
      <dgm:prSet presAssocID="{4948C2E7-2BE6-4EF7-AF65-58D65296E6E7}" presName="textNode" presStyleLbl="node1" presStyleIdx="5" presStyleCnt="7">
        <dgm:presLayoutVars>
          <dgm:bulletEnabled val="1"/>
        </dgm:presLayoutVars>
      </dgm:prSet>
      <dgm:spPr/>
    </dgm:pt>
    <dgm:pt modelId="{7455D1EF-3F97-425C-A360-EF3044F4D93E}" type="pres">
      <dgm:prSet presAssocID="{FEE5EAE5-3C1B-4602-AF9E-BD5D6487FEB5}" presName="sibTrans" presStyleCnt="0"/>
      <dgm:spPr/>
    </dgm:pt>
    <dgm:pt modelId="{E40339F3-E1AB-4E1B-B523-C417DFED617C}" type="pres">
      <dgm:prSet presAssocID="{4FEAD787-F447-4DFC-B431-30209160A4E6}" presName="textNode" presStyleLbl="node1" presStyleIdx="6" presStyleCnt="7">
        <dgm:presLayoutVars>
          <dgm:bulletEnabled val="1"/>
        </dgm:presLayoutVars>
      </dgm:prSet>
      <dgm:spPr/>
    </dgm:pt>
  </dgm:ptLst>
  <dgm:cxnLst>
    <dgm:cxn modelId="{30563308-CFA9-4FA2-BEF1-10ED5807F018}" type="presOf" srcId="{E7395B9D-A18B-4614-9B08-60650EB840F4}" destId="{5BFBA295-7A40-4C18-B297-3C60AC3948B2}" srcOrd="0" destOrd="0" presId="urn:microsoft.com/office/officeart/2005/8/layout/hProcess9"/>
    <dgm:cxn modelId="{BD6FA235-9D20-470A-BA1F-E42A3EB8FFDF}" srcId="{FC192968-C4E8-4EB6-B4F5-268FFF5A7AEE}" destId="{B69A38D3-A91A-4C67-8B33-9163C51A751E}" srcOrd="3" destOrd="0" parTransId="{A074EDC5-991A-40FD-A901-544A3050B23A}" sibTransId="{BD147E28-CCF7-4127-BCC2-DFD165F6F2AA}"/>
    <dgm:cxn modelId="{DB121838-888F-41E5-8C9A-9AF39B72C42D}" type="presOf" srcId="{FC192968-C4E8-4EB6-B4F5-268FFF5A7AEE}" destId="{E1D13F18-5BD3-4BAD-AB03-41C0976A8AC5}" srcOrd="0" destOrd="0" presId="urn:microsoft.com/office/officeart/2005/8/layout/hProcess9"/>
    <dgm:cxn modelId="{544F1739-C224-41F3-BF61-8D08D5789424}" type="presOf" srcId="{B69A38D3-A91A-4C67-8B33-9163C51A751E}" destId="{866FA05C-FD54-4596-869E-4662A3118562}" srcOrd="0" destOrd="0" presId="urn:microsoft.com/office/officeart/2005/8/layout/hProcess9"/>
    <dgm:cxn modelId="{BA480B5D-BC65-4655-8082-206101482FDE}" type="presOf" srcId="{4948C2E7-2BE6-4EF7-AF65-58D65296E6E7}" destId="{A19ABC86-A809-440A-8F2B-D27A75B13BDF}" srcOrd="0" destOrd="0" presId="urn:microsoft.com/office/officeart/2005/8/layout/hProcess9"/>
    <dgm:cxn modelId="{7E22A962-3850-4BEA-B8DA-3EEAAE45F291}" srcId="{FC192968-C4E8-4EB6-B4F5-268FFF5A7AEE}" destId="{0734DAA2-E01F-4DC8-8536-073071611E8A}" srcOrd="4" destOrd="0" parTransId="{BDF71223-6E94-41AD-80C6-09711D8986F4}" sibTransId="{16664505-E342-4612-9557-6D8EF7540A7F}"/>
    <dgm:cxn modelId="{E4E7E283-65FE-4AE2-B9E1-A403807EF68A}" type="presOf" srcId="{4FEAD787-F447-4DFC-B431-30209160A4E6}" destId="{E40339F3-E1AB-4E1B-B523-C417DFED617C}" srcOrd="0" destOrd="0" presId="urn:microsoft.com/office/officeart/2005/8/layout/hProcess9"/>
    <dgm:cxn modelId="{F985EDB7-CE48-43EF-82E6-F283AF67A50C}" type="presOf" srcId="{0734DAA2-E01F-4DC8-8536-073071611E8A}" destId="{E68E3959-408D-493F-96DC-B6CC46585C7B}" srcOrd="0" destOrd="0" presId="urn:microsoft.com/office/officeart/2005/8/layout/hProcess9"/>
    <dgm:cxn modelId="{5EFB86C0-1C6F-4288-BC20-42C528CB7289}" type="presOf" srcId="{6934F2BA-B136-4083-87A2-3C79A32A07A8}" destId="{236BD9F7-4B3D-47FD-AA7F-D050791CE0AC}" srcOrd="0" destOrd="0" presId="urn:microsoft.com/office/officeart/2005/8/layout/hProcess9"/>
    <dgm:cxn modelId="{9C6A76C4-4DDA-45BF-AEC7-2578E8AFDF5A}" srcId="{FC192968-C4E8-4EB6-B4F5-268FFF5A7AEE}" destId="{6934F2BA-B136-4083-87A2-3C79A32A07A8}" srcOrd="2" destOrd="0" parTransId="{9A61673D-09CA-415D-9CBF-21A1F99BFC36}" sibTransId="{3BE52D75-A9AC-4399-9369-4E30B37FF29D}"/>
    <dgm:cxn modelId="{3F0D21D2-B8A3-4E62-BBAB-226A248054F4}" srcId="{FC192968-C4E8-4EB6-B4F5-268FFF5A7AEE}" destId="{4948C2E7-2BE6-4EF7-AF65-58D65296E6E7}" srcOrd="5" destOrd="0" parTransId="{2EFADAD3-D400-4419-93A6-41A265D4B756}" sibTransId="{FEE5EAE5-3C1B-4602-AF9E-BD5D6487FEB5}"/>
    <dgm:cxn modelId="{E727A4DD-173A-4628-9FE9-3D0A861FF638}" srcId="{FC192968-C4E8-4EB6-B4F5-268FFF5A7AEE}" destId="{4FEAD787-F447-4DFC-B431-30209160A4E6}" srcOrd="6" destOrd="0" parTransId="{98194B07-4627-4197-9DEF-3048E4D19D07}" sibTransId="{3E952A46-D81B-465A-A2E4-198C41AE4A22}"/>
    <dgm:cxn modelId="{B92261DF-6B6F-4615-8CB0-D9E075A6A6B3}" srcId="{FC192968-C4E8-4EB6-B4F5-268FFF5A7AEE}" destId="{857E8729-AB48-4C74-A065-449EA6EA76DD}" srcOrd="1" destOrd="0" parTransId="{C965A130-8A8A-455C-8E11-16930569BF3A}" sibTransId="{41F36667-3BF8-4F56-B017-67ACD6690D28}"/>
    <dgm:cxn modelId="{4C88A6F2-CF0F-442A-9DA8-880CCE635FDF}" srcId="{FC192968-C4E8-4EB6-B4F5-268FFF5A7AEE}" destId="{E7395B9D-A18B-4614-9B08-60650EB840F4}" srcOrd="0" destOrd="0" parTransId="{31C87AAD-0BF3-4EF7-A263-4A4CD2D85FBE}" sibTransId="{C3F6B51D-EA0E-4363-B021-A4A8B8819029}"/>
    <dgm:cxn modelId="{A61B60F5-3ED3-45BA-AD6E-0BCE26D5D667}" type="presOf" srcId="{857E8729-AB48-4C74-A065-449EA6EA76DD}" destId="{ACCD4048-1CA6-4452-AAE0-CA73C1B290AA}" srcOrd="0" destOrd="0" presId="urn:microsoft.com/office/officeart/2005/8/layout/hProcess9"/>
    <dgm:cxn modelId="{53F52678-0905-4963-87D4-1967C52B6414}" type="presParOf" srcId="{E1D13F18-5BD3-4BAD-AB03-41C0976A8AC5}" destId="{5E543B5C-7036-4E67-8DD5-2A008A014161}" srcOrd="0" destOrd="0" presId="urn:microsoft.com/office/officeart/2005/8/layout/hProcess9"/>
    <dgm:cxn modelId="{8BED6301-6936-42B0-B1DD-13AFC84FF457}" type="presParOf" srcId="{E1D13F18-5BD3-4BAD-AB03-41C0976A8AC5}" destId="{F56ACB41-C6B3-4FF3-850D-94DD6388E4BB}" srcOrd="1" destOrd="0" presId="urn:microsoft.com/office/officeart/2005/8/layout/hProcess9"/>
    <dgm:cxn modelId="{FCA74985-CEC8-4F24-899E-C6406AEBEB48}" type="presParOf" srcId="{F56ACB41-C6B3-4FF3-850D-94DD6388E4BB}" destId="{5BFBA295-7A40-4C18-B297-3C60AC3948B2}" srcOrd="0" destOrd="0" presId="urn:microsoft.com/office/officeart/2005/8/layout/hProcess9"/>
    <dgm:cxn modelId="{B6A12BD0-0440-4E02-891E-E788F9315436}" type="presParOf" srcId="{F56ACB41-C6B3-4FF3-850D-94DD6388E4BB}" destId="{02DDAED4-50AE-4946-B897-540A693697A9}" srcOrd="1" destOrd="0" presId="urn:microsoft.com/office/officeart/2005/8/layout/hProcess9"/>
    <dgm:cxn modelId="{2419B06A-F441-4DF5-A767-8FC79FF4C467}" type="presParOf" srcId="{F56ACB41-C6B3-4FF3-850D-94DD6388E4BB}" destId="{ACCD4048-1CA6-4452-AAE0-CA73C1B290AA}" srcOrd="2" destOrd="0" presId="urn:microsoft.com/office/officeart/2005/8/layout/hProcess9"/>
    <dgm:cxn modelId="{1514E787-BE02-4712-B971-C5E01DABEF45}" type="presParOf" srcId="{F56ACB41-C6B3-4FF3-850D-94DD6388E4BB}" destId="{1B842F70-17F2-410E-B237-8DA9DC72047E}" srcOrd="3" destOrd="0" presId="urn:microsoft.com/office/officeart/2005/8/layout/hProcess9"/>
    <dgm:cxn modelId="{9DFA3026-2ABC-49D8-814D-C81B7897EC9C}" type="presParOf" srcId="{F56ACB41-C6B3-4FF3-850D-94DD6388E4BB}" destId="{236BD9F7-4B3D-47FD-AA7F-D050791CE0AC}" srcOrd="4" destOrd="0" presId="urn:microsoft.com/office/officeart/2005/8/layout/hProcess9"/>
    <dgm:cxn modelId="{6AD82FCA-28E4-4C48-B815-AA4D1D2D8596}" type="presParOf" srcId="{F56ACB41-C6B3-4FF3-850D-94DD6388E4BB}" destId="{A3E462EB-2C3A-433E-B932-386794811C45}" srcOrd="5" destOrd="0" presId="urn:microsoft.com/office/officeart/2005/8/layout/hProcess9"/>
    <dgm:cxn modelId="{774E1373-5CB6-421D-9A44-C72BADD28EBC}" type="presParOf" srcId="{F56ACB41-C6B3-4FF3-850D-94DD6388E4BB}" destId="{866FA05C-FD54-4596-869E-4662A3118562}" srcOrd="6" destOrd="0" presId="urn:microsoft.com/office/officeart/2005/8/layout/hProcess9"/>
    <dgm:cxn modelId="{39967AA5-6D5E-4E9E-8F8B-1E1F87B126B3}" type="presParOf" srcId="{F56ACB41-C6B3-4FF3-850D-94DD6388E4BB}" destId="{49F698C5-6AA9-4B2D-BECB-512C16D2D54E}" srcOrd="7" destOrd="0" presId="urn:microsoft.com/office/officeart/2005/8/layout/hProcess9"/>
    <dgm:cxn modelId="{055066F9-8D6D-4574-A684-319FC2550EC8}" type="presParOf" srcId="{F56ACB41-C6B3-4FF3-850D-94DD6388E4BB}" destId="{E68E3959-408D-493F-96DC-B6CC46585C7B}" srcOrd="8" destOrd="0" presId="urn:microsoft.com/office/officeart/2005/8/layout/hProcess9"/>
    <dgm:cxn modelId="{5989DFFD-B728-4CBE-93F5-0C373BC3CF86}" type="presParOf" srcId="{F56ACB41-C6B3-4FF3-850D-94DD6388E4BB}" destId="{79AD5249-9EA7-47F2-B5AB-FE123485E330}" srcOrd="9" destOrd="0" presId="urn:microsoft.com/office/officeart/2005/8/layout/hProcess9"/>
    <dgm:cxn modelId="{2DE1FFB6-3330-49B1-92BF-A5B0DE2167AB}" type="presParOf" srcId="{F56ACB41-C6B3-4FF3-850D-94DD6388E4BB}" destId="{A19ABC86-A809-440A-8F2B-D27A75B13BDF}" srcOrd="10" destOrd="0" presId="urn:microsoft.com/office/officeart/2005/8/layout/hProcess9"/>
    <dgm:cxn modelId="{701DDB71-B751-448D-A7B4-7C362CD4A8C6}" type="presParOf" srcId="{F56ACB41-C6B3-4FF3-850D-94DD6388E4BB}" destId="{7455D1EF-3F97-425C-A360-EF3044F4D93E}" srcOrd="11" destOrd="0" presId="urn:microsoft.com/office/officeart/2005/8/layout/hProcess9"/>
    <dgm:cxn modelId="{303AFC04-EF19-434F-9042-0B8053973881}" type="presParOf" srcId="{F56ACB41-C6B3-4FF3-850D-94DD6388E4BB}" destId="{E40339F3-E1AB-4E1B-B523-C417DFED617C}" srcOrd="12"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543B5C-7036-4E67-8DD5-2A008A014161}">
      <dsp:nvSpPr>
        <dsp:cNvPr id="0" name=""/>
        <dsp:cNvSpPr/>
      </dsp:nvSpPr>
      <dsp:spPr>
        <a:xfrm>
          <a:off x="411479" y="0"/>
          <a:ext cx="4663440" cy="129540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BFBA295-7A40-4C18-B297-3C60AC3948B2}">
      <dsp:nvSpPr>
        <dsp:cNvPr id="0" name=""/>
        <dsp:cNvSpPr/>
      </dsp:nvSpPr>
      <dsp:spPr>
        <a:xfrm>
          <a:off x="468" y="388620"/>
          <a:ext cx="751433" cy="518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Database export (CA + AI-CA)</a:t>
          </a:r>
          <a:endParaRPr lang="en-IN" sz="900" kern="1200"/>
        </a:p>
      </dsp:txBody>
      <dsp:txXfrm>
        <a:off x="25762" y="413914"/>
        <a:ext cx="700845" cy="467572"/>
      </dsp:txXfrm>
    </dsp:sp>
    <dsp:sp modelId="{ACCD4048-1CA6-4452-AAE0-CA73C1B290AA}">
      <dsp:nvSpPr>
        <dsp:cNvPr id="0" name=""/>
        <dsp:cNvSpPr/>
      </dsp:nvSpPr>
      <dsp:spPr>
        <a:xfrm>
          <a:off x="789473" y="388620"/>
          <a:ext cx="751433" cy="51816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Duplicate removal</a:t>
          </a:r>
          <a:endParaRPr lang="en-IN" sz="900" kern="1200"/>
        </a:p>
      </dsp:txBody>
      <dsp:txXfrm>
        <a:off x="814767" y="413914"/>
        <a:ext cx="700845" cy="467572"/>
      </dsp:txXfrm>
    </dsp:sp>
    <dsp:sp modelId="{236BD9F7-4B3D-47FD-AA7F-D050791CE0AC}">
      <dsp:nvSpPr>
        <dsp:cNvPr id="0" name=""/>
        <dsp:cNvSpPr/>
      </dsp:nvSpPr>
      <dsp:spPr>
        <a:xfrm>
          <a:off x="1578478" y="388620"/>
          <a:ext cx="751433" cy="51816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Relevance screening</a:t>
          </a:r>
          <a:endParaRPr lang="en-IN" sz="900" kern="1200"/>
        </a:p>
      </dsp:txBody>
      <dsp:txXfrm>
        <a:off x="1603772" y="413914"/>
        <a:ext cx="700845" cy="467572"/>
      </dsp:txXfrm>
    </dsp:sp>
    <dsp:sp modelId="{866FA05C-FD54-4596-869E-4662A3118562}">
      <dsp:nvSpPr>
        <dsp:cNvPr id="0" name=""/>
        <dsp:cNvSpPr/>
      </dsp:nvSpPr>
      <dsp:spPr>
        <a:xfrm>
          <a:off x="2367483" y="388620"/>
          <a:ext cx="751433" cy="51816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Final CA dataset (121)</a:t>
          </a:r>
        </a:p>
      </dsp:txBody>
      <dsp:txXfrm>
        <a:off x="2392777" y="413914"/>
        <a:ext cx="700845" cy="467572"/>
      </dsp:txXfrm>
    </dsp:sp>
    <dsp:sp modelId="{E68E3959-408D-493F-96DC-B6CC46585C7B}">
      <dsp:nvSpPr>
        <dsp:cNvPr id="0" name=""/>
        <dsp:cNvSpPr/>
      </dsp:nvSpPr>
      <dsp:spPr>
        <a:xfrm>
          <a:off x="3156488" y="388620"/>
          <a:ext cx="751433" cy="5181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AI-CA subset (62)</a:t>
          </a:r>
        </a:p>
      </dsp:txBody>
      <dsp:txXfrm>
        <a:off x="3181782" y="413914"/>
        <a:ext cx="700845" cy="467572"/>
      </dsp:txXfrm>
    </dsp:sp>
    <dsp:sp modelId="{A19ABC86-A809-440A-8F2B-D27A75B13BDF}">
      <dsp:nvSpPr>
        <dsp:cNvPr id="0" name=""/>
        <dsp:cNvSpPr/>
      </dsp:nvSpPr>
      <dsp:spPr>
        <a:xfrm>
          <a:off x="3945493" y="388620"/>
          <a:ext cx="751433" cy="518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Bibliometric analysis</a:t>
          </a:r>
        </a:p>
      </dsp:txBody>
      <dsp:txXfrm>
        <a:off x="3970787" y="413914"/>
        <a:ext cx="700845" cy="467572"/>
      </dsp:txXfrm>
    </dsp:sp>
    <dsp:sp modelId="{E40339F3-E1AB-4E1B-B523-C417DFED617C}">
      <dsp:nvSpPr>
        <dsp:cNvPr id="0" name=""/>
        <dsp:cNvSpPr/>
      </dsp:nvSpPr>
      <dsp:spPr>
        <a:xfrm>
          <a:off x="4734497" y="388620"/>
          <a:ext cx="751433" cy="51816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Thematic analysis</a:t>
          </a:r>
        </a:p>
      </dsp:txBody>
      <dsp:txXfrm>
        <a:off x="4759791" y="413914"/>
        <a:ext cx="700845" cy="46757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5560-F92A-4C33-98D2-5E167735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224</TotalTime>
  <Pages>12</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43921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23</cp:revision>
  <cp:lastPrinted>1999-07-06T11:00:00Z</cp:lastPrinted>
  <dcterms:created xsi:type="dcterms:W3CDTF">2014-10-25T14:34:00Z</dcterms:created>
  <dcterms:modified xsi:type="dcterms:W3CDTF">2026-03-25T08:35:00Z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0a522094-3934-4ae3-95c9-40108a536be2</vt:lpwstr>
  </property>
</Properties>
</file>