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0B1D" w:rsidRDefault="00050B1D">
      <w:pPr>
        <w:pStyle w:val="Title"/>
        <w:spacing w:after="0"/>
        <w:jc w:val="both"/>
        <w:rPr>
          <w:rFonts w:ascii="Arial" w:hAnsi="Arial" w:cs="Arial"/>
        </w:rPr>
      </w:pPr>
    </w:p>
    <w:p w:rsidR="00050B1D" w:rsidRDefault="00050B1D">
      <w:pPr>
        <w:pStyle w:val="Title"/>
        <w:spacing w:after="0"/>
        <w:jc w:val="both"/>
        <w:rPr>
          <w:rFonts w:ascii="Arial" w:hAnsi="Arial" w:cs="Arial"/>
        </w:rPr>
      </w:pPr>
    </w:p>
    <w:p w:rsidR="00050B1D" w:rsidRDefault="003C7742">
      <w:pPr>
        <w:spacing w:line="360" w:lineRule="auto"/>
        <w:jc w:val="center"/>
        <w:rPr>
          <w:rFonts w:ascii="Arial" w:eastAsia="SimSun" w:hAnsi="Arial" w:cs="Arial"/>
          <w:b/>
          <w:bCs/>
          <w:sz w:val="24"/>
          <w:szCs w:val="24"/>
        </w:rPr>
      </w:pPr>
      <w:r>
        <w:rPr>
          <w:rFonts w:ascii="Arial" w:eastAsia="SimSun" w:hAnsi="Arial" w:cs="Arial"/>
          <w:b/>
          <w:bCs/>
          <w:sz w:val="24"/>
          <w:szCs w:val="24"/>
        </w:rPr>
        <w:t>The Green Brain Model: A Neurobehavioral Framework for Sustainable Consumption in Emerging Markets</w:t>
      </w:r>
    </w:p>
    <w:p w:rsidR="00050B1D" w:rsidRDefault="00050B1D" w:rsidP="003E684C">
      <w:pPr>
        <w:rPr>
          <w:rFonts w:ascii="Arial" w:hAnsi="Arial" w:cs="Arial"/>
        </w:rPr>
      </w:pPr>
    </w:p>
    <w:p w:rsidR="00050B1D" w:rsidRDefault="00050B1D">
      <w:pPr>
        <w:pStyle w:val="Affiliation"/>
        <w:spacing w:after="0" w:line="240" w:lineRule="auto"/>
        <w:jc w:val="center"/>
        <w:rPr>
          <w:rFonts w:ascii="Arial" w:hAnsi="Arial" w:cs="Arial"/>
        </w:rPr>
      </w:pPr>
    </w:p>
    <w:p w:rsidR="00050B1D" w:rsidRDefault="00050B1D">
      <w:pPr>
        <w:pStyle w:val="Affiliation"/>
        <w:spacing w:after="0" w:line="240" w:lineRule="auto"/>
        <w:jc w:val="center"/>
        <w:rPr>
          <w:rFonts w:ascii="Arial" w:hAnsi="Arial" w:cs="Arial"/>
        </w:rPr>
      </w:pPr>
    </w:p>
    <w:p w:rsidR="00050B1D" w:rsidRDefault="00050B1D">
      <w:pPr>
        <w:pStyle w:val="Affiliation"/>
        <w:spacing w:after="0" w:line="240" w:lineRule="auto"/>
        <w:jc w:val="center"/>
        <w:rPr>
          <w:rFonts w:ascii="Arial" w:hAnsi="Arial" w:cs="Arial"/>
        </w:rPr>
      </w:pPr>
    </w:p>
    <w:p w:rsidR="00050B1D" w:rsidRDefault="003C7742">
      <w:pPr>
        <w:pStyle w:val="Copyright"/>
        <w:spacing w:after="0" w:line="240" w:lineRule="auto"/>
        <w:jc w:val="both"/>
        <w:rPr>
          <w:rFonts w:ascii="Arial" w:hAnsi="Arial" w:cs="Arial"/>
        </w:rPr>
        <w:sectPr w:rsidR="00050B1D">
          <w:headerReference w:type="first" r:id="rId9"/>
          <w:footerReference w:type="first" r:id="rId10"/>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0"/>
                <wp:effectExtent l="9525" t="12700" r="11430" b="1587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w:pict>
              <v:shapetype w14:anchorId="7415B4DE"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" strokeweight="1.5pt">
                <w10:anchorlock/>
              </v:shape>
            </w:pict>
          </mc:Fallback>
        </mc:AlternateContent>
      </w:r>
      <w:r>
        <w:rPr>
          <w:rFonts w:ascii="Arial" w:hAnsi="Arial" w:cs="Arial"/>
        </w:rPr>
        <w:t>.</w:t>
      </w:r>
    </w:p>
    <w:p w:rsidR="00050B1D" w:rsidRDefault="00050B1D">
      <w:pPr>
        <w:pStyle w:val="AbstHead"/>
        <w:spacing w:after="0"/>
        <w:jc w:val="both"/>
        <w:rPr>
          <w:rFonts w:ascii="Arial" w:hAnsi="Arial" w:cs="Arial"/>
        </w:rPr>
      </w:pPr>
    </w:p>
    <w:p w:rsidR="00050B1D" w:rsidRDefault="003C7742">
      <w:pPr>
        <w:pStyle w:val="AbstHead"/>
        <w:spacing w:after="0"/>
        <w:jc w:val="both"/>
        <w:rPr>
          <w:rFonts w:ascii="Arial" w:hAnsi="Arial" w:cs="Arial"/>
        </w:rPr>
      </w:pPr>
      <w:r>
        <w:rPr>
          <w:rFonts w:ascii="Arial" w:hAnsi="Arial" w:cs="Arial"/>
        </w:rPr>
        <w:t xml:space="preserve">ABSTRACT </w:t>
      </w:r>
    </w:p>
    <w:tbl>
      <w:tblPr>
        <w:tblW w:w="8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98"/>
      </w:tblGrid>
      <w:tr w:rsidR="00050B1D" w:rsidTr="003E684C">
        <w:trPr>
          <w:trHeight w:val="5778"/>
        </w:trPr>
        <w:tc>
          <w:tcPr>
            <w:tcW w:w="8498" w:type="dxa"/>
            <w:shd w:val="clear" w:color="auto" w:fill="F2F2F2"/>
          </w:tcPr>
          <w:p w:rsidR="00050B1D" w:rsidRDefault="003C7742">
            <w:pPr>
              <w:spacing w:line="360" w:lineRule="auto"/>
              <w:jc w:val="both"/>
              <w:rPr>
                <w:rFonts w:ascii="Arial" w:eastAsia="Calibri" w:hAnsi="Arial" w:cs="Arial"/>
              </w:rPr>
            </w:pPr>
            <w:r>
              <w:rPr>
                <w:rFonts w:ascii="Arial" w:eastAsia="Calibri" w:hAnsi="Arial" w:cs="Arial"/>
              </w:rPr>
              <w:t xml:space="preserve">Sustainable consumption is an important aspect in the global agenda for development, but in emerging </w:t>
            </w:r>
            <w:r>
              <w:rPr>
                <w:rFonts w:ascii="Arial" w:eastAsia="Calibri" w:hAnsi="Arial" w:cs="Arial"/>
              </w:rPr>
              <w:t>markets, behavioral adoption is still low compared to awareness and intention. Although previous studies have focused on the role of marketing communication and digital engagement in this context, there is a lack of consideration for the psychological aspe</w:t>
            </w:r>
            <w:r>
              <w:rPr>
                <w:rFonts w:ascii="Arial" w:eastAsia="Calibri" w:hAnsi="Arial" w:cs="Arial"/>
              </w:rPr>
              <w:t>cts.</w:t>
            </w:r>
          </w:p>
          <w:p w:rsidR="00050B1D" w:rsidRDefault="00050B1D">
            <w:pPr>
              <w:spacing w:line="360" w:lineRule="auto"/>
              <w:jc w:val="both"/>
              <w:rPr>
                <w:rFonts w:ascii="Arial" w:eastAsia="Calibri" w:hAnsi="Arial" w:cs="Arial"/>
              </w:rPr>
            </w:pPr>
          </w:p>
          <w:p w:rsidR="00050B1D" w:rsidRDefault="003C7742">
            <w:pPr>
              <w:spacing w:line="360" w:lineRule="auto"/>
              <w:jc w:val="both"/>
              <w:rPr>
                <w:rFonts w:ascii="Arial" w:eastAsia="Calibri" w:hAnsi="Arial" w:cs="Arial"/>
              </w:rPr>
            </w:pPr>
            <w:r>
              <w:rPr>
                <w:rFonts w:ascii="Arial" w:eastAsia="Calibri" w:hAnsi="Arial" w:cs="Arial"/>
              </w:rPr>
              <w:t>This study proposes a conceptual framework, termed the Green Brain Model (GBM), to account for the process of sustainable consumer decision-making. The framework draws upon insights from neuromarketing and behavioral economics to propose a five-stage</w:t>
            </w:r>
            <w:r>
              <w:rPr>
                <w:rFonts w:ascii="Arial" w:eastAsia="Calibri" w:hAnsi="Arial" w:cs="Arial"/>
              </w:rPr>
              <w:t xml:space="preserve"> process of consumer decision-making, including stages of sensory attention, emotional engagement, cognitive bias, identity integration, and behavioral execution. </w:t>
            </w:r>
          </w:p>
          <w:p w:rsidR="00050B1D" w:rsidRDefault="003C7742">
            <w:pPr>
              <w:spacing w:line="360" w:lineRule="auto"/>
              <w:jc w:val="both"/>
              <w:rPr>
                <w:rFonts w:ascii="Arial" w:eastAsia="Calibri" w:hAnsi="Arial" w:cs="Arial"/>
              </w:rPr>
            </w:pPr>
            <w:r>
              <w:rPr>
                <w:rFonts w:ascii="Arial" w:eastAsia="Calibri" w:hAnsi="Arial" w:cs="Arial"/>
              </w:rPr>
              <w:t>This study contributes to the literature by providing a process-oriented account of how subc</w:t>
            </w:r>
            <w:r>
              <w:rPr>
                <w:rFonts w:ascii="Arial" w:eastAsia="Calibri" w:hAnsi="Arial" w:cs="Arial"/>
              </w:rPr>
              <w:t>onscious cognitive processes interact with situational factors in emerging markets to determine consumer decision-making.</w:t>
            </w:r>
          </w:p>
          <w:p w:rsidR="00050B1D" w:rsidRDefault="003C7742">
            <w:pPr>
              <w:spacing w:line="360" w:lineRule="auto"/>
              <w:jc w:val="both"/>
              <w:rPr>
                <w:rFonts w:ascii="Arial" w:eastAsia="Calibri" w:hAnsi="Arial" w:cs="Arial"/>
              </w:rPr>
            </w:pPr>
            <w:r>
              <w:rPr>
                <w:rFonts w:ascii="Arial" w:eastAsia="Calibri" w:hAnsi="Arial" w:cs="Arial"/>
              </w:rPr>
              <w:t>The framework offers useful guidelines for developing effective green marketing strategies and can be used as a starting point for tes</w:t>
            </w:r>
            <w:r>
              <w:rPr>
                <w:rFonts w:ascii="Arial" w:eastAsia="Calibri" w:hAnsi="Arial" w:cs="Arial"/>
              </w:rPr>
              <w:t>ting in the future using various approaches such as experimental, survey, or neuroscientific studies.</w:t>
            </w:r>
          </w:p>
        </w:tc>
      </w:tr>
    </w:tbl>
    <w:p w:rsidR="00050B1D" w:rsidRDefault="00050B1D">
      <w:pPr>
        <w:pStyle w:val="Body"/>
        <w:spacing w:after="0"/>
        <w:rPr>
          <w:rFonts w:ascii="Arial" w:hAnsi="Arial" w:cs="Arial"/>
          <w:i/>
        </w:rPr>
      </w:pPr>
    </w:p>
    <w:p w:rsidR="00050B1D" w:rsidRDefault="003C7742">
      <w:pPr>
        <w:pStyle w:val="Body"/>
        <w:spacing w:after="0"/>
        <w:rPr>
          <w:rFonts w:ascii="Arial" w:hAnsi="Arial" w:cs="Arial"/>
          <w:i/>
        </w:rPr>
      </w:pPr>
      <w:r>
        <w:rPr>
          <w:rFonts w:ascii="Arial" w:hAnsi="Arial" w:cs="Arial"/>
        </w:rPr>
        <w:t>Keywords:</w:t>
      </w:r>
      <w:r>
        <w:rPr>
          <w:rFonts w:ascii="Arial" w:hAnsi="Arial" w:cs="Arial"/>
          <w:i/>
        </w:rPr>
        <w:t xml:space="preserve"> </w:t>
      </w:r>
      <w:r>
        <w:rPr>
          <w:rFonts w:ascii="Arial" w:hAnsi="Arial" w:cs="Arial"/>
          <w:i/>
        </w:rPr>
        <w:t>Neuromarketing</w:t>
      </w:r>
      <w:r>
        <w:rPr>
          <w:rFonts w:ascii="Arial" w:hAnsi="Arial" w:cs="Arial"/>
          <w:i/>
        </w:rPr>
        <w:t>, Sustainable consumption, Behavioral Economics, Consumer Decision making, Sustainable marketing, Emerging markets.</w:t>
      </w:r>
    </w:p>
    <w:p w:rsidR="00050B1D" w:rsidRDefault="00050B1D">
      <w:pPr>
        <w:pStyle w:val="Body"/>
        <w:spacing w:after="0"/>
        <w:rPr>
          <w:rFonts w:ascii="Arial" w:hAnsi="Arial" w:cs="Arial"/>
          <w:i/>
        </w:rPr>
      </w:pPr>
    </w:p>
    <w:p w:rsidR="00050B1D" w:rsidRDefault="00050B1D">
      <w:pPr>
        <w:pStyle w:val="Body"/>
        <w:spacing w:after="0"/>
        <w:rPr>
          <w:rFonts w:ascii="Arial" w:hAnsi="Arial" w:cs="Arial"/>
          <w:i/>
        </w:rPr>
      </w:pPr>
    </w:p>
    <w:p w:rsidR="00050B1D" w:rsidRDefault="00050B1D">
      <w:pPr>
        <w:pStyle w:val="Body"/>
        <w:spacing w:after="0"/>
        <w:rPr>
          <w:rFonts w:ascii="Arial" w:hAnsi="Arial" w:cs="Arial"/>
          <w:i/>
        </w:rPr>
      </w:pPr>
    </w:p>
    <w:p w:rsidR="00050B1D" w:rsidRDefault="00050B1D">
      <w:pPr>
        <w:pStyle w:val="Body"/>
        <w:spacing w:after="0"/>
        <w:rPr>
          <w:rFonts w:ascii="Arial" w:hAnsi="Arial" w:cs="Arial"/>
          <w:i/>
        </w:rPr>
      </w:pPr>
    </w:p>
    <w:p w:rsidR="00050B1D" w:rsidRDefault="00050B1D">
      <w:pPr>
        <w:pStyle w:val="Body"/>
        <w:spacing w:after="0"/>
        <w:rPr>
          <w:rFonts w:ascii="Arial" w:hAnsi="Arial" w:cs="Arial"/>
          <w:i/>
        </w:rPr>
      </w:pPr>
    </w:p>
    <w:p w:rsidR="00050B1D" w:rsidRDefault="00050B1D">
      <w:pPr>
        <w:pStyle w:val="Body"/>
        <w:spacing w:after="0"/>
        <w:rPr>
          <w:rFonts w:ascii="Arial" w:hAnsi="Arial" w:cs="Arial"/>
          <w:i/>
        </w:rPr>
      </w:pPr>
    </w:p>
    <w:p w:rsidR="00050B1D" w:rsidRDefault="00050B1D">
      <w:pPr>
        <w:pStyle w:val="Body"/>
        <w:spacing w:after="0"/>
        <w:rPr>
          <w:rFonts w:ascii="Arial" w:hAnsi="Arial" w:cs="Arial"/>
          <w:i/>
          <w:sz w:val="18"/>
        </w:rPr>
      </w:pPr>
    </w:p>
    <w:p w:rsidR="00050B1D" w:rsidRDefault="00050B1D">
      <w:pPr>
        <w:pStyle w:val="Body"/>
        <w:spacing w:after="0"/>
        <w:rPr>
          <w:rFonts w:ascii="Arial" w:hAnsi="Arial" w:cs="Arial"/>
          <w:i/>
        </w:rPr>
      </w:pPr>
    </w:p>
    <w:p w:rsidR="00050B1D" w:rsidRDefault="003C7742">
      <w:pPr>
        <w:pStyle w:val="AbstHead"/>
        <w:spacing w:after="0"/>
        <w:jc w:val="both"/>
        <w:rPr>
          <w:rFonts w:ascii="Arial" w:hAnsi="Arial" w:cs="Arial"/>
        </w:rPr>
      </w:pPr>
      <w:r>
        <w:rPr>
          <w:rFonts w:ascii="Arial" w:hAnsi="Arial" w:cs="Arial"/>
        </w:rPr>
        <w:lastRenderedPageBreak/>
        <w:t xml:space="preserve">1. INTRODUCTION </w:t>
      </w:r>
    </w:p>
    <w:p w:rsidR="00050B1D" w:rsidRDefault="00050B1D">
      <w:pPr>
        <w:pStyle w:val="AbstHead"/>
        <w:spacing w:after="0"/>
        <w:jc w:val="both"/>
        <w:rPr>
          <w:rFonts w:ascii="Arial" w:hAnsi="Arial" w:cs="Arial"/>
          <w:b w:val="0"/>
        </w:rPr>
      </w:pPr>
    </w:p>
    <w:p w:rsidR="00050B1D" w:rsidRDefault="003C7742">
      <w:pPr>
        <w:spacing w:line="360" w:lineRule="auto"/>
        <w:jc w:val="both"/>
        <w:rPr>
          <w:rFonts w:ascii="Arial" w:hAnsi="Arial" w:cs="Arial"/>
        </w:rPr>
      </w:pPr>
      <w:r>
        <w:rPr>
          <w:rFonts w:ascii="Arial" w:hAnsi="Arial" w:cs="Arial"/>
        </w:rPr>
        <w:t>Sustainable consumption has become a core principle of international environmental governance, yet behavior change remains uneven across emerging economies.</w:t>
      </w:r>
    </w:p>
    <w:p w:rsidR="00050B1D" w:rsidRDefault="003C7742">
      <w:pPr>
        <w:spacing w:line="360" w:lineRule="auto"/>
        <w:jc w:val="both"/>
        <w:rPr>
          <w:rFonts w:ascii="Arial" w:eastAsia="Calibri" w:hAnsi="Arial" w:cs="Arial"/>
        </w:rPr>
      </w:pPr>
      <w:r>
        <w:rPr>
          <w:rFonts w:ascii="Arial" w:hAnsi="Arial" w:cs="Arial"/>
        </w:rPr>
        <w:t xml:space="preserve">Green purchasing behavior remains weaker than pro-environmental attitudes </w:t>
      </w:r>
      <w:r>
        <w:rPr>
          <w:rFonts w:ascii="Arial" w:eastAsia="Calibri" w:hAnsi="Arial" w:cs="Arial"/>
        </w:rPr>
        <w:t>in spit</w:t>
      </w:r>
      <w:r>
        <w:rPr>
          <w:rFonts w:ascii="Arial" w:eastAsia="Calibri" w:hAnsi="Arial" w:cs="Arial"/>
        </w:rPr>
        <w:t xml:space="preserve">e of the growing environmental awareness and commitment to the regulations. </w:t>
      </w:r>
      <w:r>
        <w:rPr>
          <w:rFonts w:ascii="Arial" w:hAnsi="Arial" w:cs="Arial"/>
        </w:rPr>
        <w:t>This persistent discrepancy, often referred to as the attitude-behavior gap, suggests</w:t>
      </w:r>
      <w:r>
        <w:rPr>
          <w:rFonts w:ascii="Arial" w:eastAsia="Calibri" w:hAnsi="Arial" w:cs="Arial"/>
        </w:rPr>
        <w:t xml:space="preserve"> that the standard informational and rational persuasion techniques are not enough to initiate </w:t>
      </w:r>
      <w:r>
        <w:rPr>
          <w:rFonts w:ascii="Arial" w:eastAsia="Calibri" w:hAnsi="Arial" w:cs="Arial"/>
        </w:rPr>
        <w:t>sustainable behavior change (Joshi and Rahman, 2015; White, Habib, and Hardisty, 2019).</w:t>
      </w:r>
    </w:p>
    <w:p w:rsidR="00050B1D" w:rsidRDefault="003C7742">
      <w:pPr>
        <w:spacing w:line="360" w:lineRule="auto"/>
        <w:jc w:val="both"/>
        <w:rPr>
          <w:rFonts w:ascii="Arial" w:hAnsi="Arial" w:cs="Arial"/>
        </w:rPr>
      </w:pPr>
      <w:r>
        <w:rPr>
          <w:rFonts w:ascii="Arial" w:eastAsia="Calibri" w:hAnsi="Arial" w:cs="Arial"/>
        </w:rPr>
        <w:t>This challenge is not only academic but also policy-relevant. Behavioral change is a priority in ensuring environmental sustainability among the United Nations Sustaina</w:t>
      </w:r>
      <w:r>
        <w:rPr>
          <w:rFonts w:ascii="Arial" w:eastAsia="Calibri" w:hAnsi="Arial" w:cs="Arial"/>
        </w:rPr>
        <w:t xml:space="preserve">ble Development Goals (SDGs) which include SDG 12 (Responsible Consumption and Production) and SDG 13 (Climate Action) (United Nations, 2015). </w:t>
      </w:r>
      <w:r>
        <w:rPr>
          <w:rFonts w:ascii="Arial" w:hAnsi="Arial" w:cs="Arial"/>
        </w:rPr>
        <w:t>The model aligns with international sustainability priorities such as SDG 12 and SDG 13 because it explains the p</w:t>
      </w:r>
      <w:r>
        <w:rPr>
          <w:rFonts w:ascii="Arial" w:hAnsi="Arial" w:cs="Arial"/>
        </w:rPr>
        <w:t>sychological processes underlying sustainable consumption.</w:t>
      </w:r>
    </w:p>
    <w:p w:rsidR="00050B1D" w:rsidRDefault="003C7742">
      <w:pPr>
        <w:spacing w:line="360" w:lineRule="auto"/>
        <w:jc w:val="both"/>
        <w:rPr>
          <w:rFonts w:ascii="Arial" w:eastAsia="SimSun" w:hAnsi="Arial" w:cs="Arial"/>
          <w:sz w:val="24"/>
          <w:szCs w:val="24"/>
        </w:rPr>
      </w:pPr>
      <w:r>
        <w:rPr>
          <w:rFonts w:ascii="Arial" w:eastAsia="Calibri" w:hAnsi="Arial" w:cs="Arial"/>
        </w:rPr>
        <w:t>The sustainability desires are expressed in Tanzania Development Vision 2025</w:t>
      </w:r>
      <w:r>
        <w:rPr>
          <w:rFonts w:ascii="Arial" w:eastAsia="Calibri" w:hAnsi="Arial" w:cs="Arial"/>
        </w:rPr>
        <w:t xml:space="preserve"> (although about to transition) </w:t>
      </w:r>
      <w:r>
        <w:rPr>
          <w:rFonts w:ascii="Arial" w:eastAsia="Calibri" w:hAnsi="Arial" w:cs="Arial"/>
        </w:rPr>
        <w:t xml:space="preserve">and the Third Five Year Development Plan (FYDP III), where environmentally responsible </w:t>
      </w:r>
      <w:r>
        <w:rPr>
          <w:rFonts w:ascii="Arial" w:eastAsia="Calibri" w:hAnsi="Arial" w:cs="Arial"/>
        </w:rPr>
        <w:t>industrialization and green growth rank among the strategic priorities (United Republic of Tanzania [URT], 2021).</w:t>
      </w:r>
      <w:r>
        <w:rPr>
          <w:rFonts w:ascii="Arial" w:hAnsi="Arial" w:cs="Arial"/>
        </w:rPr>
        <w:t xml:space="preserve"> </w:t>
      </w:r>
      <w:r>
        <w:rPr>
          <w:rFonts w:ascii="Arial" w:eastAsia="Calibri" w:hAnsi="Arial" w:cs="Arial"/>
        </w:rPr>
        <w:t xml:space="preserve">Nevertheless, whereas the macro-level policy framework promotes a sustainable transition, the micro-level consumer adoption of green products </w:t>
      </w:r>
      <w:r>
        <w:rPr>
          <w:rFonts w:ascii="Arial" w:eastAsia="Calibri" w:hAnsi="Arial" w:cs="Arial"/>
        </w:rPr>
        <w:t xml:space="preserve">remains inconsistent. This policy-behavioral divide indicates that while structural commitments must be made, they must be supported by psychologically informed market </w:t>
      </w:r>
      <w:proofErr w:type="spellStart"/>
      <w:proofErr w:type="gramStart"/>
      <w:r>
        <w:rPr>
          <w:rFonts w:ascii="Arial" w:eastAsia="Calibri" w:hAnsi="Arial" w:cs="Arial"/>
        </w:rPr>
        <w:t>strategies.While</w:t>
      </w:r>
      <w:proofErr w:type="spellEnd"/>
      <w:proofErr w:type="gramEnd"/>
      <w:r>
        <w:rPr>
          <w:rFonts w:ascii="Arial" w:eastAsia="Calibri" w:hAnsi="Arial" w:cs="Arial"/>
        </w:rPr>
        <w:t xml:space="preserve"> macro-level policy frameworks support sustainability transitions, micro</w:t>
      </w:r>
      <w:r>
        <w:rPr>
          <w:rFonts w:ascii="Arial" w:eastAsia="Calibri" w:hAnsi="Arial" w:cs="Arial"/>
        </w:rPr>
        <w:t>-level consumer adoption of green products remains inconsistent, highlighting a persistent policy–behavior gap</w:t>
      </w:r>
      <w:r>
        <w:rPr>
          <w:rFonts w:ascii="Arial" w:eastAsia="Calibri" w:hAnsi="Arial" w:cs="Arial"/>
        </w:rPr>
        <w:t>.</w:t>
      </w:r>
    </w:p>
    <w:p w:rsidR="00050B1D" w:rsidRDefault="003C7742">
      <w:pPr>
        <w:spacing w:line="360" w:lineRule="auto"/>
        <w:jc w:val="both"/>
        <w:rPr>
          <w:rFonts w:ascii="Arial" w:eastAsia="Calibri" w:hAnsi="Arial" w:cs="Arial"/>
        </w:rPr>
      </w:pPr>
      <w:r>
        <w:rPr>
          <w:rFonts w:ascii="Arial" w:eastAsia="Calibri" w:hAnsi="Arial" w:cs="Arial"/>
        </w:rPr>
        <w:t xml:space="preserve">The traditional green marketing has extensively used rational appeals by assuming that the consumer is responsive to environmental information, </w:t>
      </w:r>
      <w:r>
        <w:rPr>
          <w:rFonts w:ascii="Arial" w:eastAsia="Calibri" w:hAnsi="Arial" w:cs="Arial"/>
        </w:rPr>
        <w:t xml:space="preserve">labeling of transparency, and moral positioning (Polonsky, 1994; Peattie and Crane, 2005). </w:t>
      </w:r>
      <w:r>
        <w:rPr>
          <w:rFonts w:ascii="Arial" w:hAnsi="Arial" w:cs="Arial"/>
        </w:rPr>
        <w:t>Recent developments in behavioral economics show that decision making is systematically shape</w:t>
      </w:r>
      <w:r>
        <w:rPr>
          <w:rFonts w:ascii="Arial" w:eastAsia="Calibri" w:hAnsi="Arial" w:cs="Arial"/>
        </w:rPr>
        <w:t xml:space="preserve"> by heuristics, framing effects, loss aversion, and limited rationality </w:t>
      </w:r>
      <w:r>
        <w:rPr>
          <w:rFonts w:ascii="Arial" w:eastAsia="Calibri" w:hAnsi="Arial" w:cs="Arial"/>
        </w:rPr>
        <w:t>(Kahneman, 2011; Thaler and Sunstein, 2008). Sustainable products are viewed as either expensive, uncertain or weaker in performance raising the status quo bias and risk avoidance.</w:t>
      </w:r>
    </w:p>
    <w:p w:rsidR="00050B1D" w:rsidRDefault="003C7742">
      <w:pPr>
        <w:spacing w:line="360" w:lineRule="auto"/>
        <w:jc w:val="both"/>
        <w:rPr>
          <w:rFonts w:ascii="Arial" w:eastAsia="Calibri" w:hAnsi="Arial" w:cs="Arial"/>
        </w:rPr>
      </w:pPr>
      <w:r>
        <w:rPr>
          <w:rFonts w:ascii="Arial" w:eastAsia="Calibri" w:hAnsi="Arial" w:cs="Arial"/>
        </w:rPr>
        <w:t xml:space="preserve">The rational actor assumption is also complicated by the fact that </w:t>
      </w:r>
      <w:r>
        <w:rPr>
          <w:rFonts w:ascii="Arial" w:eastAsia="Calibri" w:hAnsi="Arial" w:cs="Arial"/>
        </w:rPr>
        <w:t>Neuromar</w:t>
      </w:r>
      <w:r>
        <w:rPr>
          <w:rFonts w:ascii="Arial" w:eastAsia="Calibri" w:hAnsi="Arial" w:cs="Arial"/>
        </w:rPr>
        <w:t>keting</w:t>
      </w:r>
      <w:r>
        <w:rPr>
          <w:rFonts w:ascii="Arial" w:eastAsia="Calibri" w:hAnsi="Arial" w:cs="Arial"/>
        </w:rPr>
        <w:t xml:space="preserve"> research proves that emotional stimulation, identity activation, and unconscious processing of rewards are critical elements that impact consumer behavior (</w:t>
      </w:r>
      <w:proofErr w:type="spellStart"/>
      <w:r>
        <w:rPr>
          <w:rFonts w:ascii="Arial" w:eastAsia="Calibri" w:hAnsi="Arial" w:cs="Arial"/>
        </w:rPr>
        <w:t>Plassmann</w:t>
      </w:r>
      <w:proofErr w:type="spellEnd"/>
      <w:r>
        <w:rPr>
          <w:rFonts w:ascii="Arial" w:eastAsia="Calibri" w:hAnsi="Arial" w:cs="Arial"/>
        </w:rPr>
        <w:t xml:space="preserve">, </w:t>
      </w:r>
      <w:proofErr w:type="spellStart"/>
      <w:r>
        <w:rPr>
          <w:rFonts w:ascii="Arial" w:eastAsia="Calibri" w:hAnsi="Arial" w:cs="Arial"/>
        </w:rPr>
        <w:t>Ramsoy</w:t>
      </w:r>
      <w:proofErr w:type="spellEnd"/>
      <w:r>
        <w:rPr>
          <w:rFonts w:ascii="Arial" w:eastAsia="Calibri" w:hAnsi="Arial" w:cs="Arial"/>
        </w:rPr>
        <w:t xml:space="preserve">, and </w:t>
      </w:r>
      <w:proofErr w:type="spellStart"/>
      <w:r>
        <w:rPr>
          <w:rFonts w:ascii="Arial" w:eastAsia="Calibri" w:hAnsi="Arial" w:cs="Arial"/>
        </w:rPr>
        <w:t>Milosavljevic</w:t>
      </w:r>
      <w:proofErr w:type="spellEnd"/>
      <w:r>
        <w:rPr>
          <w:rFonts w:ascii="Arial" w:eastAsia="Calibri" w:hAnsi="Arial" w:cs="Arial"/>
        </w:rPr>
        <w:t xml:space="preserve">, 2015; Venkatraman et al., 2015). </w:t>
      </w:r>
      <w:r>
        <w:rPr>
          <w:rFonts w:ascii="Arial" w:hAnsi="Arial" w:cs="Arial"/>
        </w:rPr>
        <w:t>Emotional salience str</w:t>
      </w:r>
      <w:r>
        <w:rPr>
          <w:rFonts w:ascii="Arial" w:hAnsi="Arial" w:cs="Arial"/>
        </w:rPr>
        <w:t xml:space="preserve">engthens memory encoding, </w:t>
      </w:r>
      <w:r>
        <w:rPr>
          <w:rFonts w:ascii="Arial" w:hAnsi="Arial" w:cs="Arial"/>
        </w:rPr>
        <w:lastRenderedPageBreak/>
        <w:t>increases the likelihood of action, and often precedes deliberate reasoning.</w:t>
      </w:r>
      <w:r>
        <w:rPr>
          <w:rFonts w:ascii="Arial" w:eastAsia="Calibri" w:hAnsi="Arial" w:cs="Arial"/>
        </w:rPr>
        <w:t xml:space="preserve"> </w:t>
      </w:r>
      <w:r>
        <w:rPr>
          <w:rFonts w:ascii="Arial" w:hAnsi="Arial" w:cs="Arial"/>
        </w:rPr>
        <w:t xml:space="preserve">However, </w:t>
      </w:r>
      <w:r>
        <w:rPr>
          <w:rFonts w:ascii="Arial" w:hAnsi="Arial" w:cs="Arial"/>
        </w:rPr>
        <w:t>Neuromarketing</w:t>
      </w:r>
      <w:r>
        <w:rPr>
          <w:rFonts w:ascii="Arial" w:hAnsi="Arial" w:cs="Arial"/>
        </w:rPr>
        <w:t xml:space="preserve"> scholarship has largely focused on commercial optimization </w:t>
      </w:r>
      <w:r>
        <w:rPr>
          <w:rFonts w:ascii="Arial" w:eastAsia="Calibri" w:hAnsi="Arial" w:cs="Arial"/>
        </w:rPr>
        <w:t>and is yet to be fully incorporated into sustainability studies especi</w:t>
      </w:r>
      <w:r>
        <w:rPr>
          <w:rFonts w:ascii="Arial" w:eastAsia="Calibri" w:hAnsi="Arial" w:cs="Arial"/>
        </w:rPr>
        <w:t>ally in the new market context.</w:t>
      </w:r>
    </w:p>
    <w:p w:rsidR="00050B1D" w:rsidRDefault="003C7742">
      <w:pPr>
        <w:spacing w:line="360" w:lineRule="auto"/>
        <w:jc w:val="both"/>
        <w:rPr>
          <w:rFonts w:ascii="Arial" w:eastAsia="Calibri" w:hAnsi="Arial" w:cs="Arial"/>
        </w:rPr>
      </w:pPr>
      <w:r>
        <w:rPr>
          <w:rFonts w:ascii="Arial" w:hAnsi="Arial" w:cs="Arial"/>
        </w:rPr>
        <w:t>Emerging economies also present additional structural complexities</w:t>
      </w:r>
      <w:r>
        <w:rPr>
          <w:rFonts w:ascii="Arial" w:eastAsia="Calibri" w:hAnsi="Arial" w:cs="Arial"/>
        </w:rPr>
        <w:t>. This is caused by institutional voids, asymmetries of trust, volatility of income, and community consumption norms, which change the risk perception and ass</w:t>
      </w:r>
      <w:r>
        <w:rPr>
          <w:rFonts w:ascii="Arial" w:eastAsia="Calibri" w:hAnsi="Arial" w:cs="Arial"/>
        </w:rPr>
        <w:t>essment plans (Khanna and Palepu, 2010; Meyer and Peng, 2016). In these circumstances, the affective reassurance, social cognition, and the perception of the mitigation of risk also affect sustainable consumption decisions besides price and information.</w:t>
      </w:r>
    </w:p>
    <w:p w:rsidR="00050B1D" w:rsidRDefault="003C7742">
      <w:pPr>
        <w:spacing w:line="360" w:lineRule="auto"/>
        <w:jc w:val="both"/>
        <w:rPr>
          <w:rFonts w:ascii="Arial" w:eastAsia="Calibri" w:hAnsi="Arial" w:cs="Arial"/>
        </w:rPr>
      </w:pPr>
      <w:r>
        <w:rPr>
          <w:rFonts w:ascii="Arial" w:hAnsi="Arial" w:cs="Arial"/>
        </w:rPr>
        <w:t>Ag</w:t>
      </w:r>
      <w:r>
        <w:rPr>
          <w:rFonts w:ascii="Arial" w:hAnsi="Arial" w:cs="Arial"/>
        </w:rPr>
        <w:t>ainst this background, the present study introduces the Green Brain Model</w:t>
      </w:r>
      <w:r>
        <w:rPr>
          <w:rFonts w:ascii="Arial" w:eastAsia="Calibri" w:hAnsi="Arial" w:cs="Arial"/>
        </w:rPr>
        <w:t xml:space="preserve">, a behavioral model based on </w:t>
      </w:r>
      <w:r>
        <w:rPr>
          <w:rFonts w:ascii="Arial" w:eastAsia="Calibri" w:hAnsi="Arial" w:cs="Arial"/>
        </w:rPr>
        <w:t>Neuromarketing</w:t>
      </w:r>
      <w:r>
        <w:rPr>
          <w:rFonts w:ascii="Arial" w:eastAsia="Calibri" w:hAnsi="Arial" w:cs="Arial"/>
        </w:rPr>
        <w:t xml:space="preserve"> but incorporating behavioral economics and neurocognitive processing to describe how green marketing stimuli affect sustainable consumptio</w:t>
      </w:r>
      <w:r>
        <w:rPr>
          <w:rFonts w:ascii="Arial" w:eastAsia="Calibri" w:hAnsi="Arial" w:cs="Arial"/>
        </w:rPr>
        <w:t>n in new markets. Rather than treating green choices as a rational evaluation, the model posits a multistage neurobehavioral process that complements the Stimulus-Organism-Response (SOR) approach of consumer behavior by defining how green marketing stimuli</w:t>
      </w:r>
      <w:r>
        <w:rPr>
          <w:rFonts w:ascii="Arial" w:eastAsia="Calibri" w:hAnsi="Arial" w:cs="Arial"/>
        </w:rPr>
        <w:t xml:space="preserve"> are conceptualized into sustainable behavioral responses through a series of cognitive and affective processes.</w:t>
      </w:r>
    </w:p>
    <w:p w:rsidR="00050B1D" w:rsidRDefault="003C7742">
      <w:pPr>
        <w:spacing w:line="360" w:lineRule="auto"/>
        <w:jc w:val="both"/>
        <w:rPr>
          <w:rFonts w:ascii="Arial" w:eastAsia="Calibri" w:hAnsi="Arial" w:cs="Arial"/>
        </w:rPr>
      </w:pPr>
      <w:r>
        <w:rPr>
          <w:rFonts w:ascii="Arial" w:eastAsia="Calibri" w:hAnsi="Arial" w:cs="Arial"/>
        </w:rPr>
        <w:t>Green Brain Model incorporates sensory attention, emotional involvement, cognitive bias processing, memory consolidation and identity integrati</w:t>
      </w:r>
      <w:r>
        <w:rPr>
          <w:rFonts w:ascii="Arial" w:eastAsia="Calibri" w:hAnsi="Arial" w:cs="Arial"/>
        </w:rPr>
        <w:t>on, and behavioral execution into a single behavioral pathway of sustainable consumption choices. The framework provides a process-based approach to green behavior in emerging markets by disaggregating core psychological processes and contextual conditions</w:t>
      </w:r>
      <w:r>
        <w:rPr>
          <w:rFonts w:ascii="Arial" w:eastAsia="Calibri" w:hAnsi="Arial" w:cs="Arial"/>
        </w:rPr>
        <w:t xml:space="preserve"> at the boundaries and separating structural constraints and internal </w:t>
      </w:r>
      <w:proofErr w:type="gramStart"/>
      <w:r>
        <w:rPr>
          <w:rFonts w:ascii="Arial" w:eastAsia="Calibri" w:hAnsi="Arial" w:cs="Arial"/>
        </w:rPr>
        <w:t>decision making</w:t>
      </w:r>
      <w:proofErr w:type="gramEnd"/>
      <w:r>
        <w:rPr>
          <w:rFonts w:ascii="Arial" w:eastAsia="Calibri" w:hAnsi="Arial" w:cs="Arial"/>
        </w:rPr>
        <w:t xml:space="preserve"> mechanisms.</w:t>
      </w:r>
    </w:p>
    <w:p w:rsidR="00050B1D" w:rsidRDefault="003C7742">
      <w:pPr>
        <w:spacing w:line="360" w:lineRule="auto"/>
        <w:jc w:val="both"/>
        <w:rPr>
          <w:rFonts w:ascii="Arial" w:eastAsia="Calibri" w:hAnsi="Arial" w:cs="Arial"/>
        </w:rPr>
      </w:pPr>
      <w:r>
        <w:rPr>
          <w:rFonts w:ascii="Arial" w:eastAsia="Calibri" w:hAnsi="Arial" w:cs="Arial"/>
        </w:rPr>
        <w:t>On the above discussion, the research question that is being addressed in the study is as follows: How do neurocognitive processes, behavioral economic biases</w:t>
      </w:r>
      <w:r>
        <w:rPr>
          <w:rFonts w:ascii="Arial" w:eastAsia="Calibri" w:hAnsi="Arial" w:cs="Arial"/>
        </w:rPr>
        <w:t>, and contextual constraints collectively influence sustainable consumption behavior in emerging markets? In answering the research question above, the study proposes the conceptual model called the Green Brain Model (GBM), which is a neurobehavioral model</w:t>
      </w:r>
      <w:r>
        <w:rPr>
          <w:rFonts w:ascii="Arial" w:eastAsia="Calibri" w:hAnsi="Arial" w:cs="Arial"/>
        </w:rPr>
        <w:t xml:space="preserve"> that aggregates ideas from </w:t>
      </w:r>
      <w:r>
        <w:rPr>
          <w:rFonts w:ascii="Arial" w:eastAsia="Calibri" w:hAnsi="Arial" w:cs="Arial"/>
        </w:rPr>
        <w:t>Neuromarketing</w:t>
      </w:r>
      <w:r>
        <w:rPr>
          <w:rFonts w:ascii="Arial" w:eastAsia="Calibri" w:hAnsi="Arial" w:cs="Arial"/>
        </w:rPr>
        <w:t>, Behavioral Economics, and Institutional Theory in explaining the psychological processes whereby stimuli from green marketing influence sustainable consumption behavior.</w:t>
      </w:r>
    </w:p>
    <w:p w:rsidR="00050B1D" w:rsidRDefault="003C7742">
      <w:pPr>
        <w:spacing w:line="360" w:lineRule="auto"/>
        <w:jc w:val="both"/>
        <w:rPr>
          <w:rFonts w:ascii="Arial" w:eastAsia="Calibri" w:hAnsi="Arial" w:cs="Arial"/>
        </w:rPr>
      </w:pPr>
      <w:r>
        <w:rPr>
          <w:rFonts w:ascii="Arial" w:eastAsia="Calibri" w:hAnsi="Arial" w:cs="Arial"/>
        </w:rPr>
        <w:t xml:space="preserve">The study </w:t>
      </w:r>
      <w:proofErr w:type="gramStart"/>
      <w:r>
        <w:rPr>
          <w:rFonts w:ascii="Arial" w:eastAsia="Calibri" w:hAnsi="Arial" w:cs="Arial"/>
        </w:rPr>
        <w:t>makes a contribution</w:t>
      </w:r>
      <w:proofErr w:type="gramEnd"/>
      <w:r>
        <w:rPr>
          <w:rFonts w:ascii="Arial" w:eastAsia="Calibri" w:hAnsi="Arial" w:cs="Arial"/>
        </w:rPr>
        <w:t xml:space="preserve"> to the grow</w:t>
      </w:r>
      <w:r>
        <w:rPr>
          <w:rFonts w:ascii="Arial" w:eastAsia="Calibri" w:hAnsi="Arial" w:cs="Arial"/>
        </w:rPr>
        <w:t>ing body of literature on the "Green Brain Model" by providing strategic guidelines on how sustainable consumption can be fostered in emerging markets. The study also improves the understanding of the impact that marketing communication and engagement thro</w:t>
      </w:r>
      <w:r>
        <w:rPr>
          <w:rFonts w:ascii="Arial" w:eastAsia="Calibri" w:hAnsi="Arial" w:cs="Arial"/>
        </w:rPr>
        <w:t xml:space="preserve">ugh digital tools has on consumer decision-making processes. The study fills a gap in the literature by providing a conceptual framework on this </w:t>
      </w:r>
      <w:r>
        <w:rPr>
          <w:rFonts w:ascii="Arial" w:eastAsia="Calibri" w:hAnsi="Arial" w:cs="Arial"/>
        </w:rPr>
        <w:lastRenderedPageBreak/>
        <w:t>issue. The study also has implications that are relevant to policymakers. It sets the stage for future research</w:t>
      </w:r>
      <w:r>
        <w:rPr>
          <w:rFonts w:ascii="Arial" w:eastAsia="Calibri" w:hAnsi="Arial" w:cs="Arial"/>
        </w:rPr>
        <w:t xml:space="preserve"> on sustainable consumer behavior.</w:t>
      </w:r>
    </w:p>
    <w:p w:rsidR="00050B1D" w:rsidRDefault="003C7742">
      <w:pPr>
        <w:spacing w:line="360" w:lineRule="auto"/>
        <w:jc w:val="both"/>
        <w:rPr>
          <w:rFonts w:ascii="Arial" w:eastAsia="Calibri" w:hAnsi="Arial" w:cs="Arial"/>
          <w:sz w:val="24"/>
          <w:szCs w:val="24"/>
        </w:rPr>
      </w:pPr>
      <w:r>
        <w:rPr>
          <w:rFonts w:ascii="Arial" w:eastAsia="Calibri" w:hAnsi="Arial" w:cs="Arial"/>
          <w:sz w:val="24"/>
          <w:szCs w:val="24"/>
        </w:rPr>
        <w:t xml:space="preserve"> </w:t>
      </w:r>
    </w:p>
    <w:p w:rsidR="00050B1D" w:rsidRDefault="00050B1D">
      <w:pPr>
        <w:pStyle w:val="Body"/>
        <w:spacing w:after="0"/>
        <w:rPr>
          <w:rFonts w:ascii="Arial" w:hAnsi="Arial" w:cs="Arial"/>
        </w:rPr>
      </w:pPr>
    </w:p>
    <w:p w:rsidR="00050B1D" w:rsidRDefault="003C7742">
      <w:pPr>
        <w:spacing w:line="360" w:lineRule="auto"/>
        <w:jc w:val="both"/>
        <w:rPr>
          <w:rFonts w:ascii="Arial" w:eastAsia="Calibri" w:hAnsi="Arial" w:cs="Arial"/>
          <w:b/>
        </w:rPr>
      </w:pPr>
      <w:r>
        <w:rPr>
          <w:rFonts w:ascii="Arial" w:hAnsi="Arial" w:cs="Arial"/>
          <w:b/>
          <w:sz w:val="22"/>
          <w:szCs w:val="22"/>
        </w:rPr>
        <w:t xml:space="preserve">2. </w:t>
      </w:r>
      <w:r>
        <w:rPr>
          <w:rFonts w:ascii="Arial" w:eastAsia="Calibri" w:hAnsi="Arial" w:cs="Arial"/>
          <w:b/>
          <w:sz w:val="22"/>
          <w:szCs w:val="22"/>
        </w:rPr>
        <w:t xml:space="preserve"> THEORETICAL</w:t>
      </w:r>
      <w:r>
        <w:rPr>
          <w:rFonts w:ascii="Arial" w:eastAsia="Calibri" w:hAnsi="Arial" w:cs="Arial"/>
          <w:b/>
          <w:sz w:val="24"/>
          <w:szCs w:val="22"/>
        </w:rPr>
        <w:t xml:space="preserve"> </w:t>
      </w:r>
      <w:r>
        <w:rPr>
          <w:rFonts w:ascii="Arial" w:eastAsia="Calibri" w:hAnsi="Arial" w:cs="Arial"/>
          <w:b/>
          <w:sz w:val="22"/>
          <w:szCs w:val="22"/>
        </w:rPr>
        <w:t>FOUNDATIONS</w:t>
      </w:r>
    </w:p>
    <w:p w:rsidR="00050B1D" w:rsidRDefault="003C7742">
      <w:pPr>
        <w:spacing w:line="360" w:lineRule="auto"/>
        <w:jc w:val="both"/>
        <w:rPr>
          <w:rFonts w:ascii="Arial" w:eastAsia="Calibri" w:hAnsi="Arial" w:cs="Arial"/>
          <w:b/>
          <w:sz w:val="22"/>
          <w:szCs w:val="22"/>
        </w:rPr>
      </w:pPr>
      <w:r>
        <w:rPr>
          <w:rFonts w:ascii="Arial" w:eastAsia="Calibri" w:hAnsi="Arial" w:cs="Arial"/>
          <w:b/>
        </w:rPr>
        <w:t>2.</w:t>
      </w:r>
      <w:r>
        <w:rPr>
          <w:rFonts w:ascii="Arial" w:eastAsia="Calibri" w:hAnsi="Arial" w:cs="Arial"/>
          <w:b/>
          <w:sz w:val="22"/>
          <w:szCs w:val="22"/>
        </w:rPr>
        <w:t>1 Limits of Rational Green Marketing Models</w:t>
      </w:r>
    </w:p>
    <w:p w:rsidR="00050B1D" w:rsidRDefault="003C7742">
      <w:pPr>
        <w:spacing w:line="360" w:lineRule="auto"/>
        <w:jc w:val="both"/>
        <w:rPr>
          <w:rFonts w:ascii="Arial" w:eastAsia="Calibri" w:hAnsi="Arial" w:cs="Arial"/>
        </w:rPr>
      </w:pPr>
      <w:r>
        <w:rPr>
          <w:rFonts w:ascii="Arial" w:hAnsi="Arial" w:cs="Arial"/>
        </w:rPr>
        <w:t xml:space="preserve">A longstanding assumption in green marketing scholarship </w:t>
      </w:r>
      <w:r>
        <w:rPr>
          <w:rFonts w:ascii="Arial" w:eastAsia="Calibri" w:hAnsi="Arial" w:cs="Arial"/>
        </w:rPr>
        <w:t xml:space="preserve">has been that environmental awareness and ethical positioning lead to the sustainable </w:t>
      </w:r>
      <w:r>
        <w:rPr>
          <w:rFonts w:ascii="Arial" w:eastAsia="Calibri" w:hAnsi="Arial" w:cs="Arial"/>
        </w:rPr>
        <w:t>purchasing behavior (Polonsky, 1994; Peattie and Crane, 2005). Nevertheless, empirical studies consistently report a gap in attitudes and behaviors, that is, positive attitudes toward the environment are not translated into real green purchasing intentions</w:t>
      </w:r>
      <w:r>
        <w:rPr>
          <w:rFonts w:ascii="Arial" w:eastAsia="Calibri" w:hAnsi="Arial" w:cs="Arial"/>
        </w:rPr>
        <w:t xml:space="preserve"> (Joshi and Rahman, 2015; White, Habib, and Hardisty, 2019).</w:t>
      </w:r>
    </w:p>
    <w:p w:rsidR="00050B1D" w:rsidRDefault="003C7742">
      <w:pPr>
        <w:spacing w:line="360" w:lineRule="auto"/>
        <w:jc w:val="both"/>
        <w:rPr>
          <w:rFonts w:ascii="Arial" w:eastAsia="Calibri" w:hAnsi="Arial" w:cs="Arial"/>
        </w:rPr>
      </w:pPr>
      <w:r>
        <w:rPr>
          <w:rFonts w:ascii="Arial" w:eastAsia="Calibri" w:hAnsi="Arial" w:cs="Arial"/>
        </w:rPr>
        <w:t>According to sustainability studies conducted recently, pro environmental behavior is not merely based on the knowledge alone; motivational framing, emotional involvement, and perceived effective</w:t>
      </w:r>
      <w:r>
        <w:rPr>
          <w:rFonts w:ascii="Arial" w:eastAsia="Calibri" w:hAnsi="Arial" w:cs="Arial"/>
        </w:rPr>
        <w:t>n</w:t>
      </w:r>
      <w:r>
        <w:rPr>
          <w:rFonts w:ascii="Arial" w:hAnsi="Arial" w:cs="Arial"/>
        </w:rPr>
        <w:t xml:space="preserve">ess play a significant </w:t>
      </w:r>
      <w:proofErr w:type="gramStart"/>
      <w:r>
        <w:rPr>
          <w:rFonts w:ascii="Arial" w:hAnsi="Arial" w:cs="Arial"/>
        </w:rPr>
        <w:t>role(</w:t>
      </w:r>
      <w:proofErr w:type="gramEnd"/>
      <w:r>
        <w:rPr>
          <w:rFonts w:ascii="Arial" w:hAnsi="Arial" w:cs="Arial"/>
        </w:rPr>
        <w:t>Nie</w:t>
      </w:r>
      <w:r>
        <w:rPr>
          <w:rFonts w:ascii="Arial" w:eastAsia="Calibri" w:hAnsi="Arial" w:cs="Arial"/>
        </w:rPr>
        <w:t xml:space="preserve">lsen et al., 2021). </w:t>
      </w:r>
      <w:r>
        <w:rPr>
          <w:rFonts w:ascii="Arial" w:hAnsi="Arial" w:cs="Arial"/>
        </w:rPr>
        <w:t>Consumers may value sustainability yet still fall back on habitual, price-driven, or risk-averse consumption patterns</w:t>
      </w:r>
      <w:r>
        <w:rPr>
          <w:rFonts w:ascii="Arial" w:eastAsia="Calibri" w:hAnsi="Arial" w:cs="Arial"/>
        </w:rPr>
        <w:t xml:space="preserve">. Behavioral economics also shows that limited rationality, presence bias and aversion </w:t>
      </w:r>
      <w:r>
        <w:rPr>
          <w:rFonts w:ascii="Arial" w:eastAsia="Calibri" w:hAnsi="Arial" w:cs="Arial"/>
        </w:rPr>
        <w:t>to losses systematically bias environmentally superior decisions (Kahneman, 2011; Thaler and Sunstein, 2008</w:t>
      </w:r>
      <w:proofErr w:type="gramStart"/>
      <w:r>
        <w:rPr>
          <w:rFonts w:ascii="Arial" w:eastAsia="Calibri" w:hAnsi="Arial" w:cs="Arial"/>
        </w:rPr>
        <w:t>).s</w:t>
      </w:r>
      <w:proofErr w:type="gramEnd"/>
    </w:p>
    <w:p w:rsidR="00050B1D" w:rsidRDefault="003C7742">
      <w:pPr>
        <w:spacing w:line="360" w:lineRule="auto"/>
        <w:jc w:val="both"/>
        <w:rPr>
          <w:rFonts w:ascii="Arial" w:eastAsia="Calibri" w:hAnsi="Arial" w:cs="Arial"/>
        </w:rPr>
      </w:pPr>
      <w:r>
        <w:rPr>
          <w:rFonts w:ascii="Arial" w:eastAsia="Calibri" w:hAnsi="Arial" w:cs="Arial"/>
        </w:rPr>
        <w:t xml:space="preserve">These restrictions are aggravated by emerging market settings. </w:t>
      </w:r>
      <w:r>
        <w:rPr>
          <w:rFonts w:ascii="Arial" w:hAnsi="Arial" w:cs="Arial"/>
        </w:rPr>
        <w:t>Risk perceptions tend to be stronger under conditions of institutional uncertainty</w:t>
      </w:r>
      <w:r>
        <w:rPr>
          <w:rFonts w:ascii="Arial" w:eastAsia="Calibri" w:hAnsi="Arial" w:cs="Arial"/>
        </w:rPr>
        <w:t>, varying stability of income, and trust asymmetries, which decreases the willingness to experiment with green solutions (Meyer and Peng, 2016; Khanna and Palepu, 2010). In turn, rational persuasion models provide inadequately compelling explanations of su</w:t>
      </w:r>
      <w:r>
        <w:rPr>
          <w:rFonts w:ascii="Arial" w:eastAsia="Calibri" w:hAnsi="Arial" w:cs="Arial"/>
        </w:rPr>
        <w:t>stainable consumption behavior in structurally constrained settings.</w:t>
      </w:r>
    </w:p>
    <w:p w:rsidR="00050B1D" w:rsidRDefault="00050B1D">
      <w:pPr>
        <w:spacing w:line="360" w:lineRule="auto"/>
        <w:jc w:val="both"/>
        <w:rPr>
          <w:rFonts w:ascii="Arial" w:eastAsia="Calibri" w:hAnsi="Arial" w:cs="Arial"/>
        </w:rPr>
      </w:pPr>
    </w:p>
    <w:p w:rsidR="00050B1D" w:rsidRDefault="003C7742">
      <w:pPr>
        <w:tabs>
          <w:tab w:val="left" w:pos="922"/>
        </w:tabs>
        <w:rPr>
          <w:rFonts w:ascii="Arial" w:eastAsia="Calibri" w:hAnsi="Arial" w:cs="Arial"/>
          <w:b/>
          <w:sz w:val="22"/>
          <w:szCs w:val="22"/>
        </w:rPr>
      </w:pPr>
      <w:r>
        <w:rPr>
          <w:rFonts w:ascii="Arial" w:eastAsia="Calibri" w:hAnsi="Arial" w:cs="Arial"/>
          <w:b/>
          <w:sz w:val="22"/>
          <w:szCs w:val="22"/>
        </w:rPr>
        <w:t xml:space="preserve">2.2 </w:t>
      </w:r>
      <w:r>
        <w:rPr>
          <w:rFonts w:ascii="Arial" w:eastAsia="Calibri" w:hAnsi="Arial" w:cs="Arial"/>
          <w:b/>
          <w:sz w:val="22"/>
          <w:szCs w:val="22"/>
        </w:rPr>
        <w:t>Neuromarketing</w:t>
      </w:r>
      <w:r>
        <w:rPr>
          <w:rFonts w:ascii="Arial" w:eastAsia="Calibri" w:hAnsi="Arial" w:cs="Arial"/>
          <w:b/>
          <w:sz w:val="22"/>
          <w:szCs w:val="22"/>
        </w:rPr>
        <w:t xml:space="preserve"> and Affective Processing in Consumer Choice</w:t>
      </w:r>
    </w:p>
    <w:p w:rsidR="00050B1D" w:rsidRDefault="00050B1D">
      <w:pPr>
        <w:tabs>
          <w:tab w:val="left" w:pos="922"/>
        </w:tabs>
        <w:rPr>
          <w:rFonts w:ascii="Arial" w:eastAsia="Calibri" w:hAnsi="Arial" w:cs="Arial"/>
          <w:b/>
        </w:rPr>
      </w:pPr>
    </w:p>
    <w:p w:rsidR="00050B1D" w:rsidRDefault="003C7742">
      <w:pPr>
        <w:tabs>
          <w:tab w:val="left" w:pos="922"/>
        </w:tabs>
        <w:spacing w:line="360" w:lineRule="auto"/>
        <w:jc w:val="both"/>
        <w:rPr>
          <w:rFonts w:ascii="Arial" w:eastAsia="Calibri" w:hAnsi="Arial" w:cs="Arial"/>
        </w:rPr>
      </w:pPr>
      <w:r>
        <w:rPr>
          <w:rFonts w:ascii="Arial" w:eastAsia="Calibri" w:hAnsi="Arial" w:cs="Arial"/>
        </w:rPr>
        <w:t>Neuromarketing integrates insights from neuroscience and marketing to examine underlying consumer responses. (</w:t>
      </w:r>
      <w:proofErr w:type="spellStart"/>
      <w:r>
        <w:rPr>
          <w:rFonts w:ascii="Arial" w:eastAsia="Calibri" w:hAnsi="Arial" w:cs="Arial"/>
        </w:rPr>
        <w:t>Plassmann</w:t>
      </w:r>
      <w:proofErr w:type="spellEnd"/>
      <w:r>
        <w:rPr>
          <w:rFonts w:ascii="Arial" w:eastAsia="Calibri" w:hAnsi="Arial" w:cs="Arial"/>
        </w:rPr>
        <w:t xml:space="preserve">, </w:t>
      </w:r>
      <w:proofErr w:type="spellStart"/>
      <w:r>
        <w:rPr>
          <w:rFonts w:ascii="Arial" w:eastAsia="Calibri" w:hAnsi="Arial" w:cs="Arial"/>
        </w:rPr>
        <w:t>R</w:t>
      </w:r>
      <w:r>
        <w:rPr>
          <w:rFonts w:ascii="Arial" w:eastAsia="Calibri" w:hAnsi="Arial" w:cs="Arial"/>
        </w:rPr>
        <w:t>amsoy</w:t>
      </w:r>
      <w:proofErr w:type="spellEnd"/>
      <w:r>
        <w:rPr>
          <w:rFonts w:ascii="Arial" w:eastAsia="Calibri" w:hAnsi="Arial" w:cs="Arial"/>
        </w:rPr>
        <w:t xml:space="preserve">, and </w:t>
      </w:r>
      <w:proofErr w:type="spellStart"/>
      <w:r>
        <w:rPr>
          <w:rFonts w:ascii="Arial" w:eastAsia="Calibri" w:hAnsi="Arial" w:cs="Arial"/>
        </w:rPr>
        <w:t>Milosavljevic</w:t>
      </w:r>
      <w:proofErr w:type="spellEnd"/>
      <w:r>
        <w:rPr>
          <w:rFonts w:ascii="Arial" w:eastAsia="Calibri" w:hAnsi="Arial" w:cs="Arial"/>
        </w:rPr>
        <w:t>, 2015). It is shown that emotional involvement, expectation of reward and identity activation is vital determinants of purchase intention that cannot be consciously determined (Venkatraman et al., 2015).</w:t>
      </w:r>
    </w:p>
    <w:p w:rsidR="00050B1D" w:rsidRDefault="00050B1D">
      <w:pPr>
        <w:tabs>
          <w:tab w:val="left" w:pos="922"/>
        </w:tabs>
        <w:spacing w:line="360" w:lineRule="auto"/>
        <w:jc w:val="both"/>
        <w:rPr>
          <w:rFonts w:ascii="Arial" w:eastAsia="Calibri" w:hAnsi="Arial" w:cs="Arial"/>
        </w:rPr>
      </w:pPr>
    </w:p>
    <w:p w:rsidR="00050B1D" w:rsidRDefault="003C7742">
      <w:pPr>
        <w:tabs>
          <w:tab w:val="left" w:pos="922"/>
        </w:tabs>
        <w:rPr>
          <w:rFonts w:ascii="Arial" w:eastAsia="Calibri" w:hAnsi="Arial" w:cs="Arial"/>
          <w:b/>
          <w:sz w:val="22"/>
          <w:szCs w:val="22"/>
        </w:rPr>
      </w:pPr>
      <w:r>
        <w:rPr>
          <w:rFonts w:ascii="Arial" w:eastAsia="Calibri" w:hAnsi="Arial" w:cs="Arial"/>
          <w:b/>
          <w:sz w:val="22"/>
          <w:szCs w:val="22"/>
        </w:rPr>
        <w:t>2.3 Behavioral Economics a</w:t>
      </w:r>
      <w:r>
        <w:rPr>
          <w:rFonts w:ascii="Arial" w:eastAsia="Calibri" w:hAnsi="Arial" w:cs="Arial"/>
          <w:b/>
          <w:sz w:val="22"/>
          <w:szCs w:val="22"/>
        </w:rPr>
        <w:t>nd Cognitive Bias in Sustainable Decision making</w:t>
      </w:r>
    </w:p>
    <w:p w:rsidR="00050B1D" w:rsidRDefault="003C7742">
      <w:pPr>
        <w:tabs>
          <w:tab w:val="left" w:pos="922"/>
        </w:tabs>
        <w:spacing w:line="360" w:lineRule="auto"/>
        <w:jc w:val="both"/>
        <w:rPr>
          <w:rFonts w:ascii="Arial" w:eastAsia="Calibri" w:hAnsi="Arial" w:cs="Arial"/>
        </w:rPr>
      </w:pPr>
      <w:r>
        <w:rPr>
          <w:rFonts w:ascii="Arial" w:eastAsia="Calibri" w:hAnsi="Arial" w:cs="Arial"/>
        </w:rPr>
        <w:t>Behavioral economics can also provide more explanatory power to sustainable consumption. Loss aversion can put off adoption when green products are positioned as high initial costs (Tversky and Kahneman, 197</w:t>
      </w:r>
      <w:r>
        <w:rPr>
          <w:rFonts w:ascii="Arial" w:eastAsia="Calibri" w:hAnsi="Arial" w:cs="Arial"/>
        </w:rPr>
        <w:t xml:space="preserve">4). Present bias minimizes the readiness to make a financial </w:t>
      </w:r>
      <w:r>
        <w:rPr>
          <w:rFonts w:ascii="Arial" w:eastAsia="Calibri" w:hAnsi="Arial" w:cs="Arial"/>
        </w:rPr>
        <w:lastRenderedPageBreak/>
        <w:t>loss in the short run in order to achieve environmental gain in the long term (Thaler &amp; Sunstein, 2008). Peer compliance is observable, which can also be a strong mechanism of social norm activat</w:t>
      </w:r>
      <w:r>
        <w:rPr>
          <w:rFonts w:ascii="Arial" w:eastAsia="Calibri" w:hAnsi="Arial" w:cs="Arial"/>
        </w:rPr>
        <w:t>ion to promote the success of pro environmental behavior (Cialdini, 2009; White et al., 2019).</w:t>
      </w:r>
    </w:p>
    <w:p w:rsidR="00050B1D" w:rsidRDefault="003C7742">
      <w:pPr>
        <w:tabs>
          <w:tab w:val="left" w:pos="922"/>
        </w:tabs>
        <w:spacing w:line="360" w:lineRule="auto"/>
        <w:jc w:val="both"/>
        <w:rPr>
          <w:rFonts w:ascii="Arial" w:eastAsia="Calibri" w:hAnsi="Arial" w:cs="Arial"/>
        </w:rPr>
      </w:pPr>
      <w:r>
        <w:rPr>
          <w:rFonts w:ascii="Arial" w:eastAsia="Calibri" w:hAnsi="Arial" w:cs="Arial"/>
        </w:rPr>
        <w:t>Nudging interventions have been shown by recent experimental studies to boost sustainable behavior in situations where the default option or framing mechanism is</w:t>
      </w:r>
      <w:r>
        <w:rPr>
          <w:rFonts w:ascii="Arial" w:eastAsia="Calibri" w:hAnsi="Arial" w:cs="Arial"/>
        </w:rPr>
        <w:t xml:space="preserve"> strategically implemented (Sunstein, 2020). However, numerous prodding mechanisms are at the superficial behavioral levels without evoking the complex neuropsychological and emotional mechanisms that promote change in the long run.</w:t>
      </w:r>
    </w:p>
    <w:p w:rsidR="00050B1D" w:rsidRDefault="003C7742">
      <w:pPr>
        <w:tabs>
          <w:tab w:val="left" w:pos="922"/>
        </w:tabs>
        <w:spacing w:line="360" w:lineRule="auto"/>
        <w:jc w:val="both"/>
        <w:rPr>
          <w:rFonts w:ascii="Arial" w:eastAsia="Calibri" w:hAnsi="Arial" w:cs="Arial"/>
        </w:rPr>
      </w:pPr>
      <w:r>
        <w:rPr>
          <w:rFonts w:ascii="Arial" w:eastAsia="Calibri" w:hAnsi="Arial" w:cs="Arial"/>
        </w:rPr>
        <w:t>Therefore, although beh</w:t>
      </w:r>
      <w:r>
        <w:rPr>
          <w:rFonts w:ascii="Arial" w:eastAsia="Calibri" w:hAnsi="Arial" w:cs="Arial"/>
        </w:rPr>
        <w:t xml:space="preserve">avioral economics contributes to understanding bias-based decisions, it is still incompletely incorporated in the research of </w:t>
      </w:r>
      <w:r>
        <w:rPr>
          <w:rFonts w:ascii="Arial" w:eastAsia="Calibri" w:hAnsi="Arial" w:cs="Arial"/>
        </w:rPr>
        <w:t>Neuromarketing</w:t>
      </w:r>
      <w:r>
        <w:rPr>
          <w:rFonts w:ascii="Arial" w:eastAsia="Calibri" w:hAnsi="Arial" w:cs="Arial"/>
        </w:rPr>
        <w:t xml:space="preserve"> in sustainability studies.</w:t>
      </w:r>
    </w:p>
    <w:p w:rsidR="00050B1D" w:rsidRDefault="00050B1D">
      <w:pPr>
        <w:tabs>
          <w:tab w:val="left" w:pos="922"/>
        </w:tabs>
        <w:spacing w:line="360" w:lineRule="auto"/>
        <w:jc w:val="both"/>
        <w:rPr>
          <w:rFonts w:ascii="Arial" w:eastAsia="Calibri" w:hAnsi="Arial" w:cs="Arial"/>
        </w:rPr>
      </w:pPr>
    </w:p>
    <w:p w:rsidR="00050B1D" w:rsidRDefault="003C7742">
      <w:pPr>
        <w:tabs>
          <w:tab w:val="left" w:pos="922"/>
        </w:tabs>
        <w:rPr>
          <w:rFonts w:ascii="Arial" w:eastAsia="Calibri" w:hAnsi="Arial" w:cs="Arial"/>
          <w:b/>
          <w:sz w:val="22"/>
          <w:szCs w:val="22"/>
        </w:rPr>
      </w:pPr>
      <w:r>
        <w:rPr>
          <w:rFonts w:ascii="Arial" w:eastAsia="Calibri" w:hAnsi="Arial" w:cs="Arial"/>
          <w:b/>
          <w:sz w:val="22"/>
          <w:szCs w:val="22"/>
        </w:rPr>
        <w:t>2.4 Emerging Market Sustainability Context</w:t>
      </w:r>
    </w:p>
    <w:p w:rsidR="00050B1D" w:rsidRDefault="003C7742">
      <w:pPr>
        <w:tabs>
          <w:tab w:val="left" w:pos="922"/>
        </w:tabs>
        <w:spacing w:line="360" w:lineRule="auto"/>
        <w:jc w:val="both"/>
        <w:rPr>
          <w:rFonts w:ascii="Arial" w:eastAsia="Calibri" w:hAnsi="Arial" w:cs="Arial"/>
        </w:rPr>
      </w:pPr>
      <w:r>
        <w:rPr>
          <w:rFonts w:ascii="Arial" w:eastAsia="Calibri" w:hAnsi="Arial" w:cs="Arial"/>
        </w:rPr>
        <w:t>In the emerging markets, the structural limi</w:t>
      </w:r>
      <w:r>
        <w:rPr>
          <w:rFonts w:ascii="Arial" w:eastAsia="Calibri" w:hAnsi="Arial" w:cs="Arial"/>
        </w:rPr>
        <w:t>tations, institutional voids, and sociocultural norms influence sustainable consumption (Khanna and Palepu, 2010; Meyer and Peng, 2016). When the institutional enforcement mechanisms are weak, consumers tend to use trust heuristics, communal signaling as w</w:t>
      </w:r>
      <w:r>
        <w:rPr>
          <w:rFonts w:ascii="Arial" w:eastAsia="Calibri" w:hAnsi="Arial" w:cs="Arial"/>
        </w:rPr>
        <w:t>ell as experiential validation.</w:t>
      </w:r>
    </w:p>
    <w:p w:rsidR="00050B1D" w:rsidRDefault="003C7742">
      <w:pPr>
        <w:tabs>
          <w:tab w:val="left" w:pos="922"/>
        </w:tabs>
        <w:spacing w:line="360" w:lineRule="auto"/>
        <w:jc w:val="both"/>
        <w:rPr>
          <w:rFonts w:ascii="Arial" w:eastAsia="Calibri" w:hAnsi="Arial" w:cs="Arial"/>
        </w:rPr>
      </w:pPr>
      <w:r>
        <w:rPr>
          <w:rFonts w:ascii="Arial" w:eastAsia="Calibri" w:hAnsi="Arial" w:cs="Arial"/>
        </w:rPr>
        <w:t>The sustainability changes in the developing economies need behaviorally informed interventions instead of regulatory requirements (Nielsen et al., 2021). Consequently, a comprehensive framework involving a combination of ne</w:t>
      </w:r>
      <w:r>
        <w:rPr>
          <w:rFonts w:ascii="Arial" w:eastAsia="Calibri" w:hAnsi="Arial" w:cs="Arial"/>
        </w:rPr>
        <w:t>urocognitive activation and contextual behavioral constraints is required to elucidate the adoption of green in those conditions.</w:t>
      </w:r>
    </w:p>
    <w:p w:rsidR="00050B1D" w:rsidRDefault="003C7742">
      <w:pPr>
        <w:tabs>
          <w:tab w:val="left" w:pos="922"/>
        </w:tabs>
        <w:spacing w:line="360" w:lineRule="auto"/>
        <w:jc w:val="both"/>
        <w:rPr>
          <w:rFonts w:ascii="Arial" w:eastAsia="Calibri" w:hAnsi="Arial" w:cs="Arial"/>
        </w:rPr>
      </w:pPr>
      <w:r>
        <w:rPr>
          <w:rFonts w:ascii="Arial" w:eastAsia="Calibri" w:hAnsi="Arial" w:cs="Arial"/>
        </w:rPr>
        <w:t>Within the GBM these sociocultural and structural conditions are considered as factors of the boundary that influence the inte</w:t>
      </w:r>
      <w:r>
        <w:rPr>
          <w:rFonts w:ascii="Arial" w:eastAsia="Calibri" w:hAnsi="Arial" w:cs="Arial"/>
        </w:rPr>
        <w:t>nsity and possibility of stage advancement as opposed to a component of the inner decision mechanism.</w:t>
      </w:r>
    </w:p>
    <w:p w:rsidR="00050B1D" w:rsidRDefault="003C7742">
      <w:pPr>
        <w:tabs>
          <w:tab w:val="left" w:pos="922"/>
        </w:tabs>
        <w:spacing w:line="360" w:lineRule="auto"/>
        <w:jc w:val="both"/>
        <w:rPr>
          <w:rFonts w:ascii="Arial" w:eastAsia="Calibri" w:hAnsi="Arial" w:cs="Arial"/>
        </w:rPr>
      </w:pPr>
      <w:r>
        <w:rPr>
          <w:rFonts w:ascii="Arial" w:eastAsia="Calibri" w:hAnsi="Arial" w:cs="Arial"/>
        </w:rPr>
        <w:t>These situational attributes increase the significance of the behavioral and psychological processes in consumer decision making. Innovations and uncertai</w:t>
      </w:r>
      <w:r>
        <w:rPr>
          <w:rFonts w:ascii="Arial" w:eastAsia="Calibri" w:hAnsi="Arial" w:cs="Arial"/>
        </w:rPr>
        <w:t>nties among institutions, income stability, and trust asymmetries in the emerging countries lead to increased dependence on heuristic decision making, emotional reassurance, and identity signaling in the evaluation of new types of products like green optio</w:t>
      </w:r>
      <w:r>
        <w:rPr>
          <w:rFonts w:ascii="Arial" w:eastAsia="Calibri" w:hAnsi="Arial" w:cs="Arial"/>
        </w:rPr>
        <w:t>ns. In turn, it is especially relevant in a new market context to learn the neurobehavioral mechanisms that can make consumption sustainable.</w:t>
      </w: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 </w:t>
      </w:r>
    </w:p>
    <w:p w:rsidR="00050B1D" w:rsidRDefault="003C7742">
      <w:pPr>
        <w:tabs>
          <w:tab w:val="left" w:pos="922"/>
        </w:tabs>
        <w:rPr>
          <w:rFonts w:ascii="Arial" w:eastAsia="Calibri" w:hAnsi="Arial" w:cs="Arial"/>
          <w:b/>
          <w:sz w:val="22"/>
          <w:szCs w:val="22"/>
        </w:rPr>
      </w:pPr>
      <w:r>
        <w:rPr>
          <w:rFonts w:ascii="Arial" w:eastAsia="Calibri" w:hAnsi="Arial" w:cs="Arial"/>
          <w:b/>
          <w:sz w:val="22"/>
          <w:szCs w:val="22"/>
        </w:rPr>
        <w:t>2.5 Stimulus Organism Response (SOR) Perspective in Consumer Behavior</w:t>
      </w:r>
    </w:p>
    <w:p w:rsidR="00050B1D" w:rsidRDefault="003C7742">
      <w:pPr>
        <w:tabs>
          <w:tab w:val="left" w:pos="922"/>
        </w:tabs>
        <w:spacing w:line="360" w:lineRule="auto"/>
        <w:jc w:val="both"/>
        <w:rPr>
          <w:rFonts w:ascii="Arial" w:eastAsia="Calibri" w:hAnsi="Arial" w:cs="Arial"/>
        </w:rPr>
      </w:pPr>
      <w:r>
        <w:rPr>
          <w:rFonts w:ascii="Arial" w:eastAsia="Calibri" w:hAnsi="Arial" w:cs="Arial"/>
        </w:rPr>
        <w:lastRenderedPageBreak/>
        <w:t>SOR framework is a form of background over</w:t>
      </w:r>
      <w:r>
        <w:rPr>
          <w:rFonts w:ascii="Arial" w:eastAsia="Calibri" w:hAnsi="Arial" w:cs="Arial"/>
        </w:rPr>
        <w:t xml:space="preserve"> which the interaction of environmental stimuli on consumer behavior is explained. The SOR model, introduced originally in the environmental psychology (Mehrabian and Russell, 1974), postulates the impact between external stimuli (S) and internal psycholog</w:t>
      </w:r>
      <w:r>
        <w:rPr>
          <w:rFonts w:ascii="Arial" w:eastAsia="Calibri" w:hAnsi="Arial" w:cs="Arial"/>
        </w:rPr>
        <w:t>ical states in the organism (O), which in turn produce behavioral responses (R). This framework has been widely used in the marketing and consumer behavior studies to understand the effect of marketing cues, store setting and message communications on cons</w:t>
      </w:r>
      <w:r>
        <w:rPr>
          <w:rFonts w:ascii="Arial" w:eastAsia="Calibri" w:hAnsi="Arial" w:cs="Arial"/>
        </w:rPr>
        <w:t>umer attitudes and purchasing behavior (Donovan and Rossiter, 1982; Jacoby, 2002).</w:t>
      </w:r>
    </w:p>
    <w:p w:rsidR="00050B1D" w:rsidRDefault="003C7742">
      <w:pPr>
        <w:tabs>
          <w:tab w:val="left" w:pos="922"/>
        </w:tabs>
        <w:spacing w:line="360" w:lineRule="auto"/>
        <w:jc w:val="both"/>
        <w:rPr>
          <w:rFonts w:ascii="Arial" w:eastAsia="Calibri" w:hAnsi="Arial" w:cs="Arial"/>
        </w:rPr>
      </w:pPr>
      <w:r>
        <w:rPr>
          <w:rFonts w:ascii="Arial" w:eastAsia="Calibri" w:hAnsi="Arial" w:cs="Arial"/>
        </w:rPr>
        <w:t>In sustainability studies, green marketing messages, eco labels and environmental framing can be conceptualized as external stimulus which induces internal psychological pro</w:t>
      </w:r>
      <w:r>
        <w:rPr>
          <w:rFonts w:ascii="Arial" w:eastAsia="Calibri" w:hAnsi="Arial" w:cs="Arial"/>
        </w:rPr>
        <w:t>cessing and leads to the occurrence of behavior. The majority of usages of the SOR framework, yet, use the organism part as a simplified construct, in the form of attitudes, feelings, or perceptions. Modern consumer studies are also more inclined to believ</w:t>
      </w:r>
      <w:r>
        <w:rPr>
          <w:rFonts w:ascii="Arial" w:eastAsia="Calibri" w:hAnsi="Arial" w:cs="Arial"/>
        </w:rPr>
        <w:t>e that the internal processing processes can include several cognitive and affective steps instead of one psychological state (Vieira, 2013).</w:t>
      </w:r>
    </w:p>
    <w:p w:rsidR="00050B1D" w:rsidRDefault="003C7742">
      <w:pPr>
        <w:tabs>
          <w:tab w:val="left" w:pos="922"/>
        </w:tabs>
        <w:spacing w:line="360" w:lineRule="auto"/>
        <w:jc w:val="both"/>
        <w:rPr>
          <w:rFonts w:ascii="Arial" w:eastAsia="Calibri" w:hAnsi="Arial" w:cs="Arial"/>
        </w:rPr>
      </w:pPr>
      <w:r>
        <w:rPr>
          <w:rFonts w:ascii="Arial" w:eastAsia="Calibri" w:hAnsi="Arial" w:cs="Arial"/>
        </w:rPr>
        <w:t>Expanding on this view, the Green Brain Model breaks down the organism stage to include a neurobehavioral sequence</w:t>
      </w:r>
      <w:r>
        <w:rPr>
          <w:rFonts w:ascii="Arial" w:eastAsia="Calibri" w:hAnsi="Arial" w:cs="Arial"/>
        </w:rPr>
        <w:t>, consisting of sensory attention, emotional involvement, cognitive bias processing, memory consolidation and identity integration and behavioral execution. Structural feasibility conditions, which include affordability, availability and institutional trus</w:t>
      </w:r>
      <w:r>
        <w:rPr>
          <w:rFonts w:ascii="Arial" w:eastAsia="Calibri" w:hAnsi="Arial" w:cs="Arial"/>
        </w:rPr>
        <w:t xml:space="preserve">t, in emerging market situations, act as boundary conditions in determining whether the </w:t>
      </w:r>
      <w:proofErr w:type="gramStart"/>
      <w:r>
        <w:rPr>
          <w:rFonts w:ascii="Arial" w:eastAsia="Calibri" w:hAnsi="Arial" w:cs="Arial"/>
        </w:rPr>
        <w:t>identity based</w:t>
      </w:r>
      <w:proofErr w:type="gramEnd"/>
      <w:r>
        <w:rPr>
          <w:rFonts w:ascii="Arial" w:eastAsia="Calibri" w:hAnsi="Arial" w:cs="Arial"/>
        </w:rPr>
        <w:t xml:space="preserve"> motivation eventually results into sustainable consumption behavior.</w:t>
      </w:r>
    </w:p>
    <w:p w:rsidR="00050B1D" w:rsidRDefault="003C7742">
      <w:pPr>
        <w:tabs>
          <w:tab w:val="left" w:pos="922"/>
        </w:tabs>
        <w:spacing w:line="360" w:lineRule="auto"/>
        <w:jc w:val="both"/>
        <w:rPr>
          <w:rFonts w:ascii="Arial" w:eastAsia="Calibri" w:hAnsi="Arial" w:cs="Arial"/>
        </w:rPr>
      </w:pPr>
      <w:r>
        <w:rPr>
          <w:rFonts w:ascii="Arial" w:eastAsia="Calibri" w:hAnsi="Arial" w:cs="Arial"/>
        </w:rPr>
        <w:t>Although the S-O-R model offers a general account of the mechanisms through which en</w:t>
      </w:r>
      <w:r>
        <w:rPr>
          <w:rFonts w:ascii="Arial" w:eastAsia="Calibri" w:hAnsi="Arial" w:cs="Arial"/>
        </w:rPr>
        <w:t>vironmental stimuli shape behavioral reactions, it fails to describe the cognitive-affective chain through which the phenomenon of sustainable behavior occurs. The Green Brain Model follows the tradition of the above-mentioned theories by offering a neurob</w:t>
      </w:r>
      <w:r>
        <w:rPr>
          <w:rFonts w:ascii="Arial" w:eastAsia="Calibri" w:hAnsi="Arial" w:cs="Arial"/>
        </w:rPr>
        <w:t>ehavioral chain from attentional salience, emotional engagement, cognitive biases, consolidation of identity, to behavioral execution. In this way, the model moves beyond the simplistic organismic constructs by offering a cognitive chain for the phenomenon</w:t>
      </w:r>
      <w:r>
        <w:rPr>
          <w:rFonts w:ascii="Arial" w:eastAsia="Calibri" w:hAnsi="Arial" w:cs="Arial"/>
        </w:rPr>
        <w:t xml:space="preserve"> of sustainable behavior in emerging markets.</w:t>
      </w:r>
    </w:p>
    <w:p w:rsidR="00050B1D" w:rsidRDefault="00050B1D">
      <w:pPr>
        <w:pStyle w:val="Body"/>
        <w:spacing w:after="0"/>
        <w:rPr>
          <w:rFonts w:ascii="Arial" w:hAnsi="Arial" w:cs="Arial"/>
        </w:rPr>
      </w:pPr>
    </w:p>
    <w:p w:rsidR="00050B1D" w:rsidRDefault="00050B1D">
      <w:pPr>
        <w:pStyle w:val="Body"/>
        <w:spacing w:after="0"/>
        <w:rPr>
          <w:rFonts w:ascii="Arial" w:hAnsi="Arial" w:cs="Arial"/>
        </w:rPr>
      </w:pPr>
    </w:p>
    <w:p w:rsidR="00050B1D" w:rsidRDefault="003C7742">
      <w:pPr>
        <w:tabs>
          <w:tab w:val="left" w:pos="922"/>
        </w:tabs>
        <w:spacing w:line="360" w:lineRule="auto"/>
        <w:jc w:val="both"/>
        <w:rPr>
          <w:rFonts w:ascii="Arial" w:eastAsia="Calibri" w:hAnsi="Arial" w:cs="Arial"/>
          <w:b/>
          <w:sz w:val="22"/>
          <w:szCs w:val="22"/>
        </w:rPr>
      </w:pPr>
      <w:r>
        <w:rPr>
          <w:rFonts w:ascii="Arial" w:hAnsi="Arial" w:cs="Arial"/>
          <w:b/>
          <w:sz w:val="22"/>
          <w:szCs w:val="22"/>
        </w:rPr>
        <w:t xml:space="preserve">3. </w:t>
      </w:r>
      <w:r>
        <w:rPr>
          <w:rFonts w:ascii="Arial" w:eastAsia="Calibri" w:hAnsi="Arial" w:cs="Arial"/>
          <w:b/>
          <w:sz w:val="22"/>
          <w:szCs w:val="22"/>
        </w:rPr>
        <w:t>PROBEMATIZATION AND ANALYTICAL GAP</w:t>
      </w:r>
    </w:p>
    <w:p w:rsidR="00050B1D" w:rsidRDefault="003C7742">
      <w:pPr>
        <w:tabs>
          <w:tab w:val="left" w:pos="922"/>
        </w:tabs>
        <w:spacing w:line="360" w:lineRule="auto"/>
        <w:jc w:val="both"/>
        <w:rPr>
          <w:rFonts w:ascii="Arial" w:hAnsi="Arial" w:cs="Arial"/>
        </w:rPr>
      </w:pPr>
      <w:r>
        <w:rPr>
          <w:rFonts w:ascii="Arial" w:hAnsi="Arial" w:cs="Arial"/>
        </w:rPr>
        <w:t xml:space="preserve">Despite the fact that each of the three (green marketing, behavioral economics, and </w:t>
      </w:r>
      <w:r>
        <w:rPr>
          <w:rFonts w:ascii="Arial" w:hAnsi="Arial" w:cs="Arial"/>
        </w:rPr>
        <w:t>Neuromarketing</w:t>
      </w:r>
      <w:r>
        <w:rPr>
          <w:rFonts w:ascii="Arial" w:hAnsi="Arial" w:cs="Arial"/>
        </w:rPr>
        <w:t>) brought insight to the table,</w:t>
      </w:r>
      <w:r>
        <w:rPr>
          <w:rFonts w:ascii="Arial" w:hAnsi="Arial" w:cs="Arial"/>
        </w:rPr>
        <w:t xml:space="preserve"> </w:t>
      </w:r>
      <w:r>
        <w:rPr>
          <w:rFonts w:ascii="Arial" w:hAnsi="Arial" w:cs="Arial"/>
        </w:rPr>
        <w:t xml:space="preserve">their explanatory contributions remain </w:t>
      </w:r>
      <w:r>
        <w:rPr>
          <w:rFonts w:ascii="Arial" w:hAnsi="Arial" w:cs="Arial"/>
        </w:rPr>
        <w:t>fragmented</w:t>
      </w:r>
      <w:r>
        <w:rPr>
          <w:rFonts w:ascii="Arial" w:hAnsi="Arial" w:cs="Arial"/>
        </w:rPr>
        <w:t>.</w:t>
      </w:r>
      <w:r>
        <w:rPr>
          <w:rFonts w:ascii="Arial" w:hAnsi="Arial" w:cs="Arial"/>
        </w:rPr>
        <w:t xml:space="preserve"> The literature streams show discrete aspects of sustainable consumption but do </w:t>
      </w:r>
      <w:r>
        <w:rPr>
          <w:rFonts w:ascii="Arial" w:hAnsi="Arial" w:cs="Arial"/>
        </w:rPr>
        <w:lastRenderedPageBreak/>
        <w:t>not provide an integrated process model that can explain the process of green behavior change emergence and stabilization in the new market conditions.</w:t>
      </w:r>
    </w:p>
    <w:p w:rsidR="00050B1D" w:rsidRDefault="003C7742">
      <w:pPr>
        <w:tabs>
          <w:tab w:val="left" w:pos="922"/>
        </w:tabs>
        <w:spacing w:line="360" w:lineRule="auto"/>
        <w:jc w:val="both"/>
        <w:rPr>
          <w:rFonts w:ascii="Arial" w:hAnsi="Arial" w:cs="Arial"/>
        </w:rPr>
      </w:pPr>
      <w:r>
        <w:rPr>
          <w:rFonts w:ascii="Arial" w:hAnsi="Arial" w:cs="Arial"/>
        </w:rPr>
        <w:t>The informati</w:t>
      </w:r>
      <w:r>
        <w:rPr>
          <w:rFonts w:ascii="Arial" w:hAnsi="Arial" w:cs="Arial"/>
        </w:rPr>
        <w:t>onal persuasion, Eco-labeling, and ethical positioning have long been traditionally considered as three primary aspects of green marketing scholarship (Polonsky, 1994; Peattie and Crane, 2005). Additional scholarly studies accept motivation framing and soc</w:t>
      </w:r>
      <w:r>
        <w:rPr>
          <w:rFonts w:ascii="Arial" w:hAnsi="Arial" w:cs="Arial"/>
        </w:rPr>
        <w:t>ial norm activation (White et al., 2019). But, these models are still cognition based and presuppose that consumers make an environmental tradeoff consciously.</w:t>
      </w:r>
      <w:r>
        <w:rPr>
          <w:rFonts w:ascii="Arial" w:hAnsi="Arial" w:cs="Arial"/>
        </w:rPr>
        <w:t xml:space="preserve"> </w:t>
      </w:r>
      <w:r>
        <w:rPr>
          <w:rFonts w:ascii="Arial" w:hAnsi="Arial" w:cs="Arial"/>
        </w:rPr>
        <w:t>There is limited theorization of subconscious affective activation, and neural salience, especia</w:t>
      </w:r>
      <w:r>
        <w:rPr>
          <w:rFonts w:ascii="Arial" w:hAnsi="Arial" w:cs="Arial"/>
        </w:rPr>
        <w:t>lly when it comes to the context of sustainability.</w:t>
      </w:r>
    </w:p>
    <w:p w:rsidR="00050B1D" w:rsidRDefault="003C7742">
      <w:pPr>
        <w:tabs>
          <w:tab w:val="left" w:pos="922"/>
        </w:tabs>
        <w:spacing w:line="360" w:lineRule="auto"/>
        <w:jc w:val="both"/>
        <w:rPr>
          <w:rFonts w:ascii="Arial" w:hAnsi="Arial" w:cs="Arial"/>
        </w:rPr>
      </w:pPr>
      <w:r>
        <w:rPr>
          <w:rFonts w:ascii="Arial" w:hAnsi="Arial" w:cs="Arial"/>
        </w:rPr>
        <w:t>Behavioral economics takes the debate further and singles out systematic biases in the form of loss aversion, present bias and status quo bias, which are used to derail sustainable decision making (Kahnem</w:t>
      </w:r>
      <w:r>
        <w:rPr>
          <w:rFonts w:ascii="Arial" w:hAnsi="Arial" w:cs="Arial"/>
        </w:rPr>
        <w:t xml:space="preserve">an, 2011; Thaler and Sunstein, 2008). Nudging frameworks are trying to overcome these biases (Sunstein, 2020). However, the majority of behavioral interventions are targeting the modification of the choice architecture and no model of emotional processing </w:t>
      </w:r>
      <w:r>
        <w:rPr>
          <w:rFonts w:ascii="Arial" w:hAnsi="Arial" w:cs="Arial"/>
        </w:rPr>
        <w:t>or identity formation processes.</w:t>
      </w:r>
    </w:p>
    <w:p w:rsidR="00050B1D" w:rsidRDefault="003C7742">
      <w:pPr>
        <w:tabs>
          <w:tab w:val="left" w:pos="922"/>
        </w:tabs>
        <w:spacing w:line="360" w:lineRule="auto"/>
        <w:jc w:val="both"/>
        <w:rPr>
          <w:rFonts w:ascii="Arial" w:hAnsi="Arial" w:cs="Arial"/>
        </w:rPr>
      </w:pPr>
      <w:r>
        <w:rPr>
          <w:rFonts w:ascii="Arial" w:hAnsi="Arial" w:cs="Arial"/>
        </w:rPr>
        <w:t xml:space="preserve">The results of </w:t>
      </w:r>
      <w:r>
        <w:rPr>
          <w:rFonts w:ascii="Arial" w:hAnsi="Arial" w:cs="Arial"/>
        </w:rPr>
        <w:t>Neuromarketing</w:t>
      </w:r>
      <w:r>
        <w:rPr>
          <w:rFonts w:ascii="Arial" w:hAnsi="Arial" w:cs="Arial"/>
        </w:rPr>
        <w:t xml:space="preserve"> research prove that emotional arousal, anticipation of the reward, and identity activation are strong factors that impact consumer behavior (</w:t>
      </w:r>
      <w:proofErr w:type="spellStart"/>
      <w:r>
        <w:rPr>
          <w:rFonts w:ascii="Arial" w:hAnsi="Arial" w:cs="Arial"/>
        </w:rPr>
        <w:t>Plassmann</w:t>
      </w:r>
      <w:proofErr w:type="spellEnd"/>
      <w:r>
        <w:rPr>
          <w:rFonts w:ascii="Arial" w:hAnsi="Arial" w:cs="Arial"/>
        </w:rPr>
        <w:t xml:space="preserve"> et al., 2015; Venkatraman et al., 2015). Y</w:t>
      </w:r>
      <w:r>
        <w:rPr>
          <w:rFonts w:ascii="Arial" w:hAnsi="Arial" w:cs="Arial"/>
        </w:rPr>
        <w:t>et, this is the literature that is more performance oriented and is hardly used in sustainability transitions. Also, it has a weak link with behavioral economics.</w:t>
      </w:r>
    </w:p>
    <w:p w:rsidR="00050B1D" w:rsidRDefault="003C7742">
      <w:pPr>
        <w:tabs>
          <w:tab w:val="left" w:pos="922"/>
        </w:tabs>
        <w:spacing w:line="360" w:lineRule="auto"/>
        <w:jc w:val="both"/>
        <w:rPr>
          <w:rFonts w:ascii="Arial" w:hAnsi="Arial" w:cs="Arial"/>
        </w:rPr>
      </w:pPr>
      <w:r>
        <w:rPr>
          <w:rFonts w:ascii="Arial" w:hAnsi="Arial" w:cs="Arial"/>
        </w:rPr>
        <w:t>The literature on emerging markets emphasizes institutional gaps and trust asymmetric and soc</w:t>
      </w:r>
      <w:r>
        <w:rPr>
          <w:rFonts w:ascii="Arial" w:hAnsi="Arial" w:cs="Arial"/>
        </w:rPr>
        <w:t>iocultural norms in influencing consumer risk perception (Khanna and Palepu, 2010; Meyer and Peng, 2016). But, these macro level analyses fail to describe the neurocognitive processes at the microlevel, in which sustainability decisions are reflected. This</w:t>
      </w:r>
      <w:r>
        <w:rPr>
          <w:rFonts w:ascii="Arial" w:hAnsi="Arial" w:cs="Arial"/>
        </w:rPr>
        <w:t xml:space="preserve"> theoretical gap is the central issue of the problem, thus, in the lack of cohesive neurobehavioral framework that incorporates:</w:t>
      </w:r>
    </w:p>
    <w:p w:rsidR="00050B1D" w:rsidRDefault="003C7742">
      <w:pPr>
        <w:pStyle w:val="ListParagraph"/>
        <w:numPr>
          <w:ilvl w:val="0"/>
          <w:numId w:val="2"/>
        </w:numPr>
        <w:tabs>
          <w:tab w:val="left" w:pos="922"/>
        </w:tabs>
        <w:spacing w:after="0" w:line="360" w:lineRule="auto"/>
        <w:jc w:val="both"/>
        <w:rPr>
          <w:rFonts w:ascii="Arial" w:hAnsi="Arial" w:cs="Arial"/>
          <w:sz w:val="20"/>
          <w:szCs w:val="20"/>
        </w:rPr>
      </w:pPr>
      <w:r>
        <w:rPr>
          <w:rFonts w:ascii="Arial" w:hAnsi="Arial" w:cs="Arial"/>
          <w:sz w:val="20"/>
          <w:szCs w:val="20"/>
        </w:rPr>
        <w:t>Neuromarketing</w:t>
      </w:r>
      <w:r>
        <w:rPr>
          <w:rFonts w:ascii="Arial" w:hAnsi="Arial" w:cs="Arial"/>
          <w:sz w:val="20"/>
          <w:szCs w:val="20"/>
        </w:rPr>
        <w:t xml:space="preserve"> Subconscious emotional activation,</w:t>
      </w:r>
    </w:p>
    <w:p w:rsidR="00050B1D" w:rsidRDefault="003C7742">
      <w:pPr>
        <w:pStyle w:val="ListParagraph"/>
        <w:numPr>
          <w:ilvl w:val="0"/>
          <w:numId w:val="2"/>
        </w:numPr>
        <w:tabs>
          <w:tab w:val="left" w:pos="922"/>
        </w:tabs>
        <w:spacing w:after="0" w:line="360" w:lineRule="auto"/>
        <w:jc w:val="both"/>
        <w:rPr>
          <w:rFonts w:ascii="Arial" w:hAnsi="Arial" w:cs="Arial"/>
          <w:sz w:val="20"/>
          <w:szCs w:val="20"/>
        </w:rPr>
      </w:pPr>
      <w:r>
        <w:rPr>
          <w:rFonts w:ascii="Arial" w:hAnsi="Arial" w:cs="Arial"/>
          <w:sz w:val="20"/>
          <w:szCs w:val="20"/>
        </w:rPr>
        <w:t>Filtering behavioral economics, cognitive bias.</w:t>
      </w:r>
    </w:p>
    <w:p w:rsidR="00050B1D" w:rsidRDefault="003C7742">
      <w:pPr>
        <w:pStyle w:val="ListParagraph"/>
        <w:numPr>
          <w:ilvl w:val="0"/>
          <w:numId w:val="2"/>
        </w:numPr>
        <w:tabs>
          <w:tab w:val="left" w:pos="922"/>
        </w:tabs>
        <w:spacing w:after="0" w:line="360" w:lineRule="auto"/>
        <w:jc w:val="both"/>
        <w:rPr>
          <w:rFonts w:ascii="Arial" w:hAnsi="Arial" w:cs="Arial"/>
        </w:rPr>
      </w:pPr>
      <w:r>
        <w:rPr>
          <w:rFonts w:ascii="Arial" w:hAnsi="Arial" w:cs="Arial"/>
          <w:sz w:val="20"/>
          <w:szCs w:val="20"/>
        </w:rPr>
        <w:t>Formation of identity process</w:t>
      </w:r>
      <w:r>
        <w:rPr>
          <w:rFonts w:ascii="Arial" w:hAnsi="Arial" w:cs="Arial"/>
          <w:sz w:val="20"/>
          <w:szCs w:val="20"/>
        </w:rPr>
        <w:t>es,</w:t>
      </w:r>
    </w:p>
    <w:p w:rsidR="00050B1D" w:rsidRDefault="003C7742">
      <w:pPr>
        <w:pStyle w:val="ListParagraph"/>
        <w:numPr>
          <w:ilvl w:val="0"/>
          <w:numId w:val="2"/>
        </w:numPr>
        <w:tabs>
          <w:tab w:val="left" w:pos="922"/>
        </w:tabs>
        <w:spacing w:after="0" w:line="360" w:lineRule="auto"/>
        <w:jc w:val="both"/>
        <w:rPr>
          <w:rFonts w:ascii="Arial" w:hAnsi="Arial" w:cs="Arial"/>
          <w:sz w:val="20"/>
          <w:szCs w:val="20"/>
        </w:rPr>
      </w:pPr>
      <w:r>
        <w:rPr>
          <w:rFonts w:ascii="Arial" w:hAnsi="Arial" w:cs="Arial"/>
          <w:sz w:val="20"/>
          <w:szCs w:val="20"/>
        </w:rPr>
        <w:t>Institutional constraints within emerging market contexts</w:t>
      </w:r>
    </w:p>
    <w:p w:rsidR="00050B1D" w:rsidRDefault="00050B1D">
      <w:pPr>
        <w:pStyle w:val="ListParagraph"/>
        <w:tabs>
          <w:tab w:val="left" w:pos="922"/>
        </w:tabs>
        <w:spacing w:after="0" w:line="360" w:lineRule="auto"/>
        <w:ind w:left="360"/>
        <w:jc w:val="both"/>
        <w:rPr>
          <w:rFonts w:ascii="Arial" w:hAnsi="Arial" w:cs="Arial"/>
        </w:rPr>
      </w:pPr>
    </w:p>
    <w:p w:rsidR="00050B1D" w:rsidRDefault="003C7742">
      <w:pPr>
        <w:tabs>
          <w:tab w:val="left" w:pos="922"/>
        </w:tabs>
        <w:spacing w:line="360" w:lineRule="auto"/>
        <w:jc w:val="both"/>
        <w:rPr>
          <w:rFonts w:ascii="Arial" w:hAnsi="Arial" w:cs="Arial"/>
        </w:rPr>
      </w:pPr>
      <w:r>
        <w:rPr>
          <w:rFonts w:ascii="Arial" w:hAnsi="Arial" w:cs="Arial"/>
        </w:rPr>
        <w:t xml:space="preserve">Devoid of such integration, sustainable consumption can still be described as a rational failure of persuasion, a challenge of bias correction or an emotional influence phenomenon instead of a </w:t>
      </w:r>
      <w:r>
        <w:rPr>
          <w:rFonts w:ascii="Arial" w:hAnsi="Arial" w:cs="Arial"/>
        </w:rPr>
        <w:t>multistage neuropsychological mechanism, conditioned by structural factors.</w:t>
      </w:r>
    </w:p>
    <w:p w:rsidR="00050B1D" w:rsidRDefault="00050B1D">
      <w:pPr>
        <w:tabs>
          <w:tab w:val="left" w:pos="922"/>
        </w:tabs>
        <w:spacing w:line="360" w:lineRule="auto"/>
        <w:jc w:val="both"/>
        <w:rPr>
          <w:rFonts w:ascii="Arial" w:hAnsi="Arial" w:cs="Arial"/>
          <w:b/>
        </w:rPr>
      </w:pPr>
    </w:p>
    <w:p w:rsidR="00050B1D" w:rsidRDefault="003C7742">
      <w:pPr>
        <w:tabs>
          <w:tab w:val="left" w:pos="922"/>
        </w:tabs>
        <w:spacing w:line="360" w:lineRule="auto"/>
        <w:jc w:val="both"/>
        <w:rPr>
          <w:rFonts w:ascii="Arial" w:hAnsi="Arial" w:cs="Arial"/>
          <w:b/>
          <w:bCs/>
        </w:rPr>
      </w:pPr>
      <w:r>
        <w:rPr>
          <w:rFonts w:ascii="Arial" w:hAnsi="Arial" w:cs="Arial"/>
          <w:b/>
          <w:bCs/>
        </w:rPr>
        <w:lastRenderedPageBreak/>
        <w:t>3.1 Practical and Managerial Gap:</w:t>
      </w:r>
    </w:p>
    <w:p w:rsidR="00050B1D" w:rsidRDefault="003C7742">
      <w:pPr>
        <w:tabs>
          <w:tab w:val="left" w:pos="922"/>
        </w:tabs>
        <w:spacing w:line="360" w:lineRule="auto"/>
        <w:jc w:val="both"/>
        <w:rPr>
          <w:rFonts w:ascii="Arial" w:hAnsi="Arial" w:cs="Arial"/>
        </w:rPr>
      </w:pPr>
      <w:r>
        <w:rPr>
          <w:rFonts w:ascii="Arial" w:hAnsi="Arial" w:cs="Arial"/>
        </w:rPr>
        <w:t>Practically, companies and policymakers still depend on informational campaigns and superficial nudges, though the accumulating evidence prove th</w:t>
      </w:r>
      <w:r>
        <w:rPr>
          <w:rFonts w:ascii="Arial" w:hAnsi="Arial" w:cs="Arial"/>
        </w:rPr>
        <w:t>at emotional salience and identity incorporation are the key factors that cause long lasting behavior change (White et al., 2019; Nielsen et al., 2021). Such lack of correspondence between behavioral science fact and applied green marketing practice has le</w:t>
      </w:r>
      <w:r>
        <w:rPr>
          <w:rFonts w:ascii="Arial" w:hAnsi="Arial" w:cs="Arial"/>
        </w:rPr>
        <w:t>d to the suspicion that a sophisticated framework is vital that can help in guiding emotionally sensitive, bias conscious, context sensitive sustainability policies.</w:t>
      </w:r>
    </w:p>
    <w:p w:rsidR="00050B1D" w:rsidRDefault="003C7742">
      <w:pPr>
        <w:tabs>
          <w:tab w:val="left" w:pos="922"/>
        </w:tabs>
        <w:spacing w:line="360" w:lineRule="auto"/>
        <w:jc w:val="both"/>
        <w:rPr>
          <w:rFonts w:ascii="Arial" w:hAnsi="Arial" w:cs="Arial"/>
        </w:rPr>
      </w:pPr>
      <w:r>
        <w:rPr>
          <w:rFonts w:ascii="Arial" w:hAnsi="Arial" w:cs="Arial"/>
        </w:rPr>
        <w:t>The Green Brain Model fills in this theoretical and practical gap through the provision of</w:t>
      </w:r>
      <w:r>
        <w:rPr>
          <w:rFonts w:ascii="Arial" w:hAnsi="Arial" w:cs="Arial"/>
        </w:rPr>
        <w:t xml:space="preserve"> a multistage neurobehavioral process, which incorporates sensory attention, emotional engagement, cognitive bias processing, memory consolidation and contextual moderation within emerging market sustainability environments. The five phases of the GBM are </w:t>
      </w:r>
      <w:r>
        <w:rPr>
          <w:rFonts w:ascii="Arial" w:hAnsi="Arial" w:cs="Arial"/>
        </w:rPr>
        <w:t xml:space="preserve">a mediational cognitive affective process whereby the green stimuli are translated into behavioral consequences. This internal mechanism does not include sociocultural and structural variables, but they can be understood as conditions of boundaries, which </w:t>
      </w:r>
      <w:r>
        <w:rPr>
          <w:rFonts w:ascii="Arial" w:hAnsi="Arial" w:cs="Arial"/>
        </w:rPr>
        <w:t>determine the practicality of interpreting identity integrated environmental motivation into practical sustainable consumption behavior.</w:t>
      </w:r>
    </w:p>
    <w:p w:rsidR="00050B1D" w:rsidRDefault="003C7742">
      <w:pPr>
        <w:tabs>
          <w:tab w:val="left" w:pos="922"/>
        </w:tabs>
        <w:spacing w:line="360" w:lineRule="auto"/>
        <w:jc w:val="both"/>
        <w:rPr>
          <w:rFonts w:ascii="Arial" w:hAnsi="Arial" w:cs="Arial"/>
        </w:rPr>
      </w:pPr>
      <w:r>
        <w:rPr>
          <w:rFonts w:ascii="Arial" w:hAnsi="Arial" w:cs="Arial"/>
        </w:rPr>
        <w:t>Table 1 synthesizes the main theoretical gaps and explains how the Green Brain Model can be used to take forward an int</w:t>
      </w:r>
      <w:r>
        <w:rPr>
          <w:rFonts w:ascii="Arial" w:hAnsi="Arial" w:cs="Arial"/>
        </w:rPr>
        <w:t xml:space="preserve">egrated multilevel description of sustainable consumption to synthesize the analytical fragmentation of green marketing, behavioral economics, </w:t>
      </w:r>
      <w:r>
        <w:rPr>
          <w:rFonts w:ascii="Arial" w:hAnsi="Arial" w:cs="Arial"/>
        </w:rPr>
        <w:t>Neuromarketing</w:t>
      </w:r>
      <w:r>
        <w:rPr>
          <w:rFonts w:ascii="Arial" w:hAnsi="Arial" w:cs="Arial"/>
        </w:rPr>
        <w:t>, and emerging market scholarship</w:t>
      </w:r>
    </w:p>
    <w:p w:rsidR="00050B1D" w:rsidRDefault="00050B1D">
      <w:pPr>
        <w:tabs>
          <w:tab w:val="left" w:pos="922"/>
        </w:tabs>
        <w:spacing w:line="360" w:lineRule="auto"/>
        <w:jc w:val="both"/>
        <w:rPr>
          <w:rFonts w:ascii="Arial" w:hAnsi="Arial" w:cs="Arial"/>
        </w:rPr>
      </w:pPr>
    </w:p>
    <w:p w:rsidR="00050B1D" w:rsidRDefault="003C7742">
      <w:pPr>
        <w:tabs>
          <w:tab w:val="left" w:pos="922"/>
        </w:tabs>
        <w:spacing w:line="360" w:lineRule="auto"/>
        <w:jc w:val="both"/>
        <w:rPr>
          <w:rFonts w:ascii="Arial" w:hAnsi="Arial" w:cs="Arial"/>
        </w:rPr>
      </w:pPr>
      <w:r>
        <w:rPr>
          <w:rFonts w:ascii="Arial" w:hAnsi="Arial" w:cs="Arial"/>
        </w:rPr>
        <w:t xml:space="preserve"> Table 1. </w:t>
      </w:r>
      <w:r>
        <w:rPr>
          <w:rFonts w:ascii="Arial" w:eastAsia="SimSun" w:hAnsi="Arial" w:cs="Arial"/>
          <w:b/>
          <w:sz w:val="22"/>
          <w:szCs w:val="22"/>
        </w:rPr>
        <w:t>Analytical Gaps in Existing Literature Streams and the</w:t>
      </w:r>
      <w:r>
        <w:rPr>
          <w:rFonts w:ascii="Arial" w:eastAsia="SimSun" w:hAnsi="Arial" w:cs="Arial"/>
          <w:b/>
          <w:sz w:val="22"/>
          <w:szCs w:val="22"/>
        </w:rPr>
        <w:t xml:space="preserve"> Integrative Contribution of the Green Brain Model (GBM).</w:t>
      </w:r>
    </w:p>
    <w:tbl>
      <w:tblPr>
        <w:tblStyle w:val="TableGrid"/>
        <w:tblW w:w="9356" w:type="dxa"/>
        <w:tblInd w:w="-176" w:type="dxa"/>
        <w:tblLayout w:type="fixed"/>
        <w:tblLook w:val="04A0" w:firstRow="1" w:lastRow="0" w:firstColumn="1" w:lastColumn="0" w:noHBand="0" w:noVBand="1"/>
      </w:tblPr>
      <w:tblGrid>
        <w:gridCol w:w="1564"/>
        <w:gridCol w:w="1985"/>
        <w:gridCol w:w="1697"/>
        <w:gridCol w:w="2268"/>
        <w:gridCol w:w="1842"/>
      </w:tblGrid>
      <w:tr w:rsidR="00050B1D">
        <w:trPr>
          <w:trHeight w:val="90"/>
        </w:trPr>
        <w:tc>
          <w:tcPr>
            <w:tcW w:w="1564"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Literature Stream</w:t>
            </w:r>
          </w:p>
        </w:tc>
        <w:tc>
          <w:tcPr>
            <w:tcW w:w="1985"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Core Focus (Representative Studies)</w:t>
            </w:r>
          </w:p>
        </w:tc>
        <w:tc>
          <w:tcPr>
            <w:tcW w:w="1697"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Key Limitation</w:t>
            </w:r>
          </w:p>
        </w:tc>
        <w:tc>
          <w:tcPr>
            <w:tcW w:w="2268"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Analytical Gap</w:t>
            </w:r>
          </w:p>
        </w:tc>
        <w:tc>
          <w:tcPr>
            <w:tcW w:w="1842"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GBM Contribution</w:t>
            </w:r>
          </w:p>
        </w:tc>
      </w:tr>
      <w:tr w:rsidR="00050B1D">
        <w:trPr>
          <w:trHeight w:val="1751"/>
        </w:trPr>
        <w:tc>
          <w:tcPr>
            <w:tcW w:w="1564"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Traditional Green Marketing</w:t>
            </w:r>
          </w:p>
        </w:tc>
        <w:tc>
          <w:tcPr>
            <w:tcW w:w="1985"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 xml:space="preserve">Informational persuasion, eco labeling, ethical positioning </w:t>
            </w:r>
            <w:r>
              <w:rPr>
                <w:rFonts w:ascii="Arial" w:hAnsi="Arial" w:cs="Arial"/>
                <w:sz w:val="18"/>
                <w:szCs w:val="18"/>
              </w:rPr>
              <w:t>(Polonsky, 1994; Peattie &amp; Crane, 2005; White et al., 2019)</w:t>
            </w:r>
          </w:p>
        </w:tc>
        <w:tc>
          <w:tcPr>
            <w:tcW w:w="1697"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Assumes rational evaluation drives sustainable choice</w:t>
            </w:r>
          </w:p>
        </w:tc>
        <w:tc>
          <w:tcPr>
            <w:tcW w:w="2268"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proofErr w:type="spellStart"/>
            <w:r>
              <w:rPr>
                <w:rFonts w:ascii="Arial" w:hAnsi="Arial" w:cs="Arial"/>
                <w:sz w:val="18"/>
                <w:szCs w:val="18"/>
              </w:rPr>
              <w:t>Undertheorization</w:t>
            </w:r>
            <w:proofErr w:type="spellEnd"/>
            <w:r>
              <w:rPr>
                <w:rFonts w:ascii="Arial" w:hAnsi="Arial" w:cs="Arial"/>
                <w:sz w:val="18"/>
                <w:szCs w:val="18"/>
              </w:rPr>
              <w:t xml:space="preserve"> of subconscious salience and affective activation</w:t>
            </w:r>
          </w:p>
        </w:tc>
        <w:tc>
          <w:tcPr>
            <w:tcW w:w="1842"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Introduces sensory attention and emotional engagement as foundational stag</w:t>
            </w:r>
            <w:r>
              <w:rPr>
                <w:rFonts w:ascii="Arial" w:hAnsi="Arial" w:cs="Arial"/>
                <w:sz w:val="18"/>
                <w:szCs w:val="18"/>
              </w:rPr>
              <w:t>es in sustainable decision making</w:t>
            </w:r>
          </w:p>
        </w:tc>
      </w:tr>
      <w:tr w:rsidR="00050B1D">
        <w:tc>
          <w:tcPr>
            <w:tcW w:w="1564"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Behavioral Economics</w:t>
            </w:r>
          </w:p>
        </w:tc>
        <w:tc>
          <w:tcPr>
            <w:tcW w:w="1985"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 xml:space="preserve">Cognitive biases (loss aversion, present bias, status quo bias) shaping consumer choice (Tversky &amp; Kahneman, 1974; </w:t>
            </w:r>
            <w:r>
              <w:rPr>
                <w:rFonts w:ascii="Arial" w:hAnsi="Arial" w:cs="Arial"/>
                <w:sz w:val="18"/>
                <w:szCs w:val="18"/>
              </w:rPr>
              <w:lastRenderedPageBreak/>
              <w:t>Thaler &amp; Sunstein, 2008; Sunstein, 2020)</w:t>
            </w:r>
          </w:p>
        </w:tc>
        <w:tc>
          <w:tcPr>
            <w:tcW w:w="1697"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lastRenderedPageBreak/>
              <w:t xml:space="preserve">Focuses on choice architecture without </w:t>
            </w:r>
            <w:r>
              <w:rPr>
                <w:rFonts w:ascii="Arial" w:hAnsi="Arial" w:cs="Arial"/>
                <w:sz w:val="18"/>
                <w:szCs w:val="18"/>
              </w:rPr>
              <w:t xml:space="preserve">integrating identity formation or neurocognitive </w:t>
            </w:r>
            <w:r>
              <w:rPr>
                <w:rFonts w:ascii="Arial" w:hAnsi="Arial" w:cs="Arial"/>
                <w:sz w:val="18"/>
                <w:szCs w:val="18"/>
              </w:rPr>
              <w:lastRenderedPageBreak/>
              <w:t>salience</w:t>
            </w:r>
          </w:p>
        </w:tc>
        <w:tc>
          <w:tcPr>
            <w:tcW w:w="2268"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lastRenderedPageBreak/>
              <w:t xml:space="preserve">Limited integration with emotional engagement and </w:t>
            </w:r>
            <w:proofErr w:type="gramStart"/>
            <w:r>
              <w:rPr>
                <w:rFonts w:ascii="Arial" w:hAnsi="Arial" w:cs="Arial"/>
                <w:sz w:val="18"/>
                <w:szCs w:val="18"/>
              </w:rPr>
              <w:t>long term</w:t>
            </w:r>
            <w:proofErr w:type="gramEnd"/>
            <w:r>
              <w:rPr>
                <w:rFonts w:ascii="Arial" w:hAnsi="Arial" w:cs="Arial"/>
                <w:sz w:val="18"/>
                <w:szCs w:val="18"/>
              </w:rPr>
              <w:t xml:space="preserve"> behavioral persistence</w:t>
            </w:r>
          </w:p>
        </w:tc>
        <w:tc>
          <w:tcPr>
            <w:tcW w:w="1842"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 xml:space="preserve">Embeds cognitive bias filtering within a sequential neurobehavioral process linked to identity </w:t>
            </w:r>
            <w:r>
              <w:rPr>
                <w:rFonts w:ascii="Arial" w:hAnsi="Arial" w:cs="Arial"/>
                <w:sz w:val="18"/>
                <w:szCs w:val="18"/>
              </w:rPr>
              <w:lastRenderedPageBreak/>
              <w:t>consolidation</w:t>
            </w:r>
          </w:p>
        </w:tc>
      </w:tr>
      <w:tr w:rsidR="00050B1D">
        <w:tc>
          <w:tcPr>
            <w:tcW w:w="1564"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lastRenderedPageBreak/>
              <w:t>Neuromarketing</w:t>
            </w:r>
          </w:p>
        </w:tc>
        <w:tc>
          <w:tcPr>
            <w:tcW w:w="1985"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Emotional salience, neural encoding, reward processing (</w:t>
            </w:r>
            <w:proofErr w:type="spellStart"/>
            <w:r>
              <w:rPr>
                <w:rFonts w:ascii="Arial" w:hAnsi="Arial" w:cs="Arial"/>
                <w:sz w:val="18"/>
                <w:szCs w:val="18"/>
              </w:rPr>
              <w:t>Plassmann</w:t>
            </w:r>
            <w:proofErr w:type="spellEnd"/>
            <w:r>
              <w:rPr>
                <w:rFonts w:ascii="Arial" w:hAnsi="Arial" w:cs="Arial"/>
                <w:sz w:val="18"/>
                <w:szCs w:val="18"/>
              </w:rPr>
              <w:t xml:space="preserve"> et al., 2015; Venkatraman et al., 2015; Reimann et al., 2012)</w:t>
            </w:r>
          </w:p>
        </w:tc>
        <w:tc>
          <w:tcPr>
            <w:tcW w:w="1697"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Primarily commercial optimization focus; weak sustainability integration</w:t>
            </w:r>
          </w:p>
        </w:tc>
        <w:tc>
          <w:tcPr>
            <w:tcW w:w="2268"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Lack of connection to institutional cons</w:t>
            </w:r>
            <w:r>
              <w:rPr>
                <w:rFonts w:ascii="Arial" w:hAnsi="Arial" w:cs="Arial"/>
                <w:sz w:val="18"/>
                <w:szCs w:val="18"/>
              </w:rPr>
              <w:t>traints and emerging market contexts</w:t>
            </w:r>
          </w:p>
        </w:tc>
        <w:tc>
          <w:tcPr>
            <w:tcW w:w="1842"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Integrates emotional engagement and memory consolidation into sustainability transitions</w:t>
            </w:r>
          </w:p>
        </w:tc>
      </w:tr>
      <w:tr w:rsidR="00050B1D">
        <w:tc>
          <w:tcPr>
            <w:tcW w:w="1564"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Emerging Market &amp; Institutional Theory</w:t>
            </w:r>
          </w:p>
        </w:tc>
        <w:tc>
          <w:tcPr>
            <w:tcW w:w="1985"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Institutional voids, trust asymmetry, structural uncertainty (Khanna &amp; Palepu, 2010; Meyer</w:t>
            </w:r>
            <w:r>
              <w:rPr>
                <w:rFonts w:ascii="Arial" w:hAnsi="Arial" w:cs="Arial"/>
                <w:sz w:val="18"/>
                <w:szCs w:val="18"/>
              </w:rPr>
              <w:t xml:space="preserve"> &amp; Peng, 2016; </w:t>
            </w:r>
            <w:proofErr w:type="spellStart"/>
            <w:r>
              <w:rPr>
                <w:rFonts w:ascii="Arial" w:hAnsi="Arial" w:cs="Arial"/>
                <w:sz w:val="18"/>
                <w:szCs w:val="18"/>
              </w:rPr>
              <w:t>AmankwahAmoah</w:t>
            </w:r>
            <w:proofErr w:type="spellEnd"/>
            <w:r>
              <w:rPr>
                <w:rFonts w:ascii="Arial" w:hAnsi="Arial" w:cs="Arial"/>
                <w:sz w:val="18"/>
                <w:szCs w:val="18"/>
              </w:rPr>
              <w:t xml:space="preserve"> et al., 2022)</w:t>
            </w:r>
          </w:p>
        </w:tc>
        <w:tc>
          <w:tcPr>
            <w:tcW w:w="1697"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Macro level emphasis without microlevel psychological specification</w:t>
            </w:r>
          </w:p>
        </w:tc>
        <w:tc>
          <w:tcPr>
            <w:tcW w:w="2268"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Missing link between structural feasibility and consumer neurocognitive processing</w:t>
            </w:r>
          </w:p>
        </w:tc>
        <w:tc>
          <w:tcPr>
            <w:tcW w:w="1842"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Incorporates contextual constraints as moderating boundary con</w:t>
            </w:r>
            <w:r>
              <w:rPr>
                <w:rFonts w:ascii="Arial" w:hAnsi="Arial" w:cs="Arial"/>
                <w:sz w:val="18"/>
                <w:szCs w:val="18"/>
              </w:rPr>
              <w:t>ditions influencing behavioral execution</w:t>
            </w:r>
          </w:p>
        </w:tc>
      </w:tr>
      <w:tr w:rsidR="00050B1D">
        <w:trPr>
          <w:trHeight w:val="1640"/>
        </w:trPr>
        <w:tc>
          <w:tcPr>
            <w:tcW w:w="1564"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Sustainability Transitions Research</w:t>
            </w:r>
          </w:p>
        </w:tc>
        <w:tc>
          <w:tcPr>
            <w:tcW w:w="1985"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Systemic environmental transformation and policy alignment (Nielsen et al., 2021; Steg, 2023; Syed et al., 2024)</w:t>
            </w:r>
          </w:p>
        </w:tc>
        <w:tc>
          <w:tcPr>
            <w:tcW w:w="1697"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 xml:space="preserve">Emphasis on policy and technological change over </w:t>
            </w:r>
            <w:proofErr w:type="spellStart"/>
            <w:r>
              <w:rPr>
                <w:rFonts w:ascii="Arial" w:hAnsi="Arial" w:cs="Arial"/>
                <w:sz w:val="18"/>
                <w:szCs w:val="18"/>
              </w:rPr>
              <w:t>processlevel</w:t>
            </w:r>
            <w:proofErr w:type="spellEnd"/>
            <w:r>
              <w:rPr>
                <w:rFonts w:ascii="Arial" w:hAnsi="Arial" w:cs="Arial"/>
                <w:sz w:val="18"/>
                <w:szCs w:val="18"/>
              </w:rPr>
              <w:t xml:space="preserve"> </w:t>
            </w:r>
            <w:r>
              <w:rPr>
                <w:rFonts w:ascii="Arial" w:hAnsi="Arial" w:cs="Arial"/>
                <w:sz w:val="18"/>
                <w:szCs w:val="18"/>
              </w:rPr>
              <w:t>consumer modeling</w:t>
            </w:r>
          </w:p>
        </w:tc>
        <w:tc>
          <w:tcPr>
            <w:tcW w:w="2268"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 xml:space="preserve">Limited integration between </w:t>
            </w:r>
            <w:proofErr w:type="spellStart"/>
            <w:r>
              <w:rPr>
                <w:rFonts w:ascii="Arial" w:hAnsi="Arial" w:cs="Arial"/>
                <w:sz w:val="18"/>
                <w:szCs w:val="18"/>
              </w:rPr>
              <w:t>consumerlevel</w:t>
            </w:r>
            <w:proofErr w:type="spellEnd"/>
            <w:r>
              <w:rPr>
                <w:rFonts w:ascii="Arial" w:hAnsi="Arial" w:cs="Arial"/>
                <w:sz w:val="18"/>
                <w:szCs w:val="18"/>
              </w:rPr>
              <w:t xml:space="preserve"> psychological processes and systemic sustainability transition frameworks</w:t>
            </w:r>
          </w:p>
        </w:tc>
        <w:tc>
          <w:tcPr>
            <w:tcW w:w="1842" w:type="dxa"/>
            <w:tcBorders>
              <w:top w:val="single" w:sz="4" w:space="0" w:color="auto"/>
              <w:left w:val="single" w:sz="4" w:space="0" w:color="auto"/>
              <w:bottom w:val="single" w:sz="4" w:space="0" w:color="auto"/>
              <w:right w:val="single" w:sz="4" w:space="0" w:color="auto"/>
            </w:tcBorders>
            <w:vAlign w:val="center"/>
          </w:tcPr>
          <w:p w:rsidR="00050B1D" w:rsidRDefault="003C7742">
            <w:pPr>
              <w:spacing w:before="100" w:beforeAutospacing="1" w:line="273" w:lineRule="auto"/>
              <w:rPr>
                <w:rFonts w:ascii="Arial" w:hAnsi="Arial" w:cs="Arial"/>
                <w:sz w:val="18"/>
                <w:szCs w:val="18"/>
              </w:rPr>
            </w:pPr>
            <w:r>
              <w:rPr>
                <w:rFonts w:ascii="Arial" w:hAnsi="Arial" w:cs="Arial"/>
                <w:sz w:val="18"/>
                <w:szCs w:val="18"/>
              </w:rPr>
              <w:t xml:space="preserve">Bridges psychological </w:t>
            </w:r>
            <w:proofErr w:type="spellStart"/>
            <w:r>
              <w:rPr>
                <w:rFonts w:ascii="Arial" w:hAnsi="Arial" w:cs="Arial"/>
                <w:sz w:val="18"/>
                <w:szCs w:val="18"/>
              </w:rPr>
              <w:t>micromechanisms</w:t>
            </w:r>
            <w:proofErr w:type="spellEnd"/>
            <w:r>
              <w:rPr>
                <w:rFonts w:ascii="Arial" w:hAnsi="Arial" w:cs="Arial"/>
                <w:sz w:val="18"/>
                <w:szCs w:val="18"/>
              </w:rPr>
              <w:t xml:space="preserve"> with macro level sustainability goals (SDG 12 &amp; SDG 13)</w:t>
            </w:r>
          </w:p>
        </w:tc>
      </w:tr>
    </w:tbl>
    <w:p w:rsidR="00050B1D" w:rsidRDefault="003C7742">
      <w:pPr>
        <w:tabs>
          <w:tab w:val="left" w:pos="922"/>
        </w:tabs>
        <w:spacing w:line="360" w:lineRule="auto"/>
        <w:jc w:val="both"/>
        <w:rPr>
          <w:rFonts w:ascii="Arial" w:hAnsi="Arial" w:cs="Arial"/>
        </w:rPr>
      </w:pPr>
      <w:r>
        <w:rPr>
          <w:rFonts w:ascii="Arial" w:hAnsi="Arial" w:cs="Arial"/>
        </w:rPr>
        <w:t xml:space="preserve">Source: Author’s synthesis </w:t>
      </w:r>
      <w:r>
        <w:rPr>
          <w:rFonts w:ascii="Arial" w:hAnsi="Arial" w:cs="Arial"/>
        </w:rPr>
        <w:t>based on prior literature cited in the table.</w:t>
      </w:r>
    </w:p>
    <w:p w:rsidR="00050B1D" w:rsidRDefault="00050B1D">
      <w:pPr>
        <w:tabs>
          <w:tab w:val="left" w:pos="922"/>
        </w:tabs>
        <w:spacing w:line="360" w:lineRule="auto"/>
        <w:jc w:val="both"/>
        <w:rPr>
          <w:rFonts w:ascii="Arial" w:hAnsi="Arial" w:cs="Arial"/>
        </w:rPr>
      </w:pPr>
    </w:p>
    <w:p w:rsidR="00050B1D" w:rsidRDefault="003C7742">
      <w:pPr>
        <w:tabs>
          <w:tab w:val="left" w:pos="922"/>
        </w:tabs>
        <w:spacing w:line="360" w:lineRule="auto"/>
        <w:jc w:val="both"/>
        <w:rPr>
          <w:rFonts w:ascii="Arial" w:hAnsi="Arial" w:cs="Arial"/>
        </w:rPr>
      </w:pPr>
      <w:r>
        <w:rPr>
          <w:rFonts w:ascii="Arial" w:hAnsi="Arial" w:cs="Arial"/>
        </w:rPr>
        <w:t>As Table 1 demonstrates, the available literature streams shed some light on the key elements of sustainable consumption but are analytically disaggregated. Green Brain Model deals with this fragmentation by c</w:t>
      </w:r>
      <w:r>
        <w:rPr>
          <w:rFonts w:ascii="Arial" w:hAnsi="Arial" w:cs="Arial"/>
        </w:rPr>
        <w:t>reating a coherent neurobehavioral architecture that combines subconscious activation, cognitive bias filtering, identity consolidation, and contextual feasibility.</w:t>
      </w:r>
    </w:p>
    <w:p w:rsidR="00050B1D" w:rsidRDefault="00050B1D">
      <w:pPr>
        <w:pStyle w:val="Body"/>
        <w:spacing w:after="0"/>
        <w:rPr>
          <w:rFonts w:ascii="Arial" w:hAnsi="Arial" w:cs="Arial"/>
        </w:rPr>
      </w:pPr>
    </w:p>
    <w:p w:rsidR="00050B1D" w:rsidRDefault="003C7742">
      <w:pPr>
        <w:tabs>
          <w:tab w:val="left" w:pos="922"/>
        </w:tabs>
        <w:spacing w:line="360" w:lineRule="auto"/>
        <w:jc w:val="both"/>
        <w:rPr>
          <w:rFonts w:ascii="Arial" w:eastAsia="Calibri" w:hAnsi="Arial" w:cs="Arial"/>
          <w:b/>
          <w:sz w:val="22"/>
          <w:szCs w:val="22"/>
        </w:rPr>
      </w:pPr>
      <w:r>
        <w:rPr>
          <w:rFonts w:ascii="Arial" w:eastAsia="Calibri" w:hAnsi="Arial" w:cs="Arial"/>
          <w:b/>
          <w:sz w:val="22"/>
          <w:szCs w:val="22"/>
        </w:rPr>
        <w:t>4.0 GREEN BRAIN MODEL: NEUROBEHAVIORAL PROCESS FRAMEWORK</w:t>
      </w:r>
    </w:p>
    <w:p w:rsidR="00050B1D" w:rsidRDefault="003C7742">
      <w:pPr>
        <w:tabs>
          <w:tab w:val="left" w:pos="922"/>
        </w:tabs>
        <w:spacing w:line="360" w:lineRule="auto"/>
        <w:jc w:val="both"/>
        <w:rPr>
          <w:rFonts w:ascii="Arial" w:hAnsi="Arial" w:cs="Arial"/>
        </w:rPr>
      </w:pPr>
      <w:r>
        <w:rPr>
          <w:rFonts w:ascii="Arial" w:hAnsi="Arial" w:cs="Arial"/>
        </w:rPr>
        <w:t>The concept of the Green Brain Mo</w:t>
      </w:r>
      <w:r>
        <w:rPr>
          <w:rFonts w:ascii="Arial" w:hAnsi="Arial" w:cs="Arial"/>
        </w:rPr>
        <w:t>del represents sustainable consumption as a neurobehavioral process consisting of five stages within the context of new structural conditions in the market. In contrast to the traditional rational persuasion models (with deliberate environmental assessment</w:t>
      </w:r>
      <w:r>
        <w:rPr>
          <w:rFonts w:ascii="Arial" w:hAnsi="Arial" w:cs="Arial"/>
        </w:rPr>
        <w:t>), or behavioral nudging models that largely modify choice architecture, this model combines the neurocognitive activation, affective involvement, filtering cognitive biases, identity consolidation, and contextual feasibility in a single mechanism.</w:t>
      </w:r>
    </w:p>
    <w:p w:rsidR="00050B1D" w:rsidRDefault="003C7742">
      <w:pPr>
        <w:tabs>
          <w:tab w:val="left" w:pos="922"/>
        </w:tabs>
        <w:spacing w:line="360" w:lineRule="auto"/>
        <w:jc w:val="both"/>
        <w:rPr>
          <w:rFonts w:ascii="Arial" w:hAnsi="Arial" w:cs="Arial"/>
        </w:rPr>
      </w:pPr>
      <w:r>
        <w:rPr>
          <w:rFonts w:ascii="Arial" w:hAnsi="Arial" w:cs="Arial"/>
        </w:rPr>
        <w:t>This sy</w:t>
      </w:r>
      <w:r>
        <w:rPr>
          <w:rFonts w:ascii="Arial" w:hAnsi="Arial" w:cs="Arial"/>
        </w:rPr>
        <w:t xml:space="preserve">nthesis is a reaction to a systematic fracturing of the sustainability scholarship. With green marketing research, there is a focus on informational persuasion (White et al., 2019). Systematic decision bias is determined by behavioral economics (Sunstein, </w:t>
      </w:r>
      <w:r>
        <w:rPr>
          <w:rFonts w:ascii="Arial" w:hAnsi="Arial" w:cs="Arial"/>
        </w:rPr>
        <w:t xml:space="preserve">2020). The </w:t>
      </w:r>
      <w:r>
        <w:rPr>
          <w:rFonts w:ascii="Arial" w:hAnsi="Arial" w:cs="Arial"/>
        </w:rPr>
        <w:lastRenderedPageBreak/>
        <w:t xml:space="preserve">emphasis of </w:t>
      </w:r>
      <w:r>
        <w:rPr>
          <w:rFonts w:ascii="Arial" w:hAnsi="Arial" w:cs="Arial"/>
        </w:rPr>
        <w:t>Neuromarketing</w:t>
      </w:r>
      <w:r>
        <w:rPr>
          <w:rFonts w:ascii="Arial" w:hAnsi="Arial" w:cs="Arial"/>
        </w:rPr>
        <w:t xml:space="preserve"> is on emotional salience (</w:t>
      </w:r>
      <w:proofErr w:type="spellStart"/>
      <w:r>
        <w:rPr>
          <w:rFonts w:ascii="Arial" w:hAnsi="Arial" w:cs="Arial"/>
        </w:rPr>
        <w:t>Plassmann</w:t>
      </w:r>
      <w:proofErr w:type="spellEnd"/>
      <w:r>
        <w:rPr>
          <w:rFonts w:ascii="Arial" w:hAnsi="Arial" w:cs="Arial"/>
        </w:rPr>
        <w:t xml:space="preserve"> et al., 2015). Institutional constraints are explained by the emerging market theory (Meyer and Peng, 2016). However, these streams are analytically distinct. To explain the integrat</w:t>
      </w:r>
      <w:r>
        <w:rPr>
          <w:rFonts w:ascii="Arial" w:hAnsi="Arial" w:cs="Arial"/>
        </w:rPr>
        <w:t xml:space="preserve">ed framework of the proposed plan, Figure 1 illustrates the Green Brain Model in terms of a multilevel neurobehavioral process of sensory attention, emotional involvement, cognitive bias processing, memory consolidation and identity integration, and </w:t>
      </w:r>
      <w:proofErr w:type="spellStart"/>
      <w:r>
        <w:rPr>
          <w:rFonts w:ascii="Arial" w:hAnsi="Arial" w:cs="Arial"/>
        </w:rPr>
        <w:t>behavi</w:t>
      </w:r>
      <w:r>
        <w:rPr>
          <w:rFonts w:ascii="Arial" w:hAnsi="Arial" w:cs="Arial"/>
        </w:rPr>
        <w:t>our</w:t>
      </w:r>
      <w:proofErr w:type="spellEnd"/>
      <w:r>
        <w:rPr>
          <w:rFonts w:ascii="Arial" w:hAnsi="Arial" w:cs="Arial"/>
        </w:rPr>
        <w:t xml:space="preserve"> execution in the contextual limit of emerging market environments.</w:t>
      </w:r>
    </w:p>
    <w:p w:rsidR="00050B1D" w:rsidRDefault="003C7742">
      <w:pPr>
        <w:tabs>
          <w:tab w:val="left" w:pos="922"/>
        </w:tabs>
        <w:spacing w:line="360" w:lineRule="auto"/>
        <w:jc w:val="both"/>
        <w:rPr>
          <w:rFonts w:ascii="Arial" w:hAnsi="Arial" w:cs="Arial"/>
        </w:rPr>
      </w:pPr>
      <w:r>
        <w:rPr>
          <w:rFonts w:ascii="Arial" w:hAnsi="Arial" w:cs="Arial"/>
        </w:rPr>
        <w:t>In principle, the Green Brain Model is a linear mediation process where the green marketing stimuli can produce behavioral responses in a cascading manner of cognitive and affective pro</w:t>
      </w:r>
      <w:r>
        <w:rPr>
          <w:rFonts w:ascii="Arial" w:hAnsi="Arial" w:cs="Arial"/>
        </w:rPr>
        <w:t>cesses, and contextual feasibility conditions in the emerging markets are the moderating boundary conditions that determine the decision to translate identity integrated motivation into on hand environmentally prudent use consumption behavior.</w:t>
      </w:r>
    </w:p>
    <w:p w:rsidR="00050B1D" w:rsidRDefault="003C7742">
      <w:pPr>
        <w:tabs>
          <w:tab w:val="left" w:pos="922"/>
        </w:tabs>
        <w:spacing w:line="360" w:lineRule="auto"/>
        <w:jc w:val="both"/>
        <w:rPr>
          <w:rFonts w:ascii="Arial" w:hAnsi="Arial" w:cs="Arial"/>
        </w:rPr>
      </w:pPr>
      <w:r>
        <w:rPr>
          <w:rFonts w:ascii="Arial" w:hAnsi="Arial" w:cs="Arial"/>
        </w:rPr>
        <w:t>In this pape</w:t>
      </w:r>
      <w:r>
        <w:rPr>
          <w:rFonts w:ascii="Arial" w:hAnsi="Arial" w:cs="Arial"/>
        </w:rPr>
        <w:t>r, the term ‘neurobehavioral’ is used conceptually to signify the cognitive and affective activities as defined by neuroscience driven consumer research as opposed to directly suggesting the actual neurological measurement within the conceptual paradigm.</w:t>
      </w:r>
    </w:p>
    <w:p w:rsidR="00050B1D" w:rsidRDefault="003C7742">
      <w:pPr>
        <w:tabs>
          <w:tab w:val="left" w:pos="922"/>
        </w:tabs>
        <w:spacing w:line="360" w:lineRule="auto"/>
        <w:jc w:val="both"/>
        <w:rPr>
          <w:rFonts w:ascii="Arial" w:hAnsi="Arial" w:cs="Arial"/>
        </w:rPr>
      </w:pPr>
      <w:r>
        <w:rPr>
          <w:rFonts w:ascii="Arial" w:hAnsi="Arial" w:cs="Arial"/>
        </w:rPr>
        <w:t>T</w:t>
      </w:r>
      <w:r>
        <w:rPr>
          <w:rFonts w:ascii="Arial" w:hAnsi="Arial" w:cs="Arial"/>
        </w:rPr>
        <w:t>he research on consumer decision making also indicates that the process of purchasing behavior arises due to several processing stages of cognition and affect instead of a single assessment point, and it is important to explain consumer choice with referen</w:t>
      </w:r>
      <w:r>
        <w:rPr>
          <w:rFonts w:ascii="Arial" w:hAnsi="Arial" w:cs="Arial"/>
        </w:rPr>
        <w:t>ce to processes (</w:t>
      </w:r>
      <w:proofErr w:type="spellStart"/>
      <w:r>
        <w:rPr>
          <w:rFonts w:ascii="Arial" w:hAnsi="Arial" w:cs="Arial"/>
        </w:rPr>
        <w:t>Bettman</w:t>
      </w:r>
      <w:proofErr w:type="spellEnd"/>
      <w:r>
        <w:rPr>
          <w:rFonts w:ascii="Arial" w:hAnsi="Arial" w:cs="Arial"/>
        </w:rPr>
        <w:t xml:space="preserve">, Luce, and Payne, 1998; Lemon and </w:t>
      </w:r>
      <w:proofErr w:type="spellStart"/>
      <w:r>
        <w:rPr>
          <w:rFonts w:ascii="Arial" w:hAnsi="Arial" w:cs="Arial"/>
        </w:rPr>
        <w:t>Verhoef</w:t>
      </w:r>
      <w:proofErr w:type="spellEnd"/>
      <w:r>
        <w:rPr>
          <w:rFonts w:ascii="Arial" w:hAnsi="Arial" w:cs="Arial"/>
        </w:rPr>
        <w:t>, 2016).</w:t>
      </w:r>
    </w:p>
    <w:p w:rsidR="00050B1D" w:rsidRDefault="00050B1D">
      <w:pPr>
        <w:tabs>
          <w:tab w:val="left" w:pos="922"/>
        </w:tabs>
        <w:spacing w:line="360" w:lineRule="auto"/>
        <w:jc w:val="both"/>
        <w:rPr>
          <w:rFonts w:ascii="Arial" w:hAnsi="Arial" w:cs="Arial"/>
        </w:rPr>
      </w:pPr>
    </w:p>
    <w:p w:rsidR="00050B1D" w:rsidRDefault="003C7742">
      <w:pPr>
        <w:tabs>
          <w:tab w:val="left" w:pos="922"/>
        </w:tabs>
        <w:spacing w:line="360" w:lineRule="auto"/>
        <w:jc w:val="both"/>
        <w:rPr>
          <w:rFonts w:ascii="Arial" w:hAnsi="Arial" w:cs="Arial"/>
        </w:rPr>
      </w:pPr>
      <w:r>
        <w:rPr>
          <w:rFonts w:ascii="Arial" w:hAnsi="Arial" w:cs="Arial"/>
          <w:noProof/>
        </w:rPr>
        <w:lastRenderedPageBreak/>
        <w:drawing>
          <wp:inline distT="0" distB="0" distL="0" distR="0">
            <wp:extent cx="5367020" cy="385635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1227" cy="3859327"/>
                    </a:xfrm>
                    <a:prstGeom prst="rect">
                      <a:avLst/>
                    </a:prstGeom>
                  </pic:spPr>
                </pic:pic>
              </a:graphicData>
            </a:graphic>
          </wp:inline>
        </w:drawing>
      </w:r>
    </w:p>
    <w:p w:rsidR="00050B1D" w:rsidRDefault="00050B1D">
      <w:pPr>
        <w:tabs>
          <w:tab w:val="left" w:pos="922"/>
        </w:tabs>
        <w:spacing w:line="360" w:lineRule="auto"/>
        <w:jc w:val="both"/>
        <w:rPr>
          <w:rFonts w:ascii="Arial" w:hAnsi="Arial" w:cs="Arial"/>
        </w:rPr>
      </w:pPr>
    </w:p>
    <w:p w:rsidR="00050B1D" w:rsidRDefault="00050B1D">
      <w:pPr>
        <w:tabs>
          <w:tab w:val="left" w:pos="922"/>
        </w:tabs>
        <w:spacing w:line="360" w:lineRule="auto"/>
        <w:jc w:val="both"/>
        <w:rPr>
          <w:rFonts w:ascii="Arial" w:hAnsi="Arial" w:cs="Arial"/>
        </w:rPr>
      </w:pPr>
    </w:p>
    <w:p w:rsidR="00050B1D" w:rsidRDefault="003C7742">
      <w:pPr>
        <w:tabs>
          <w:tab w:val="left" w:pos="922"/>
        </w:tabs>
        <w:spacing w:line="360" w:lineRule="auto"/>
        <w:jc w:val="both"/>
        <w:rPr>
          <w:rFonts w:ascii="Arial" w:hAnsi="Arial" w:cs="Arial"/>
          <w:i/>
        </w:rPr>
      </w:pPr>
      <w:r w:rsidRPr="003E684C">
        <w:rPr>
          <w:rFonts w:ascii="Arial" w:hAnsi="Arial" w:cs="Arial"/>
          <w:b/>
        </w:rPr>
        <w:t>Figure 1.</w:t>
      </w:r>
      <w:r>
        <w:rPr>
          <w:rFonts w:ascii="Arial" w:hAnsi="Arial" w:cs="Arial"/>
        </w:rPr>
        <w:t xml:space="preserve"> </w:t>
      </w:r>
      <w:r>
        <w:rPr>
          <w:rFonts w:ascii="Arial" w:hAnsi="Arial" w:cs="Arial"/>
          <w:i/>
        </w:rPr>
        <w:t>The Green Brain Model</w:t>
      </w:r>
      <w:bookmarkStart w:id="0" w:name="_GoBack"/>
      <w:bookmarkEnd w:id="0"/>
      <w:r>
        <w:rPr>
          <w:rFonts w:ascii="Arial" w:hAnsi="Arial" w:cs="Arial"/>
          <w:i/>
        </w:rPr>
        <w:t xml:space="preserve"> (GBM): A Neurobehavioral Process Framework for Sustainable Consumption in Emerging Markets.</w:t>
      </w:r>
    </w:p>
    <w:p w:rsidR="00050B1D" w:rsidRDefault="003C7742">
      <w:pPr>
        <w:tabs>
          <w:tab w:val="left" w:pos="922"/>
        </w:tabs>
        <w:spacing w:line="360" w:lineRule="auto"/>
        <w:jc w:val="both"/>
        <w:rPr>
          <w:rFonts w:ascii="Arial" w:hAnsi="Arial" w:cs="Arial"/>
        </w:rPr>
      </w:pPr>
      <w:r>
        <w:rPr>
          <w:rFonts w:ascii="Arial" w:hAnsi="Arial" w:cs="Arial"/>
        </w:rPr>
        <w:t xml:space="preserve">The Green Brain </w:t>
      </w:r>
      <w:r>
        <w:rPr>
          <w:rFonts w:ascii="Arial" w:hAnsi="Arial" w:cs="Arial"/>
        </w:rPr>
        <w:t>Model illustrates a sequential process of neurobehavioral mediation. In the first stage of the model, the green marketing stimuli evoke sensory attention and salience recognition, which heightens the probability that sustainability information will enter t</w:t>
      </w:r>
      <w:r>
        <w:rPr>
          <w:rFonts w:ascii="Arial" w:hAnsi="Arial" w:cs="Arial"/>
        </w:rPr>
        <w:t>he consumer’s cognitive process. The attention engagement with green marketing stimuli then leads to emotional involvement (Stage 2), during which moral emotions and identity cues intensify the consumer’s motivational response to sustainability information</w:t>
      </w:r>
      <w:r>
        <w:rPr>
          <w:rFonts w:ascii="Arial" w:hAnsi="Arial" w:cs="Arial"/>
        </w:rPr>
        <w:t>. The emotional response to green marketing stimuli then mediates with cognitive bias processing (Stage 3), wherein the consumer processes their perceptions of costs, risks, and uncertainties associated with green products. Repeatedly cycled emotional expe</w:t>
      </w:r>
      <w:r>
        <w:rPr>
          <w:rFonts w:ascii="Arial" w:hAnsi="Arial" w:cs="Arial"/>
        </w:rPr>
        <w:t>riences with green marketing stimuli then mediate memory consolidation and identity integration (Stage 4), wherein the consumer’s sustainability behavior becomes congruent with their self-identity. The translation of identity-based motivation to actual sus</w:t>
      </w:r>
      <w:r>
        <w:rPr>
          <w:rFonts w:ascii="Arial" w:hAnsi="Arial" w:cs="Arial"/>
        </w:rPr>
        <w:t>tainability behavior (Stage 5) is contingent upon feasibility conditions within emerging markets.</w:t>
      </w:r>
    </w:p>
    <w:p w:rsidR="00050B1D" w:rsidRDefault="00050B1D">
      <w:pPr>
        <w:tabs>
          <w:tab w:val="left" w:pos="922"/>
        </w:tabs>
        <w:spacing w:line="360" w:lineRule="auto"/>
        <w:jc w:val="both"/>
        <w:rPr>
          <w:rFonts w:ascii="Arial" w:hAnsi="Arial" w:cs="Arial"/>
        </w:rPr>
      </w:pPr>
    </w:p>
    <w:p w:rsidR="00050B1D" w:rsidRDefault="003C7742">
      <w:pPr>
        <w:tabs>
          <w:tab w:val="left" w:pos="922"/>
        </w:tabs>
        <w:spacing w:line="360" w:lineRule="auto"/>
        <w:jc w:val="both"/>
        <w:rPr>
          <w:rFonts w:ascii="Arial" w:hAnsi="Arial" w:cs="Arial"/>
        </w:rPr>
      </w:pPr>
      <w:r>
        <w:rPr>
          <w:rFonts w:ascii="Arial" w:hAnsi="Arial" w:cs="Arial"/>
        </w:rPr>
        <w:lastRenderedPageBreak/>
        <w:t>The stages represent progressively deeper levels of consumer information processing. It is necessary that environmental stimuli must attract sensory attentio</w:t>
      </w:r>
      <w:r>
        <w:rPr>
          <w:rFonts w:ascii="Arial" w:hAnsi="Arial" w:cs="Arial"/>
        </w:rPr>
        <w:t>n before they can be emotionally engaged. In turn, the emotional involvement influences the cognition evaluation process and the consumers perceive the costs, risks and benefits perceived based on behavioral bias. The repetition of emotionally reinforced e</w:t>
      </w:r>
      <w:r>
        <w:rPr>
          <w:rFonts w:ascii="Arial" w:hAnsi="Arial" w:cs="Arial"/>
        </w:rPr>
        <w:t xml:space="preserve">xperiences at that time makes the memory consolidation and identity integration so that sustainable behavior becomes congruent with </w:t>
      </w:r>
      <w:proofErr w:type="spellStart"/>
      <w:r>
        <w:rPr>
          <w:rFonts w:ascii="Arial" w:hAnsi="Arial" w:cs="Arial"/>
        </w:rPr>
        <w:t>self concept</w:t>
      </w:r>
      <w:proofErr w:type="spellEnd"/>
      <w:r>
        <w:rPr>
          <w:rFonts w:ascii="Arial" w:hAnsi="Arial" w:cs="Arial"/>
        </w:rPr>
        <w:t>. Lastly, behavioral implementation is contingent on the availability of contextual feasibility conditions so th</w:t>
      </w:r>
      <w:r>
        <w:rPr>
          <w:rFonts w:ascii="Arial" w:hAnsi="Arial" w:cs="Arial"/>
        </w:rPr>
        <w:t>at identity integrated environmental motivation may be converted into actual consumption behavior.</w:t>
      </w:r>
    </w:p>
    <w:p w:rsidR="00050B1D" w:rsidRDefault="003C7742">
      <w:pPr>
        <w:tabs>
          <w:tab w:val="left" w:pos="922"/>
        </w:tabs>
        <w:spacing w:line="360" w:lineRule="auto"/>
        <w:jc w:val="both"/>
        <w:rPr>
          <w:rFonts w:ascii="Arial" w:hAnsi="Arial" w:cs="Arial"/>
        </w:rPr>
      </w:pPr>
      <w:r>
        <w:rPr>
          <w:rFonts w:ascii="Arial" w:hAnsi="Arial" w:cs="Arial"/>
        </w:rPr>
        <w:t xml:space="preserve">The model thus builds on the classical SOR model by the specification of the multistage neurobehavioral process of the traditional SOR model by the internal </w:t>
      </w:r>
      <w:r>
        <w:rPr>
          <w:rFonts w:ascii="Arial" w:hAnsi="Arial" w:cs="Arial"/>
        </w:rPr>
        <w:t>organism stage in which the green stimuli are subsequently converted into sustainable behavioral reactions.</w:t>
      </w:r>
    </w:p>
    <w:p w:rsidR="00050B1D" w:rsidRDefault="003C7742">
      <w:pPr>
        <w:tabs>
          <w:tab w:val="left" w:pos="922"/>
        </w:tabs>
        <w:spacing w:line="360" w:lineRule="auto"/>
        <w:jc w:val="both"/>
        <w:rPr>
          <w:rFonts w:ascii="Arial" w:hAnsi="Arial" w:cs="Arial"/>
        </w:rPr>
      </w:pPr>
      <w:r>
        <w:rPr>
          <w:rFonts w:ascii="Arial" w:hAnsi="Arial" w:cs="Arial"/>
        </w:rPr>
        <w:t>It theorizes sustainable consumption as a series of neurobehavioral steps that start with attention and emotional interest in the senses, then cogni</w:t>
      </w:r>
      <w:r>
        <w:rPr>
          <w:rFonts w:ascii="Arial" w:hAnsi="Arial" w:cs="Arial"/>
        </w:rPr>
        <w:t xml:space="preserve">tive bias processing, memory consolidation identity integration, and </w:t>
      </w:r>
      <w:proofErr w:type="spellStart"/>
      <w:r>
        <w:rPr>
          <w:rFonts w:ascii="Arial" w:hAnsi="Arial" w:cs="Arial"/>
        </w:rPr>
        <w:t>behaviour</w:t>
      </w:r>
      <w:proofErr w:type="spellEnd"/>
      <w:r>
        <w:rPr>
          <w:rFonts w:ascii="Arial" w:hAnsi="Arial" w:cs="Arial"/>
        </w:rPr>
        <w:t xml:space="preserve"> execution</w:t>
      </w:r>
      <w:r>
        <w:rPr>
          <w:rFonts w:ascii="Arial" w:hAnsi="Arial" w:cs="Arial"/>
        </w:rPr>
        <w:t>. Structural feasibility limit and sociocultural conditions are contextual feasibility conditions, which determine the extent to which psychological readiness is transl</w:t>
      </w:r>
      <w:r>
        <w:rPr>
          <w:rFonts w:ascii="Arial" w:hAnsi="Arial" w:cs="Arial"/>
        </w:rPr>
        <w:t>ated into sustainable behavior in the new market conditions.</w:t>
      </w:r>
    </w:p>
    <w:p w:rsidR="00050B1D" w:rsidRDefault="00050B1D">
      <w:pPr>
        <w:tabs>
          <w:tab w:val="left" w:pos="922"/>
        </w:tabs>
        <w:spacing w:line="360" w:lineRule="auto"/>
        <w:jc w:val="both"/>
        <w:rPr>
          <w:rFonts w:ascii="Arial" w:hAnsi="Arial" w:cs="Arial"/>
          <w:sz w:val="22"/>
          <w:szCs w:val="22"/>
        </w:rPr>
      </w:pPr>
    </w:p>
    <w:p w:rsidR="00050B1D" w:rsidRDefault="003C7742">
      <w:pPr>
        <w:spacing w:line="360" w:lineRule="auto"/>
        <w:jc w:val="both"/>
        <w:rPr>
          <w:rFonts w:ascii="Arial" w:hAnsi="Arial" w:cs="Arial"/>
          <w:b/>
          <w:bCs/>
          <w:sz w:val="22"/>
          <w:szCs w:val="22"/>
        </w:rPr>
      </w:pPr>
      <w:r>
        <w:rPr>
          <w:rFonts w:ascii="Arial" w:hAnsi="Arial" w:cs="Arial"/>
          <w:b/>
          <w:bCs/>
          <w:sz w:val="22"/>
          <w:szCs w:val="22"/>
        </w:rPr>
        <w:t>4.1 Stage 1: Sensory Attention and Salience Activation</w:t>
      </w:r>
    </w:p>
    <w:p w:rsidR="00050B1D" w:rsidRDefault="003C7742">
      <w:pPr>
        <w:spacing w:line="360" w:lineRule="auto"/>
        <w:jc w:val="both"/>
        <w:rPr>
          <w:rFonts w:ascii="Arial" w:hAnsi="Arial" w:cs="Arial"/>
          <w:sz w:val="22"/>
          <w:szCs w:val="22"/>
        </w:rPr>
      </w:pPr>
      <w:r>
        <w:rPr>
          <w:rFonts w:ascii="Arial" w:hAnsi="Arial" w:cs="Arial"/>
          <w:sz w:val="22"/>
          <w:szCs w:val="22"/>
        </w:rPr>
        <w:t>(Addressing the neglected attention bottleneck)</w:t>
      </w:r>
    </w:p>
    <w:p w:rsidR="00050B1D" w:rsidRDefault="003C7742">
      <w:pPr>
        <w:tabs>
          <w:tab w:val="left" w:pos="922"/>
        </w:tabs>
        <w:spacing w:line="360" w:lineRule="auto"/>
        <w:jc w:val="both"/>
        <w:rPr>
          <w:rFonts w:ascii="Arial" w:hAnsi="Arial" w:cs="Arial"/>
        </w:rPr>
      </w:pPr>
      <w:r>
        <w:rPr>
          <w:rFonts w:ascii="Arial" w:hAnsi="Arial" w:cs="Arial"/>
        </w:rPr>
        <w:t>In the first stage, stage 1, sensation seeking and salience activation occur.</w:t>
      </w:r>
    </w:p>
    <w:p w:rsidR="00050B1D" w:rsidRDefault="003C7742">
      <w:pPr>
        <w:tabs>
          <w:tab w:val="left" w:pos="922"/>
        </w:tabs>
        <w:spacing w:line="360" w:lineRule="auto"/>
        <w:jc w:val="both"/>
        <w:rPr>
          <w:rFonts w:ascii="Arial" w:hAnsi="Arial" w:cs="Arial"/>
        </w:rPr>
      </w:pPr>
      <w:r>
        <w:rPr>
          <w:rFonts w:ascii="Arial" w:hAnsi="Arial" w:cs="Arial"/>
        </w:rPr>
        <w:t>D</w:t>
      </w:r>
      <w:r>
        <w:rPr>
          <w:rFonts w:ascii="Arial" w:hAnsi="Arial" w:cs="Arial"/>
        </w:rPr>
        <w:t>espite it be</w:t>
      </w:r>
      <w:r>
        <w:rPr>
          <w:rFonts w:ascii="Arial" w:hAnsi="Arial" w:cs="Arial"/>
        </w:rPr>
        <w:t>ing ignored, and was chased across the scene according to its visual spatial characteristics. The attentional information somehow managed to bypass this bottleneck though ignored, and was pursued throughout the scene based on its visual spatial attributes.</w:t>
      </w:r>
    </w:p>
    <w:p w:rsidR="00050B1D" w:rsidRDefault="003C7742">
      <w:pPr>
        <w:tabs>
          <w:tab w:val="left" w:pos="922"/>
        </w:tabs>
        <w:spacing w:line="360" w:lineRule="auto"/>
        <w:jc w:val="both"/>
        <w:rPr>
          <w:rFonts w:ascii="Arial" w:hAnsi="Arial" w:cs="Arial"/>
        </w:rPr>
      </w:pPr>
      <w:r>
        <w:rPr>
          <w:rFonts w:ascii="Arial" w:hAnsi="Arial" w:cs="Arial"/>
        </w:rPr>
        <w:t xml:space="preserve">The majority of green marketing models presuppose that when environmental messages are provided, they are processed cognitively. Nonetheless, sustainability communication operates in thick sensorial worlds of information overload. Cognitive persuasion is </w:t>
      </w:r>
      <w:r>
        <w:rPr>
          <w:rFonts w:ascii="Arial" w:hAnsi="Arial" w:cs="Arial"/>
        </w:rPr>
        <w:t>not possible in the absence of attentional capture.</w:t>
      </w:r>
    </w:p>
    <w:p w:rsidR="00050B1D" w:rsidRDefault="003C7742">
      <w:pPr>
        <w:tabs>
          <w:tab w:val="left" w:pos="922"/>
        </w:tabs>
        <w:spacing w:line="360" w:lineRule="auto"/>
        <w:jc w:val="both"/>
        <w:rPr>
          <w:rFonts w:ascii="Arial" w:hAnsi="Arial" w:cs="Arial"/>
        </w:rPr>
      </w:pPr>
      <w:r>
        <w:rPr>
          <w:rFonts w:ascii="Arial" w:hAnsi="Arial" w:cs="Arial"/>
        </w:rPr>
        <w:t>The neuroscientific studies show that emotionally colored, identity related, and morally framed stimuli can better activate attentional networks in comparison with no informational neutral stimuli (Venkat</w:t>
      </w:r>
      <w:r>
        <w:rPr>
          <w:rFonts w:ascii="Arial" w:hAnsi="Arial" w:cs="Arial"/>
        </w:rPr>
        <w:t xml:space="preserve">raman et al., 2015; </w:t>
      </w:r>
      <w:proofErr w:type="spellStart"/>
      <w:r>
        <w:rPr>
          <w:rFonts w:ascii="Arial" w:hAnsi="Arial" w:cs="Arial"/>
        </w:rPr>
        <w:t>Plassmann</w:t>
      </w:r>
      <w:proofErr w:type="spellEnd"/>
      <w:r>
        <w:rPr>
          <w:rFonts w:ascii="Arial" w:hAnsi="Arial" w:cs="Arial"/>
        </w:rPr>
        <w:t xml:space="preserve"> et al., 2015). The recent sustainability communication research confirms that the emotionally salient environmental framing facilitates perceptual involvement and retention of messages (</w:t>
      </w:r>
      <w:proofErr w:type="spellStart"/>
      <w:r>
        <w:rPr>
          <w:rFonts w:ascii="Arial" w:hAnsi="Arial" w:cs="Arial"/>
        </w:rPr>
        <w:t>Grazzini</w:t>
      </w:r>
      <w:proofErr w:type="spellEnd"/>
      <w:r>
        <w:rPr>
          <w:rFonts w:ascii="Arial" w:hAnsi="Arial" w:cs="Arial"/>
        </w:rPr>
        <w:t xml:space="preserve">, </w:t>
      </w:r>
      <w:proofErr w:type="spellStart"/>
      <w:r>
        <w:rPr>
          <w:rFonts w:ascii="Arial" w:hAnsi="Arial" w:cs="Arial"/>
        </w:rPr>
        <w:t>Acuti</w:t>
      </w:r>
      <w:proofErr w:type="spellEnd"/>
      <w:r>
        <w:rPr>
          <w:rFonts w:ascii="Arial" w:hAnsi="Arial" w:cs="Arial"/>
        </w:rPr>
        <w:t>, and Aiello, 2018; Wang,</w:t>
      </w:r>
      <w:r>
        <w:rPr>
          <w:rFonts w:ascii="Arial" w:hAnsi="Arial" w:cs="Arial"/>
        </w:rPr>
        <w:t xml:space="preserve"> Nguyen, and Dang, 2021).</w:t>
      </w:r>
    </w:p>
    <w:p w:rsidR="00050B1D" w:rsidRDefault="003C7742">
      <w:pPr>
        <w:tabs>
          <w:tab w:val="left" w:pos="922"/>
        </w:tabs>
        <w:spacing w:line="360" w:lineRule="auto"/>
        <w:jc w:val="both"/>
        <w:rPr>
          <w:rFonts w:ascii="Arial" w:hAnsi="Arial" w:cs="Arial"/>
        </w:rPr>
      </w:pPr>
      <w:r>
        <w:rPr>
          <w:rFonts w:ascii="Arial" w:hAnsi="Arial" w:cs="Arial"/>
        </w:rPr>
        <w:lastRenderedPageBreak/>
        <w:t xml:space="preserve">In addition, attentional prioritization increases with environmental messaging, which resonates with </w:t>
      </w:r>
      <w:proofErr w:type="spellStart"/>
      <w:r>
        <w:rPr>
          <w:rFonts w:ascii="Arial" w:hAnsi="Arial" w:cs="Arial"/>
        </w:rPr>
        <w:t>self identity</w:t>
      </w:r>
      <w:proofErr w:type="spellEnd"/>
      <w:r>
        <w:rPr>
          <w:rFonts w:ascii="Arial" w:hAnsi="Arial" w:cs="Arial"/>
        </w:rPr>
        <w:t xml:space="preserve"> (White et al., 2019). Salience activation is of critical importance in emerging markets where rival consumption pri</w:t>
      </w:r>
      <w:r>
        <w:rPr>
          <w:rFonts w:ascii="Arial" w:hAnsi="Arial" w:cs="Arial"/>
        </w:rPr>
        <w:t>orities are salient.</w:t>
      </w:r>
    </w:p>
    <w:p w:rsidR="00050B1D" w:rsidRDefault="003C7742">
      <w:pPr>
        <w:tabs>
          <w:tab w:val="left" w:pos="922"/>
        </w:tabs>
        <w:spacing w:line="360" w:lineRule="auto"/>
        <w:jc w:val="both"/>
        <w:rPr>
          <w:rFonts w:ascii="Arial" w:hAnsi="Arial" w:cs="Arial"/>
        </w:rPr>
      </w:pPr>
      <w:r>
        <w:rPr>
          <w:rFonts w:ascii="Arial" w:hAnsi="Arial" w:cs="Arial"/>
        </w:rPr>
        <w:t>Proposition 1: Green marketing stimuli that evoke emotional salience and identity relevance are very likely to promote attentional concern in new market situations.</w:t>
      </w:r>
    </w:p>
    <w:p w:rsidR="00050B1D" w:rsidRDefault="00050B1D">
      <w:pPr>
        <w:tabs>
          <w:tab w:val="left" w:pos="922"/>
        </w:tabs>
        <w:spacing w:line="360" w:lineRule="auto"/>
        <w:jc w:val="both"/>
        <w:rPr>
          <w:rFonts w:ascii="Arial" w:hAnsi="Arial" w:cs="Arial"/>
        </w:rPr>
      </w:pPr>
    </w:p>
    <w:p w:rsidR="00050B1D" w:rsidRDefault="003C7742">
      <w:pPr>
        <w:tabs>
          <w:tab w:val="left" w:pos="922"/>
          <w:tab w:val="left" w:pos="2977"/>
        </w:tabs>
        <w:spacing w:line="360" w:lineRule="auto"/>
        <w:jc w:val="both"/>
        <w:rPr>
          <w:rFonts w:ascii="Arial" w:eastAsia="Calibri" w:hAnsi="Arial" w:cs="Arial"/>
          <w:b/>
          <w:iCs/>
          <w:sz w:val="22"/>
          <w:szCs w:val="22"/>
        </w:rPr>
      </w:pPr>
      <w:r>
        <w:rPr>
          <w:rFonts w:ascii="Arial" w:eastAsia="Calibri" w:hAnsi="Arial" w:cs="Arial"/>
          <w:b/>
          <w:iCs/>
          <w:sz w:val="22"/>
          <w:szCs w:val="22"/>
        </w:rPr>
        <w:t>4.2 Stage 2</w:t>
      </w:r>
      <w:r>
        <w:rPr>
          <w:rFonts w:ascii="Arial" w:hAnsi="Arial" w:cs="Arial"/>
          <w:b/>
          <w:bCs/>
          <w:sz w:val="22"/>
          <w:szCs w:val="22"/>
        </w:rPr>
        <w:t>: Emotional Engagement and Moral Resonance</w:t>
      </w:r>
    </w:p>
    <w:p w:rsidR="00050B1D" w:rsidRDefault="003C7742">
      <w:pPr>
        <w:tabs>
          <w:tab w:val="left" w:pos="2977"/>
        </w:tabs>
        <w:spacing w:line="360" w:lineRule="auto"/>
        <w:jc w:val="both"/>
        <w:rPr>
          <w:rFonts w:ascii="Arial" w:hAnsi="Arial" w:cs="Arial"/>
        </w:rPr>
      </w:pPr>
      <w:r>
        <w:rPr>
          <w:rFonts w:ascii="Arial" w:hAnsi="Arial" w:cs="Arial"/>
        </w:rPr>
        <w:t xml:space="preserve">(Extending </w:t>
      </w:r>
      <w:r>
        <w:rPr>
          <w:rFonts w:ascii="Arial" w:hAnsi="Arial" w:cs="Arial"/>
        </w:rPr>
        <w:t>beyond surface nudging)</w:t>
      </w:r>
    </w:p>
    <w:p w:rsidR="00050B1D" w:rsidRDefault="003C7742">
      <w:pPr>
        <w:tabs>
          <w:tab w:val="left" w:pos="922"/>
        </w:tabs>
        <w:spacing w:line="360" w:lineRule="auto"/>
        <w:jc w:val="both"/>
        <w:rPr>
          <w:rFonts w:ascii="Arial" w:hAnsi="Arial" w:cs="Arial"/>
        </w:rPr>
      </w:pPr>
      <w:r>
        <w:rPr>
          <w:rFonts w:ascii="Arial" w:hAnsi="Arial" w:cs="Arial"/>
        </w:rPr>
        <w:t>Behavioral nudging interventions are interventions which reflect quantifiable behavioral changes in the short term (Sunstein, 2020). Nevertheless, there are numerous nudges which are executed at the decision architecture level and t</w:t>
      </w:r>
      <w:r>
        <w:rPr>
          <w:rFonts w:ascii="Arial" w:hAnsi="Arial" w:cs="Arial"/>
        </w:rPr>
        <w:t>hey do not produce profound affective involvement.</w:t>
      </w:r>
    </w:p>
    <w:p w:rsidR="00050B1D" w:rsidRDefault="003C7742">
      <w:pPr>
        <w:tabs>
          <w:tab w:val="left" w:pos="922"/>
        </w:tabs>
        <w:spacing w:line="360" w:lineRule="auto"/>
        <w:jc w:val="both"/>
        <w:rPr>
          <w:rFonts w:ascii="Arial" w:hAnsi="Arial" w:cs="Arial"/>
        </w:rPr>
      </w:pPr>
      <w:r>
        <w:rPr>
          <w:rFonts w:ascii="Arial" w:hAnsi="Arial" w:cs="Arial"/>
        </w:rPr>
        <w:t>Neurocognitive studies indicate that neural encoding and heightened behavioral likelihood in connection to emotional arousal (Reimann et al., 2012). Sustainability research can affirm the fact that moral e</w:t>
      </w:r>
      <w:r>
        <w:rPr>
          <w:rFonts w:ascii="Arial" w:hAnsi="Arial" w:cs="Arial"/>
        </w:rPr>
        <w:t xml:space="preserve">motions like pride, guilt, and responsibility contribute greatly to </w:t>
      </w:r>
      <w:proofErr w:type="spellStart"/>
      <w:r>
        <w:rPr>
          <w:rFonts w:ascii="Arial" w:hAnsi="Arial" w:cs="Arial"/>
        </w:rPr>
        <w:t>proenvironmental</w:t>
      </w:r>
      <w:proofErr w:type="spellEnd"/>
      <w:r>
        <w:rPr>
          <w:rFonts w:ascii="Arial" w:hAnsi="Arial" w:cs="Arial"/>
        </w:rPr>
        <w:t xml:space="preserve"> behavior (White et al., 2019; Nielsen et al., 2021).</w:t>
      </w:r>
    </w:p>
    <w:p w:rsidR="00050B1D" w:rsidRDefault="003C7742">
      <w:pPr>
        <w:tabs>
          <w:tab w:val="left" w:pos="922"/>
        </w:tabs>
        <w:spacing w:line="360" w:lineRule="auto"/>
        <w:jc w:val="both"/>
        <w:rPr>
          <w:rFonts w:ascii="Arial" w:hAnsi="Arial" w:cs="Arial"/>
        </w:rPr>
      </w:pPr>
      <w:r>
        <w:rPr>
          <w:rFonts w:ascii="Arial" w:hAnsi="Arial" w:cs="Arial"/>
        </w:rPr>
        <w:t>Recent findings have proved that sustainability information framed emotionally leads to a greater behavioral intention</w:t>
      </w:r>
      <w:r>
        <w:rPr>
          <w:rFonts w:ascii="Arial" w:hAnsi="Arial" w:cs="Arial"/>
        </w:rPr>
        <w:t xml:space="preserve"> as linked to only information appeals (Wang et al., 2021; Berger and Milkman, 2012). Recent empirical evidence has helped to confirm this pattern by proving that emotional and moral drivers are key predictors of green purchase intention in a wide range of</w:t>
      </w:r>
      <w:r>
        <w:rPr>
          <w:rFonts w:ascii="Arial" w:hAnsi="Arial" w:cs="Arial"/>
        </w:rPr>
        <w:t xml:space="preserve"> markets (Nguyen, Lobo, and Greenland, 2023; Garcia, Ortega, and Martinez, 2021).</w:t>
      </w:r>
    </w:p>
    <w:p w:rsidR="00050B1D" w:rsidRDefault="003C7742">
      <w:pPr>
        <w:tabs>
          <w:tab w:val="left" w:pos="922"/>
        </w:tabs>
        <w:spacing w:line="360" w:lineRule="auto"/>
        <w:jc w:val="both"/>
        <w:rPr>
          <w:rFonts w:ascii="Arial" w:hAnsi="Arial" w:cs="Arial"/>
        </w:rPr>
      </w:pPr>
      <w:r>
        <w:rPr>
          <w:rFonts w:ascii="Arial" w:hAnsi="Arial" w:cs="Arial"/>
        </w:rPr>
        <w:t>Emotional resonance, in turn, does not play the role of additional persuasion but serves as a primary motivational factor.</w:t>
      </w:r>
    </w:p>
    <w:p w:rsidR="00050B1D" w:rsidRDefault="003C7742">
      <w:pPr>
        <w:tabs>
          <w:tab w:val="left" w:pos="922"/>
        </w:tabs>
        <w:spacing w:line="360" w:lineRule="auto"/>
        <w:jc w:val="both"/>
        <w:rPr>
          <w:rFonts w:ascii="Arial" w:eastAsia="Calibri" w:hAnsi="Arial" w:cs="Arial"/>
          <w:sz w:val="24"/>
          <w:szCs w:val="24"/>
        </w:rPr>
      </w:pPr>
      <w:r>
        <w:rPr>
          <w:rFonts w:ascii="Arial" w:hAnsi="Arial" w:cs="Arial"/>
        </w:rPr>
        <w:t xml:space="preserve">Recent sustainability studies also show that </w:t>
      </w:r>
      <w:r>
        <w:rPr>
          <w:rFonts w:ascii="Arial" w:hAnsi="Arial" w:cs="Arial"/>
        </w:rPr>
        <w:t>emotional aspects of hope, moral motivation, and perceived authenticity are important drivers of</w:t>
      </w:r>
      <w:r>
        <w:rPr>
          <w:rFonts w:ascii="Arial" w:eastAsia="Calibri" w:hAnsi="Arial" w:cs="Arial"/>
          <w:sz w:val="24"/>
          <w:szCs w:val="24"/>
        </w:rPr>
        <w:t xml:space="preserve"> </w:t>
      </w:r>
      <w:r>
        <w:rPr>
          <w:rFonts w:ascii="Arial" w:hAnsi="Arial" w:cs="Arial"/>
        </w:rPr>
        <w:t xml:space="preserve">sustainable purchasing and consumer commitment to </w:t>
      </w:r>
      <w:proofErr w:type="gramStart"/>
      <w:r>
        <w:rPr>
          <w:rFonts w:ascii="Arial" w:hAnsi="Arial" w:cs="Arial"/>
        </w:rPr>
        <w:t>environmental</w:t>
      </w:r>
      <w:proofErr w:type="gramEnd"/>
      <w:r>
        <w:rPr>
          <w:rFonts w:ascii="Arial" w:hAnsi="Arial" w:cs="Arial"/>
        </w:rPr>
        <w:t xml:space="preserve"> friendly products (Sadiq</w:t>
      </w:r>
      <w:r>
        <w:rPr>
          <w:rFonts w:ascii="Arial" w:eastAsia="Calibri" w:hAnsi="Arial" w:cs="Arial"/>
          <w:sz w:val="24"/>
          <w:szCs w:val="24"/>
        </w:rPr>
        <w:t>, 2026).</w:t>
      </w:r>
    </w:p>
    <w:p w:rsidR="00050B1D" w:rsidRDefault="003C7742">
      <w:pPr>
        <w:tabs>
          <w:tab w:val="left" w:pos="922"/>
          <w:tab w:val="left" w:pos="2977"/>
        </w:tabs>
        <w:spacing w:line="360" w:lineRule="auto"/>
        <w:jc w:val="both"/>
        <w:rPr>
          <w:rFonts w:ascii="Arial" w:eastAsia="Calibri" w:hAnsi="Arial" w:cs="Arial"/>
          <w:sz w:val="24"/>
          <w:szCs w:val="24"/>
        </w:rPr>
      </w:pPr>
      <w:r>
        <w:rPr>
          <w:rFonts w:ascii="Arial" w:eastAsia="Calibri" w:hAnsi="Arial" w:cs="Arial"/>
          <w:sz w:val="24"/>
          <w:szCs w:val="24"/>
        </w:rPr>
        <w:t xml:space="preserve"> </w:t>
      </w:r>
    </w:p>
    <w:p w:rsidR="00050B1D" w:rsidRDefault="003C7742">
      <w:pPr>
        <w:tabs>
          <w:tab w:val="left" w:pos="922"/>
          <w:tab w:val="left" w:pos="2977"/>
        </w:tabs>
        <w:spacing w:line="360" w:lineRule="auto"/>
        <w:jc w:val="both"/>
        <w:rPr>
          <w:rFonts w:ascii="Arial" w:eastAsia="Calibri" w:hAnsi="Arial" w:cs="Arial"/>
          <w:b/>
          <w:sz w:val="24"/>
          <w:szCs w:val="24"/>
        </w:rPr>
      </w:pPr>
      <w:r>
        <w:rPr>
          <w:rFonts w:ascii="Arial" w:eastAsia="Calibri" w:hAnsi="Arial" w:cs="Arial"/>
          <w:b/>
          <w:sz w:val="24"/>
          <w:szCs w:val="24"/>
        </w:rPr>
        <w:t>4.3 Stage 3: Risk Interpretation and Cognitive Bias Stage</w:t>
      </w:r>
    </w:p>
    <w:p w:rsidR="00050B1D" w:rsidRDefault="003C7742">
      <w:pPr>
        <w:tabs>
          <w:tab w:val="left" w:pos="2977"/>
        </w:tabs>
        <w:spacing w:line="360" w:lineRule="auto"/>
        <w:jc w:val="both"/>
        <w:rPr>
          <w:rFonts w:ascii="Arial" w:hAnsi="Arial" w:cs="Arial"/>
        </w:rPr>
      </w:pPr>
      <w:r>
        <w:rPr>
          <w:rFonts w:ascii="Arial" w:hAnsi="Arial" w:cs="Arial"/>
        </w:rPr>
        <w:t>(I</w:t>
      </w:r>
      <w:r>
        <w:rPr>
          <w:rFonts w:ascii="Arial" w:hAnsi="Arial" w:cs="Arial"/>
        </w:rPr>
        <w:t>ntegrating behavioral economics with neural activation)</w:t>
      </w:r>
    </w:p>
    <w:p w:rsidR="00050B1D" w:rsidRDefault="003C7742">
      <w:pPr>
        <w:tabs>
          <w:tab w:val="left" w:pos="922"/>
          <w:tab w:val="left" w:pos="2977"/>
        </w:tabs>
        <w:spacing w:line="360" w:lineRule="auto"/>
        <w:jc w:val="both"/>
        <w:rPr>
          <w:rFonts w:ascii="Arial" w:hAnsi="Arial" w:cs="Arial"/>
        </w:rPr>
      </w:pPr>
      <w:r>
        <w:rPr>
          <w:rFonts w:ascii="Arial" w:hAnsi="Arial" w:cs="Arial"/>
        </w:rPr>
        <w:t>Both of these areas are essential to comprehend the psychology and reasoning of a criminal, and the authors indicate that one of the ways to explain this phenomenon would be the combination of behavio</w:t>
      </w:r>
      <w:r>
        <w:rPr>
          <w:rFonts w:ascii="Arial" w:hAnsi="Arial" w:cs="Arial"/>
        </w:rPr>
        <w:t>ral economics and neural activation (Siegel 2016).</w:t>
      </w:r>
    </w:p>
    <w:p w:rsidR="00050B1D" w:rsidRDefault="003C7742">
      <w:pPr>
        <w:tabs>
          <w:tab w:val="left" w:pos="922"/>
          <w:tab w:val="left" w:pos="2977"/>
        </w:tabs>
        <w:spacing w:line="360" w:lineRule="auto"/>
        <w:jc w:val="both"/>
        <w:rPr>
          <w:rFonts w:ascii="Arial" w:hAnsi="Arial" w:cs="Arial"/>
        </w:rPr>
      </w:pPr>
      <w:r>
        <w:rPr>
          <w:rFonts w:ascii="Arial" w:hAnsi="Arial" w:cs="Arial"/>
        </w:rPr>
        <w:t xml:space="preserve">Consumer choice architecture studies have shown that information about the decision environment will cause consumers to generate different interpretations of risk, alternatives, </w:t>
      </w:r>
      <w:r>
        <w:rPr>
          <w:rFonts w:ascii="Arial" w:hAnsi="Arial" w:cs="Arial"/>
        </w:rPr>
        <w:lastRenderedPageBreak/>
        <w:t>and preference construction</w:t>
      </w:r>
      <w:r>
        <w:rPr>
          <w:rFonts w:ascii="Arial" w:hAnsi="Arial" w:cs="Arial"/>
        </w:rPr>
        <w:t xml:space="preserve"> to make the decision during the purchasing process (Dhar and </w:t>
      </w:r>
      <w:proofErr w:type="spellStart"/>
      <w:r>
        <w:rPr>
          <w:rFonts w:ascii="Arial" w:hAnsi="Arial" w:cs="Arial"/>
        </w:rPr>
        <w:t>Gorlin</w:t>
      </w:r>
      <w:proofErr w:type="spellEnd"/>
      <w:r>
        <w:rPr>
          <w:rFonts w:ascii="Arial" w:hAnsi="Arial" w:cs="Arial"/>
        </w:rPr>
        <w:t>, 2013). Even emotive appealing stimuli have to undergo cognitive bias filters. Loss aversion enhances the cost disadvantage of green products (Tversky and Kahneman 1974). Present bias red</w:t>
      </w:r>
      <w:r>
        <w:rPr>
          <w:rFonts w:ascii="Arial" w:hAnsi="Arial" w:cs="Arial"/>
        </w:rPr>
        <w:t xml:space="preserve">uces the perceived value of future environmental </w:t>
      </w:r>
      <w:proofErr w:type="gramStart"/>
      <w:r>
        <w:rPr>
          <w:rFonts w:ascii="Arial" w:hAnsi="Arial" w:cs="Arial"/>
        </w:rPr>
        <w:t>benefits(</w:t>
      </w:r>
      <w:proofErr w:type="gramEnd"/>
      <w:r>
        <w:rPr>
          <w:rFonts w:ascii="Arial" w:hAnsi="Arial" w:cs="Arial"/>
        </w:rPr>
        <w:t xml:space="preserve">Thaler and Sunstein, 2008). Status quo bias strengthens the habitual consumption (Samuelson and </w:t>
      </w:r>
      <w:proofErr w:type="spellStart"/>
      <w:r>
        <w:rPr>
          <w:rFonts w:ascii="Arial" w:hAnsi="Arial" w:cs="Arial"/>
        </w:rPr>
        <w:t>Zeckhauser</w:t>
      </w:r>
      <w:proofErr w:type="spellEnd"/>
      <w:r>
        <w:rPr>
          <w:rFonts w:ascii="Arial" w:hAnsi="Arial" w:cs="Arial"/>
        </w:rPr>
        <w:t>, 1988).</w:t>
      </w:r>
    </w:p>
    <w:p w:rsidR="00050B1D" w:rsidRDefault="003C7742">
      <w:pPr>
        <w:tabs>
          <w:tab w:val="left" w:pos="922"/>
          <w:tab w:val="left" w:pos="2977"/>
        </w:tabs>
        <w:spacing w:line="360" w:lineRule="auto"/>
        <w:jc w:val="both"/>
        <w:rPr>
          <w:rFonts w:ascii="Arial" w:hAnsi="Arial" w:cs="Arial"/>
        </w:rPr>
      </w:pPr>
      <w:r>
        <w:rPr>
          <w:rFonts w:ascii="Arial" w:hAnsi="Arial" w:cs="Arial"/>
        </w:rPr>
        <w:t>The latest behavioral study proves that the perceived monetary risk also stands out</w:t>
      </w:r>
      <w:r>
        <w:rPr>
          <w:rFonts w:ascii="Arial" w:hAnsi="Arial" w:cs="Arial"/>
        </w:rPr>
        <w:t xml:space="preserve"> as a major obstacle to green uptake in emerging markets (Khan, Rahman, and Fatma, 2022). Also, the institutional uncertainty increases trust related risk interpretation (Meyer and Peng, 2016).</w:t>
      </w:r>
    </w:p>
    <w:p w:rsidR="00050B1D" w:rsidRDefault="003C7742">
      <w:pPr>
        <w:tabs>
          <w:tab w:val="left" w:pos="922"/>
          <w:tab w:val="left" w:pos="2977"/>
        </w:tabs>
        <w:spacing w:line="360" w:lineRule="auto"/>
        <w:jc w:val="both"/>
        <w:rPr>
          <w:rFonts w:ascii="Arial" w:hAnsi="Arial" w:cs="Arial"/>
        </w:rPr>
      </w:pPr>
      <w:r>
        <w:rPr>
          <w:rFonts w:ascii="Arial" w:hAnsi="Arial" w:cs="Arial"/>
        </w:rPr>
        <w:t>In such a way, the process of sustainable adoption relies on t</w:t>
      </w:r>
      <w:r>
        <w:rPr>
          <w:rFonts w:ascii="Arial" w:hAnsi="Arial" w:cs="Arial"/>
        </w:rPr>
        <w:t xml:space="preserve">he interaction between emotional involvement and processes of bias based assessment. This filtering stage is expressly included in the Green Brain Model and it is commonly underspecified in the </w:t>
      </w:r>
      <w:r>
        <w:rPr>
          <w:rFonts w:ascii="Arial" w:hAnsi="Arial" w:cs="Arial"/>
        </w:rPr>
        <w:t>Neuromarketing</w:t>
      </w:r>
      <w:r>
        <w:rPr>
          <w:rFonts w:ascii="Arial" w:hAnsi="Arial" w:cs="Arial"/>
        </w:rPr>
        <w:t xml:space="preserve"> literature.</w:t>
      </w:r>
    </w:p>
    <w:p w:rsidR="00050B1D" w:rsidRDefault="003C7742">
      <w:pPr>
        <w:tabs>
          <w:tab w:val="left" w:pos="922"/>
          <w:tab w:val="left" w:pos="2977"/>
        </w:tabs>
        <w:spacing w:line="360" w:lineRule="auto"/>
        <w:jc w:val="both"/>
        <w:rPr>
          <w:rFonts w:ascii="Arial" w:hAnsi="Arial" w:cs="Arial"/>
        </w:rPr>
      </w:pPr>
      <w:r>
        <w:rPr>
          <w:rFonts w:ascii="Arial" w:hAnsi="Arial" w:cs="Arial"/>
        </w:rPr>
        <w:t>Proposition 3: The process of cogni</w:t>
      </w:r>
      <w:r>
        <w:rPr>
          <w:rFonts w:ascii="Arial" w:hAnsi="Arial" w:cs="Arial"/>
        </w:rPr>
        <w:t>tive bias has a moderating role between emotional involvement and the intention to purchase in green.</w:t>
      </w:r>
    </w:p>
    <w:p w:rsidR="00050B1D" w:rsidRDefault="00050B1D">
      <w:pPr>
        <w:tabs>
          <w:tab w:val="left" w:pos="922"/>
          <w:tab w:val="left" w:pos="2977"/>
        </w:tabs>
        <w:spacing w:line="360" w:lineRule="auto"/>
        <w:jc w:val="both"/>
        <w:rPr>
          <w:rFonts w:ascii="Arial" w:hAnsi="Arial" w:cs="Arial"/>
          <w:b/>
          <w:bCs/>
        </w:rPr>
      </w:pPr>
    </w:p>
    <w:p w:rsidR="00050B1D" w:rsidRDefault="003C7742">
      <w:pPr>
        <w:tabs>
          <w:tab w:val="left" w:pos="922"/>
          <w:tab w:val="left" w:pos="2977"/>
        </w:tabs>
        <w:spacing w:line="360" w:lineRule="auto"/>
        <w:jc w:val="both"/>
        <w:rPr>
          <w:rFonts w:ascii="Arial" w:eastAsia="SimSun" w:hAnsi="Arial" w:cs="Arial"/>
          <w:b/>
          <w:bCs/>
          <w:sz w:val="24"/>
          <w:szCs w:val="24"/>
        </w:rPr>
      </w:pPr>
      <w:r>
        <w:rPr>
          <w:rFonts w:ascii="Arial" w:hAnsi="Arial" w:cs="Arial"/>
          <w:b/>
          <w:bCs/>
          <w:sz w:val="22"/>
          <w:szCs w:val="22"/>
        </w:rPr>
        <w:t xml:space="preserve">4.4 Stage 4: </w:t>
      </w:r>
      <w:r>
        <w:rPr>
          <w:rFonts w:ascii="Arial" w:eastAsia="SimSun" w:hAnsi="Arial" w:cs="Arial"/>
          <w:b/>
          <w:bCs/>
          <w:sz w:val="24"/>
          <w:szCs w:val="24"/>
        </w:rPr>
        <w:t>Memory Consolidation and Identity Integration</w:t>
      </w:r>
    </w:p>
    <w:p w:rsidR="00050B1D" w:rsidRDefault="003C7742">
      <w:pPr>
        <w:tabs>
          <w:tab w:val="left" w:pos="922"/>
          <w:tab w:val="left" w:pos="2977"/>
        </w:tabs>
        <w:spacing w:line="360" w:lineRule="auto"/>
        <w:jc w:val="both"/>
        <w:rPr>
          <w:rFonts w:ascii="Arial" w:hAnsi="Arial" w:cs="Arial"/>
          <w:b/>
          <w:sz w:val="22"/>
          <w:szCs w:val="22"/>
        </w:rPr>
      </w:pPr>
      <w:r>
        <w:rPr>
          <w:rFonts w:ascii="Arial" w:hAnsi="Arial" w:cs="Arial"/>
          <w:b/>
          <w:sz w:val="22"/>
          <w:szCs w:val="22"/>
        </w:rPr>
        <w:t xml:space="preserve">(Breaking the cycle of persuasion to </w:t>
      </w:r>
      <w:proofErr w:type="gramStart"/>
      <w:r>
        <w:rPr>
          <w:rFonts w:ascii="Arial" w:hAnsi="Arial" w:cs="Arial"/>
          <w:b/>
          <w:sz w:val="22"/>
          <w:szCs w:val="22"/>
        </w:rPr>
        <w:t>identity based</w:t>
      </w:r>
      <w:proofErr w:type="gramEnd"/>
      <w:r>
        <w:rPr>
          <w:rFonts w:ascii="Arial" w:hAnsi="Arial" w:cs="Arial"/>
          <w:b/>
          <w:sz w:val="22"/>
          <w:szCs w:val="22"/>
        </w:rPr>
        <w:t xml:space="preserve"> behavior)</w:t>
      </w:r>
    </w:p>
    <w:p w:rsidR="00050B1D" w:rsidRDefault="003C7742">
      <w:pPr>
        <w:tabs>
          <w:tab w:val="left" w:pos="922"/>
          <w:tab w:val="left" w:pos="2977"/>
        </w:tabs>
        <w:spacing w:line="360" w:lineRule="auto"/>
        <w:jc w:val="both"/>
        <w:rPr>
          <w:rFonts w:ascii="Arial" w:hAnsi="Arial" w:cs="Arial"/>
        </w:rPr>
      </w:pPr>
      <w:r>
        <w:rPr>
          <w:rFonts w:ascii="Arial" w:hAnsi="Arial" w:cs="Arial"/>
        </w:rPr>
        <w:t xml:space="preserve">Short term persuasion fails to </w:t>
      </w:r>
      <w:r>
        <w:rPr>
          <w:rFonts w:ascii="Arial" w:hAnsi="Arial" w:cs="Arial"/>
        </w:rPr>
        <w:t xml:space="preserve">induce lasting behavior change. Identity integration is needed to be adopted sustainably. Encoding of memory and alignment between the behavior of green and </w:t>
      </w:r>
      <w:proofErr w:type="spellStart"/>
      <w:r>
        <w:rPr>
          <w:rFonts w:ascii="Arial" w:hAnsi="Arial" w:cs="Arial"/>
        </w:rPr>
        <w:t>self concept</w:t>
      </w:r>
      <w:proofErr w:type="spellEnd"/>
      <w:r>
        <w:rPr>
          <w:rFonts w:ascii="Arial" w:hAnsi="Arial" w:cs="Arial"/>
        </w:rPr>
        <w:t xml:space="preserve"> is reinforced by repeated exposure to emotionally as well as reinforced stimuli (Reima</w:t>
      </w:r>
      <w:r>
        <w:rPr>
          <w:rFonts w:ascii="Arial" w:hAnsi="Arial" w:cs="Arial"/>
        </w:rPr>
        <w:t>nn et al., 2012; White et al., 2019).</w:t>
      </w:r>
    </w:p>
    <w:p w:rsidR="00050B1D" w:rsidRDefault="003C7742">
      <w:pPr>
        <w:tabs>
          <w:tab w:val="left" w:pos="922"/>
          <w:tab w:val="left" w:pos="2977"/>
        </w:tabs>
        <w:spacing w:line="360" w:lineRule="auto"/>
        <w:jc w:val="both"/>
        <w:rPr>
          <w:rFonts w:ascii="Arial" w:hAnsi="Arial" w:cs="Arial"/>
        </w:rPr>
      </w:pPr>
      <w:r>
        <w:rPr>
          <w:rFonts w:ascii="Arial" w:hAnsi="Arial" w:cs="Arial"/>
        </w:rPr>
        <w:t>According to recent sustainability studies, identity based environmental participation influences the long-term behavioral stability better than the informational awareness (Nielsen et al., 2021). The effects of integr</w:t>
      </w:r>
      <w:r>
        <w:rPr>
          <w:rFonts w:ascii="Arial" w:hAnsi="Arial" w:cs="Arial"/>
        </w:rPr>
        <w:t xml:space="preserve">ation of green consumption into personal identity lead to behavioral stability by internal </w:t>
      </w:r>
      <w:proofErr w:type="spellStart"/>
      <w:r>
        <w:rPr>
          <w:rFonts w:ascii="Arial" w:hAnsi="Arial" w:cs="Arial"/>
        </w:rPr>
        <w:t>self consistency</w:t>
      </w:r>
      <w:proofErr w:type="spellEnd"/>
      <w:r>
        <w:rPr>
          <w:rFonts w:ascii="Arial" w:hAnsi="Arial" w:cs="Arial"/>
        </w:rPr>
        <w:t xml:space="preserve"> processes. Recent studies in neuroscience indicate that the impact of salience activation becomes more persuasive when </w:t>
      </w:r>
      <w:proofErr w:type="gramStart"/>
      <w:r>
        <w:rPr>
          <w:rFonts w:ascii="Arial" w:hAnsi="Arial" w:cs="Arial"/>
        </w:rPr>
        <w:t>identity based</w:t>
      </w:r>
      <w:proofErr w:type="gramEnd"/>
      <w:r>
        <w:rPr>
          <w:rFonts w:ascii="Arial" w:hAnsi="Arial" w:cs="Arial"/>
        </w:rPr>
        <w:t xml:space="preserve"> cues increase </w:t>
      </w:r>
      <w:r>
        <w:rPr>
          <w:rFonts w:ascii="Arial" w:hAnsi="Arial" w:cs="Arial"/>
        </w:rPr>
        <w:t>salience activation (</w:t>
      </w:r>
      <w:proofErr w:type="spellStart"/>
      <w:r>
        <w:rPr>
          <w:rFonts w:ascii="Arial" w:hAnsi="Arial" w:cs="Arial"/>
        </w:rPr>
        <w:t>Karmarkar</w:t>
      </w:r>
      <w:proofErr w:type="spellEnd"/>
      <w:r>
        <w:rPr>
          <w:rFonts w:ascii="Arial" w:hAnsi="Arial" w:cs="Arial"/>
        </w:rPr>
        <w:t xml:space="preserve"> and </w:t>
      </w:r>
      <w:proofErr w:type="spellStart"/>
      <w:r>
        <w:rPr>
          <w:rFonts w:ascii="Arial" w:hAnsi="Arial" w:cs="Arial"/>
        </w:rPr>
        <w:t>Tormala</w:t>
      </w:r>
      <w:proofErr w:type="spellEnd"/>
      <w:r>
        <w:rPr>
          <w:rFonts w:ascii="Arial" w:hAnsi="Arial" w:cs="Arial"/>
        </w:rPr>
        <w:t>, 2020). Recent sustainability studies affirm that the centrality of moral identity reinforces long-term pro environmental action whether in one cultural setting or the other (</w:t>
      </w:r>
      <w:proofErr w:type="spellStart"/>
      <w:r>
        <w:rPr>
          <w:rFonts w:ascii="Arial" w:hAnsi="Arial" w:cs="Arial"/>
        </w:rPr>
        <w:t>Garciade</w:t>
      </w:r>
      <w:proofErr w:type="spellEnd"/>
      <w:r>
        <w:rPr>
          <w:rFonts w:ascii="Arial" w:hAnsi="Arial" w:cs="Arial"/>
        </w:rPr>
        <w:t xml:space="preserve"> </w:t>
      </w:r>
      <w:proofErr w:type="spellStart"/>
      <w:r>
        <w:rPr>
          <w:rFonts w:ascii="Arial" w:hAnsi="Arial" w:cs="Arial"/>
        </w:rPr>
        <w:t>Frutos</w:t>
      </w:r>
      <w:proofErr w:type="spellEnd"/>
      <w:r>
        <w:rPr>
          <w:rFonts w:ascii="Arial" w:hAnsi="Arial" w:cs="Arial"/>
        </w:rPr>
        <w:t xml:space="preserve"> et al., 2021; Steg, 20</w:t>
      </w:r>
      <w:r>
        <w:rPr>
          <w:rFonts w:ascii="Arial" w:hAnsi="Arial" w:cs="Arial"/>
        </w:rPr>
        <w:t xml:space="preserve">23). Significantly, this phase is not the same as emotional engagement as it is an indicator of stabilization of recurrent environmentally relevant experiences into a </w:t>
      </w:r>
      <w:proofErr w:type="gramStart"/>
      <w:r>
        <w:rPr>
          <w:rFonts w:ascii="Arial" w:hAnsi="Arial" w:cs="Arial"/>
        </w:rPr>
        <w:t>long term</w:t>
      </w:r>
      <w:proofErr w:type="gramEnd"/>
      <w:r>
        <w:rPr>
          <w:rFonts w:ascii="Arial" w:hAnsi="Arial" w:cs="Arial"/>
        </w:rPr>
        <w:t xml:space="preserve"> </w:t>
      </w:r>
      <w:proofErr w:type="spellStart"/>
      <w:r>
        <w:rPr>
          <w:rFonts w:ascii="Arial" w:hAnsi="Arial" w:cs="Arial"/>
        </w:rPr>
        <w:t>self schema</w:t>
      </w:r>
      <w:proofErr w:type="spellEnd"/>
      <w:r>
        <w:rPr>
          <w:rFonts w:ascii="Arial" w:hAnsi="Arial" w:cs="Arial"/>
        </w:rPr>
        <w:t>, and not an impermanent affective reaction to sustainability messag</w:t>
      </w:r>
      <w:r>
        <w:rPr>
          <w:rFonts w:ascii="Arial" w:hAnsi="Arial" w:cs="Arial"/>
        </w:rPr>
        <w:t>es.</w:t>
      </w:r>
    </w:p>
    <w:p w:rsidR="00050B1D" w:rsidRDefault="003C7742">
      <w:pPr>
        <w:tabs>
          <w:tab w:val="left" w:pos="922"/>
          <w:tab w:val="left" w:pos="2977"/>
        </w:tabs>
        <w:spacing w:line="360" w:lineRule="auto"/>
        <w:jc w:val="both"/>
        <w:rPr>
          <w:rFonts w:ascii="Arial" w:hAnsi="Arial" w:cs="Arial"/>
        </w:rPr>
      </w:pPr>
      <w:r>
        <w:rPr>
          <w:rFonts w:ascii="Arial" w:hAnsi="Arial" w:cs="Arial"/>
        </w:rPr>
        <w:lastRenderedPageBreak/>
        <w:t xml:space="preserve">Green Brain Model thus explains identity integration as a separate step, unlike one off persuasive </w:t>
      </w:r>
      <w:proofErr w:type="gramStart"/>
      <w:r>
        <w:rPr>
          <w:rFonts w:ascii="Arial" w:hAnsi="Arial" w:cs="Arial"/>
        </w:rPr>
        <w:t>impacts</w:t>
      </w:r>
      <w:proofErr w:type="gramEnd"/>
      <w:r>
        <w:rPr>
          <w:rFonts w:ascii="Arial" w:hAnsi="Arial" w:cs="Arial"/>
        </w:rPr>
        <w:t xml:space="preserve">. Identity integration is the solidification of recurrent environmentally relevant experiences in a consistent </w:t>
      </w:r>
      <w:proofErr w:type="spellStart"/>
      <w:r>
        <w:rPr>
          <w:rFonts w:ascii="Arial" w:hAnsi="Arial" w:cs="Arial"/>
        </w:rPr>
        <w:t>self map</w:t>
      </w:r>
      <w:proofErr w:type="spellEnd"/>
      <w:r>
        <w:rPr>
          <w:rFonts w:ascii="Arial" w:hAnsi="Arial" w:cs="Arial"/>
        </w:rPr>
        <w:t xml:space="preserve"> that strengthens consisten</w:t>
      </w:r>
      <w:r>
        <w:rPr>
          <w:rFonts w:ascii="Arial" w:hAnsi="Arial" w:cs="Arial"/>
        </w:rPr>
        <w:t xml:space="preserve">t behavioral stability over time, that literally converts episodic sustainable actions into perennial components of </w:t>
      </w:r>
      <w:proofErr w:type="spellStart"/>
      <w:r>
        <w:rPr>
          <w:rFonts w:ascii="Arial" w:hAnsi="Arial" w:cs="Arial"/>
        </w:rPr>
        <w:t>self concept</w:t>
      </w:r>
      <w:proofErr w:type="spellEnd"/>
      <w:r>
        <w:rPr>
          <w:rFonts w:ascii="Arial" w:hAnsi="Arial" w:cs="Arial"/>
        </w:rPr>
        <w:t xml:space="preserve"> and enhances behavioral consistency across time.</w:t>
      </w:r>
    </w:p>
    <w:p w:rsidR="00050B1D" w:rsidRDefault="003C7742">
      <w:pPr>
        <w:tabs>
          <w:tab w:val="left" w:pos="922"/>
          <w:tab w:val="left" w:pos="2977"/>
        </w:tabs>
        <w:spacing w:line="360" w:lineRule="auto"/>
        <w:jc w:val="both"/>
        <w:rPr>
          <w:rFonts w:ascii="Arial" w:hAnsi="Arial" w:cs="Arial"/>
        </w:rPr>
      </w:pPr>
      <w:r>
        <w:rPr>
          <w:rFonts w:ascii="Arial" w:hAnsi="Arial" w:cs="Arial"/>
        </w:rPr>
        <w:t>The identity integration is the process of aligning the self-concept and susta</w:t>
      </w:r>
      <w:r>
        <w:rPr>
          <w:rFonts w:ascii="Arial" w:hAnsi="Arial" w:cs="Arial"/>
        </w:rPr>
        <w:t>inable behavior. The identity theory implies that the individuals are trying to be consistent in their behavior and the behavior that supports the identity is more likely to be repeated in the future. Environmental identity has proven to be a stronger pred</w:t>
      </w:r>
      <w:r>
        <w:rPr>
          <w:rFonts w:ascii="Arial" w:hAnsi="Arial" w:cs="Arial"/>
        </w:rPr>
        <w:t>ictor of sustainable pro environmental behavior than either attitude or awareness in the context of sustainability. The Green Brain Model provides the answer to the question by incorporating identity consolidation into the decision process so that episodic</w:t>
      </w:r>
      <w:r>
        <w:rPr>
          <w:rFonts w:ascii="Arial" w:hAnsi="Arial" w:cs="Arial"/>
        </w:rPr>
        <w:t xml:space="preserve"> green decisions give rise to fixed behavior patterns.</w:t>
      </w:r>
    </w:p>
    <w:p w:rsidR="00050B1D" w:rsidRDefault="003C7742">
      <w:pPr>
        <w:tabs>
          <w:tab w:val="left" w:pos="922"/>
          <w:tab w:val="left" w:pos="2977"/>
        </w:tabs>
        <w:spacing w:line="360" w:lineRule="auto"/>
        <w:jc w:val="both"/>
        <w:rPr>
          <w:rFonts w:ascii="Arial" w:hAnsi="Arial" w:cs="Arial"/>
        </w:rPr>
      </w:pPr>
      <w:r>
        <w:rPr>
          <w:rFonts w:ascii="Arial" w:hAnsi="Arial" w:cs="Arial"/>
        </w:rPr>
        <w:t xml:space="preserve">Recent studies indicate that green self-identity is a predictive variable of sustainable consumption behavior and helps to increase the congruence between environmental values and purchasing decisions </w:t>
      </w:r>
      <w:r>
        <w:rPr>
          <w:rFonts w:ascii="Arial" w:hAnsi="Arial" w:cs="Arial"/>
        </w:rPr>
        <w:t xml:space="preserve">(Kim, 2025). As soon as the concept of sustainable consumption becomes part of the identity structure of the person, the consistency of the behavior is enhanced via the processes of </w:t>
      </w:r>
      <w:proofErr w:type="spellStart"/>
      <w:r>
        <w:rPr>
          <w:rFonts w:ascii="Arial" w:hAnsi="Arial" w:cs="Arial"/>
        </w:rPr>
        <w:t>self verification</w:t>
      </w:r>
      <w:proofErr w:type="spellEnd"/>
      <w:r>
        <w:rPr>
          <w:rFonts w:ascii="Arial" w:hAnsi="Arial" w:cs="Arial"/>
        </w:rPr>
        <w:t xml:space="preserve"> and inner motivation.</w:t>
      </w:r>
    </w:p>
    <w:p w:rsidR="00050B1D" w:rsidRDefault="003C7742">
      <w:pPr>
        <w:tabs>
          <w:tab w:val="left" w:pos="922"/>
          <w:tab w:val="left" w:pos="2977"/>
        </w:tabs>
        <w:spacing w:line="360" w:lineRule="auto"/>
        <w:jc w:val="both"/>
        <w:rPr>
          <w:rFonts w:ascii="Arial" w:hAnsi="Arial" w:cs="Arial"/>
        </w:rPr>
      </w:pPr>
      <w:r>
        <w:rPr>
          <w:rFonts w:ascii="Arial" w:hAnsi="Arial" w:cs="Arial"/>
        </w:rPr>
        <w:t>Proposition 4: Identity integratio</w:t>
      </w:r>
      <w:r>
        <w:rPr>
          <w:rFonts w:ascii="Arial" w:hAnsi="Arial" w:cs="Arial"/>
        </w:rPr>
        <w:t>n is a mediating factor between repeated emotionally salient exposures to green and long-term sustained behavior.</w:t>
      </w:r>
    </w:p>
    <w:p w:rsidR="00050B1D" w:rsidRDefault="00050B1D">
      <w:pPr>
        <w:tabs>
          <w:tab w:val="left" w:pos="922"/>
          <w:tab w:val="left" w:pos="2977"/>
        </w:tabs>
        <w:spacing w:line="360" w:lineRule="auto"/>
        <w:jc w:val="both"/>
        <w:rPr>
          <w:rFonts w:ascii="Arial" w:hAnsi="Arial" w:cs="Arial"/>
        </w:rPr>
      </w:pPr>
    </w:p>
    <w:p w:rsidR="00050B1D" w:rsidRDefault="00050B1D">
      <w:pPr>
        <w:tabs>
          <w:tab w:val="left" w:pos="922"/>
          <w:tab w:val="left" w:pos="2977"/>
        </w:tabs>
        <w:spacing w:line="360" w:lineRule="auto"/>
        <w:jc w:val="both"/>
        <w:rPr>
          <w:rFonts w:ascii="Arial" w:hAnsi="Arial" w:cs="Arial"/>
        </w:rPr>
      </w:pPr>
    </w:p>
    <w:p w:rsidR="00050B1D" w:rsidRDefault="00050B1D">
      <w:pPr>
        <w:tabs>
          <w:tab w:val="left" w:pos="922"/>
          <w:tab w:val="left" w:pos="2977"/>
        </w:tabs>
        <w:spacing w:line="360" w:lineRule="auto"/>
        <w:jc w:val="both"/>
        <w:rPr>
          <w:rFonts w:ascii="Arial" w:hAnsi="Arial" w:cs="Arial"/>
        </w:rPr>
      </w:pPr>
    </w:p>
    <w:p w:rsidR="00050B1D" w:rsidRDefault="003C7742">
      <w:pPr>
        <w:tabs>
          <w:tab w:val="left" w:pos="922"/>
          <w:tab w:val="left" w:pos="2977"/>
        </w:tabs>
        <w:spacing w:line="360" w:lineRule="auto"/>
        <w:jc w:val="both"/>
        <w:rPr>
          <w:rFonts w:ascii="Arial" w:hAnsi="Arial" w:cs="Arial"/>
          <w:b/>
          <w:sz w:val="22"/>
          <w:szCs w:val="22"/>
        </w:rPr>
      </w:pPr>
      <w:r>
        <w:rPr>
          <w:rFonts w:ascii="Arial" w:hAnsi="Arial" w:cs="Arial"/>
          <w:b/>
          <w:sz w:val="22"/>
          <w:szCs w:val="22"/>
        </w:rPr>
        <w:t>4.5 Stage 5: Behavioral Execution Under Structural Feasibility Conditions</w:t>
      </w:r>
    </w:p>
    <w:p w:rsidR="00050B1D" w:rsidRDefault="003C7742">
      <w:pPr>
        <w:tabs>
          <w:tab w:val="left" w:pos="922"/>
          <w:tab w:val="left" w:pos="2977"/>
        </w:tabs>
        <w:spacing w:line="360" w:lineRule="auto"/>
        <w:jc w:val="both"/>
        <w:rPr>
          <w:rFonts w:ascii="Arial" w:hAnsi="Arial" w:cs="Arial"/>
          <w:b/>
          <w:sz w:val="22"/>
          <w:szCs w:val="22"/>
        </w:rPr>
      </w:pPr>
      <w:r>
        <w:rPr>
          <w:rFonts w:ascii="Arial" w:hAnsi="Arial" w:cs="Arial"/>
          <w:b/>
          <w:sz w:val="22"/>
          <w:szCs w:val="22"/>
        </w:rPr>
        <w:t>(Bridging psychological activation and structural feasibility)</w:t>
      </w:r>
    </w:p>
    <w:p w:rsidR="00050B1D" w:rsidRDefault="003C7742">
      <w:pPr>
        <w:tabs>
          <w:tab w:val="left" w:pos="922"/>
          <w:tab w:val="left" w:pos="2977"/>
        </w:tabs>
        <w:spacing w:line="360" w:lineRule="auto"/>
        <w:jc w:val="both"/>
        <w:rPr>
          <w:rFonts w:ascii="Arial" w:hAnsi="Arial" w:cs="Arial"/>
        </w:rPr>
      </w:pPr>
      <w:r>
        <w:rPr>
          <w:rFonts w:ascii="Arial" w:hAnsi="Arial" w:cs="Arial"/>
        </w:rPr>
        <w:t>Ba</w:t>
      </w:r>
      <w:r>
        <w:rPr>
          <w:rFonts w:ascii="Arial" w:hAnsi="Arial" w:cs="Arial"/>
        </w:rPr>
        <w:t>sing of behavior on psychological preparedness is not sufficient. The feasibility in emerging markets is determined by contextual constraints, such as affordability, product availability, asymmetry of trust, and infrastructural limits (Khanna and Palepu, 2</w:t>
      </w:r>
      <w:r>
        <w:rPr>
          <w:rFonts w:ascii="Arial" w:hAnsi="Arial" w:cs="Arial"/>
        </w:rPr>
        <w:t>010; Meyer and Peng, 2016).</w:t>
      </w:r>
    </w:p>
    <w:p w:rsidR="00050B1D" w:rsidRDefault="003C7742">
      <w:pPr>
        <w:tabs>
          <w:tab w:val="left" w:pos="922"/>
          <w:tab w:val="left" w:pos="2977"/>
        </w:tabs>
        <w:spacing w:line="360" w:lineRule="auto"/>
        <w:jc w:val="both"/>
        <w:rPr>
          <w:rFonts w:ascii="Arial" w:hAnsi="Arial" w:cs="Arial"/>
        </w:rPr>
      </w:pPr>
      <w:r>
        <w:rPr>
          <w:rFonts w:ascii="Arial" w:hAnsi="Arial" w:cs="Arial"/>
        </w:rPr>
        <w:t xml:space="preserve">Recent empirical research suggests that the structural factors influence the practicability of the pro environmental intentions into real consumption behavior in developing economies. (Narayan, Ramaswamy, &amp; Prakash, 2022). In </w:t>
      </w:r>
      <w:r>
        <w:rPr>
          <w:rFonts w:ascii="Arial" w:hAnsi="Arial" w:cs="Arial"/>
        </w:rPr>
        <w:t>such a way, the interaction between neurocognitive and contextual viability leads to development of sustainable behavior.</w:t>
      </w:r>
    </w:p>
    <w:p w:rsidR="00050B1D" w:rsidRDefault="003C7742">
      <w:pPr>
        <w:tabs>
          <w:tab w:val="left" w:pos="922"/>
          <w:tab w:val="left" w:pos="2977"/>
        </w:tabs>
        <w:spacing w:line="360" w:lineRule="auto"/>
        <w:jc w:val="both"/>
        <w:rPr>
          <w:rFonts w:ascii="Arial" w:hAnsi="Arial" w:cs="Arial"/>
        </w:rPr>
      </w:pPr>
      <w:r>
        <w:rPr>
          <w:rFonts w:ascii="Arial" w:hAnsi="Arial" w:cs="Arial"/>
        </w:rPr>
        <w:t>This study contributes to sustainability and marketing scholarship in five key ways</w:t>
      </w:r>
      <w:r>
        <w:rPr>
          <w:rFonts w:ascii="Arial" w:hAnsi="Arial" w:cs="Arial"/>
        </w:rPr>
        <w:t>,</w:t>
      </w:r>
      <w:r>
        <w:rPr>
          <w:rFonts w:ascii="Arial" w:hAnsi="Arial" w:cs="Arial"/>
        </w:rPr>
        <w:t xml:space="preserve"> making it explicit, which allows it to go beyond </w:t>
      </w:r>
      <w:r>
        <w:rPr>
          <w:rFonts w:ascii="Arial" w:hAnsi="Arial" w:cs="Arial"/>
        </w:rPr>
        <w:t>the psychological framework and combine institutional theory with neurobehavioral processes.</w:t>
      </w:r>
    </w:p>
    <w:p w:rsidR="00050B1D" w:rsidRDefault="003C7742">
      <w:pPr>
        <w:tabs>
          <w:tab w:val="left" w:pos="922"/>
          <w:tab w:val="left" w:pos="2977"/>
        </w:tabs>
        <w:spacing w:line="360" w:lineRule="auto"/>
        <w:jc w:val="both"/>
        <w:rPr>
          <w:rFonts w:ascii="Arial" w:hAnsi="Arial" w:cs="Arial"/>
        </w:rPr>
      </w:pPr>
      <w:r>
        <w:rPr>
          <w:rFonts w:ascii="Arial" w:hAnsi="Arial" w:cs="Arial"/>
        </w:rPr>
        <w:lastRenderedPageBreak/>
        <w:t>Proposition 5: Conditions of contextual feasibility determine how the identity integrated environment motivation is translated into the real green purchase behavio</w:t>
      </w:r>
      <w:r>
        <w:rPr>
          <w:rFonts w:ascii="Arial" w:hAnsi="Arial" w:cs="Arial"/>
        </w:rPr>
        <w:t>r within the context of emerging market conditions.</w:t>
      </w:r>
    </w:p>
    <w:p w:rsidR="00050B1D" w:rsidRDefault="00050B1D">
      <w:pPr>
        <w:tabs>
          <w:tab w:val="left" w:pos="922"/>
          <w:tab w:val="left" w:pos="2977"/>
        </w:tabs>
        <w:spacing w:line="360" w:lineRule="auto"/>
        <w:jc w:val="both"/>
        <w:rPr>
          <w:rFonts w:ascii="Arial" w:hAnsi="Arial" w:cs="Arial"/>
        </w:rPr>
      </w:pPr>
    </w:p>
    <w:p w:rsidR="00050B1D" w:rsidRDefault="003C7742">
      <w:pPr>
        <w:tabs>
          <w:tab w:val="left" w:pos="922"/>
          <w:tab w:val="left" w:pos="2977"/>
        </w:tabs>
        <w:spacing w:line="360" w:lineRule="auto"/>
        <w:jc w:val="both"/>
        <w:rPr>
          <w:rFonts w:ascii="Arial" w:hAnsi="Arial" w:cs="Arial"/>
        </w:rPr>
      </w:pPr>
      <w:r>
        <w:rPr>
          <w:rFonts w:ascii="Arial" w:hAnsi="Arial" w:cs="Arial"/>
        </w:rPr>
        <w:t>It is also worth clarifying the behavioral results of various stages of the model being put forward before presenting the formal propositions. The initial levels of the Green Brain Model mostly determine</w:t>
      </w:r>
      <w:r>
        <w:rPr>
          <w:rFonts w:ascii="Arial" w:hAnsi="Arial" w:cs="Arial"/>
        </w:rPr>
        <w:t xml:space="preserve"> attention involvement and sustainability analysis, and intermediate levels define purchase intention and perceived behavioral feasibility. The last phase constitutes the real behavioral implementation, in which the identity combined environmental motivati</w:t>
      </w:r>
      <w:r>
        <w:rPr>
          <w:rFonts w:ascii="Arial" w:hAnsi="Arial" w:cs="Arial"/>
        </w:rPr>
        <w:t>on is changed to the visible consumption that is sustainable. This sequencing represents the movement of the psychological activation to the actual action in the emerging market structural settings.</w:t>
      </w:r>
    </w:p>
    <w:p w:rsidR="00050B1D" w:rsidRDefault="003C7742">
      <w:pPr>
        <w:tabs>
          <w:tab w:val="left" w:pos="922"/>
          <w:tab w:val="left" w:pos="2977"/>
        </w:tabs>
        <w:spacing w:line="360" w:lineRule="auto"/>
        <w:jc w:val="both"/>
        <w:rPr>
          <w:rFonts w:ascii="Arial" w:hAnsi="Arial" w:cs="Arial"/>
        </w:rPr>
      </w:pPr>
      <w:r>
        <w:rPr>
          <w:rFonts w:ascii="Arial" w:hAnsi="Arial" w:cs="Arial"/>
        </w:rPr>
        <w:t>Table 2 (below) shows the formal propositions based on ea</w:t>
      </w:r>
      <w:r>
        <w:rPr>
          <w:rFonts w:ascii="Arial" w:hAnsi="Arial" w:cs="Arial"/>
        </w:rPr>
        <w:t>ch step of the Green Brain Model to summarize the logical thinking in the model.</w:t>
      </w:r>
    </w:p>
    <w:p w:rsidR="00050B1D" w:rsidRDefault="003C7742">
      <w:pPr>
        <w:tabs>
          <w:tab w:val="left" w:pos="922"/>
          <w:tab w:val="left" w:pos="2977"/>
        </w:tabs>
        <w:spacing w:line="360" w:lineRule="auto"/>
        <w:jc w:val="both"/>
        <w:rPr>
          <w:rFonts w:ascii="Arial" w:hAnsi="Arial" w:cs="Arial"/>
        </w:rPr>
      </w:pPr>
      <w:proofErr w:type="spellStart"/>
      <w:r>
        <w:rPr>
          <w:rFonts w:ascii="Arial" w:hAnsi="Arial" w:cs="Arial"/>
        </w:rPr>
        <w:t>All together</w:t>
      </w:r>
      <w:proofErr w:type="spellEnd"/>
      <w:r>
        <w:rPr>
          <w:rFonts w:ascii="Arial" w:hAnsi="Arial" w:cs="Arial"/>
        </w:rPr>
        <w:t>, the stages of the Green Brain Model propose a progressive psychological process from environmental stimuli to sustainable consumption behavior. It starts with at</w:t>
      </w:r>
      <w:r>
        <w:rPr>
          <w:rFonts w:ascii="Arial" w:hAnsi="Arial" w:cs="Arial"/>
        </w:rPr>
        <w:t>tentional activation, moves to emotional engagement and evaluation of cognitive biases, and ends with identity integration and stabilization before leading to behavioral execution with contextual feasibility conditions. This is the theory upon which the pr</w:t>
      </w:r>
      <w:r>
        <w:rPr>
          <w:rFonts w:ascii="Arial" w:hAnsi="Arial" w:cs="Arial"/>
        </w:rPr>
        <w:t>opositions in Table 2 are based.</w:t>
      </w:r>
    </w:p>
    <w:p w:rsidR="00050B1D" w:rsidRDefault="003C7742">
      <w:pPr>
        <w:tabs>
          <w:tab w:val="left" w:pos="922"/>
          <w:tab w:val="left" w:pos="2977"/>
        </w:tabs>
        <w:spacing w:line="360" w:lineRule="auto"/>
        <w:jc w:val="both"/>
        <w:rPr>
          <w:rFonts w:ascii="Arial" w:hAnsi="Arial" w:cs="Arial"/>
        </w:rPr>
      </w:pPr>
      <w:r>
        <w:rPr>
          <w:rFonts w:ascii="Arial" w:hAnsi="Arial" w:cs="Arial"/>
        </w:rPr>
        <w:t xml:space="preserve"> </w:t>
      </w:r>
    </w:p>
    <w:p w:rsidR="00050B1D" w:rsidRDefault="003C7742">
      <w:pPr>
        <w:tabs>
          <w:tab w:val="left" w:pos="2977"/>
        </w:tabs>
        <w:spacing w:line="360" w:lineRule="auto"/>
        <w:jc w:val="both"/>
        <w:rPr>
          <w:rFonts w:ascii="Arial" w:eastAsia="SimSun" w:hAnsi="Arial" w:cs="Arial"/>
          <w:b/>
          <w:bCs/>
          <w:u w:val="single"/>
        </w:rPr>
      </w:pPr>
      <w:r>
        <w:rPr>
          <w:rFonts w:ascii="Arial" w:eastAsia="Calibri" w:hAnsi="Arial" w:cs="Arial"/>
          <w:b/>
          <w:sz w:val="24"/>
          <w:szCs w:val="24"/>
        </w:rPr>
        <w:t xml:space="preserve">Table 2. </w:t>
      </w:r>
      <w:r>
        <w:rPr>
          <w:rFonts w:ascii="Arial" w:eastAsia="SimSun" w:hAnsi="Arial" w:cs="Arial"/>
        </w:rPr>
        <w:t>Propositions Derived from the Green Brain Model (GBM): Stages, Theoretical Logic, and Predicted Relationships.</w:t>
      </w:r>
    </w:p>
    <w:tbl>
      <w:tblPr>
        <w:tblStyle w:val="TableGrid"/>
        <w:tblW w:w="9559" w:type="dxa"/>
        <w:tblInd w:w="-176" w:type="dxa"/>
        <w:tblLayout w:type="fixed"/>
        <w:tblLook w:val="04A0" w:firstRow="1" w:lastRow="0" w:firstColumn="1" w:lastColumn="0" w:noHBand="0" w:noVBand="1"/>
      </w:tblPr>
      <w:tblGrid>
        <w:gridCol w:w="1418"/>
        <w:gridCol w:w="1498"/>
        <w:gridCol w:w="2198"/>
        <w:gridCol w:w="4445"/>
      </w:tblGrid>
      <w:tr w:rsidR="00050B1D">
        <w:trPr>
          <w:trHeight w:val="353"/>
        </w:trPr>
        <w:tc>
          <w:tcPr>
            <w:tcW w:w="141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360" w:lineRule="auto"/>
              <w:rPr>
                <w:rFonts w:ascii="Arial" w:eastAsia="Calibri" w:hAnsi="Arial" w:cs="Arial"/>
                <w:b/>
                <w:bCs/>
                <w:sz w:val="20"/>
                <w:szCs w:val="20"/>
              </w:rPr>
            </w:pPr>
            <w:r>
              <w:rPr>
                <w:rFonts w:ascii="Arial" w:eastAsia="Calibri" w:hAnsi="Arial" w:cs="Arial"/>
                <w:b/>
                <w:bCs/>
                <w:sz w:val="20"/>
                <w:szCs w:val="20"/>
              </w:rPr>
              <w:t>Proposition</w:t>
            </w:r>
          </w:p>
        </w:tc>
        <w:tc>
          <w:tcPr>
            <w:tcW w:w="149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360" w:lineRule="auto"/>
              <w:rPr>
                <w:rFonts w:ascii="Arial" w:eastAsia="Calibri" w:hAnsi="Arial" w:cs="Arial"/>
                <w:b/>
                <w:bCs/>
                <w:sz w:val="20"/>
                <w:szCs w:val="20"/>
              </w:rPr>
            </w:pPr>
            <w:r>
              <w:rPr>
                <w:rFonts w:ascii="Arial" w:eastAsia="Calibri" w:hAnsi="Arial" w:cs="Arial"/>
                <w:b/>
                <w:bCs/>
                <w:sz w:val="20"/>
                <w:szCs w:val="20"/>
              </w:rPr>
              <w:t>Stage</w:t>
            </w:r>
          </w:p>
        </w:tc>
        <w:tc>
          <w:tcPr>
            <w:tcW w:w="219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360" w:lineRule="auto"/>
              <w:rPr>
                <w:rFonts w:ascii="Arial" w:eastAsia="Calibri" w:hAnsi="Arial" w:cs="Arial"/>
                <w:b/>
                <w:bCs/>
                <w:sz w:val="20"/>
                <w:szCs w:val="20"/>
              </w:rPr>
            </w:pPr>
            <w:r>
              <w:rPr>
                <w:rFonts w:ascii="Arial" w:eastAsia="Calibri" w:hAnsi="Arial" w:cs="Arial"/>
                <w:b/>
                <w:bCs/>
                <w:sz w:val="20"/>
                <w:szCs w:val="20"/>
              </w:rPr>
              <w:t>Theoretical Logic</w:t>
            </w:r>
          </w:p>
        </w:tc>
        <w:tc>
          <w:tcPr>
            <w:tcW w:w="4445"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360" w:lineRule="auto"/>
              <w:rPr>
                <w:rFonts w:ascii="Arial" w:eastAsia="Calibri" w:hAnsi="Arial" w:cs="Arial"/>
                <w:b/>
                <w:bCs/>
                <w:sz w:val="20"/>
                <w:szCs w:val="20"/>
              </w:rPr>
            </w:pPr>
            <w:r>
              <w:rPr>
                <w:rFonts w:ascii="Arial" w:eastAsia="Calibri" w:hAnsi="Arial" w:cs="Arial"/>
                <w:b/>
                <w:bCs/>
                <w:sz w:val="20"/>
                <w:szCs w:val="20"/>
              </w:rPr>
              <w:t>Predicted Relationship</w:t>
            </w:r>
          </w:p>
        </w:tc>
      </w:tr>
      <w:tr w:rsidR="00050B1D">
        <w:trPr>
          <w:trHeight w:val="1240"/>
        </w:trPr>
        <w:tc>
          <w:tcPr>
            <w:tcW w:w="141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P1</w:t>
            </w:r>
          </w:p>
        </w:tc>
        <w:tc>
          <w:tcPr>
            <w:tcW w:w="149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 xml:space="preserve">Sensory Attention (Salience </w:t>
            </w:r>
            <w:r>
              <w:rPr>
                <w:rFonts w:ascii="Arial" w:eastAsia="Calibri" w:hAnsi="Arial" w:cs="Arial"/>
                <w:sz w:val="20"/>
                <w:szCs w:val="20"/>
              </w:rPr>
              <w:t>Activation)</w:t>
            </w:r>
          </w:p>
        </w:tc>
        <w:tc>
          <w:tcPr>
            <w:tcW w:w="219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Emotionally and identity relevant stimuli activate attentional networks more effectively than neutral informational cues</w:t>
            </w:r>
          </w:p>
        </w:tc>
        <w:tc>
          <w:tcPr>
            <w:tcW w:w="4445"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Green marketing stimuli that activate emotional salience and identity relevance increase attentional engagement in emerging</w:t>
            </w:r>
            <w:r>
              <w:rPr>
                <w:rFonts w:ascii="Arial" w:eastAsia="Calibri" w:hAnsi="Arial" w:cs="Arial"/>
                <w:sz w:val="20"/>
                <w:szCs w:val="20"/>
              </w:rPr>
              <w:t xml:space="preserve"> markets</w:t>
            </w:r>
          </w:p>
        </w:tc>
      </w:tr>
      <w:tr w:rsidR="00050B1D">
        <w:trPr>
          <w:trHeight w:val="939"/>
        </w:trPr>
        <w:tc>
          <w:tcPr>
            <w:tcW w:w="141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P2</w:t>
            </w:r>
          </w:p>
        </w:tc>
        <w:tc>
          <w:tcPr>
            <w:tcW w:w="149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Emotional Engagement (Moral Resonance)</w:t>
            </w:r>
          </w:p>
        </w:tc>
        <w:tc>
          <w:tcPr>
            <w:tcW w:w="219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Moral emotions enhance neural encoding and behavioral motivation</w:t>
            </w:r>
          </w:p>
        </w:tc>
        <w:tc>
          <w:tcPr>
            <w:tcW w:w="4445"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rPr>
                <w:rFonts w:ascii="Arial" w:eastAsia="Calibri" w:hAnsi="Arial" w:cs="Arial"/>
                <w:sz w:val="20"/>
                <w:szCs w:val="20"/>
              </w:rPr>
            </w:pPr>
            <w:r>
              <w:rPr>
                <w:rFonts w:ascii="Arial" w:eastAsia="Calibri" w:hAnsi="Arial" w:cs="Arial"/>
                <w:sz w:val="20"/>
                <w:szCs w:val="20"/>
              </w:rPr>
              <w:t>Emotional engagement mediates the relationship between green stimulus exposure and positive sustainability evaluation</w:t>
            </w:r>
          </w:p>
          <w:p w:rsidR="00050B1D" w:rsidRDefault="00050B1D">
            <w:pPr>
              <w:tabs>
                <w:tab w:val="left" w:pos="2977"/>
              </w:tabs>
              <w:spacing w:before="100" w:beforeAutospacing="1" w:line="273" w:lineRule="auto"/>
              <w:rPr>
                <w:rFonts w:ascii="Arial" w:eastAsia="Calibri" w:hAnsi="Arial" w:cs="Arial"/>
                <w:sz w:val="20"/>
                <w:szCs w:val="20"/>
              </w:rPr>
            </w:pPr>
          </w:p>
        </w:tc>
      </w:tr>
      <w:tr w:rsidR="00050B1D">
        <w:trPr>
          <w:trHeight w:val="1064"/>
        </w:trPr>
        <w:tc>
          <w:tcPr>
            <w:tcW w:w="141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lastRenderedPageBreak/>
              <w:t>P3</w:t>
            </w:r>
          </w:p>
        </w:tc>
        <w:tc>
          <w:tcPr>
            <w:tcW w:w="149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 xml:space="preserve">Cognitive Bias </w:t>
            </w:r>
            <w:r>
              <w:rPr>
                <w:rFonts w:ascii="Arial" w:eastAsia="Calibri" w:hAnsi="Arial" w:cs="Arial"/>
                <w:sz w:val="20"/>
                <w:szCs w:val="20"/>
              </w:rPr>
              <w:t>Processing (Risk Interpretation)</w:t>
            </w:r>
          </w:p>
        </w:tc>
        <w:tc>
          <w:tcPr>
            <w:tcW w:w="219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Bias processing shapes perceived cost, risk, and uncertainty</w:t>
            </w:r>
          </w:p>
        </w:tc>
        <w:tc>
          <w:tcPr>
            <w:tcW w:w="4445"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rPr>
                <w:rFonts w:ascii="Arial" w:eastAsia="Calibri" w:hAnsi="Arial" w:cs="Arial"/>
                <w:sz w:val="20"/>
                <w:szCs w:val="20"/>
              </w:rPr>
            </w:pPr>
            <w:r>
              <w:rPr>
                <w:rFonts w:ascii="Arial" w:eastAsia="Calibri" w:hAnsi="Arial" w:cs="Arial"/>
                <w:sz w:val="20"/>
                <w:szCs w:val="20"/>
              </w:rPr>
              <w:t>Cognitive bias filtering moderates the relationship between emotional engagement and green purchase intention</w:t>
            </w:r>
          </w:p>
          <w:p w:rsidR="00050B1D" w:rsidRDefault="00050B1D">
            <w:pPr>
              <w:tabs>
                <w:tab w:val="left" w:pos="2977"/>
              </w:tabs>
              <w:spacing w:before="100" w:beforeAutospacing="1" w:line="273" w:lineRule="auto"/>
              <w:rPr>
                <w:rFonts w:ascii="Arial" w:eastAsia="Calibri" w:hAnsi="Arial" w:cs="Arial"/>
                <w:sz w:val="20"/>
                <w:szCs w:val="20"/>
              </w:rPr>
            </w:pPr>
          </w:p>
        </w:tc>
      </w:tr>
      <w:tr w:rsidR="00050B1D">
        <w:trPr>
          <w:trHeight w:val="1015"/>
        </w:trPr>
        <w:tc>
          <w:tcPr>
            <w:tcW w:w="141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P4</w:t>
            </w:r>
          </w:p>
        </w:tc>
        <w:tc>
          <w:tcPr>
            <w:tcW w:w="149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Memory Consolidation &amp; Identity Integration</w:t>
            </w:r>
          </w:p>
        </w:tc>
        <w:tc>
          <w:tcPr>
            <w:tcW w:w="219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Rep</w:t>
            </w:r>
            <w:r>
              <w:rPr>
                <w:rFonts w:ascii="Arial" w:eastAsia="Calibri" w:hAnsi="Arial" w:cs="Arial"/>
                <w:sz w:val="20"/>
                <w:szCs w:val="20"/>
              </w:rPr>
              <w:t>eated emotionally salient exposure strengthens identity alignment</w:t>
            </w:r>
          </w:p>
        </w:tc>
        <w:tc>
          <w:tcPr>
            <w:tcW w:w="4445"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rPr>
                <w:rFonts w:ascii="Arial" w:eastAsia="Calibri" w:hAnsi="Arial" w:cs="Arial"/>
                <w:sz w:val="20"/>
                <w:szCs w:val="20"/>
              </w:rPr>
            </w:pPr>
            <w:r>
              <w:rPr>
                <w:rFonts w:ascii="Arial" w:eastAsia="Calibri" w:hAnsi="Arial" w:cs="Arial"/>
                <w:sz w:val="20"/>
                <w:szCs w:val="20"/>
              </w:rPr>
              <w:t>Identity integration mediates the relationship between emotional engagement and sustained sustainable behavior</w:t>
            </w:r>
          </w:p>
          <w:p w:rsidR="00050B1D" w:rsidRDefault="00050B1D">
            <w:pPr>
              <w:tabs>
                <w:tab w:val="left" w:pos="2977"/>
              </w:tabs>
              <w:spacing w:before="100" w:beforeAutospacing="1" w:line="273" w:lineRule="auto"/>
              <w:rPr>
                <w:rFonts w:ascii="Arial" w:eastAsia="Calibri" w:hAnsi="Arial" w:cs="Arial"/>
                <w:sz w:val="20"/>
                <w:szCs w:val="20"/>
              </w:rPr>
            </w:pPr>
          </w:p>
        </w:tc>
      </w:tr>
      <w:tr w:rsidR="00050B1D">
        <w:trPr>
          <w:trHeight w:val="1250"/>
        </w:trPr>
        <w:tc>
          <w:tcPr>
            <w:tcW w:w="141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P5</w:t>
            </w:r>
          </w:p>
        </w:tc>
        <w:tc>
          <w:tcPr>
            <w:tcW w:w="149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Behavioral Execution Under Structural Feasibility Conditions</w:t>
            </w:r>
          </w:p>
        </w:tc>
        <w:tc>
          <w:tcPr>
            <w:tcW w:w="2198"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spacing w:before="100" w:beforeAutospacing="1" w:line="273" w:lineRule="auto"/>
              <w:rPr>
                <w:rFonts w:ascii="Arial" w:eastAsia="Calibri" w:hAnsi="Arial" w:cs="Arial"/>
                <w:b/>
                <w:bCs/>
                <w:sz w:val="20"/>
                <w:szCs w:val="20"/>
              </w:rPr>
            </w:pPr>
            <w:r>
              <w:rPr>
                <w:rFonts w:ascii="Arial" w:eastAsia="Calibri" w:hAnsi="Arial" w:cs="Arial"/>
                <w:sz w:val="20"/>
                <w:szCs w:val="20"/>
              </w:rPr>
              <w:t xml:space="preserve">Structural </w:t>
            </w:r>
            <w:r>
              <w:rPr>
                <w:rFonts w:ascii="Arial" w:eastAsia="Calibri" w:hAnsi="Arial" w:cs="Arial"/>
                <w:sz w:val="20"/>
                <w:szCs w:val="20"/>
              </w:rPr>
              <w:t>feasibility determines implementation of intention</w:t>
            </w:r>
          </w:p>
        </w:tc>
        <w:tc>
          <w:tcPr>
            <w:tcW w:w="4445" w:type="dxa"/>
            <w:tcBorders>
              <w:top w:val="single" w:sz="4" w:space="0" w:color="auto"/>
              <w:left w:val="single" w:sz="4" w:space="0" w:color="auto"/>
              <w:bottom w:val="single" w:sz="4" w:space="0" w:color="auto"/>
              <w:right w:val="single" w:sz="4" w:space="0" w:color="auto"/>
            </w:tcBorders>
            <w:vAlign w:val="center"/>
          </w:tcPr>
          <w:p w:rsidR="00050B1D" w:rsidRDefault="003C7742">
            <w:pPr>
              <w:tabs>
                <w:tab w:val="left" w:pos="2977"/>
              </w:tabs>
              <w:rPr>
                <w:rFonts w:ascii="Arial" w:eastAsia="Calibri" w:hAnsi="Arial" w:cs="Arial"/>
                <w:sz w:val="20"/>
                <w:szCs w:val="20"/>
              </w:rPr>
            </w:pPr>
            <w:r>
              <w:rPr>
                <w:rFonts w:ascii="Arial" w:eastAsia="Calibri" w:hAnsi="Arial" w:cs="Arial"/>
                <w:sz w:val="20"/>
                <w:szCs w:val="20"/>
              </w:rPr>
              <w:t>Contextual feasibility conditions influence whether identity integrated environmental motivation translates into actual green purchase behavior in emerging markets</w:t>
            </w:r>
          </w:p>
          <w:p w:rsidR="00050B1D" w:rsidRDefault="00050B1D">
            <w:pPr>
              <w:tabs>
                <w:tab w:val="left" w:pos="2977"/>
              </w:tabs>
              <w:spacing w:before="100" w:beforeAutospacing="1" w:line="273" w:lineRule="auto"/>
              <w:rPr>
                <w:rFonts w:ascii="Arial" w:eastAsia="Calibri" w:hAnsi="Arial" w:cs="Arial"/>
                <w:sz w:val="20"/>
                <w:szCs w:val="20"/>
              </w:rPr>
            </w:pPr>
          </w:p>
        </w:tc>
      </w:tr>
    </w:tbl>
    <w:p w:rsidR="00050B1D" w:rsidRDefault="003C7742">
      <w:pPr>
        <w:tabs>
          <w:tab w:val="left" w:pos="922"/>
          <w:tab w:val="left" w:pos="2977"/>
        </w:tabs>
        <w:spacing w:line="360" w:lineRule="auto"/>
        <w:jc w:val="both"/>
        <w:rPr>
          <w:rFonts w:ascii="Arial" w:eastAsia="Calibri" w:hAnsi="Arial" w:cs="Arial"/>
        </w:rPr>
      </w:pPr>
      <w:r>
        <w:rPr>
          <w:rFonts w:ascii="Arial" w:eastAsia="Calibri" w:hAnsi="Arial" w:cs="Arial"/>
        </w:rPr>
        <w:t xml:space="preserve">Source: The development of the concept </w:t>
      </w:r>
      <w:r>
        <w:rPr>
          <w:rFonts w:ascii="Arial" w:eastAsia="Calibri" w:hAnsi="Arial" w:cs="Arial"/>
        </w:rPr>
        <w:t>is the result of the author (this study), which is based on theoretical foundations considered in Sections 24.</w:t>
      </w:r>
    </w:p>
    <w:p w:rsidR="00050B1D" w:rsidRDefault="00050B1D">
      <w:pPr>
        <w:tabs>
          <w:tab w:val="left" w:pos="922"/>
          <w:tab w:val="left" w:pos="2977"/>
        </w:tabs>
        <w:spacing w:line="360" w:lineRule="auto"/>
        <w:jc w:val="both"/>
        <w:rPr>
          <w:rFonts w:ascii="Arial" w:eastAsia="Calibri" w:hAnsi="Arial" w:cs="Arial"/>
          <w:sz w:val="24"/>
          <w:szCs w:val="24"/>
        </w:rPr>
      </w:pP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Table 2 Theories based on the Green Brain Model (GBM): Stages, Theoretical Logic, and Hypothesized Relationships. Together, these propositions </w:t>
      </w:r>
      <w:r>
        <w:rPr>
          <w:rFonts w:ascii="Arial" w:eastAsia="Calibri" w:hAnsi="Arial" w:cs="Arial"/>
        </w:rPr>
        <w:t xml:space="preserve">present a series of progressive and moderated neurobehavioral process between sensory stimulation and </w:t>
      </w:r>
      <w:proofErr w:type="gramStart"/>
      <w:r>
        <w:rPr>
          <w:rFonts w:ascii="Arial" w:eastAsia="Calibri" w:hAnsi="Arial" w:cs="Arial"/>
        </w:rPr>
        <w:t>long lasting</w:t>
      </w:r>
      <w:proofErr w:type="gramEnd"/>
      <w:r>
        <w:rPr>
          <w:rFonts w:ascii="Arial" w:eastAsia="Calibri" w:hAnsi="Arial" w:cs="Arial"/>
        </w:rPr>
        <w:t xml:space="preserve"> behavioral performance in new market environments.</w:t>
      </w:r>
    </w:p>
    <w:p w:rsidR="00050B1D" w:rsidRDefault="00050B1D">
      <w:pPr>
        <w:autoSpaceDE w:val="0"/>
        <w:autoSpaceDN w:val="0"/>
        <w:adjustRightInd w:val="0"/>
        <w:jc w:val="both"/>
        <w:rPr>
          <w:rFonts w:ascii="Arial" w:hAnsi="Arial" w:cs="Arial"/>
          <w:b/>
          <w:bCs/>
          <w:sz w:val="22"/>
          <w:szCs w:val="22"/>
        </w:rPr>
      </w:pPr>
    </w:p>
    <w:p w:rsidR="00050B1D" w:rsidRDefault="003C7742">
      <w:pPr>
        <w:tabs>
          <w:tab w:val="left" w:pos="922"/>
        </w:tabs>
        <w:spacing w:line="360" w:lineRule="auto"/>
        <w:jc w:val="both"/>
        <w:rPr>
          <w:rFonts w:ascii="Arial" w:eastAsia="Calibri" w:hAnsi="Arial" w:cs="Arial"/>
          <w:b/>
          <w:sz w:val="22"/>
          <w:szCs w:val="22"/>
        </w:rPr>
      </w:pPr>
      <w:r>
        <w:rPr>
          <w:rFonts w:ascii="Arial" w:eastAsia="Calibri" w:hAnsi="Arial" w:cs="Arial"/>
          <w:b/>
          <w:sz w:val="22"/>
          <w:szCs w:val="22"/>
        </w:rPr>
        <w:t>5. THEORETICL CONTRIBUTIONS</w:t>
      </w:r>
    </w:p>
    <w:p w:rsidR="00050B1D" w:rsidRDefault="003C7742">
      <w:pPr>
        <w:tabs>
          <w:tab w:val="left" w:pos="922"/>
        </w:tabs>
        <w:spacing w:line="360" w:lineRule="auto"/>
        <w:jc w:val="both"/>
        <w:rPr>
          <w:rFonts w:ascii="Arial" w:eastAsia="Calibri" w:hAnsi="Arial" w:cs="Arial"/>
        </w:rPr>
      </w:pPr>
      <w:r>
        <w:rPr>
          <w:rFonts w:ascii="Arial" w:eastAsia="Calibri" w:hAnsi="Arial" w:cs="Arial"/>
        </w:rPr>
        <w:t>The research contributes sustainability and the study of mark</w:t>
      </w:r>
      <w:r>
        <w:rPr>
          <w:rFonts w:ascii="Arial" w:eastAsia="Calibri" w:hAnsi="Arial" w:cs="Arial"/>
        </w:rPr>
        <w:t>eting in five major aspects.</w:t>
      </w: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First, it transforms the concept of sustainable consumption into a multilevel neurobehavioral process as opposed to a rational attitudinal outcome. Although the literature defines the attitude behavior gap (White et al., 2019; </w:t>
      </w:r>
      <w:r>
        <w:rPr>
          <w:rFonts w:ascii="Arial" w:eastAsia="Calibri" w:hAnsi="Arial" w:cs="Arial"/>
        </w:rPr>
        <w:t>Nielsen et al., 2021), not many of the models reveal the chronological order in which the sensory salience, emotional engagement, cognitive bias processing, identity consolidation, and contextual applicability interact. The integration of these stages in G</w:t>
      </w:r>
      <w:r>
        <w:rPr>
          <w:rFonts w:ascii="Arial" w:eastAsia="Calibri" w:hAnsi="Arial" w:cs="Arial"/>
        </w:rPr>
        <w:t>reen Brain Model alters the sustainability research to process based behavioral architecture. This is in line with the recent demand of integrative, multilevel sustainability approaches, which have the potential to bridge the psychological micro mechanisms</w:t>
      </w:r>
      <w:r>
        <w:rPr>
          <w:rFonts w:ascii="Arial" w:eastAsia="Calibri" w:hAnsi="Arial" w:cs="Arial"/>
        </w:rPr>
        <w:t xml:space="preserve"> and the systemic environmental transitions (Aman </w:t>
      </w:r>
      <w:proofErr w:type="spellStart"/>
      <w:r>
        <w:rPr>
          <w:rFonts w:ascii="Arial" w:eastAsia="Calibri" w:hAnsi="Arial" w:cs="Arial"/>
        </w:rPr>
        <w:t>kwahAmoah</w:t>
      </w:r>
      <w:proofErr w:type="spellEnd"/>
      <w:r>
        <w:rPr>
          <w:rFonts w:ascii="Arial" w:eastAsia="Calibri" w:hAnsi="Arial" w:cs="Arial"/>
        </w:rPr>
        <w:t xml:space="preserve"> et al., 2022; Sarkis, Zhu, and Lai, 2021). Such recent systematic reviews and the emergent empirical research as well reinforce the necessity of sustained frameworks that incorporate psychological</w:t>
      </w:r>
      <w:r>
        <w:rPr>
          <w:rFonts w:ascii="Arial" w:eastAsia="Calibri" w:hAnsi="Arial" w:cs="Arial"/>
        </w:rPr>
        <w:t>, contextual, and structural factors of sustainable consumption. (Syed et al., 2024).</w:t>
      </w:r>
    </w:p>
    <w:p w:rsidR="00050B1D" w:rsidRDefault="003C7742">
      <w:pPr>
        <w:tabs>
          <w:tab w:val="left" w:pos="922"/>
        </w:tabs>
        <w:spacing w:line="360" w:lineRule="auto"/>
        <w:jc w:val="both"/>
        <w:rPr>
          <w:rFonts w:ascii="Arial" w:eastAsia="Calibri" w:hAnsi="Arial" w:cs="Arial"/>
        </w:rPr>
      </w:pPr>
      <w:r>
        <w:rPr>
          <w:rFonts w:ascii="Arial" w:eastAsia="Calibri" w:hAnsi="Arial" w:cs="Arial"/>
        </w:rPr>
        <w:lastRenderedPageBreak/>
        <w:t xml:space="preserve">Second, the framework fills the gap between behavioral economics and </w:t>
      </w:r>
      <w:r>
        <w:rPr>
          <w:rFonts w:ascii="Arial" w:eastAsia="Calibri" w:hAnsi="Arial" w:cs="Arial"/>
        </w:rPr>
        <w:t>Neuromarketing</w:t>
      </w:r>
      <w:r>
        <w:rPr>
          <w:rFonts w:ascii="Arial" w:eastAsia="Calibri" w:hAnsi="Arial" w:cs="Arial"/>
        </w:rPr>
        <w:t xml:space="preserve"> as the two literatures have been highly independent of each other in their development</w:t>
      </w:r>
      <w:r>
        <w:rPr>
          <w:rFonts w:ascii="Arial" w:eastAsia="Calibri" w:hAnsi="Arial" w:cs="Arial"/>
        </w:rPr>
        <w:t xml:space="preserve">. Behavioral economics recognizes the existence of systematic limitations to sustainable choice (Sunstein, 2020), whereas </w:t>
      </w:r>
      <w:r>
        <w:rPr>
          <w:rFonts w:ascii="Arial" w:eastAsia="Calibri" w:hAnsi="Arial" w:cs="Arial"/>
        </w:rPr>
        <w:t>Neuromarketing</w:t>
      </w:r>
      <w:r>
        <w:rPr>
          <w:rFonts w:ascii="Arial" w:eastAsia="Calibri" w:hAnsi="Arial" w:cs="Arial"/>
        </w:rPr>
        <w:t xml:space="preserve"> describes the process of emotional salience and neural encoding (</w:t>
      </w:r>
      <w:proofErr w:type="spellStart"/>
      <w:r>
        <w:rPr>
          <w:rFonts w:ascii="Arial" w:eastAsia="Calibri" w:hAnsi="Arial" w:cs="Arial"/>
        </w:rPr>
        <w:t>Plassmann</w:t>
      </w:r>
      <w:proofErr w:type="spellEnd"/>
      <w:r>
        <w:rPr>
          <w:rFonts w:ascii="Arial" w:eastAsia="Calibri" w:hAnsi="Arial" w:cs="Arial"/>
        </w:rPr>
        <w:t xml:space="preserve"> et al., 2015; Venkatraman et al., 2015). The</w:t>
      </w:r>
      <w:r>
        <w:rPr>
          <w:rFonts w:ascii="Arial" w:eastAsia="Calibri" w:hAnsi="Arial" w:cs="Arial"/>
        </w:rPr>
        <w:t xml:space="preserve"> model combines the bias filtering and neurocognitive activation in an attempt to explain the processes of green decision making in a more comprehensive way.</w:t>
      </w: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Third, the research also adds to the literature on </w:t>
      </w:r>
      <w:proofErr w:type="gramStart"/>
      <w:r>
        <w:rPr>
          <w:rFonts w:ascii="Arial" w:eastAsia="Calibri" w:hAnsi="Arial" w:cs="Arial"/>
        </w:rPr>
        <w:t>identity based</w:t>
      </w:r>
      <w:proofErr w:type="gramEnd"/>
      <w:r>
        <w:rPr>
          <w:rFonts w:ascii="Arial" w:eastAsia="Calibri" w:hAnsi="Arial" w:cs="Arial"/>
        </w:rPr>
        <w:t xml:space="preserve"> sustainability in that identity </w:t>
      </w:r>
      <w:r>
        <w:rPr>
          <w:rFonts w:ascii="Arial" w:eastAsia="Calibri" w:hAnsi="Arial" w:cs="Arial"/>
        </w:rPr>
        <w:t xml:space="preserve">consolidation is a mediating phase between persuasion and enduring behavior. Moral identity and </w:t>
      </w:r>
      <w:proofErr w:type="spellStart"/>
      <w:r>
        <w:rPr>
          <w:rFonts w:ascii="Arial" w:eastAsia="Calibri" w:hAnsi="Arial" w:cs="Arial"/>
        </w:rPr>
        <w:t>self concept</w:t>
      </w:r>
      <w:proofErr w:type="spellEnd"/>
      <w:r>
        <w:rPr>
          <w:rFonts w:ascii="Arial" w:eastAsia="Calibri" w:hAnsi="Arial" w:cs="Arial"/>
        </w:rPr>
        <w:t xml:space="preserve"> are the focus of the recent sustainability scholarship when it comes to environmental engagement (White et al., 2019; Nielsen et al., 2021). Nevert</w:t>
      </w:r>
      <w:r>
        <w:rPr>
          <w:rFonts w:ascii="Arial" w:eastAsia="Calibri" w:hAnsi="Arial" w:cs="Arial"/>
        </w:rPr>
        <w:t>heless, there is hardly ever a systematic neurobehavioral pathway in which identity formation occurs. The current system institutionalizes the concept of identity consolidation as a process of long-term behavior persistence. Identity cues of a cultural and</w:t>
      </w:r>
      <w:r>
        <w:rPr>
          <w:rFonts w:ascii="Arial" w:eastAsia="Calibri" w:hAnsi="Arial" w:cs="Arial"/>
        </w:rPr>
        <w:t xml:space="preserve"> religiosity nature also promote pro environmental commitment in collectivist situations (Zhang et al., 2022).</w:t>
      </w: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Fourth, the model builds on the emerging market, and institutional theory by connecting neurocognitive activation to the structural constraints. </w:t>
      </w:r>
      <w:r>
        <w:rPr>
          <w:rFonts w:ascii="Arial" w:eastAsia="Calibri" w:hAnsi="Arial" w:cs="Arial"/>
        </w:rPr>
        <w:t>The institutional void literature describes macro level uncertainty (Khanna and Palepu, 2010; Meyer and Peng, 2016), but it seldom describes the micro level psychological mechanisms on which the sustainability decisions are made. The framework combines the</w:t>
      </w:r>
      <w:r>
        <w:rPr>
          <w:rFonts w:ascii="Arial" w:eastAsia="Calibri" w:hAnsi="Arial" w:cs="Arial"/>
        </w:rPr>
        <w:t xml:space="preserve"> institutional and neurobehavioral views by including contextual moderation of the behavioral sequence. The evidence of emerging economies proves that affordability and perceived economic stability are still the decisive predictors of green purchase (Ofori</w:t>
      </w:r>
      <w:r>
        <w:rPr>
          <w:rFonts w:ascii="Arial" w:eastAsia="Calibri" w:hAnsi="Arial" w:cs="Arial"/>
        </w:rPr>
        <w:t xml:space="preserve"> et al., 2025).</w:t>
      </w: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Fifth, the study has a methodological input since it offers a testable conceptual architecture in line with current suggestions of </w:t>
      </w:r>
      <w:proofErr w:type="gramStart"/>
      <w:r>
        <w:rPr>
          <w:rFonts w:ascii="Arial" w:eastAsia="Calibri" w:hAnsi="Arial" w:cs="Arial"/>
        </w:rPr>
        <w:t>process oriented</w:t>
      </w:r>
      <w:proofErr w:type="gramEnd"/>
      <w:r>
        <w:rPr>
          <w:rFonts w:ascii="Arial" w:eastAsia="Calibri" w:hAnsi="Arial" w:cs="Arial"/>
        </w:rPr>
        <w:t xml:space="preserve"> sustainability research (Nielsen et al., 2021; Becker and </w:t>
      </w:r>
      <w:proofErr w:type="spellStart"/>
      <w:r>
        <w:rPr>
          <w:rFonts w:ascii="Arial" w:eastAsia="Calibri" w:hAnsi="Arial" w:cs="Arial"/>
        </w:rPr>
        <w:t>Jaak</w:t>
      </w:r>
      <w:proofErr w:type="spellEnd"/>
      <w:r>
        <w:rPr>
          <w:rFonts w:ascii="Arial" w:eastAsia="Calibri" w:hAnsi="Arial" w:cs="Arial"/>
        </w:rPr>
        <w:t xml:space="preserve"> kola, 2020). Measurable const</w:t>
      </w:r>
      <w:r>
        <w:rPr>
          <w:rFonts w:ascii="Arial" w:eastAsia="Calibri" w:hAnsi="Arial" w:cs="Arial"/>
        </w:rPr>
        <w:t>ructs salience activation, emotional engagement, bias processing, identity consolidation, and contextual moderation are produced by each stage of the model which empirically validates the model across the emerging market situations.</w:t>
      </w:r>
    </w:p>
    <w:p w:rsidR="00050B1D" w:rsidRDefault="003C7742">
      <w:pPr>
        <w:tabs>
          <w:tab w:val="left" w:pos="922"/>
        </w:tabs>
        <w:spacing w:line="360" w:lineRule="auto"/>
        <w:jc w:val="both"/>
        <w:rPr>
          <w:rFonts w:ascii="Arial" w:eastAsia="Calibri" w:hAnsi="Arial" w:cs="Arial"/>
        </w:rPr>
      </w:pPr>
      <w:r>
        <w:rPr>
          <w:rFonts w:ascii="Arial" w:eastAsia="Calibri" w:hAnsi="Arial" w:cs="Arial"/>
        </w:rPr>
        <w:t>Together, these contrib</w:t>
      </w:r>
      <w:r>
        <w:rPr>
          <w:rFonts w:ascii="Arial" w:eastAsia="Calibri" w:hAnsi="Arial" w:cs="Arial"/>
        </w:rPr>
        <w:t>utions make the Green Brain Model an integrative theoretical input at the interface of sustainability marketing and behavioral science and to the emerging market strategy.</w:t>
      </w:r>
    </w:p>
    <w:p w:rsidR="00050B1D" w:rsidRDefault="00050B1D">
      <w:pPr>
        <w:tabs>
          <w:tab w:val="left" w:pos="922"/>
        </w:tabs>
        <w:spacing w:line="360" w:lineRule="auto"/>
        <w:jc w:val="both"/>
        <w:rPr>
          <w:rFonts w:ascii="Arial" w:eastAsia="Calibri" w:hAnsi="Arial" w:cs="Arial"/>
        </w:rPr>
      </w:pPr>
    </w:p>
    <w:p w:rsidR="00050B1D" w:rsidRDefault="003C7742">
      <w:pPr>
        <w:tabs>
          <w:tab w:val="left" w:pos="922"/>
        </w:tabs>
        <w:spacing w:line="360" w:lineRule="auto"/>
        <w:jc w:val="both"/>
        <w:rPr>
          <w:rFonts w:ascii="Arial" w:eastAsia="Calibri" w:hAnsi="Arial" w:cs="Arial"/>
          <w:b/>
          <w:sz w:val="22"/>
          <w:szCs w:val="22"/>
        </w:rPr>
      </w:pPr>
      <w:r>
        <w:rPr>
          <w:rFonts w:ascii="Arial" w:eastAsia="Calibri" w:hAnsi="Arial" w:cs="Arial"/>
          <w:b/>
          <w:sz w:val="22"/>
          <w:szCs w:val="22"/>
        </w:rPr>
        <w:t>6. MANAGERIAL IMPLICATIONS</w:t>
      </w:r>
    </w:p>
    <w:p w:rsidR="00050B1D" w:rsidRDefault="003C7742">
      <w:pPr>
        <w:tabs>
          <w:tab w:val="left" w:pos="922"/>
        </w:tabs>
        <w:spacing w:line="360" w:lineRule="auto"/>
        <w:jc w:val="both"/>
        <w:rPr>
          <w:rFonts w:ascii="Arial" w:eastAsia="Calibri" w:hAnsi="Arial" w:cs="Arial"/>
        </w:rPr>
      </w:pPr>
      <w:r>
        <w:rPr>
          <w:rFonts w:ascii="Arial" w:eastAsia="Calibri" w:hAnsi="Arial" w:cs="Arial"/>
        </w:rPr>
        <w:t>Green Brain Model has strategic implications to firms an</w:t>
      </w:r>
      <w:r>
        <w:rPr>
          <w:rFonts w:ascii="Arial" w:eastAsia="Calibri" w:hAnsi="Arial" w:cs="Arial"/>
        </w:rPr>
        <w:t>d policy makers who want to promote sustainable consumption in the emerging markets.</w:t>
      </w:r>
    </w:p>
    <w:p w:rsidR="00050B1D" w:rsidRDefault="003C7742">
      <w:pPr>
        <w:tabs>
          <w:tab w:val="left" w:pos="922"/>
        </w:tabs>
        <w:spacing w:line="360" w:lineRule="auto"/>
        <w:jc w:val="both"/>
        <w:rPr>
          <w:rFonts w:ascii="Arial" w:eastAsia="Calibri" w:hAnsi="Arial" w:cs="Arial"/>
        </w:rPr>
      </w:pPr>
      <w:r>
        <w:rPr>
          <w:rFonts w:ascii="Arial" w:eastAsia="Calibri" w:hAnsi="Arial" w:cs="Arial"/>
        </w:rPr>
        <w:lastRenderedPageBreak/>
        <w:t>To begin with, emotional salience must be given priority by green marketing strategies as opposed to information density. It has been demonstrated that emotionally colored</w:t>
      </w:r>
      <w:r>
        <w:rPr>
          <w:rFonts w:ascii="Arial" w:eastAsia="Calibri" w:hAnsi="Arial" w:cs="Arial"/>
        </w:rPr>
        <w:t xml:space="preserve"> sustainability messages yield more powerful behavioral intentions as compared to cognitive appeals only (White et al., 2019; Wang et al., 2021). Companies must thus come up with green campaigns that appeal to moral pride, community identity and environmen</w:t>
      </w:r>
      <w:r>
        <w:rPr>
          <w:rFonts w:ascii="Arial" w:eastAsia="Calibri" w:hAnsi="Arial" w:cs="Arial"/>
        </w:rPr>
        <w:t>tal responsibility instead of using eco-labeling or technical specifications.</w:t>
      </w:r>
    </w:p>
    <w:p w:rsidR="00050B1D" w:rsidRDefault="003C7742">
      <w:pPr>
        <w:tabs>
          <w:tab w:val="left" w:pos="922"/>
        </w:tabs>
        <w:spacing w:line="360" w:lineRule="auto"/>
        <w:jc w:val="both"/>
        <w:rPr>
          <w:rFonts w:ascii="Arial" w:eastAsia="Calibri" w:hAnsi="Arial" w:cs="Arial"/>
        </w:rPr>
      </w:pPr>
      <w:r>
        <w:rPr>
          <w:rFonts w:ascii="Arial" w:eastAsia="Calibri" w:hAnsi="Arial" w:cs="Arial"/>
        </w:rPr>
        <w:t>Second, Managers should address bias-driven risk perceptions. The problem of loss aversion and the perceived financial risk are still significant obstacles to green adoption (Kha</w:t>
      </w:r>
      <w:r>
        <w:rPr>
          <w:rFonts w:ascii="Arial" w:eastAsia="Calibri" w:hAnsi="Arial" w:cs="Arial"/>
        </w:rPr>
        <w:t>n et al., 2022). The resistance caused by bias can be minimized, with transparent pricing systems, cost offset framing, and performance assurance systems. The ability to signal reparability and even durability of its products adds to perceived value and cr</w:t>
      </w:r>
      <w:r>
        <w:rPr>
          <w:rFonts w:ascii="Arial" w:eastAsia="Calibri" w:hAnsi="Arial" w:cs="Arial"/>
        </w:rPr>
        <w:t>edibility of sustainability even further (</w:t>
      </w:r>
      <w:proofErr w:type="spellStart"/>
      <w:r>
        <w:rPr>
          <w:rFonts w:ascii="Arial" w:eastAsia="Calibri" w:hAnsi="Arial" w:cs="Arial"/>
        </w:rPr>
        <w:t>Munten</w:t>
      </w:r>
      <w:proofErr w:type="spellEnd"/>
      <w:r>
        <w:rPr>
          <w:rFonts w:ascii="Arial" w:eastAsia="Calibri" w:hAnsi="Arial" w:cs="Arial"/>
        </w:rPr>
        <w:t xml:space="preserve"> &amp; </w:t>
      </w:r>
      <w:proofErr w:type="spellStart"/>
      <w:r>
        <w:rPr>
          <w:rFonts w:ascii="Arial" w:eastAsia="Calibri" w:hAnsi="Arial" w:cs="Arial"/>
        </w:rPr>
        <w:t>Vanhamme</w:t>
      </w:r>
      <w:proofErr w:type="spellEnd"/>
      <w:r>
        <w:rPr>
          <w:rFonts w:ascii="Arial" w:eastAsia="Calibri" w:hAnsi="Arial" w:cs="Arial"/>
        </w:rPr>
        <w:t>, 2023).</w:t>
      </w:r>
    </w:p>
    <w:p w:rsidR="00050B1D" w:rsidRDefault="003C7742">
      <w:pPr>
        <w:tabs>
          <w:tab w:val="left" w:pos="922"/>
        </w:tabs>
        <w:spacing w:line="360" w:lineRule="auto"/>
        <w:jc w:val="both"/>
        <w:rPr>
          <w:rFonts w:ascii="Arial" w:eastAsia="Calibri" w:hAnsi="Arial" w:cs="Arial"/>
        </w:rPr>
      </w:pPr>
      <w:r>
        <w:rPr>
          <w:rFonts w:ascii="Arial" w:eastAsia="Calibri" w:hAnsi="Arial" w:cs="Arial"/>
        </w:rPr>
        <w:t>Third, companies are supposed to develop identity based green positioning. There is evidence that identity congruent green branding helps to increase consumer loyalty and adoption in the l</w:t>
      </w:r>
      <w:r>
        <w:rPr>
          <w:rFonts w:ascii="Arial" w:eastAsia="Calibri" w:hAnsi="Arial" w:cs="Arial"/>
        </w:rPr>
        <w:t xml:space="preserve">ong run in a developing economy (Nguyen et al., 2023; Testa, Iovino, and </w:t>
      </w:r>
      <w:proofErr w:type="spellStart"/>
      <w:r>
        <w:rPr>
          <w:rFonts w:ascii="Arial" w:eastAsia="Calibri" w:hAnsi="Arial" w:cs="Arial"/>
        </w:rPr>
        <w:t>Iraldo</w:t>
      </w:r>
      <w:proofErr w:type="spellEnd"/>
      <w:r>
        <w:rPr>
          <w:rFonts w:ascii="Arial" w:eastAsia="Calibri" w:hAnsi="Arial" w:cs="Arial"/>
        </w:rPr>
        <w:t>, 2020). It has been demonstrated that there is a strong correlation between strategic alignment of brand identity and sustainability positioning with credibility and likelihood</w:t>
      </w:r>
      <w:r>
        <w:rPr>
          <w:rFonts w:ascii="Arial" w:eastAsia="Calibri" w:hAnsi="Arial" w:cs="Arial"/>
        </w:rPr>
        <w:t xml:space="preserve"> of adoption (Gleim et al., 2023). It has also been demonstrated that sustainability focused branding communication and identity related marketing tactics can contribute to a significant change in consumer attitudes and stimulate the use of the environment</w:t>
      </w:r>
      <w:r>
        <w:rPr>
          <w:rFonts w:ascii="Arial" w:eastAsia="Calibri" w:hAnsi="Arial" w:cs="Arial"/>
        </w:rPr>
        <w:t>ally responsible products, especially among younger consumer segments (</w:t>
      </w:r>
      <w:proofErr w:type="spellStart"/>
      <w:r>
        <w:rPr>
          <w:rFonts w:ascii="Arial" w:eastAsia="Calibri" w:hAnsi="Arial" w:cs="Arial"/>
        </w:rPr>
        <w:t>Theocharis</w:t>
      </w:r>
      <w:proofErr w:type="spellEnd"/>
      <w:r>
        <w:rPr>
          <w:rFonts w:ascii="Arial" w:eastAsia="Calibri" w:hAnsi="Arial" w:cs="Arial"/>
        </w:rPr>
        <w:t>, 2025). The behavioral persistence is strengthened by brand communication which reinforces the green identity, the belonging to the community, and long-term value alignment.</w:t>
      </w: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Fourth, sustainable marketing should consider the </w:t>
      </w:r>
      <w:r>
        <w:rPr>
          <w:rFonts w:ascii="Arial" w:eastAsia="Calibri" w:hAnsi="Arial" w:cs="Arial"/>
        </w:rPr>
        <w:t>contextual feasibility</w:t>
      </w:r>
      <w:r>
        <w:rPr>
          <w:rFonts w:ascii="Arial" w:eastAsia="Calibri" w:hAnsi="Arial" w:cs="Arial"/>
        </w:rPr>
        <w:t>. In new market places, structural affordability, distribution and trust asymmetry moderate adoption (Meyer and Peng, 2016). Supply chain preparedness and institutional plausibility sh</w:t>
      </w:r>
      <w:r>
        <w:rPr>
          <w:rFonts w:ascii="Arial" w:eastAsia="Calibri" w:hAnsi="Arial" w:cs="Arial"/>
        </w:rPr>
        <w:t>ould therefore be aligned with green campaigns.</w:t>
      </w:r>
    </w:p>
    <w:p w:rsidR="00050B1D" w:rsidRDefault="003C7742">
      <w:pPr>
        <w:tabs>
          <w:tab w:val="left" w:pos="922"/>
        </w:tabs>
        <w:spacing w:line="360" w:lineRule="auto"/>
        <w:jc w:val="both"/>
        <w:rPr>
          <w:rFonts w:ascii="Arial" w:eastAsia="Calibri" w:hAnsi="Arial" w:cs="Arial"/>
        </w:rPr>
      </w:pPr>
      <w:r>
        <w:rPr>
          <w:rFonts w:ascii="Arial" w:eastAsia="Calibri" w:hAnsi="Arial" w:cs="Arial"/>
        </w:rPr>
        <w:t>Fifth, conformity to national and international sustainability schemes leads to legitimacy. SDG 12 and SDG 13 focus on responsible consumption and climate (United Nations, 2015). In Tanzania, the Third Five Y</w:t>
      </w:r>
      <w:r>
        <w:rPr>
          <w:rFonts w:ascii="Arial" w:eastAsia="Calibri" w:hAnsi="Arial" w:cs="Arial"/>
        </w:rPr>
        <w:t>ear Development Plan also emphasizes the environmentally friendly industrialization (URT, 2021). By incorporating neuro -behaviorally informed marketing strategy in conjunction with policy goals, firms can also help in closing policy behavior gap.</w:t>
      </w: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Lastly, </w:t>
      </w:r>
      <w:r>
        <w:rPr>
          <w:rFonts w:ascii="Arial" w:eastAsia="Calibri" w:hAnsi="Arial" w:cs="Arial"/>
        </w:rPr>
        <w:t xml:space="preserve">behaviorally aware communication strategies must be included in sustainability campaigns by the policymakers. Instead of the sole use of regulatory requirements, </w:t>
      </w:r>
      <w:r>
        <w:rPr>
          <w:rFonts w:ascii="Arial" w:eastAsia="Calibri" w:hAnsi="Arial" w:cs="Arial"/>
        </w:rPr>
        <w:lastRenderedPageBreak/>
        <w:t>emotionally appealing and bias conscious communication can strengthen voluntary based adoption</w:t>
      </w:r>
      <w:r>
        <w:rPr>
          <w:rFonts w:ascii="Arial" w:eastAsia="Calibri" w:hAnsi="Arial" w:cs="Arial"/>
        </w:rPr>
        <w:t xml:space="preserve"> and years long behavioral modification (Sunstein, 2020; Nielsen et al., 2021).</w:t>
      </w:r>
    </w:p>
    <w:p w:rsidR="00050B1D" w:rsidRDefault="00050B1D">
      <w:pPr>
        <w:tabs>
          <w:tab w:val="left" w:pos="922"/>
        </w:tabs>
        <w:spacing w:line="360" w:lineRule="auto"/>
        <w:jc w:val="both"/>
        <w:rPr>
          <w:rFonts w:ascii="Arial" w:eastAsia="Calibri" w:hAnsi="Arial" w:cs="Arial"/>
        </w:rPr>
      </w:pPr>
    </w:p>
    <w:p w:rsidR="00050B1D" w:rsidRDefault="003C7742">
      <w:pPr>
        <w:tabs>
          <w:tab w:val="left" w:pos="922"/>
        </w:tabs>
        <w:spacing w:line="360" w:lineRule="auto"/>
        <w:jc w:val="both"/>
        <w:rPr>
          <w:rFonts w:ascii="Arial" w:eastAsia="Calibri" w:hAnsi="Arial" w:cs="Arial"/>
          <w:b/>
          <w:sz w:val="22"/>
          <w:szCs w:val="22"/>
        </w:rPr>
      </w:pPr>
      <w:r>
        <w:rPr>
          <w:rFonts w:ascii="Arial" w:eastAsia="Calibri" w:hAnsi="Arial" w:cs="Arial"/>
          <w:b/>
          <w:sz w:val="22"/>
          <w:szCs w:val="22"/>
        </w:rPr>
        <w:t>7. LIMITATIONS AND FUTURE RESEARCH</w:t>
      </w: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Although it has been integrated conceptually, the Green Brain Model is still theoretical and needs to be empirically tested on a wide range </w:t>
      </w:r>
      <w:r>
        <w:rPr>
          <w:rFonts w:ascii="Arial" w:eastAsia="Calibri" w:hAnsi="Arial" w:cs="Arial"/>
        </w:rPr>
        <w:t xml:space="preserve">of contexts. Despite the fact that each of the </w:t>
      </w:r>
      <w:proofErr w:type="gramStart"/>
      <w:r>
        <w:rPr>
          <w:rFonts w:ascii="Arial" w:eastAsia="Calibri" w:hAnsi="Arial" w:cs="Arial"/>
        </w:rPr>
        <w:t>stages</w:t>
      </w:r>
      <w:proofErr w:type="gramEnd"/>
      <w:r>
        <w:rPr>
          <w:rFonts w:ascii="Arial" w:eastAsia="Calibri" w:hAnsi="Arial" w:cs="Arial"/>
        </w:rPr>
        <w:t xml:space="preserve"> sensory salience, emotional engagement, cognitive bias processing, identity consolidation, and behavioral response </w:t>
      </w:r>
      <w:r>
        <w:rPr>
          <w:rFonts w:ascii="Arial" w:eastAsia="Calibri" w:hAnsi="Arial" w:cs="Arial"/>
        </w:rPr>
        <w:t>is based</w:t>
      </w:r>
      <w:r>
        <w:rPr>
          <w:rFonts w:ascii="Arial" w:eastAsia="Calibri" w:hAnsi="Arial" w:cs="Arial"/>
        </w:rPr>
        <w:t xml:space="preserve"> on the current sustainability and consumer behavior literature (White et al., </w:t>
      </w:r>
      <w:r>
        <w:rPr>
          <w:rFonts w:ascii="Arial" w:eastAsia="Calibri" w:hAnsi="Arial" w:cs="Arial"/>
        </w:rPr>
        <w:t>2019; Nielsen et al., 2021; Steg, 2023), the hypothesis of the sequential architecture has not been experimentally tested as a pathway yet. The sequential structure should be empirically tested in future studies through structural equation modeling, experi</w:t>
      </w:r>
      <w:r>
        <w:rPr>
          <w:rFonts w:ascii="Arial" w:eastAsia="Calibri" w:hAnsi="Arial" w:cs="Arial"/>
        </w:rPr>
        <w:t xml:space="preserve">mental designs and neuroscientific measurement tools, including EEG or </w:t>
      </w:r>
      <w:proofErr w:type="spellStart"/>
      <w:r>
        <w:rPr>
          <w:rFonts w:ascii="Arial" w:eastAsia="Calibri" w:hAnsi="Arial" w:cs="Arial"/>
        </w:rPr>
        <w:t>eyetracking</w:t>
      </w:r>
      <w:proofErr w:type="spellEnd"/>
      <w:r>
        <w:rPr>
          <w:rFonts w:ascii="Arial" w:eastAsia="Calibri" w:hAnsi="Arial" w:cs="Arial"/>
        </w:rPr>
        <w:t>, to prove the sequence of stages and the cause and effect relationships (</w:t>
      </w:r>
      <w:proofErr w:type="spellStart"/>
      <w:r>
        <w:rPr>
          <w:rFonts w:ascii="Arial" w:eastAsia="Calibri" w:hAnsi="Arial" w:cs="Arial"/>
        </w:rPr>
        <w:t>Karmarkar</w:t>
      </w:r>
      <w:proofErr w:type="spellEnd"/>
      <w:r>
        <w:rPr>
          <w:rFonts w:ascii="Arial" w:eastAsia="Calibri" w:hAnsi="Arial" w:cs="Arial"/>
        </w:rPr>
        <w:t xml:space="preserve"> and </w:t>
      </w:r>
      <w:proofErr w:type="spellStart"/>
      <w:r>
        <w:rPr>
          <w:rFonts w:ascii="Arial" w:eastAsia="Calibri" w:hAnsi="Arial" w:cs="Arial"/>
        </w:rPr>
        <w:t>Tormala</w:t>
      </w:r>
      <w:proofErr w:type="spellEnd"/>
      <w:r>
        <w:rPr>
          <w:rFonts w:ascii="Arial" w:eastAsia="Calibri" w:hAnsi="Arial" w:cs="Arial"/>
        </w:rPr>
        <w:t>, 2020; Bhattacharyya, Balaji, and Jiang, 2023). Each step of the Green Brain M</w:t>
      </w:r>
      <w:r>
        <w:rPr>
          <w:rFonts w:ascii="Arial" w:eastAsia="Calibri" w:hAnsi="Arial" w:cs="Arial"/>
        </w:rPr>
        <w:t>odel could also be operationalized through the use of existing methods of measurement of consumer behavior and sustainability studies in future empirical studies. The sensory attention can be assessed using attention recall, eye tracking indicators or mess</w:t>
      </w:r>
      <w:r>
        <w:rPr>
          <w:rFonts w:ascii="Arial" w:eastAsia="Calibri" w:hAnsi="Arial" w:cs="Arial"/>
        </w:rPr>
        <w:t>age salience scales. Affective response measures and moral emotion scales can be used in capturing emotional engagement. The processing of cognitive bias can be evaluated in terms of the perceived risk, loss aversion and default preference. The operational</w:t>
      </w:r>
      <w:r>
        <w:rPr>
          <w:rFonts w:ascii="Arial" w:eastAsia="Calibri" w:hAnsi="Arial" w:cs="Arial"/>
        </w:rPr>
        <w:t xml:space="preserve">ization of memory consolidation and integration of identity can be done using environmental identity scale and </w:t>
      </w:r>
      <w:proofErr w:type="spellStart"/>
      <w:r>
        <w:rPr>
          <w:rFonts w:ascii="Arial" w:eastAsia="Calibri" w:hAnsi="Arial" w:cs="Arial"/>
        </w:rPr>
        <w:t>self concept</w:t>
      </w:r>
      <w:proofErr w:type="spellEnd"/>
      <w:r>
        <w:rPr>
          <w:rFonts w:ascii="Arial" w:eastAsia="Calibri" w:hAnsi="Arial" w:cs="Arial"/>
        </w:rPr>
        <w:t xml:space="preserve"> alignment scale. Lastly, measuring behavioral execution could be done with either green purchase intention, willing to pay signs or </w:t>
      </w:r>
      <w:r>
        <w:rPr>
          <w:rFonts w:ascii="Arial" w:eastAsia="Calibri" w:hAnsi="Arial" w:cs="Arial"/>
        </w:rPr>
        <w:t>sustainable purchasing behavior. The measurement plans also offer a route in which the suggested framework can be empirically validated in different contexts of emerging markets. New results emphasize the significance of multi method designs that consist o</w:t>
      </w:r>
      <w:r>
        <w:rPr>
          <w:rFonts w:ascii="Arial" w:eastAsia="Calibri" w:hAnsi="Arial" w:cs="Arial"/>
        </w:rPr>
        <w:t xml:space="preserve">f behavioral experiments and measures of environmental impact (Carvalho, Fernandes, and </w:t>
      </w:r>
      <w:proofErr w:type="spellStart"/>
      <w:r>
        <w:rPr>
          <w:rFonts w:ascii="Arial" w:eastAsia="Calibri" w:hAnsi="Arial" w:cs="Arial"/>
        </w:rPr>
        <w:t>Veiga</w:t>
      </w:r>
      <w:proofErr w:type="spellEnd"/>
      <w:r>
        <w:rPr>
          <w:rFonts w:ascii="Arial" w:eastAsia="Calibri" w:hAnsi="Arial" w:cs="Arial"/>
        </w:rPr>
        <w:t>, 2022).</w:t>
      </w:r>
    </w:p>
    <w:p w:rsidR="00050B1D" w:rsidRDefault="003C7742">
      <w:pPr>
        <w:tabs>
          <w:tab w:val="left" w:pos="922"/>
        </w:tabs>
        <w:spacing w:line="360" w:lineRule="auto"/>
        <w:jc w:val="both"/>
        <w:rPr>
          <w:rFonts w:ascii="Arial" w:eastAsia="Calibri" w:hAnsi="Arial" w:cs="Arial"/>
        </w:rPr>
      </w:pPr>
      <w:r>
        <w:rPr>
          <w:rFonts w:ascii="Arial" w:eastAsia="Calibri" w:hAnsi="Arial" w:cs="Arial"/>
        </w:rPr>
        <w:t>The structural constraints are theorized as moderating in the model. Nevertheless, sustainability transitions studies have shown that institutional and ps</w:t>
      </w:r>
      <w:r>
        <w:rPr>
          <w:rFonts w:ascii="Arial" w:eastAsia="Calibri" w:hAnsi="Arial" w:cs="Arial"/>
        </w:rPr>
        <w:t xml:space="preserve">ychological variables can also dynamically change with time (Aman </w:t>
      </w:r>
      <w:proofErr w:type="spellStart"/>
      <w:r>
        <w:rPr>
          <w:rFonts w:ascii="Arial" w:eastAsia="Calibri" w:hAnsi="Arial" w:cs="Arial"/>
        </w:rPr>
        <w:t>kwahAmoah</w:t>
      </w:r>
      <w:proofErr w:type="spellEnd"/>
      <w:r>
        <w:rPr>
          <w:rFonts w:ascii="Arial" w:eastAsia="Calibri" w:hAnsi="Arial" w:cs="Arial"/>
        </w:rPr>
        <w:t xml:space="preserve"> et al., 2022).</w:t>
      </w:r>
    </w:p>
    <w:p w:rsidR="00050B1D" w:rsidRDefault="003C7742">
      <w:pPr>
        <w:tabs>
          <w:tab w:val="left" w:pos="922"/>
        </w:tabs>
        <w:spacing w:line="360" w:lineRule="auto"/>
        <w:jc w:val="both"/>
        <w:rPr>
          <w:rFonts w:ascii="Arial" w:eastAsia="Calibri" w:hAnsi="Arial" w:cs="Arial"/>
        </w:rPr>
      </w:pPr>
      <w:r>
        <w:rPr>
          <w:rFonts w:ascii="Arial" w:eastAsia="Calibri" w:hAnsi="Arial" w:cs="Arial"/>
        </w:rPr>
        <w:t>The digital platforms can potentially increase the emotional contagion and hasten the salience activation. Sustainability communication made by influencers has shown</w:t>
      </w:r>
      <w:r>
        <w:rPr>
          <w:rFonts w:ascii="Arial" w:eastAsia="Calibri" w:hAnsi="Arial" w:cs="Arial"/>
        </w:rPr>
        <w:t xml:space="preserve"> considerable behavioral activation impacts on younger consumers (Johnstone and Lindh, 2022).</w:t>
      </w: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Additional studies are also needed in the future to investigate recursive and </w:t>
      </w:r>
      <w:proofErr w:type="spellStart"/>
      <w:r>
        <w:rPr>
          <w:rFonts w:ascii="Arial" w:eastAsia="Calibri" w:hAnsi="Arial" w:cs="Arial"/>
        </w:rPr>
        <w:t>contextdependent</w:t>
      </w:r>
      <w:proofErr w:type="spellEnd"/>
      <w:r>
        <w:rPr>
          <w:rFonts w:ascii="Arial" w:eastAsia="Calibri" w:hAnsi="Arial" w:cs="Arial"/>
        </w:rPr>
        <w:t xml:space="preserve"> dynamics. Whilst the Green Brain Model is introduced as a sequentia</w:t>
      </w:r>
      <w:r>
        <w:rPr>
          <w:rFonts w:ascii="Arial" w:eastAsia="Calibri" w:hAnsi="Arial" w:cs="Arial"/>
        </w:rPr>
        <w:t xml:space="preserve">l </w:t>
      </w:r>
      <w:r>
        <w:rPr>
          <w:rFonts w:ascii="Arial" w:eastAsia="Calibri" w:hAnsi="Arial" w:cs="Arial"/>
        </w:rPr>
        <w:lastRenderedPageBreak/>
        <w:t xml:space="preserve">model in the analysis of behavioral clarity, the sustainable </w:t>
      </w:r>
      <w:proofErr w:type="gramStart"/>
      <w:r>
        <w:rPr>
          <w:rFonts w:ascii="Arial" w:eastAsia="Calibri" w:hAnsi="Arial" w:cs="Arial"/>
        </w:rPr>
        <w:t>decision making</w:t>
      </w:r>
      <w:proofErr w:type="gramEnd"/>
      <w:r>
        <w:rPr>
          <w:rFonts w:ascii="Arial" w:eastAsia="Calibri" w:hAnsi="Arial" w:cs="Arial"/>
        </w:rPr>
        <w:t xml:space="preserve"> processes can be associated with feedbacks where experience in repeating the behavioral activities will strengthen the identity integration and emotional involvement as time goe</w:t>
      </w:r>
      <w:r>
        <w:rPr>
          <w:rFonts w:ascii="Arial" w:eastAsia="Calibri" w:hAnsi="Arial" w:cs="Arial"/>
        </w:rPr>
        <w:t xml:space="preserve">s by. Empirical studies can thus seek to determine whether subsequent behavioral consequences empower previous cognitive and affective processes with reinforcement learning and social </w:t>
      </w:r>
      <w:proofErr w:type="spellStart"/>
      <w:r>
        <w:rPr>
          <w:rFonts w:ascii="Arial" w:eastAsia="Calibri" w:hAnsi="Arial" w:cs="Arial"/>
        </w:rPr>
        <w:t>signalling</w:t>
      </w:r>
      <w:proofErr w:type="spellEnd"/>
      <w:r>
        <w:rPr>
          <w:rFonts w:ascii="Arial" w:eastAsia="Calibri" w:hAnsi="Arial" w:cs="Arial"/>
        </w:rPr>
        <w:t>. (Syed et al., 2024).</w:t>
      </w:r>
    </w:p>
    <w:p w:rsidR="00050B1D" w:rsidRDefault="00050B1D">
      <w:pPr>
        <w:tabs>
          <w:tab w:val="left" w:pos="922"/>
        </w:tabs>
        <w:spacing w:line="360" w:lineRule="auto"/>
        <w:jc w:val="both"/>
        <w:rPr>
          <w:rFonts w:ascii="Arial" w:eastAsia="Calibri" w:hAnsi="Arial" w:cs="Arial"/>
        </w:rPr>
      </w:pPr>
    </w:p>
    <w:p w:rsidR="00050B1D" w:rsidRDefault="003C7742">
      <w:pPr>
        <w:tabs>
          <w:tab w:val="left" w:pos="922"/>
        </w:tabs>
        <w:spacing w:line="360" w:lineRule="auto"/>
        <w:jc w:val="both"/>
        <w:rPr>
          <w:rFonts w:ascii="Arial" w:eastAsia="Calibri" w:hAnsi="Arial" w:cs="Arial"/>
          <w:b/>
          <w:sz w:val="22"/>
          <w:szCs w:val="22"/>
        </w:rPr>
      </w:pPr>
      <w:r>
        <w:rPr>
          <w:rFonts w:ascii="Arial" w:eastAsia="Calibri" w:hAnsi="Arial" w:cs="Arial"/>
          <w:b/>
          <w:sz w:val="22"/>
          <w:szCs w:val="22"/>
        </w:rPr>
        <w:t>8. POLICY IMPLICATIONS TO THE EMERGING</w:t>
      </w:r>
      <w:r>
        <w:rPr>
          <w:rFonts w:ascii="Arial" w:eastAsia="Calibri" w:hAnsi="Arial" w:cs="Arial"/>
          <w:b/>
          <w:sz w:val="22"/>
          <w:szCs w:val="22"/>
        </w:rPr>
        <w:t xml:space="preserve"> ECONOMIES</w:t>
      </w:r>
    </w:p>
    <w:p w:rsidR="00050B1D" w:rsidRDefault="003C7742">
      <w:pPr>
        <w:tabs>
          <w:tab w:val="left" w:pos="922"/>
        </w:tabs>
        <w:spacing w:line="360" w:lineRule="auto"/>
        <w:jc w:val="both"/>
        <w:rPr>
          <w:rFonts w:ascii="Arial" w:eastAsia="Calibri" w:hAnsi="Arial" w:cs="Arial"/>
        </w:rPr>
      </w:pPr>
      <w:r>
        <w:rPr>
          <w:rFonts w:ascii="Arial" w:eastAsia="Calibri" w:hAnsi="Arial" w:cs="Arial"/>
        </w:rPr>
        <w:t>Green Brain Model provides policy relevant information on governments that would like to reduce the policy behavior gap in sustainable development.</w:t>
      </w:r>
    </w:p>
    <w:p w:rsidR="00050B1D" w:rsidRDefault="003C7742">
      <w:pPr>
        <w:tabs>
          <w:tab w:val="left" w:pos="922"/>
        </w:tabs>
        <w:spacing w:line="360" w:lineRule="auto"/>
        <w:jc w:val="both"/>
        <w:rPr>
          <w:rFonts w:ascii="Arial" w:eastAsia="Calibri" w:hAnsi="Arial" w:cs="Arial"/>
        </w:rPr>
      </w:pPr>
      <w:r>
        <w:rPr>
          <w:rFonts w:ascii="Arial" w:eastAsia="Calibri" w:hAnsi="Arial" w:cs="Arial"/>
        </w:rPr>
        <w:t>To begin with, sustainability campaigns must incorporate behavioral design principles rather than</w:t>
      </w:r>
      <w:r>
        <w:rPr>
          <w:rFonts w:ascii="Arial" w:eastAsia="Calibri" w:hAnsi="Arial" w:cs="Arial"/>
        </w:rPr>
        <w:t xml:space="preserve"> relying solely on information dissemination</w:t>
      </w:r>
      <w:r>
        <w:rPr>
          <w:rFonts w:ascii="Arial" w:eastAsia="Calibri" w:hAnsi="Arial" w:cs="Arial"/>
        </w:rPr>
        <w:t>.</w:t>
      </w:r>
      <w:r>
        <w:rPr>
          <w:rFonts w:ascii="Arial" w:eastAsia="Calibri" w:hAnsi="Arial" w:cs="Arial"/>
        </w:rPr>
        <w:t xml:space="preserve"> It has been shown that emotionally colored sustainability communication produces more behavioral commitment than rational appeals only (White et al., 2019; Nguyen et al., 2023). To improve SDG 12 and SDG 13 imp</w:t>
      </w:r>
      <w:r>
        <w:rPr>
          <w:rFonts w:ascii="Arial" w:eastAsia="Calibri" w:hAnsi="Arial" w:cs="Arial"/>
        </w:rPr>
        <w:t>lementation, policymakers can thus incorporate the identity based and value congruent message in the national environmental campaigns. These strategies are consistent with more general sustainability transition models that focus on the coordinated micro an</w:t>
      </w:r>
      <w:r>
        <w:rPr>
          <w:rFonts w:ascii="Arial" w:eastAsia="Calibri" w:hAnsi="Arial" w:cs="Arial"/>
        </w:rPr>
        <w:t xml:space="preserve">d macro level change processes (Aman </w:t>
      </w:r>
      <w:proofErr w:type="spellStart"/>
      <w:r>
        <w:rPr>
          <w:rFonts w:ascii="Arial" w:eastAsia="Calibri" w:hAnsi="Arial" w:cs="Arial"/>
        </w:rPr>
        <w:t>kwahAmoah</w:t>
      </w:r>
      <w:proofErr w:type="spellEnd"/>
      <w:r>
        <w:rPr>
          <w:rFonts w:ascii="Arial" w:eastAsia="Calibri" w:hAnsi="Arial" w:cs="Arial"/>
        </w:rPr>
        <w:t xml:space="preserve"> et al., 2022).</w:t>
      </w: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Second, structural feasibility has to be matched with psychological activation. In the situation </w:t>
      </w:r>
      <w:proofErr w:type="gramStart"/>
      <w:r>
        <w:rPr>
          <w:rFonts w:ascii="Arial" w:eastAsia="Calibri" w:hAnsi="Arial" w:cs="Arial"/>
        </w:rPr>
        <w:t>where</w:t>
      </w:r>
      <w:proofErr w:type="gramEnd"/>
      <w:r>
        <w:rPr>
          <w:rFonts w:ascii="Arial" w:eastAsia="Calibri" w:hAnsi="Arial" w:cs="Arial"/>
        </w:rPr>
        <w:t xml:space="preserve"> emotional engagement has been secured, affordability and distribution barriers can prevent </w:t>
      </w:r>
      <w:r>
        <w:rPr>
          <w:rFonts w:ascii="Arial" w:eastAsia="Calibri" w:hAnsi="Arial" w:cs="Arial"/>
        </w:rPr>
        <w:t xml:space="preserve">adoption (Narayan et al., 2022; Khan et al., 2022). The evidence of emerging economies proves that the economic stability and perceived affordability are the decisive predictors of green purchase behavior (Ofori et al., 2025). Combination of policies that </w:t>
      </w:r>
      <w:r>
        <w:rPr>
          <w:rFonts w:ascii="Arial" w:eastAsia="Calibri" w:hAnsi="Arial" w:cs="Arial"/>
        </w:rPr>
        <w:t>include behavioral message with subsidy design, green finance, and supply chain fortification is more effective compared to communication only interventions.</w:t>
      </w: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Third, institutional trust is a significant moderating factor in emerging economies (Aman </w:t>
      </w:r>
      <w:proofErr w:type="spellStart"/>
      <w:r>
        <w:rPr>
          <w:rFonts w:ascii="Arial" w:eastAsia="Calibri" w:hAnsi="Arial" w:cs="Arial"/>
        </w:rPr>
        <w:t>kwahAmoa</w:t>
      </w:r>
      <w:r>
        <w:rPr>
          <w:rFonts w:ascii="Arial" w:eastAsia="Calibri" w:hAnsi="Arial" w:cs="Arial"/>
        </w:rPr>
        <w:t>h</w:t>
      </w:r>
      <w:proofErr w:type="spellEnd"/>
      <w:r>
        <w:rPr>
          <w:rFonts w:ascii="Arial" w:eastAsia="Calibri" w:hAnsi="Arial" w:cs="Arial"/>
        </w:rPr>
        <w:t xml:space="preserve"> et al., 2022). The contextual moderation is improved with the help of certification systems, clear labeling standards and reliable enforcement mechanisms and the bias driven skepticism is minimized. Sustainability Credibility and Perceived </w:t>
      </w:r>
      <w:proofErr w:type="gramStart"/>
      <w:r>
        <w:rPr>
          <w:rFonts w:ascii="Arial" w:eastAsia="Calibri" w:hAnsi="Arial" w:cs="Arial"/>
        </w:rPr>
        <w:t>Long term</w:t>
      </w:r>
      <w:proofErr w:type="gramEnd"/>
      <w:r>
        <w:rPr>
          <w:rFonts w:ascii="Arial" w:eastAsia="Calibri" w:hAnsi="Arial" w:cs="Arial"/>
        </w:rPr>
        <w:t xml:space="preserve"> Valu</w:t>
      </w:r>
      <w:r>
        <w:rPr>
          <w:rFonts w:ascii="Arial" w:eastAsia="Calibri" w:hAnsi="Arial" w:cs="Arial"/>
        </w:rPr>
        <w:t>e Reparability and durability signaling policies can also serve as a further means of building sustainability credibility and perceived long-term value (</w:t>
      </w:r>
      <w:proofErr w:type="spellStart"/>
      <w:r>
        <w:rPr>
          <w:rFonts w:ascii="Arial" w:eastAsia="Calibri" w:hAnsi="Arial" w:cs="Arial"/>
        </w:rPr>
        <w:t>Munten</w:t>
      </w:r>
      <w:proofErr w:type="spellEnd"/>
      <w:r>
        <w:rPr>
          <w:rFonts w:ascii="Arial" w:eastAsia="Calibri" w:hAnsi="Arial" w:cs="Arial"/>
        </w:rPr>
        <w:t xml:space="preserve"> and </w:t>
      </w:r>
      <w:proofErr w:type="spellStart"/>
      <w:r>
        <w:rPr>
          <w:rFonts w:ascii="Arial" w:eastAsia="Calibri" w:hAnsi="Arial" w:cs="Arial"/>
        </w:rPr>
        <w:t>Vanhamme</w:t>
      </w:r>
      <w:proofErr w:type="spellEnd"/>
      <w:r>
        <w:rPr>
          <w:rFonts w:ascii="Arial" w:eastAsia="Calibri" w:hAnsi="Arial" w:cs="Arial"/>
        </w:rPr>
        <w:t>, 2023).</w:t>
      </w:r>
    </w:p>
    <w:p w:rsidR="00050B1D" w:rsidRDefault="003C7742">
      <w:pPr>
        <w:tabs>
          <w:tab w:val="left" w:pos="922"/>
        </w:tabs>
        <w:spacing w:line="360" w:lineRule="auto"/>
        <w:jc w:val="both"/>
        <w:rPr>
          <w:rFonts w:ascii="Arial" w:eastAsia="Calibri" w:hAnsi="Arial" w:cs="Arial"/>
        </w:rPr>
      </w:pPr>
      <w:r>
        <w:rPr>
          <w:rFonts w:ascii="Arial" w:eastAsia="Calibri" w:hAnsi="Arial" w:cs="Arial"/>
        </w:rPr>
        <w:t xml:space="preserve">Fourth, the intervention sites with a high level of leverage include youth </w:t>
      </w:r>
      <w:r>
        <w:rPr>
          <w:rFonts w:ascii="Arial" w:eastAsia="Calibri" w:hAnsi="Arial" w:cs="Arial"/>
        </w:rPr>
        <w:t>and educational bodies. The formation of sustainability identity in early adulthood has been observed to result in long lasting pro environmental behavior (Steg, 2023). Incorporating neuro behaviorally grounded sustainability education into higher educatio</w:t>
      </w:r>
      <w:r>
        <w:rPr>
          <w:rFonts w:ascii="Arial" w:eastAsia="Calibri" w:hAnsi="Arial" w:cs="Arial"/>
        </w:rPr>
        <w:t xml:space="preserve">n programs is also consistent with the </w:t>
      </w:r>
      <w:proofErr w:type="gramStart"/>
      <w:r>
        <w:rPr>
          <w:rFonts w:ascii="Arial" w:eastAsia="Calibri" w:hAnsi="Arial" w:cs="Arial"/>
        </w:rPr>
        <w:lastRenderedPageBreak/>
        <w:t>long term</w:t>
      </w:r>
      <w:proofErr w:type="gramEnd"/>
      <w:r>
        <w:rPr>
          <w:rFonts w:ascii="Arial" w:eastAsia="Calibri" w:hAnsi="Arial" w:cs="Arial"/>
        </w:rPr>
        <w:t xml:space="preserve"> human capital approach and identity consolidation processes in the Green Brain Model.</w:t>
      </w:r>
    </w:p>
    <w:p w:rsidR="00050B1D" w:rsidRDefault="003C7742">
      <w:pPr>
        <w:tabs>
          <w:tab w:val="left" w:pos="922"/>
        </w:tabs>
        <w:spacing w:line="360" w:lineRule="auto"/>
        <w:jc w:val="both"/>
        <w:rPr>
          <w:rFonts w:ascii="Arial" w:eastAsia="Calibri" w:hAnsi="Arial" w:cs="Arial"/>
        </w:rPr>
      </w:pPr>
      <w:r>
        <w:rPr>
          <w:rFonts w:ascii="Arial" w:eastAsia="Calibri" w:hAnsi="Arial" w:cs="Arial"/>
        </w:rPr>
        <w:t>Fifth, the design of the digital policies should take into consideration behavioral amplification through platforms. Onli</w:t>
      </w:r>
      <w:r>
        <w:rPr>
          <w:rFonts w:ascii="Arial" w:eastAsia="Calibri" w:hAnsi="Arial" w:cs="Arial"/>
        </w:rPr>
        <w:t>ne channels can enhance the spread of emotions and quicken sustainability interactions. A sustainability communication that is influenced by influencers showed high levels of behavioral activation attributes in young consumers (Johnstone and Lindh 2022). T</w:t>
      </w:r>
      <w:r>
        <w:rPr>
          <w:rFonts w:ascii="Arial" w:eastAsia="Calibri" w:hAnsi="Arial" w:cs="Arial"/>
        </w:rPr>
        <w:t>he evidence based digital methods of communication and behavioral experiments should thus be included by policy makers prior to rollout on nationwide basis.</w:t>
      </w:r>
    </w:p>
    <w:p w:rsidR="00050B1D" w:rsidRDefault="003C7742">
      <w:pPr>
        <w:tabs>
          <w:tab w:val="left" w:pos="922"/>
        </w:tabs>
        <w:spacing w:line="360" w:lineRule="auto"/>
        <w:jc w:val="both"/>
        <w:rPr>
          <w:rFonts w:ascii="Arial" w:eastAsia="Calibri" w:hAnsi="Arial" w:cs="Arial"/>
        </w:rPr>
      </w:pPr>
      <w:r>
        <w:rPr>
          <w:rFonts w:ascii="Arial" w:eastAsia="Calibri" w:hAnsi="Arial" w:cs="Arial"/>
        </w:rPr>
        <w:t>Lastly, governments can also think about formation of behavioral insight units where sustainability</w:t>
      </w:r>
      <w:r>
        <w:rPr>
          <w:rFonts w:ascii="Arial" w:eastAsia="Calibri" w:hAnsi="Arial" w:cs="Arial"/>
        </w:rPr>
        <w:t xml:space="preserve"> messaging can be experimented. The newly developed studies emphasize the usefulness of multi-method behavioral assessment strategies to enhance the effectiveness of sustainability intervention (Carvalho, Fernandes, and </w:t>
      </w:r>
      <w:proofErr w:type="spellStart"/>
      <w:r>
        <w:rPr>
          <w:rFonts w:ascii="Arial" w:eastAsia="Calibri" w:hAnsi="Arial" w:cs="Arial"/>
        </w:rPr>
        <w:t>Veiga</w:t>
      </w:r>
      <w:proofErr w:type="spellEnd"/>
      <w:r>
        <w:rPr>
          <w:rFonts w:ascii="Arial" w:eastAsia="Calibri" w:hAnsi="Arial" w:cs="Arial"/>
        </w:rPr>
        <w:t>, 2022; Syed et al., 2024). The</w:t>
      </w:r>
      <w:r>
        <w:rPr>
          <w:rFonts w:ascii="Arial" w:eastAsia="Calibri" w:hAnsi="Arial" w:cs="Arial"/>
        </w:rPr>
        <w:t xml:space="preserve"> incorporation of behavioral science in environmental governance improves the performance of the policies and the behavioral congruence in the long term.</w:t>
      </w:r>
    </w:p>
    <w:p w:rsidR="00050B1D" w:rsidRDefault="003C7742">
      <w:pPr>
        <w:tabs>
          <w:tab w:val="left" w:pos="922"/>
        </w:tabs>
        <w:spacing w:line="360" w:lineRule="auto"/>
        <w:jc w:val="both"/>
        <w:rPr>
          <w:rFonts w:ascii="Arial" w:eastAsia="Calibri" w:hAnsi="Arial" w:cs="Arial"/>
        </w:rPr>
      </w:pPr>
      <w:r>
        <w:rPr>
          <w:rFonts w:ascii="Arial" w:eastAsia="Calibri" w:hAnsi="Arial" w:cs="Arial"/>
        </w:rPr>
        <w:t>After all, as proposed by the Green Brain Model, to achieve sustainable change in the emerging economi</w:t>
      </w:r>
      <w:r>
        <w:rPr>
          <w:rFonts w:ascii="Arial" w:eastAsia="Calibri" w:hAnsi="Arial" w:cs="Arial"/>
        </w:rPr>
        <w:t>es, it is necessary to have a concerted balance between psychological activation mechanisms and institutional design. The link between macro level sustainability and neurobehavioral processes at a micro level increases the likelihood of the transition to a</w:t>
      </w:r>
      <w:r>
        <w:rPr>
          <w:rFonts w:ascii="Arial" w:eastAsia="Calibri" w:hAnsi="Arial" w:cs="Arial"/>
        </w:rPr>
        <w:t xml:space="preserve"> sustained environmental.</w:t>
      </w:r>
    </w:p>
    <w:p w:rsidR="00050B1D" w:rsidRDefault="00050B1D">
      <w:pPr>
        <w:tabs>
          <w:tab w:val="left" w:pos="922"/>
        </w:tabs>
        <w:spacing w:line="360" w:lineRule="auto"/>
        <w:jc w:val="both"/>
        <w:rPr>
          <w:rFonts w:ascii="Arial" w:eastAsia="Calibri" w:hAnsi="Arial" w:cs="Arial"/>
        </w:rPr>
      </w:pPr>
    </w:p>
    <w:p w:rsidR="00050B1D" w:rsidRDefault="003C7742">
      <w:pPr>
        <w:pStyle w:val="ConcHead"/>
        <w:numPr>
          <w:ilvl w:val="0"/>
          <w:numId w:val="3"/>
        </w:numPr>
        <w:spacing w:after="0"/>
        <w:jc w:val="both"/>
        <w:rPr>
          <w:rFonts w:ascii="Arial" w:hAnsi="Arial" w:cs="Arial"/>
        </w:rPr>
      </w:pPr>
      <w:r>
        <w:rPr>
          <w:rFonts w:ascii="Arial" w:hAnsi="Arial" w:cs="Arial"/>
        </w:rPr>
        <w:t>Conclusion</w:t>
      </w:r>
    </w:p>
    <w:p w:rsidR="00050B1D" w:rsidRDefault="00050B1D">
      <w:pPr>
        <w:pStyle w:val="ConcHead"/>
        <w:spacing w:after="0"/>
        <w:jc w:val="both"/>
        <w:rPr>
          <w:rFonts w:ascii="Arial" w:hAnsi="Arial" w:cs="Arial"/>
        </w:rPr>
      </w:pPr>
    </w:p>
    <w:p w:rsidR="00050B1D" w:rsidRDefault="003C7742">
      <w:pPr>
        <w:tabs>
          <w:tab w:val="left" w:pos="922"/>
        </w:tabs>
        <w:spacing w:line="360" w:lineRule="auto"/>
        <w:jc w:val="both"/>
        <w:rPr>
          <w:rFonts w:ascii="Arial" w:hAnsi="Arial" w:cs="Arial"/>
        </w:rPr>
      </w:pPr>
      <w:r>
        <w:rPr>
          <w:rFonts w:ascii="Arial" w:hAnsi="Arial" w:cs="Arial"/>
        </w:rPr>
        <w:t xml:space="preserve">Sustainable consumption is </w:t>
      </w:r>
      <w:proofErr w:type="gramStart"/>
      <w:r>
        <w:rPr>
          <w:rFonts w:ascii="Arial" w:hAnsi="Arial" w:cs="Arial"/>
        </w:rPr>
        <w:t>offers</w:t>
      </w:r>
      <w:proofErr w:type="gramEnd"/>
      <w:r>
        <w:rPr>
          <w:rFonts w:ascii="Arial" w:hAnsi="Arial" w:cs="Arial"/>
        </w:rPr>
        <w:t xml:space="preserve"> a holistic behavioral framework that supports even in light of growing environmental consciousness and policy dedication. Though policy commitments have been increased according to SD</w:t>
      </w:r>
      <w:r>
        <w:rPr>
          <w:rFonts w:ascii="Arial" w:hAnsi="Arial" w:cs="Arial"/>
        </w:rPr>
        <w:t>G 12 and SDG 13, the behavioral change at a consumer level remains lower than the regulatory aspiration and environmental awareness. The currently available sustainability models such as models that rely on rational persuasion, behavioral nudging, and emot</w:t>
      </w:r>
      <w:r>
        <w:rPr>
          <w:rFonts w:ascii="Arial" w:hAnsi="Arial" w:cs="Arial"/>
        </w:rPr>
        <w:t>ional branding are only partial accounts in that they miss an integrated description of the role of subconscious activation, cognitive bias processing, identity consolidation, and structural feasibility in influencing the process of green adoption.</w:t>
      </w:r>
    </w:p>
    <w:p w:rsidR="00050B1D" w:rsidRDefault="003C7742">
      <w:pPr>
        <w:tabs>
          <w:tab w:val="left" w:pos="922"/>
        </w:tabs>
        <w:spacing w:line="360" w:lineRule="auto"/>
        <w:jc w:val="both"/>
        <w:rPr>
          <w:rFonts w:ascii="Arial" w:hAnsi="Arial" w:cs="Arial"/>
        </w:rPr>
      </w:pPr>
      <w:r>
        <w:rPr>
          <w:rFonts w:ascii="Arial" w:hAnsi="Arial" w:cs="Arial"/>
        </w:rPr>
        <w:t>The Gre</w:t>
      </w:r>
      <w:r>
        <w:rPr>
          <w:rFonts w:ascii="Arial" w:hAnsi="Arial" w:cs="Arial"/>
        </w:rPr>
        <w:t>en Brain Model develops the sustainability scholarship by juxtaposing the conceptualization of green consumption into a multistage neurobehavioral process within the context of emergent market institutional conditions. The incorporation of sensory attentio</w:t>
      </w:r>
      <w:r>
        <w:rPr>
          <w:rFonts w:ascii="Arial" w:hAnsi="Arial" w:cs="Arial"/>
        </w:rPr>
        <w:t xml:space="preserve">n, emotional involvement, cognitive bias processing, identity combination, and structural viability requirements makes the framework fill the gap between behavioral economics, </w:t>
      </w:r>
      <w:r>
        <w:rPr>
          <w:rFonts w:ascii="Arial" w:hAnsi="Arial" w:cs="Arial"/>
        </w:rPr>
        <w:lastRenderedPageBreak/>
        <w:t>Neuromarketing</w:t>
      </w:r>
      <w:r>
        <w:rPr>
          <w:rFonts w:ascii="Arial" w:hAnsi="Arial" w:cs="Arial"/>
        </w:rPr>
        <w:t>, and institutional theory as an explanation of sustainable consum</w:t>
      </w:r>
      <w:r>
        <w:rPr>
          <w:rFonts w:ascii="Arial" w:hAnsi="Arial" w:cs="Arial"/>
        </w:rPr>
        <w:t>ption in new markets.</w:t>
      </w:r>
    </w:p>
    <w:p w:rsidR="00050B1D" w:rsidRDefault="003C7742">
      <w:pPr>
        <w:tabs>
          <w:tab w:val="left" w:pos="922"/>
        </w:tabs>
        <w:spacing w:line="360" w:lineRule="auto"/>
        <w:jc w:val="both"/>
        <w:rPr>
          <w:rFonts w:ascii="Arial" w:hAnsi="Arial" w:cs="Arial"/>
        </w:rPr>
      </w:pPr>
      <w:r>
        <w:rPr>
          <w:rFonts w:ascii="Arial" w:hAnsi="Arial" w:cs="Arial"/>
        </w:rPr>
        <w:t xml:space="preserve">With the addition of </w:t>
      </w:r>
      <w:r>
        <w:rPr>
          <w:rFonts w:ascii="Arial" w:hAnsi="Arial" w:cs="Arial"/>
        </w:rPr>
        <w:t>Neuromarketing</w:t>
      </w:r>
      <w:r>
        <w:rPr>
          <w:rFonts w:ascii="Arial" w:hAnsi="Arial" w:cs="Arial"/>
        </w:rPr>
        <w:t xml:space="preserve"> knowledge, mechanisms of behavioral economic bias, and institutional considerations, the Green Brain Model offers a holistic behavioral architecture that is capable of supporting the development of </w:t>
      </w:r>
      <w:r>
        <w:rPr>
          <w:rFonts w:ascii="Arial" w:hAnsi="Arial" w:cs="Arial"/>
        </w:rPr>
        <w:t>sustainability marketing theory as well as the study of the new market consumer.</w:t>
      </w:r>
    </w:p>
    <w:p w:rsidR="00050B1D" w:rsidRDefault="00050B1D">
      <w:pPr>
        <w:tabs>
          <w:tab w:val="left" w:pos="922"/>
        </w:tabs>
        <w:spacing w:line="360" w:lineRule="auto"/>
        <w:jc w:val="both"/>
        <w:rPr>
          <w:rFonts w:ascii="Arial" w:eastAsia="Calibri" w:hAnsi="Arial" w:cs="Arial"/>
          <w:sz w:val="24"/>
          <w:szCs w:val="24"/>
        </w:rPr>
      </w:pPr>
    </w:p>
    <w:p w:rsidR="00050B1D" w:rsidRDefault="00050B1D">
      <w:pPr>
        <w:tabs>
          <w:tab w:val="left" w:pos="922"/>
        </w:tabs>
        <w:spacing w:line="360" w:lineRule="auto"/>
        <w:jc w:val="both"/>
        <w:rPr>
          <w:rFonts w:ascii="Arial" w:eastAsia="Calibri" w:hAnsi="Arial" w:cs="Arial"/>
          <w:sz w:val="24"/>
          <w:szCs w:val="24"/>
        </w:rPr>
        <w:sectPr w:rsidR="00050B1D">
          <w:footerReference w:type="default" r:id="rId12"/>
          <w:type w:val="continuous"/>
          <w:pgSz w:w="12240" w:h="15840"/>
          <w:pgMar w:top="1440" w:right="2016" w:bottom="2016" w:left="2016" w:header="720" w:footer="1123" w:gutter="0"/>
          <w:cols w:space="720"/>
          <w:docGrid w:linePitch="272"/>
        </w:sectPr>
      </w:pPr>
    </w:p>
    <w:p w:rsidR="00050B1D" w:rsidRDefault="003C7742">
      <w:pPr>
        <w:rPr>
          <w:rFonts w:ascii="Arial" w:hAnsi="Arial" w:cs="Arial"/>
          <w:b/>
          <w:highlight w:val="yellow"/>
        </w:rPr>
      </w:pPr>
      <w:r>
        <w:rPr>
          <w:rFonts w:ascii="Arial" w:hAnsi="Arial" w:cs="Arial"/>
          <w:b/>
          <w:highlight w:val="yellow"/>
        </w:rPr>
        <w:t>Disclaimer (Artificial intelligence)</w:t>
      </w:r>
    </w:p>
    <w:p w:rsidR="00050B1D" w:rsidRDefault="003C7742">
      <w:pPr>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COPILOT, etc.) and tex</w:t>
      </w:r>
      <w:r>
        <w:rPr>
          <w:rFonts w:ascii="Arial" w:hAnsi="Arial" w:cs="Arial"/>
          <w:highlight w:val="yellow"/>
        </w:rPr>
        <w:t xml:space="preserve">t-to-image generators have been used during the writing or editing of this manuscript. </w:t>
      </w:r>
      <w:r>
        <w:rPr>
          <w:rFonts w:ascii="Arial" w:hAnsi="Arial" w:cs="Arial"/>
          <w:highlight w:val="yellow"/>
        </w:rPr>
        <w:t xml:space="preserve"> </w:t>
      </w:r>
    </w:p>
    <w:p w:rsidR="00050B1D" w:rsidRDefault="00050B1D">
      <w:pPr>
        <w:pStyle w:val="ReferHead"/>
        <w:spacing w:after="0"/>
        <w:jc w:val="both"/>
        <w:rPr>
          <w:rFonts w:ascii="Arial" w:hAnsi="Arial" w:cs="Arial"/>
          <w:b w:val="0"/>
          <w:caps w:val="0"/>
          <w:sz w:val="20"/>
        </w:rPr>
      </w:pPr>
    </w:p>
    <w:p w:rsidR="00050B1D" w:rsidRDefault="00050B1D">
      <w:pPr>
        <w:pStyle w:val="ReferHead"/>
        <w:spacing w:after="0"/>
        <w:jc w:val="both"/>
        <w:rPr>
          <w:rFonts w:ascii="Arial" w:hAnsi="Arial" w:cs="Arial"/>
          <w:b w:val="0"/>
          <w:caps w:val="0"/>
          <w:sz w:val="20"/>
        </w:rPr>
      </w:pPr>
    </w:p>
    <w:p w:rsidR="00050B1D" w:rsidRDefault="003C7742">
      <w:pPr>
        <w:pStyle w:val="DefAcrHead"/>
        <w:spacing w:after="0"/>
        <w:jc w:val="both"/>
        <w:rPr>
          <w:rFonts w:ascii="Arial" w:hAnsi="Arial" w:cs="Arial"/>
        </w:rPr>
      </w:pPr>
      <w:r>
        <w:rPr>
          <w:rFonts w:ascii="Arial" w:hAnsi="Arial" w:cs="Arial"/>
        </w:rPr>
        <w:t>References</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 xml:space="preserve">Amankwah-Amoah, J., Khan, Z., Wood, G., &amp; Knight, G. (2022). Sustainability transitions in emerging economies. Technological Forecasting and Social </w:t>
      </w:r>
      <w:r>
        <w:rPr>
          <w:rFonts w:ascii="Arial" w:hAnsi="Arial" w:cs="Arial"/>
          <w:b w:val="0"/>
          <w:bCs/>
        </w:rPr>
        <w:t>Change, 176, 121140.</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Becker, L., &amp; Jaakkola, E. (2020). Customer experience: Fundamental premises and implications for research. Journal of the Academy of Marketing Science, 48(4), 630–648.</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Berger, J., &amp; Milkman, K. L. (2012). What makes online content v</w:t>
      </w:r>
      <w:r>
        <w:rPr>
          <w:rFonts w:ascii="Arial" w:hAnsi="Arial" w:cs="Arial"/>
          <w:b w:val="0"/>
          <w:bCs/>
        </w:rPr>
        <w:t>iral? Journal of Marketing Research, 49(2), 192–205.</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Bhattacharyya, J., Balaji, M. S., &amp; Jiang, Y. (2023). Causal complexity of sustainable consumption: A configurational perspective. Journal of Business Research, 156, 113511.</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Carvalho, A., Fernandes, T.</w:t>
      </w:r>
      <w:r>
        <w:rPr>
          <w:rFonts w:ascii="Arial" w:hAnsi="Arial" w:cs="Arial"/>
          <w:b w:val="0"/>
          <w:bCs/>
        </w:rPr>
        <w:t>, &amp; Veiga, P. (2022). Determinants of sustainable consumption: A systematic review. Journal of Cleaner Production, 338, 130155.</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Cialdini, R. B. (2009). Influence: Science and practice (5th ed.). Pearson.</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Donovan, R. J., &amp; Rossiter, J. R. (1982). Store at</w:t>
      </w:r>
      <w:r>
        <w:rPr>
          <w:rFonts w:ascii="Arial" w:hAnsi="Arial" w:cs="Arial"/>
          <w:b w:val="0"/>
          <w:bCs/>
        </w:rPr>
        <w:t>mosphere: An environmental psychology approach. Journal of Retailing, 58(1), 34–57.</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García-de-Frutos, N., Ortega-Egea, J. M., &amp; Martínez-del-Río, J. (2021). Moral identity and sustainable consumption behavior. Sustainability, 13(4), 2256.</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Gleim, M. R., M</w:t>
      </w:r>
      <w:r>
        <w:rPr>
          <w:rFonts w:ascii="Arial" w:hAnsi="Arial" w:cs="Arial"/>
          <w:b w:val="0"/>
          <w:bCs/>
        </w:rPr>
        <w:t>cCullough, H., Sreen, N., &amp; Pant, L. G. (2023). Sustainable marketing fit: Brand alignment and adoption likelihood. Journal of Retailing and Consumer Services, 70, 103124.</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Grazzini, L., Acuti, D., &amp; Aiello, G. (2018). Solving the puzzle of sustainable fas</w:t>
      </w:r>
      <w:r>
        <w:rPr>
          <w:rFonts w:ascii="Arial" w:hAnsi="Arial" w:cs="Arial"/>
          <w:b w:val="0"/>
          <w:bCs/>
        </w:rPr>
        <w:t>hion consumption. Journal of Cleaner Production, 182, 120–129.</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Jacoby, J. (2002). Stimulus–organism–response reconsidered: An evolutionary step in modeling consumer behavior. Journal of Consumer Psychology, 12(1), 51–57.</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lastRenderedPageBreak/>
        <w:t>Johnstone, L., &amp; Lindh, C. (2022)</w:t>
      </w:r>
      <w:r>
        <w:rPr>
          <w:rFonts w:ascii="Arial" w:hAnsi="Arial" w:cs="Arial"/>
          <w:b w:val="0"/>
          <w:bCs/>
        </w:rPr>
        <w:t>. Influencers and sustainable consumption: Behavioral activation effects. Journal of Retailing and Consumer Services, 64, 102775.</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Joshi, Y., &amp; Rahman, Z. (2015). Factors affecting green purchase behaviour: A review of the literature. International Journal</w:t>
      </w:r>
      <w:r>
        <w:rPr>
          <w:rFonts w:ascii="Arial" w:hAnsi="Arial" w:cs="Arial"/>
          <w:b w:val="0"/>
          <w:bCs/>
        </w:rPr>
        <w:t xml:space="preserve"> of Consumer Studies, 39(2), 143–150.</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Kahneman, D. (2011). Thinking, fast and slow. Farrar, Straus and Giroux.</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Karmarkar, U., &amp; Tormala, Z. L. (2020). The neuroscience of persuasion. Current Opinion in Psychology, 31, 1–6.</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Khan, I., Rahman, Z., &amp; Fatma,</w:t>
      </w:r>
      <w:r>
        <w:rPr>
          <w:rFonts w:ascii="Arial" w:hAnsi="Arial" w:cs="Arial"/>
          <w:b w:val="0"/>
          <w:bCs/>
        </w:rPr>
        <w:t xml:space="preserve"> M. (2022). Perceived risk and green consumption behavior. Journal of Cleaner Production, 330, 129145.</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Khanna, T., &amp; Palepu, K. (2010). Winning in emerging markets: A roadmap for strategy and execution. Harvard Business Press.</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Lemon, K. N., &amp; Verhoef, P.</w:t>
      </w:r>
      <w:r>
        <w:rPr>
          <w:rFonts w:ascii="Arial" w:hAnsi="Arial" w:cs="Arial"/>
          <w:b w:val="0"/>
          <w:bCs/>
        </w:rPr>
        <w:t xml:space="preserve"> C. (2016). Understanding customer experience throughout the customer journey. Journal of Marketing, 80(6), 69–96.</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Mehrabian, A., &amp; Russell, J. A. (1974). An approach to environmental psychology. MIT Press.</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Meyer, K. E., &amp; Peng, M. W. (2016). Theoretical</w:t>
      </w:r>
      <w:r>
        <w:rPr>
          <w:rFonts w:ascii="Arial" w:hAnsi="Arial" w:cs="Arial"/>
          <w:b w:val="0"/>
          <w:bCs/>
        </w:rPr>
        <w:t xml:space="preserve"> foundations of emerging economy business research. Journal of International Business Studies, 47(1), 3–22.</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 xml:space="preserve">Munten, P., &amp; Vanhamme, J. (2023). Repairability and sustainability signaling: Impacts on consumer perceptions. Journal of Business Research, 156, </w:t>
      </w:r>
      <w:r>
        <w:rPr>
          <w:rFonts w:ascii="Arial" w:hAnsi="Arial" w:cs="Arial"/>
          <w:b w:val="0"/>
          <w:bCs/>
        </w:rPr>
        <w:t>113457.</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Narayan, S., Ramaswamy, V., &amp; Prakash, A. (2022). Barriers to sustainable consumption in developing economies. Sustainable Production and Consumption, 30, 456–468.</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Nguyen, T. N., Lobo, A., &amp; Greenland, S. (2023). Emotional drivers of green purcha</w:t>
      </w:r>
      <w:r>
        <w:rPr>
          <w:rFonts w:ascii="Arial" w:hAnsi="Arial" w:cs="Arial"/>
          <w:b w:val="0"/>
          <w:bCs/>
        </w:rPr>
        <w:t>se intention. Journal of Retailing and Consumer Services, 70, 103118.</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Nielsen, K. S., Cologna, V., Lange, F., Brick, C., &amp; Stern, P. C. (2021). The case for impact-focused environmental psychology. Journal of Environmental Psychology, 74, 101559.</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lastRenderedPageBreak/>
        <w:t xml:space="preserve">Ofori, </w:t>
      </w:r>
      <w:r>
        <w:rPr>
          <w:rFonts w:ascii="Arial" w:hAnsi="Arial" w:cs="Arial"/>
          <w:b w:val="0"/>
          <w:bCs/>
        </w:rPr>
        <w:t>D., Nsiah-Sarfo, D. J., Frimpong, S. E., &amp; Buer, S. B. (2025). Green purchase behavior in emerging economies. Cleaner Logistics and Supply Chain, 16, 100234.</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Peattie, K., &amp; Crane, A. (2005). Green marketing: Legend, myth, farce or prophecy? Qualitative Ma</w:t>
      </w:r>
      <w:r>
        <w:rPr>
          <w:rFonts w:ascii="Arial" w:hAnsi="Arial" w:cs="Arial"/>
          <w:b w:val="0"/>
          <w:bCs/>
        </w:rPr>
        <w:t>rket Research, 8(4), 357–370.</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Plassmann, H., Ramsøy, T. Z., &amp; Milosavljevic, M. (2015). Branding the brain: A critical review. Journal of Consumer Psychology, 25(1), 9–24.</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 xml:space="preserve">Polonsky, M. J. (1994). An introduction to green marketing. Electronic Green </w:t>
      </w:r>
      <w:r>
        <w:rPr>
          <w:rFonts w:ascii="Arial" w:hAnsi="Arial" w:cs="Arial"/>
          <w:b w:val="0"/>
          <w:bCs/>
        </w:rPr>
        <w:t>Journal, 1(2).</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Reimann, M., Schilke, O., Weber, B., Neuhaus, C., &amp; Zaichkowsky, J. (2012). Functional magnetic resonance imaging in consumer research. Journal of Marketing Research, 49(4), 608–620.</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 xml:space="preserve">Samuelson, W., &amp; Zeckhauser, R. (1988). Status quo bias </w:t>
      </w:r>
      <w:r>
        <w:rPr>
          <w:rFonts w:ascii="Arial" w:hAnsi="Arial" w:cs="Arial"/>
          <w:b w:val="0"/>
          <w:bCs/>
        </w:rPr>
        <w:t>in decision making. Journal of Risk and Uncertainty, 1(1), 7–59.</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Sarkis, J., Zhu, Q., &amp; Lai, K. H. (2021). Green supply chain management in emerging markets. International Journal of Production Economics, 236, 108117.</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Steg, L. (2023). Pro-environmental b</w:t>
      </w:r>
      <w:r>
        <w:rPr>
          <w:rFonts w:ascii="Arial" w:hAnsi="Arial" w:cs="Arial"/>
          <w:b w:val="0"/>
          <w:bCs/>
        </w:rPr>
        <w:t>ehavior. Annual Review of Environment and Resources, 48, 451–478.</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Sunstein, C. R. (2020). Too much information: Understanding what you don’t want to know. MIT Press.</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Syed, S., Khan, M., et al. (2024). Sustainable consumption: A systematic review. Resourc</w:t>
      </w:r>
      <w:r>
        <w:rPr>
          <w:rFonts w:ascii="Arial" w:hAnsi="Arial" w:cs="Arial"/>
          <w:b w:val="0"/>
          <w:bCs/>
        </w:rPr>
        <w:t>es, Conservation &amp; Recycling Advances, 23, 200232.</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Thaler, R. H., &amp; Sunstein, C. R. (2008). Nudge: Improving decisions about health, wealth, and happiness. Yale University Press.</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 xml:space="preserve">Tversky, A., &amp; Kahneman, D. (1974). Judgment under uncertainty: Heuristics </w:t>
      </w:r>
      <w:r>
        <w:rPr>
          <w:rFonts w:ascii="Arial" w:hAnsi="Arial" w:cs="Arial"/>
          <w:b w:val="0"/>
          <w:bCs/>
        </w:rPr>
        <w:t>and biases. Science, 185(4157), 1124–1131.</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United Nations. (2015). Transforming our world: The 2030 agenda for sustainable development.</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United Republic of Tanzania (URT). (2021). Third Five-Year Development Plan (FYDP III) 2021/22–2025/26.</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lastRenderedPageBreak/>
        <w:t xml:space="preserve">Venkatraman, </w:t>
      </w:r>
      <w:r>
        <w:rPr>
          <w:rFonts w:ascii="Arial" w:hAnsi="Arial" w:cs="Arial"/>
          <w:b w:val="0"/>
          <w:bCs/>
        </w:rPr>
        <w:t>V., Clithero, J. A., Fitzsimons, G. J., &amp; Huettel, S. A. (2015). Predicting advertising success beyond traditional measures. Journal of Marketing Research, 52(4), 436–452.</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Wang, X., Nguyen, T., &amp; Dang, H. (2021). Emotional framing and sustainability engag</w:t>
      </w:r>
      <w:r>
        <w:rPr>
          <w:rFonts w:ascii="Arial" w:hAnsi="Arial" w:cs="Arial"/>
          <w:b w:val="0"/>
          <w:bCs/>
        </w:rPr>
        <w:t>ement. Journal of Cleaner Production, 279, 123145.</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White, K., Habib, R., &amp; Hardisty, D. J. (2019). How to shift consumer behaviors to be more sustainable. Journal of Marketing, 83(3), 22–49.</w:t>
      </w:r>
    </w:p>
    <w:p w:rsidR="00050B1D" w:rsidRDefault="00050B1D">
      <w:pPr>
        <w:pStyle w:val="DefAcrHead"/>
        <w:spacing w:after="0"/>
        <w:jc w:val="both"/>
        <w:rPr>
          <w:rFonts w:ascii="Arial" w:hAnsi="Arial" w:cs="Arial"/>
          <w:b w:val="0"/>
          <w:bCs/>
        </w:rPr>
      </w:pPr>
    </w:p>
    <w:p w:rsidR="00050B1D" w:rsidRDefault="003C7742">
      <w:pPr>
        <w:pStyle w:val="DefAcrHead"/>
        <w:spacing w:after="0"/>
        <w:jc w:val="both"/>
        <w:rPr>
          <w:rFonts w:ascii="Arial" w:hAnsi="Arial" w:cs="Arial"/>
          <w:b w:val="0"/>
          <w:bCs/>
        </w:rPr>
      </w:pPr>
      <w:r>
        <w:rPr>
          <w:rFonts w:ascii="Arial" w:hAnsi="Arial" w:cs="Arial"/>
          <w:b w:val="0"/>
          <w:bCs/>
        </w:rPr>
        <w:t xml:space="preserve">Zhang, Q., Wang, Y., &amp; Zhou, Z. (2022). Religiosity and green </w:t>
      </w:r>
      <w:r>
        <w:rPr>
          <w:rFonts w:ascii="Arial" w:hAnsi="Arial" w:cs="Arial"/>
          <w:b w:val="0"/>
          <w:bCs/>
        </w:rPr>
        <w:t>consumption behavior. Frontiers in Psychology, 13, 840711.</w:t>
      </w:r>
    </w:p>
    <w:sectPr w:rsidR="00050B1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7742" w:rsidRDefault="003C7742">
      <w:r>
        <w:separator/>
      </w:r>
    </w:p>
  </w:endnote>
  <w:endnote w:type="continuationSeparator" w:id="0">
    <w:p w:rsidR="003C7742" w:rsidRDefault="003C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B1D" w:rsidRDefault="00050B1D">
    <w:pPr>
      <w:pStyle w:val="Footer"/>
      <w:rPr>
        <w:rFonts w:ascii="Arial" w:hAnsi="Arial" w:cs="Arial"/>
        <w:sz w:val="16"/>
      </w:rPr>
    </w:pPr>
  </w:p>
  <w:p w:rsidR="00050B1D" w:rsidRDefault="003C7742">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050B1D" w:rsidRDefault="00050B1D">
    <w:pPr>
      <w:pStyle w:val="Footer"/>
      <w:rPr>
        <w:rFonts w:ascii="Arial" w:hAnsi="Arial" w:cs="Arial"/>
        <w:sz w:val="16"/>
      </w:rPr>
    </w:pPr>
  </w:p>
  <w:p w:rsidR="00050B1D" w:rsidRDefault="00050B1D">
    <w:pPr>
      <w:pStyle w:val="Footer"/>
      <w:rPr>
        <w:rFonts w:ascii="Arial" w:hAnsi="Arial" w:cs="Arial"/>
        <w:i/>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B1D" w:rsidRDefault="00050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7742" w:rsidRDefault="003C7742">
      <w:r>
        <w:separator/>
      </w:r>
    </w:p>
  </w:footnote>
  <w:footnote w:type="continuationSeparator" w:id="0">
    <w:p w:rsidR="003C7742" w:rsidRDefault="003C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B1D" w:rsidRDefault="00050B1D">
    <w:pPr>
      <w:ind w:left="2160"/>
      <w:jc w:val="center"/>
      <w:rPr>
        <w:rFonts w:ascii="Times New Roman" w:eastAsia="Calibri" w:hAnsi="Times New Roman"/>
        <w:i/>
        <w:sz w:val="18"/>
        <w:szCs w:val="22"/>
      </w:rPr>
    </w:pPr>
  </w:p>
  <w:p w:rsidR="00050B1D" w:rsidRDefault="003C7742">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050B1D" w:rsidRDefault="003C7742">
    <w:pPr>
      <w:jc w:val="center"/>
      <w:rPr>
        <w:rFonts w:ascii="Times New Roman" w:eastAsia="Calibri" w:hAnsi="Times New Roman"/>
        <w:i/>
        <w:sz w:val="18"/>
        <w:szCs w:val="22"/>
      </w:rPr>
    </w:pPr>
    <w:r>
      <w:rPr>
        <w:rFonts w:ascii="Times New Roman" w:eastAsia="Calibri" w:hAnsi="Times New Roman"/>
        <w:i/>
        <w:sz w:val="18"/>
        <w:szCs w:val="22"/>
      </w:rPr>
      <w:t>.</w:t>
    </w:r>
  </w:p>
  <w:p w:rsidR="00050B1D" w:rsidRDefault="003C7742">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050B1D" w:rsidRDefault="003C7742">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050B1D" w:rsidRDefault="003C774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050B1D" w:rsidRDefault="003C7742">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C9CFE7"/>
    <w:multiLevelType w:val="singleLevel"/>
    <w:tmpl w:val="9EC9CFE7"/>
    <w:lvl w:ilvl="0">
      <w:start w:val="9"/>
      <w:numFmt w:val="decimal"/>
      <w:suff w:val="space"/>
      <w:lvlText w:val="%1."/>
      <w:lvlJc w:val="left"/>
    </w:lvl>
  </w:abstractNum>
  <w:abstractNum w:abstractNumId="1" w15:restartNumberingAfterBreak="0">
    <w:nsid w:val="50EF257E"/>
    <w:multiLevelType w:val="multilevel"/>
    <w:tmpl w:val="50EF257E"/>
    <w:lvl w:ilvl="0">
      <w:start w:val="1"/>
      <w:numFmt w:val="low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503CF"/>
    <w:rsid w:val="00050B1D"/>
    <w:rsid w:val="00055583"/>
    <w:rsid w:val="000658CE"/>
    <w:rsid w:val="00077260"/>
    <w:rsid w:val="00087BCB"/>
    <w:rsid w:val="0009449E"/>
    <w:rsid w:val="000A47FA"/>
    <w:rsid w:val="000A6496"/>
    <w:rsid w:val="000A65D3"/>
    <w:rsid w:val="000B1E33"/>
    <w:rsid w:val="000B76F1"/>
    <w:rsid w:val="000C138A"/>
    <w:rsid w:val="000D3E23"/>
    <w:rsid w:val="000D4940"/>
    <w:rsid w:val="000D689F"/>
    <w:rsid w:val="000D74F3"/>
    <w:rsid w:val="000E1371"/>
    <w:rsid w:val="000E7B7B"/>
    <w:rsid w:val="000E7D62"/>
    <w:rsid w:val="000F4C81"/>
    <w:rsid w:val="000F4FB2"/>
    <w:rsid w:val="00101C07"/>
    <w:rsid w:val="00103357"/>
    <w:rsid w:val="00121525"/>
    <w:rsid w:val="00121C41"/>
    <w:rsid w:val="00123C9F"/>
    <w:rsid w:val="00126190"/>
    <w:rsid w:val="00130F17"/>
    <w:rsid w:val="001320BF"/>
    <w:rsid w:val="00143192"/>
    <w:rsid w:val="00155D24"/>
    <w:rsid w:val="00163BC4"/>
    <w:rsid w:val="00167D1D"/>
    <w:rsid w:val="00186FB8"/>
    <w:rsid w:val="00187668"/>
    <w:rsid w:val="00191062"/>
    <w:rsid w:val="00192B72"/>
    <w:rsid w:val="00195B8A"/>
    <w:rsid w:val="001A29D8"/>
    <w:rsid w:val="001A5CAA"/>
    <w:rsid w:val="001B0427"/>
    <w:rsid w:val="001B68E6"/>
    <w:rsid w:val="001C04AB"/>
    <w:rsid w:val="001D3A51"/>
    <w:rsid w:val="001E10D2"/>
    <w:rsid w:val="001E25B4"/>
    <w:rsid w:val="001E44FE"/>
    <w:rsid w:val="001F39B2"/>
    <w:rsid w:val="00200595"/>
    <w:rsid w:val="00204835"/>
    <w:rsid w:val="00231920"/>
    <w:rsid w:val="0023195C"/>
    <w:rsid w:val="0024282C"/>
    <w:rsid w:val="002460DC"/>
    <w:rsid w:val="00250985"/>
    <w:rsid w:val="0025482C"/>
    <w:rsid w:val="002556F6"/>
    <w:rsid w:val="00265E09"/>
    <w:rsid w:val="002736D0"/>
    <w:rsid w:val="002828BC"/>
    <w:rsid w:val="00283105"/>
    <w:rsid w:val="00284C4C"/>
    <w:rsid w:val="00287E68"/>
    <w:rsid w:val="00296529"/>
    <w:rsid w:val="002B27FB"/>
    <w:rsid w:val="002B685A"/>
    <w:rsid w:val="002C0671"/>
    <w:rsid w:val="002C2525"/>
    <w:rsid w:val="002C57D2"/>
    <w:rsid w:val="002E0D56"/>
    <w:rsid w:val="002F642A"/>
    <w:rsid w:val="00315186"/>
    <w:rsid w:val="00322E77"/>
    <w:rsid w:val="0032430A"/>
    <w:rsid w:val="0033343E"/>
    <w:rsid w:val="003348A2"/>
    <w:rsid w:val="00345DD8"/>
    <w:rsid w:val="003512C2"/>
    <w:rsid w:val="0035436A"/>
    <w:rsid w:val="00371FB6"/>
    <w:rsid w:val="003763C1"/>
    <w:rsid w:val="00376BBE"/>
    <w:rsid w:val="0039224F"/>
    <w:rsid w:val="003935B6"/>
    <w:rsid w:val="003A43A4"/>
    <w:rsid w:val="003A7E18"/>
    <w:rsid w:val="003C4A03"/>
    <w:rsid w:val="003C4C86"/>
    <w:rsid w:val="003C6258"/>
    <w:rsid w:val="003C7742"/>
    <w:rsid w:val="003E2904"/>
    <w:rsid w:val="003E62E2"/>
    <w:rsid w:val="003E684C"/>
    <w:rsid w:val="00401927"/>
    <w:rsid w:val="004063AE"/>
    <w:rsid w:val="0041027F"/>
    <w:rsid w:val="00412475"/>
    <w:rsid w:val="00423789"/>
    <w:rsid w:val="00440F43"/>
    <w:rsid w:val="00441B6F"/>
    <w:rsid w:val="00446221"/>
    <w:rsid w:val="00446E86"/>
    <w:rsid w:val="00450E62"/>
    <w:rsid w:val="004539DB"/>
    <w:rsid w:val="00471A80"/>
    <w:rsid w:val="004C19D1"/>
    <w:rsid w:val="004D305E"/>
    <w:rsid w:val="004D4277"/>
    <w:rsid w:val="00502516"/>
    <w:rsid w:val="00505F06"/>
    <w:rsid w:val="00506828"/>
    <w:rsid w:val="005202A8"/>
    <w:rsid w:val="0053056E"/>
    <w:rsid w:val="00536134"/>
    <w:rsid w:val="00554FDA"/>
    <w:rsid w:val="00570651"/>
    <w:rsid w:val="0059593F"/>
    <w:rsid w:val="005A5EB5"/>
    <w:rsid w:val="005C784C"/>
    <w:rsid w:val="005D153B"/>
    <w:rsid w:val="005D17F6"/>
    <w:rsid w:val="005E5539"/>
    <w:rsid w:val="00602BF5"/>
    <w:rsid w:val="00606D1A"/>
    <w:rsid w:val="00617FDD"/>
    <w:rsid w:val="00633614"/>
    <w:rsid w:val="00633F68"/>
    <w:rsid w:val="00636EB2"/>
    <w:rsid w:val="006375B8"/>
    <w:rsid w:val="00640DBD"/>
    <w:rsid w:val="0065186F"/>
    <w:rsid w:val="00653DC9"/>
    <w:rsid w:val="00661892"/>
    <w:rsid w:val="0066510A"/>
    <w:rsid w:val="00673F9F"/>
    <w:rsid w:val="00686953"/>
    <w:rsid w:val="00687DEA"/>
    <w:rsid w:val="00687E67"/>
    <w:rsid w:val="006967F7"/>
    <w:rsid w:val="006A250C"/>
    <w:rsid w:val="006A668C"/>
    <w:rsid w:val="006B21D3"/>
    <w:rsid w:val="006B57D0"/>
    <w:rsid w:val="006D15C3"/>
    <w:rsid w:val="006D30FF"/>
    <w:rsid w:val="006D6940"/>
    <w:rsid w:val="006E4FDE"/>
    <w:rsid w:val="006F11EC"/>
    <w:rsid w:val="006F38C8"/>
    <w:rsid w:val="006F78F3"/>
    <w:rsid w:val="0070082C"/>
    <w:rsid w:val="0070626D"/>
    <w:rsid w:val="00711A1E"/>
    <w:rsid w:val="007369E6"/>
    <w:rsid w:val="00746E59"/>
    <w:rsid w:val="00754C9A"/>
    <w:rsid w:val="0075599A"/>
    <w:rsid w:val="00761D52"/>
    <w:rsid w:val="00763BBB"/>
    <w:rsid w:val="00774755"/>
    <w:rsid w:val="0077749E"/>
    <w:rsid w:val="0078649B"/>
    <w:rsid w:val="007907B6"/>
    <w:rsid w:val="00790ADA"/>
    <w:rsid w:val="007948E7"/>
    <w:rsid w:val="007A0BDF"/>
    <w:rsid w:val="007A2B68"/>
    <w:rsid w:val="007D2288"/>
    <w:rsid w:val="007E088F"/>
    <w:rsid w:val="007E1629"/>
    <w:rsid w:val="007F5B4C"/>
    <w:rsid w:val="007F7B32"/>
    <w:rsid w:val="008046D7"/>
    <w:rsid w:val="00804BC2"/>
    <w:rsid w:val="0081431A"/>
    <w:rsid w:val="00825670"/>
    <w:rsid w:val="0083216F"/>
    <w:rsid w:val="00836127"/>
    <w:rsid w:val="00860000"/>
    <w:rsid w:val="00863BD3"/>
    <w:rsid w:val="008641ED"/>
    <w:rsid w:val="00866D66"/>
    <w:rsid w:val="008671C6"/>
    <w:rsid w:val="00870896"/>
    <w:rsid w:val="00871415"/>
    <w:rsid w:val="00875803"/>
    <w:rsid w:val="008A1DA0"/>
    <w:rsid w:val="008B39AA"/>
    <w:rsid w:val="008B459E"/>
    <w:rsid w:val="008E13AE"/>
    <w:rsid w:val="008E1506"/>
    <w:rsid w:val="008E710C"/>
    <w:rsid w:val="008F2874"/>
    <w:rsid w:val="008F69D6"/>
    <w:rsid w:val="0090018F"/>
    <w:rsid w:val="00902823"/>
    <w:rsid w:val="00915CA6"/>
    <w:rsid w:val="00927834"/>
    <w:rsid w:val="0093609C"/>
    <w:rsid w:val="009500A6"/>
    <w:rsid w:val="00952C3E"/>
    <w:rsid w:val="00957C18"/>
    <w:rsid w:val="009659BA"/>
    <w:rsid w:val="00983040"/>
    <w:rsid w:val="009B3FB9"/>
    <w:rsid w:val="009B6794"/>
    <w:rsid w:val="009C2465"/>
    <w:rsid w:val="009D35A0"/>
    <w:rsid w:val="009D7EB7"/>
    <w:rsid w:val="009E048A"/>
    <w:rsid w:val="009E08E9"/>
    <w:rsid w:val="009E3DB9"/>
    <w:rsid w:val="009E6E35"/>
    <w:rsid w:val="009F0D2D"/>
    <w:rsid w:val="009F0EDA"/>
    <w:rsid w:val="00A03B96"/>
    <w:rsid w:val="00A05B19"/>
    <w:rsid w:val="00A1134E"/>
    <w:rsid w:val="00A24E7E"/>
    <w:rsid w:val="00A258C3"/>
    <w:rsid w:val="00A347C0"/>
    <w:rsid w:val="00A51431"/>
    <w:rsid w:val="00A52265"/>
    <w:rsid w:val="00A539AD"/>
    <w:rsid w:val="00A94063"/>
    <w:rsid w:val="00AA6219"/>
    <w:rsid w:val="00AA74E0"/>
    <w:rsid w:val="00AB44A0"/>
    <w:rsid w:val="00AB703F"/>
    <w:rsid w:val="00AC1549"/>
    <w:rsid w:val="00AC6BB8"/>
    <w:rsid w:val="00AD3FAD"/>
    <w:rsid w:val="00AE008F"/>
    <w:rsid w:val="00AF5844"/>
    <w:rsid w:val="00B01FCD"/>
    <w:rsid w:val="00B1776C"/>
    <w:rsid w:val="00B232FA"/>
    <w:rsid w:val="00B24A3A"/>
    <w:rsid w:val="00B52583"/>
    <w:rsid w:val="00B52896"/>
    <w:rsid w:val="00B5399C"/>
    <w:rsid w:val="00B944A7"/>
    <w:rsid w:val="00B95236"/>
    <w:rsid w:val="00B96BD9"/>
    <w:rsid w:val="00BA1B01"/>
    <w:rsid w:val="00BA2641"/>
    <w:rsid w:val="00BB37AA"/>
    <w:rsid w:val="00BC53A0"/>
    <w:rsid w:val="00BC5A72"/>
    <w:rsid w:val="00BE62AD"/>
    <w:rsid w:val="00BE6A86"/>
    <w:rsid w:val="00BF121F"/>
    <w:rsid w:val="00BF1F80"/>
    <w:rsid w:val="00BF4E31"/>
    <w:rsid w:val="00BF5679"/>
    <w:rsid w:val="00C029FA"/>
    <w:rsid w:val="00C166EF"/>
    <w:rsid w:val="00C17D0D"/>
    <w:rsid w:val="00C17EB0"/>
    <w:rsid w:val="00C27F5F"/>
    <w:rsid w:val="00C30A0F"/>
    <w:rsid w:val="00C37E61"/>
    <w:rsid w:val="00C61D18"/>
    <w:rsid w:val="00C673BF"/>
    <w:rsid w:val="00C70F1B"/>
    <w:rsid w:val="00C71A47"/>
    <w:rsid w:val="00C7464C"/>
    <w:rsid w:val="00C849B9"/>
    <w:rsid w:val="00C85588"/>
    <w:rsid w:val="00C93908"/>
    <w:rsid w:val="00CB20D7"/>
    <w:rsid w:val="00CB274F"/>
    <w:rsid w:val="00CB29D1"/>
    <w:rsid w:val="00CC287C"/>
    <w:rsid w:val="00CD3050"/>
    <w:rsid w:val="00CD6755"/>
    <w:rsid w:val="00CD6856"/>
    <w:rsid w:val="00CD70EA"/>
    <w:rsid w:val="00CE0089"/>
    <w:rsid w:val="00CE793C"/>
    <w:rsid w:val="00CF193C"/>
    <w:rsid w:val="00D173F1"/>
    <w:rsid w:val="00D404BB"/>
    <w:rsid w:val="00D74CB0"/>
    <w:rsid w:val="00D80971"/>
    <w:rsid w:val="00D8295D"/>
    <w:rsid w:val="00D84CC3"/>
    <w:rsid w:val="00DC16CD"/>
    <w:rsid w:val="00DC2A65"/>
    <w:rsid w:val="00DD0A0D"/>
    <w:rsid w:val="00DE15F0"/>
    <w:rsid w:val="00DE5663"/>
    <w:rsid w:val="00DE78AA"/>
    <w:rsid w:val="00DF1DAE"/>
    <w:rsid w:val="00E053D0"/>
    <w:rsid w:val="00E15994"/>
    <w:rsid w:val="00E3114E"/>
    <w:rsid w:val="00E31A70"/>
    <w:rsid w:val="00E35B02"/>
    <w:rsid w:val="00E66496"/>
    <w:rsid w:val="00E66B35"/>
    <w:rsid w:val="00E66E10"/>
    <w:rsid w:val="00E769F6"/>
    <w:rsid w:val="00E8407C"/>
    <w:rsid w:val="00E84F3C"/>
    <w:rsid w:val="00E95FDE"/>
    <w:rsid w:val="00EA012C"/>
    <w:rsid w:val="00EB3D61"/>
    <w:rsid w:val="00EC6A55"/>
    <w:rsid w:val="00ED0288"/>
    <w:rsid w:val="00ED3925"/>
    <w:rsid w:val="00ED75F1"/>
    <w:rsid w:val="00EE52CB"/>
    <w:rsid w:val="00EF581D"/>
    <w:rsid w:val="00EF7FD8"/>
    <w:rsid w:val="00F06F59"/>
    <w:rsid w:val="00F17988"/>
    <w:rsid w:val="00F469F0"/>
    <w:rsid w:val="00F53273"/>
    <w:rsid w:val="00F755E4"/>
    <w:rsid w:val="00F77D02"/>
    <w:rsid w:val="00F865CB"/>
    <w:rsid w:val="00FB3A86"/>
    <w:rsid w:val="00FC205F"/>
    <w:rsid w:val="00FD36C8"/>
    <w:rsid w:val="00FE044E"/>
    <w:rsid w:val="02947211"/>
    <w:rsid w:val="02A22CA5"/>
    <w:rsid w:val="02E06200"/>
    <w:rsid w:val="04960E16"/>
    <w:rsid w:val="04F546B3"/>
    <w:rsid w:val="056921F6"/>
    <w:rsid w:val="07DD2379"/>
    <w:rsid w:val="094C474E"/>
    <w:rsid w:val="09DB2BA2"/>
    <w:rsid w:val="0A707A4A"/>
    <w:rsid w:val="0B186AF0"/>
    <w:rsid w:val="0FFF2ACC"/>
    <w:rsid w:val="102F7DE0"/>
    <w:rsid w:val="160C53F2"/>
    <w:rsid w:val="16FE7F88"/>
    <w:rsid w:val="18AD3F9D"/>
    <w:rsid w:val="19962308"/>
    <w:rsid w:val="1B4B758D"/>
    <w:rsid w:val="1E3E4834"/>
    <w:rsid w:val="22302F27"/>
    <w:rsid w:val="28F04076"/>
    <w:rsid w:val="2C9A0FDF"/>
    <w:rsid w:val="2F600CC5"/>
    <w:rsid w:val="31BF54A7"/>
    <w:rsid w:val="3F5A1E17"/>
    <w:rsid w:val="45925627"/>
    <w:rsid w:val="472F1EED"/>
    <w:rsid w:val="48E47700"/>
    <w:rsid w:val="4BE93B6A"/>
    <w:rsid w:val="4EBD64F9"/>
    <w:rsid w:val="554D219A"/>
    <w:rsid w:val="56304075"/>
    <w:rsid w:val="585C51D9"/>
    <w:rsid w:val="58C31AAB"/>
    <w:rsid w:val="59DC20FA"/>
    <w:rsid w:val="5A47502D"/>
    <w:rsid w:val="5C4A644A"/>
    <w:rsid w:val="5E482EBE"/>
    <w:rsid w:val="5F295B30"/>
    <w:rsid w:val="61F4554D"/>
    <w:rsid w:val="62825FAA"/>
    <w:rsid w:val="638379D3"/>
    <w:rsid w:val="63BF6533"/>
    <w:rsid w:val="65111645"/>
    <w:rsid w:val="65931F47"/>
    <w:rsid w:val="669D6BC7"/>
    <w:rsid w:val="6A485757"/>
    <w:rsid w:val="6DAA1F76"/>
    <w:rsid w:val="72274603"/>
    <w:rsid w:val="756D67D4"/>
    <w:rsid w:val="762439D7"/>
    <w:rsid w:val="79913FD2"/>
    <w:rsid w:val="7A905722"/>
    <w:rsid w:val="7CD71AFC"/>
    <w:rsid w:val="7FDB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B9BDEA7"/>
  <w15:docId w15:val="{D1F690BC-9574-431C-B8CB-1D7EBFFD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Signature">
    <w:name w:val="Signature"/>
    <w:basedOn w:val="Normal"/>
    <w:qFormat/>
    <w:pPr>
      <w:ind w:left="4320"/>
    </w:pPr>
  </w:style>
  <w:style w:type="character" w:styleId="Strong">
    <w:name w:val="Strong"/>
    <w:basedOn w:val="DefaultParagraphFont"/>
    <w:uiPriority w:val="22"/>
    <w:qFormat/>
    <w:rPr>
      <w:b/>
      <w:bCs/>
    </w:rPr>
  </w:style>
  <w:style w:type="table" w:styleId="TableGrid">
    <w:name w:val="Table Grid"/>
    <w:basedOn w:val="TableNormal"/>
    <w:uiPriority w:val="9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15">
    <w:name w:val="15"/>
    <w:basedOn w:val="DefaultParagraphFont"/>
    <w:qFormat/>
    <w:rPr>
      <w:rFonts w:ascii="SimSun" w:eastAsia="SimSun" w:hAnsi="SimSun" w:hint="eastAsia"/>
      <w:color w:val="FF0080"/>
      <w:u w:val="single"/>
    </w:rPr>
  </w:style>
  <w:style w:type="paragraph" w:styleId="ListParagraph">
    <w:name w:val="List Paragraph"/>
    <w:basedOn w:val="Normal"/>
    <w:uiPriority w:val="99"/>
    <w:qFormat/>
    <w:pPr>
      <w:spacing w:before="100" w:beforeAutospacing="1" w:after="200" w:line="273" w:lineRule="auto"/>
      <w:ind w:left="720"/>
      <w:contextualSpacing/>
    </w:pPr>
    <w:rPr>
      <w:rFonts w:ascii="Calibri" w:hAnsi="Calibri"/>
      <w:sz w:val="22"/>
      <w:szCs w:val="22"/>
    </w:rPr>
  </w:style>
  <w:style w:type="character" w:customStyle="1" w:styleId="Heading3Char">
    <w:name w:val="Heading 3 Char"/>
    <w:basedOn w:val="DefaultParagraphFont"/>
    <w:link w:val="Heading3"/>
    <w:qFormat/>
    <w:rPr>
      <w:rFonts w:asciiTheme="majorHAnsi" w:eastAsiaTheme="majorEastAsia" w:hAnsiTheme="majorHAnsi" w:cstheme="majorBidi"/>
      <w:b/>
      <w:bCs/>
      <w:color w:val="4F81BD" w:themeColor="accent1"/>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FooterChar">
    <w:name w:val="Footer Char"/>
    <w:basedOn w:val="DefaultParagraphFont"/>
    <w:link w:val="Footer"/>
    <w:qFormat/>
    <w:rPr>
      <w:rFonts w:ascii="Helvetica" w:eastAsia="Times New Roman" w:hAnsi="Helvetic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56EB8E-5B8A-483C-B65D-5E7BC225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116</TotalTime>
  <Pages>27</Pages>
  <Words>9156</Words>
  <Characters>52190</Characters>
  <Application>Microsoft Office Word</Application>
  <DocSecurity>0</DocSecurity>
  <Lines>434</Lines>
  <Paragraphs>122</Paragraphs>
  <ScaleCrop>false</ScaleCrop>
  <Company>aaaa</Company>
  <LinksUpToDate>false</LinksUpToDate>
  <CharactersWithSpaces>61224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97</cp:revision>
  <cp:lastPrinted>1999-07-06T11:00:00Z</cp:lastPrinted>
  <dcterms:created xsi:type="dcterms:W3CDTF">2026-03-08T18:22:00Z</dcterms:created>
  <dcterms:modified xsi:type="dcterms:W3CDTF">2026-03-19T13:17:00Z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359CCA988D0949058B0C4CA9E79AA600_12</vt:lpwstr>
  </property>
  <property fmtid="{D5CDD505-2E9C-101B-9397-08002B2CF9AE}" pid="4" name="KSOTemplateDocerSaveRecord">
    <vt:lpwstr>eyJoZGlkIjoiYThhN2FhZGY1ZDJmN2JiYjgzMDE2Nzk0MzFlOWNiYzQifQ==</vt:lpwstr>
  </property>
</Properties>
</file>