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6F20" w:rsidRDefault="00962CAF" w:rsidP="00962CAF">
      <w:pPr>
        <w:jc w:val="center"/>
        <w:rPr>
          <w:rFonts w:ascii="Times New Roman" w:hAnsi="Times New Roman" w:cs="Times New Roman"/>
          <w:b/>
          <w:sz w:val="24"/>
          <w:szCs w:val="24"/>
        </w:rPr>
      </w:pPr>
      <w:r w:rsidRPr="00962CAF">
        <w:rPr>
          <w:rFonts w:ascii="Times New Roman" w:hAnsi="Times New Roman" w:cs="Times New Roman"/>
          <w:b/>
          <w:sz w:val="24"/>
          <w:szCs w:val="24"/>
        </w:rPr>
        <w:t>Community engagement and Blue-entrepreneurs</w:t>
      </w:r>
      <w:r w:rsidR="00B854F3">
        <w:rPr>
          <w:rFonts w:ascii="Times New Roman" w:hAnsi="Times New Roman" w:cs="Times New Roman"/>
          <w:b/>
          <w:sz w:val="24"/>
          <w:szCs w:val="24"/>
        </w:rPr>
        <w:t>hip performance in Tanzania: A C</w:t>
      </w:r>
      <w:r w:rsidRPr="00962CAF">
        <w:rPr>
          <w:rFonts w:ascii="Times New Roman" w:hAnsi="Times New Roman" w:cs="Times New Roman"/>
          <w:b/>
          <w:sz w:val="24"/>
          <w:szCs w:val="24"/>
        </w:rPr>
        <w:t>omparative Case Study of Bagamoyo District and Kinondoni District</w:t>
      </w:r>
    </w:p>
    <w:p w:rsidR="00FB0F24" w:rsidRPr="00FB0F24" w:rsidRDefault="00FB0F24" w:rsidP="00FB0F24">
      <w:pPr>
        <w:jc w:val="both"/>
        <w:rPr>
          <w:rFonts w:ascii="Times New Roman" w:hAnsi="Times New Roman" w:cs="Times New Roman"/>
          <w:b/>
          <w:bCs/>
          <w:sz w:val="24"/>
          <w:szCs w:val="24"/>
        </w:rPr>
      </w:pPr>
      <w:r w:rsidRPr="00FB0F24">
        <w:rPr>
          <w:rFonts w:ascii="Times New Roman" w:hAnsi="Times New Roman" w:cs="Times New Roman"/>
          <w:b/>
          <w:bCs/>
          <w:sz w:val="24"/>
          <w:szCs w:val="24"/>
        </w:rPr>
        <w:t>Abstract</w:t>
      </w:r>
    </w:p>
    <w:p w:rsidR="00FB0F24" w:rsidRPr="00FB0F24" w:rsidRDefault="00FB0F24" w:rsidP="00FB0F24">
      <w:pPr>
        <w:spacing w:line="240" w:lineRule="auto"/>
        <w:jc w:val="both"/>
        <w:rPr>
          <w:rFonts w:ascii="Times New Roman" w:hAnsi="Times New Roman" w:cs="Times New Roman"/>
          <w:sz w:val="24"/>
          <w:szCs w:val="24"/>
        </w:rPr>
      </w:pPr>
      <w:r w:rsidRPr="00FB0F24">
        <w:rPr>
          <w:rFonts w:ascii="Times New Roman" w:hAnsi="Times New Roman" w:cs="Times New Roman"/>
          <w:sz w:val="24"/>
          <w:szCs w:val="24"/>
        </w:rPr>
        <w:t>The Blue Economy has emerged as a strategic development framework aimed at promoting sustainable economic growth, livelihood improvement, and environmental stewardship in coastal and marine regions. In Tanzania, small-scale enterprises operating in fisheries, aquaculture, seaweed farming, and coastal tourism play a critical role in local economic development. However, many of these enterprises continue to face challenges related to low productivity, limited access to finance, and vulnerability to environmental and market shocks. This study examines the role of community engagement in enhancing Blue-entrepreneurship performance within coastal Tanzania. Drawing on social capital theory and participatory governance perspectives, the research investigates how participation in community institutions, savings groups, and knowledge-sharing networks influences enterprise outcomes. A comparative cross-sectional mixed-methods design was employed, with primary data collected from 240 Blue entrepreneurs in Bagamoyo District and Kinondoni District. Quantitative data were analyzed using descriptive statistics, correlation analysis, and multivariate regression models, while qualitative interviews and focus group discussions provided contextual insights. The findings indicate that community engagement has a positive and statistically significant effect on multiple dimensions of enterprise performance, including income growth, enterprise survival, diversification, and adoption of sustainable practices. Participation in community savings and credit associations significantly improves enterprise survival, while involvement in local decision-making and knowledge-sharing networks enhances both economic and environmental outcomes. Furthermore, the effects of community engagement are stronger in semi-rural coastal contexts than in urban settings, highlighting the importance of local institutional environments. The study contributes to the Blue Economy literature by demonstrating that community engagement functions not only as a governance mechanism but also as a productive economic resource that supports entrepreneurial performance. Policy implications emphasize the need to institutionalize community-based engagement and financial mechanisms within Tanzania’s Blue Economy strategy to promote inclusive and sustainable coastal development.</w:t>
      </w:r>
    </w:p>
    <w:p w:rsidR="00A56B91" w:rsidRDefault="00FB0F24" w:rsidP="00962CAF">
      <w:pPr>
        <w:jc w:val="both"/>
        <w:rPr>
          <w:rFonts w:ascii="Times New Roman" w:hAnsi="Times New Roman" w:cs="Times New Roman"/>
          <w:sz w:val="24"/>
          <w:szCs w:val="24"/>
        </w:rPr>
      </w:pPr>
      <w:r w:rsidRPr="00FB0F24">
        <w:rPr>
          <w:rFonts w:ascii="Times New Roman" w:hAnsi="Times New Roman" w:cs="Times New Roman"/>
          <w:b/>
          <w:bCs/>
          <w:sz w:val="24"/>
          <w:szCs w:val="24"/>
        </w:rPr>
        <w:t>Keywords:</w:t>
      </w:r>
      <w:r w:rsidRPr="00FB0F24">
        <w:rPr>
          <w:rFonts w:ascii="Times New Roman" w:hAnsi="Times New Roman" w:cs="Times New Roman"/>
          <w:sz w:val="24"/>
          <w:szCs w:val="24"/>
        </w:rPr>
        <w:t xml:space="preserve"> Blue Economy; community engagement; entrepreneurship performance; social capital; coastal development; Tanzania.</w:t>
      </w:r>
    </w:p>
    <w:p w:rsidR="003B2D17" w:rsidRPr="003B2D17" w:rsidRDefault="003B2D17" w:rsidP="003B2D17">
      <w:pPr>
        <w:jc w:val="both"/>
        <w:rPr>
          <w:rFonts w:ascii="Times New Roman" w:hAnsi="Times New Roman" w:cs="Times New Roman"/>
          <w:b/>
          <w:bCs/>
          <w:sz w:val="24"/>
          <w:szCs w:val="24"/>
        </w:rPr>
      </w:pPr>
      <w:r w:rsidRPr="003B2D17">
        <w:rPr>
          <w:rFonts w:ascii="Times New Roman" w:hAnsi="Times New Roman" w:cs="Times New Roman"/>
          <w:b/>
          <w:bCs/>
          <w:sz w:val="24"/>
          <w:szCs w:val="24"/>
        </w:rPr>
        <w:t>1. Introduction</w:t>
      </w:r>
    </w:p>
    <w:p w:rsidR="00A11354" w:rsidRPr="00A11354" w:rsidRDefault="00A11354" w:rsidP="00A11354">
      <w:pPr>
        <w:jc w:val="both"/>
        <w:rPr>
          <w:rFonts w:ascii="Times New Roman" w:hAnsi="Times New Roman" w:cs="Times New Roman"/>
          <w:sz w:val="24"/>
          <w:szCs w:val="24"/>
        </w:rPr>
      </w:pPr>
      <w:r w:rsidRPr="00A11354">
        <w:rPr>
          <w:rFonts w:ascii="Times New Roman" w:hAnsi="Times New Roman" w:cs="Times New Roman"/>
          <w:sz w:val="24"/>
          <w:szCs w:val="24"/>
        </w:rPr>
        <w:t>The Blue Economy has become a major global development model that uses coastal and marine resources to boost economic growth, improve people's lives, and protect ecosystems in a balanced and integrated way. It includes a wide range of ocean-based economic activities, such as fisheries, aquaculture, marine and coastal tourism, maritime services, and related value chains. It also stresses the importance of protecting the environment, including everyone, and making sure that resources are available for a long time (World Bank, 2017). For developing coastal nations, the Blue Economy presents a strategic avenue for diversifying livelihoods, alleviating poverty, and bolstering socio-economic resilience within communities whose well-being is intricately linked to</w:t>
      </w:r>
      <w:r>
        <w:rPr>
          <w:rFonts w:ascii="Times New Roman" w:hAnsi="Times New Roman" w:cs="Times New Roman"/>
          <w:sz w:val="24"/>
          <w:szCs w:val="24"/>
        </w:rPr>
        <w:t xml:space="preserve"> marine and coastal ecosystems.</w:t>
      </w:r>
    </w:p>
    <w:p w:rsidR="00A11354" w:rsidRPr="00A11354" w:rsidRDefault="00A11354" w:rsidP="00A11354">
      <w:pPr>
        <w:jc w:val="both"/>
        <w:rPr>
          <w:rFonts w:ascii="Times New Roman" w:hAnsi="Times New Roman" w:cs="Times New Roman"/>
          <w:sz w:val="24"/>
          <w:szCs w:val="24"/>
        </w:rPr>
      </w:pPr>
      <w:r w:rsidRPr="00A11354">
        <w:rPr>
          <w:rFonts w:ascii="Times New Roman" w:hAnsi="Times New Roman" w:cs="Times New Roman"/>
          <w:sz w:val="24"/>
          <w:szCs w:val="24"/>
        </w:rPr>
        <w:lastRenderedPageBreak/>
        <w:t>The Blue Economy has become more important in Tanzania's policies because the country has a long coastline along the Indian Ocean, a lot of marine biodiversity, and a large part of the population relies on coastal and marine resources for food and money. The Blue Economy is clearly seen as a driver of inclusive growth, job creation, and local economic development in national development frameworks (United Republic of Tanzania [URT], 2021; National Environment Management Council [NEMC], 2024). Small-scale business owners in Tanzania's Blue Economy work in fisheries, seaweed farming, aquaculture, and coastal tourism. These people are the backbone of the economy. These businesses are very important for helping families make money, making sure people have enough food, and getting people involved in the economy in both rura</w:t>
      </w:r>
      <w:r>
        <w:rPr>
          <w:rFonts w:ascii="Times New Roman" w:hAnsi="Times New Roman" w:cs="Times New Roman"/>
          <w:sz w:val="24"/>
          <w:szCs w:val="24"/>
        </w:rPr>
        <w:t>l and peri-urban coastal areas.</w:t>
      </w:r>
    </w:p>
    <w:p w:rsidR="00A11354" w:rsidRPr="00A11354" w:rsidRDefault="00A11354" w:rsidP="00A11354">
      <w:pPr>
        <w:jc w:val="both"/>
        <w:rPr>
          <w:rFonts w:ascii="Times New Roman" w:hAnsi="Times New Roman" w:cs="Times New Roman"/>
          <w:sz w:val="24"/>
          <w:szCs w:val="24"/>
        </w:rPr>
      </w:pPr>
      <w:r w:rsidRPr="00A11354">
        <w:rPr>
          <w:rFonts w:ascii="Times New Roman" w:hAnsi="Times New Roman" w:cs="Times New Roman"/>
          <w:sz w:val="24"/>
          <w:szCs w:val="24"/>
        </w:rPr>
        <w:t>Even though it has a lot of potential, Blue-economy entrepreneurship in Tanzania is still held back by ongoing structural and institutional problems. Evidence from both research and policy shows that productivity is low, access to finance is limited, market integration is weak, governance is inefficient, and the economy is becoming more vulnerable to climate change and environmental damage (World Bank, 2023). These kinds of restrictions hurt business growth and income stability, and they make it harder for entrepreneurs to use sustainable production methods. This weakens the Blue Economy agenda's promise for bro</w:t>
      </w:r>
      <w:r>
        <w:rPr>
          <w:rFonts w:ascii="Times New Roman" w:hAnsi="Times New Roman" w:cs="Times New Roman"/>
          <w:sz w:val="24"/>
          <w:szCs w:val="24"/>
        </w:rPr>
        <w:t>ader development.</w:t>
      </w:r>
    </w:p>
    <w:p w:rsidR="00A11354" w:rsidRPr="00A11354" w:rsidRDefault="00A11354" w:rsidP="00A11354">
      <w:pPr>
        <w:jc w:val="both"/>
        <w:rPr>
          <w:rFonts w:ascii="Times New Roman" w:hAnsi="Times New Roman" w:cs="Times New Roman"/>
          <w:sz w:val="24"/>
          <w:szCs w:val="24"/>
        </w:rPr>
      </w:pPr>
      <w:r w:rsidRPr="00A11354">
        <w:rPr>
          <w:rFonts w:ascii="Times New Roman" w:hAnsi="Times New Roman" w:cs="Times New Roman"/>
          <w:sz w:val="24"/>
          <w:szCs w:val="24"/>
        </w:rPr>
        <w:t>Policymakers and development partners are putting more and more emphasis on community engagement as a key way to improve business performance and long-term viability in response to these problems. Community engagement entails the active involvement of local stakeholders in decision-making processes, collaborative initiatives, knowledge sharing, and the joint management of resources and economic activities (Pretty, 2003). In coastal areas where people rely on common-pool resources, community involvement is closely linked to building social capital, trust, giving and getting back, and working together. These are all important for good resource management and business success.</w:t>
      </w:r>
    </w:p>
    <w:p w:rsidR="00A11354" w:rsidRPr="00A11354" w:rsidRDefault="00A11354" w:rsidP="00A11354">
      <w:pPr>
        <w:jc w:val="both"/>
        <w:rPr>
          <w:rFonts w:ascii="Times New Roman" w:hAnsi="Times New Roman" w:cs="Times New Roman"/>
          <w:sz w:val="24"/>
          <w:szCs w:val="24"/>
        </w:rPr>
      </w:pPr>
    </w:p>
    <w:p w:rsidR="00A11354" w:rsidRPr="00A11354" w:rsidRDefault="00A11354" w:rsidP="00A11354">
      <w:pPr>
        <w:jc w:val="both"/>
        <w:rPr>
          <w:rFonts w:ascii="Times New Roman" w:hAnsi="Times New Roman" w:cs="Times New Roman"/>
          <w:sz w:val="24"/>
          <w:szCs w:val="24"/>
        </w:rPr>
      </w:pPr>
      <w:r w:rsidRPr="00A11354">
        <w:rPr>
          <w:rFonts w:ascii="Times New Roman" w:hAnsi="Times New Roman" w:cs="Times New Roman"/>
          <w:sz w:val="24"/>
          <w:szCs w:val="24"/>
        </w:rPr>
        <w:t>Although community engagement is frequently advocated in policy discussions as a fundamental element of sustainable Blue Economy development, empirical evidence concerning its direct influence on entrepreneurial performance is scarce and context-dependent. In Tanzania, numerous Blue entrepreneurs persist in facing erratic incomes, sluggish business expansion, and insufficient resilience to market and environmental disruptions, even in communities aimed at by participatory development initiatives (World Bank, 2023; URT, 2021). This implies that the correlation between community engagement and enhanced enterprise outcomes may be more intricate and conditional than pol</w:t>
      </w:r>
      <w:r>
        <w:rPr>
          <w:rFonts w:ascii="Times New Roman" w:hAnsi="Times New Roman" w:cs="Times New Roman"/>
          <w:sz w:val="24"/>
          <w:szCs w:val="24"/>
        </w:rPr>
        <w:t>icy narratives typically posit.</w:t>
      </w:r>
    </w:p>
    <w:p w:rsidR="00A11354" w:rsidRPr="00A11354" w:rsidRDefault="00A11354" w:rsidP="00A11354">
      <w:pPr>
        <w:jc w:val="both"/>
        <w:rPr>
          <w:rFonts w:ascii="Times New Roman" w:hAnsi="Times New Roman" w:cs="Times New Roman"/>
          <w:sz w:val="24"/>
          <w:szCs w:val="24"/>
        </w:rPr>
      </w:pPr>
      <w:r w:rsidRPr="00A11354">
        <w:rPr>
          <w:rFonts w:ascii="Times New Roman" w:hAnsi="Times New Roman" w:cs="Times New Roman"/>
          <w:sz w:val="24"/>
          <w:szCs w:val="24"/>
        </w:rPr>
        <w:t xml:space="preserve">Another shortcoming in current research is the lack of comprehensive, district-level comparative studies that systematically analyze the correlation between community engagement mechanisms and quantifiable entrepreneurial performance outcomes. There is a lack of empirical clarity </w:t>
      </w:r>
      <w:r w:rsidRPr="00A11354">
        <w:rPr>
          <w:rFonts w:ascii="Times New Roman" w:hAnsi="Times New Roman" w:cs="Times New Roman"/>
          <w:sz w:val="24"/>
          <w:szCs w:val="24"/>
        </w:rPr>
        <w:lastRenderedPageBreak/>
        <w:t>regarding whi</w:t>
      </w:r>
      <w:r>
        <w:rPr>
          <w:rFonts w:ascii="Times New Roman" w:hAnsi="Times New Roman" w:cs="Times New Roman"/>
          <w:sz w:val="24"/>
          <w:szCs w:val="24"/>
        </w:rPr>
        <w:t xml:space="preserve">ch specific forms of engagement </w:t>
      </w:r>
      <w:r w:rsidRPr="00A11354">
        <w:rPr>
          <w:rFonts w:ascii="Times New Roman" w:hAnsi="Times New Roman" w:cs="Times New Roman"/>
          <w:sz w:val="24"/>
          <w:szCs w:val="24"/>
        </w:rPr>
        <w:t>such as participation in local governance structures, membership in community savings and credit associations, or involvemen</w:t>
      </w:r>
      <w:r>
        <w:rPr>
          <w:rFonts w:ascii="Times New Roman" w:hAnsi="Times New Roman" w:cs="Times New Roman"/>
          <w:sz w:val="24"/>
          <w:szCs w:val="24"/>
        </w:rPr>
        <w:t xml:space="preserve">t in knowledge-sharing networks </w:t>
      </w:r>
      <w:r w:rsidRPr="00A11354">
        <w:rPr>
          <w:rFonts w:ascii="Times New Roman" w:hAnsi="Times New Roman" w:cs="Times New Roman"/>
          <w:sz w:val="24"/>
          <w:szCs w:val="24"/>
        </w:rPr>
        <w:t>are most effective in various coastal contexts. This gap makes it harder for policymakers and local governments to come up with specific, evidence-based plans that will help the Blue Economy grow in a way</w:t>
      </w:r>
      <w:r>
        <w:rPr>
          <w:rFonts w:ascii="Times New Roman" w:hAnsi="Times New Roman" w:cs="Times New Roman"/>
          <w:sz w:val="24"/>
          <w:szCs w:val="24"/>
        </w:rPr>
        <w:t xml:space="preserve"> that is fair and long-lasting.</w:t>
      </w:r>
    </w:p>
    <w:p w:rsidR="00A11354" w:rsidRPr="00A11354" w:rsidRDefault="00A11354" w:rsidP="00A11354">
      <w:pPr>
        <w:jc w:val="both"/>
        <w:rPr>
          <w:rFonts w:ascii="Times New Roman" w:hAnsi="Times New Roman" w:cs="Times New Roman"/>
          <w:sz w:val="24"/>
          <w:szCs w:val="24"/>
        </w:rPr>
      </w:pPr>
      <w:r w:rsidRPr="00A11354">
        <w:rPr>
          <w:rFonts w:ascii="Times New Roman" w:hAnsi="Times New Roman" w:cs="Times New Roman"/>
          <w:sz w:val="24"/>
          <w:szCs w:val="24"/>
        </w:rPr>
        <w:t xml:space="preserve">Community-based organizations, cooperatives, participatory governance structures, and savings and credit associations—especially Village Community Banks (VICOBA)—are having a bigger and bigger impact on how businesses grow in Tanzania's coastal areas. New evidence shows that these kinds of involvement can make it easier to get money, help people learn from each other, give them more power in negotiations, and make it easier to follow rules for using resources sustainably (International Union for Conservation of Nature [IUCN], 2023; United Nations Development </w:t>
      </w:r>
      <w:proofErr w:type="spellStart"/>
      <w:r w:rsidRPr="00A11354">
        <w:rPr>
          <w:rFonts w:ascii="Times New Roman" w:hAnsi="Times New Roman" w:cs="Times New Roman"/>
          <w:sz w:val="24"/>
          <w:szCs w:val="24"/>
        </w:rPr>
        <w:t>Programme</w:t>
      </w:r>
      <w:proofErr w:type="spellEnd"/>
      <w:r w:rsidRPr="00A11354">
        <w:rPr>
          <w:rFonts w:ascii="Times New Roman" w:hAnsi="Times New Roman" w:cs="Times New Roman"/>
          <w:sz w:val="24"/>
          <w:szCs w:val="24"/>
        </w:rPr>
        <w:t xml:space="preserve"> [UNDP], 2024). These mechanisms are especially crucial for small-scale Blue entrepreneurs functioning in resource-dependent and institutionally intricate settings where individual enterprise ca</w:t>
      </w:r>
      <w:r>
        <w:rPr>
          <w:rFonts w:ascii="Times New Roman" w:hAnsi="Times New Roman" w:cs="Times New Roman"/>
          <w:sz w:val="24"/>
          <w:szCs w:val="24"/>
        </w:rPr>
        <w:t>pacity is frequently limited.</w:t>
      </w:r>
    </w:p>
    <w:p w:rsidR="00A11354" w:rsidRPr="00A11354" w:rsidRDefault="00A11354" w:rsidP="00A11354">
      <w:pPr>
        <w:jc w:val="both"/>
        <w:rPr>
          <w:rFonts w:ascii="Times New Roman" w:hAnsi="Times New Roman" w:cs="Times New Roman"/>
          <w:sz w:val="24"/>
          <w:szCs w:val="24"/>
        </w:rPr>
      </w:pPr>
      <w:r w:rsidRPr="00A11354">
        <w:rPr>
          <w:rFonts w:ascii="Times New Roman" w:hAnsi="Times New Roman" w:cs="Times New Roman"/>
          <w:sz w:val="24"/>
          <w:szCs w:val="24"/>
        </w:rPr>
        <w:t>Bagamoyo District and Kinondoni District offer analytically significant comparative contexts within this framework. Bagamoyo has a mostly semi-rural coastal economy that depends a lot on fishing, seaweed farming, and new eco-tourism. Kinondoni, on the other hand, is an urban coastal district that is part of the larger Dar es Salaam metropolitan economy and has more commercialized but very competitive market conditions. Both districts have been the focus of Blue Economy interventions and community-based projects. This makes them good places to look at how the context affects how well community engagement can affect business perfor</w:t>
      </w:r>
      <w:r>
        <w:rPr>
          <w:rFonts w:ascii="Times New Roman" w:hAnsi="Times New Roman" w:cs="Times New Roman"/>
          <w:sz w:val="24"/>
          <w:szCs w:val="24"/>
        </w:rPr>
        <w:t>mance (NEMC, 2024; UNDP, 2024).</w:t>
      </w:r>
    </w:p>
    <w:p w:rsidR="00A11354" w:rsidRDefault="00A11354" w:rsidP="00782DFF">
      <w:pPr>
        <w:jc w:val="both"/>
        <w:rPr>
          <w:rFonts w:ascii="Times New Roman" w:hAnsi="Times New Roman" w:cs="Times New Roman"/>
          <w:sz w:val="24"/>
          <w:szCs w:val="24"/>
        </w:rPr>
      </w:pPr>
      <w:r w:rsidRPr="00A11354">
        <w:rPr>
          <w:rFonts w:ascii="Times New Roman" w:hAnsi="Times New Roman" w:cs="Times New Roman"/>
          <w:sz w:val="24"/>
          <w:szCs w:val="24"/>
        </w:rPr>
        <w:t>Even though more and more researchers and policymakers are interested in the Blue Economy, not much research has directly connected community engagement methods to measurable business performance indicators like income growth, business survival, diversification, and the use of sustainable practices. Current research predominantly analyzes environmental co-management outcomes or entrepreneurial performance separately, failing to synthesize the two areas. This study empirically examines the relationship between community engagement and Blue-entrepreneurship performance through a comparative district-level analysis, thereby addressing a significant gap and enhancing the understanding of how participatory mechanisms affect economic and sustainability outcomes i</w:t>
      </w:r>
      <w:r>
        <w:rPr>
          <w:rFonts w:ascii="Times New Roman" w:hAnsi="Times New Roman" w:cs="Times New Roman"/>
          <w:sz w:val="24"/>
          <w:szCs w:val="24"/>
        </w:rPr>
        <w:t>n coastal development contexts.</w:t>
      </w:r>
    </w:p>
    <w:p w:rsidR="004A4172" w:rsidRDefault="004A4172" w:rsidP="004A4172">
      <w:pPr>
        <w:jc w:val="both"/>
        <w:rPr>
          <w:rFonts w:ascii="Times New Roman" w:hAnsi="Times New Roman" w:cs="Times New Roman"/>
          <w:b/>
          <w:sz w:val="24"/>
          <w:szCs w:val="24"/>
        </w:rPr>
      </w:pPr>
      <w:r w:rsidRPr="004A4172">
        <w:rPr>
          <w:rFonts w:ascii="Times New Roman" w:hAnsi="Times New Roman" w:cs="Times New Roman"/>
          <w:b/>
          <w:sz w:val="24"/>
          <w:szCs w:val="24"/>
        </w:rPr>
        <w:t>2. Literature Review</w:t>
      </w:r>
    </w:p>
    <w:p w:rsidR="009E2B79" w:rsidRDefault="008436A1" w:rsidP="008436A1">
      <w:pPr>
        <w:jc w:val="both"/>
        <w:rPr>
          <w:rFonts w:ascii="Times New Roman" w:hAnsi="Times New Roman" w:cs="Times New Roman"/>
          <w:b/>
          <w:sz w:val="24"/>
          <w:szCs w:val="24"/>
        </w:rPr>
      </w:pPr>
      <w:r>
        <w:rPr>
          <w:rFonts w:ascii="Times New Roman" w:hAnsi="Times New Roman" w:cs="Times New Roman"/>
          <w:b/>
          <w:sz w:val="24"/>
          <w:szCs w:val="24"/>
        </w:rPr>
        <w:t xml:space="preserve">2.1 Definitions of Key Concept </w:t>
      </w:r>
    </w:p>
    <w:p w:rsidR="008436A1" w:rsidRPr="009E2B79" w:rsidRDefault="008436A1" w:rsidP="008436A1">
      <w:pPr>
        <w:jc w:val="both"/>
        <w:rPr>
          <w:rFonts w:ascii="Times New Roman" w:hAnsi="Times New Roman" w:cs="Times New Roman"/>
          <w:b/>
          <w:sz w:val="24"/>
          <w:szCs w:val="24"/>
        </w:rPr>
      </w:pPr>
      <w:r w:rsidRPr="008436A1">
        <w:rPr>
          <w:rFonts w:ascii="Times New Roman" w:hAnsi="Times New Roman" w:cs="Times New Roman"/>
          <w:b/>
          <w:bCs/>
          <w:sz w:val="24"/>
          <w:szCs w:val="24"/>
        </w:rPr>
        <w:t>Community Engagement</w:t>
      </w:r>
    </w:p>
    <w:p w:rsidR="00A11354" w:rsidRPr="00A11354" w:rsidRDefault="00A11354" w:rsidP="00A11354">
      <w:pPr>
        <w:jc w:val="both"/>
        <w:rPr>
          <w:rFonts w:ascii="Times New Roman" w:hAnsi="Times New Roman" w:cs="Times New Roman"/>
          <w:bCs/>
          <w:sz w:val="24"/>
          <w:szCs w:val="24"/>
        </w:rPr>
      </w:pPr>
      <w:r w:rsidRPr="00A11354">
        <w:rPr>
          <w:rFonts w:ascii="Times New Roman" w:hAnsi="Times New Roman" w:cs="Times New Roman"/>
          <w:bCs/>
          <w:sz w:val="24"/>
          <w:szCs w:val="24"/>
        </w:rPr>
        <w:t xml:space="preserve">Community engagement is when people in a community work together to make decisions, share information, and manage resources and economic activities that affect their lives and health. It </w:t>
      </w:r>
      <w:r w:rsidRPr="00A11354">
        <w:rPr>
          <w:rFonts w:ascii="Times New Roman" w:hAnsi="Times New Roman" w:cs="Times New Roman"/>
          <w:bCs/>
          <w:sz w:val="24"/>
          <w:szCs w:val="24"/>
        </w:rPr>
        <w:lastRenderedPageBreak/>
        <w:t xml:space="preserve">includes both formal and informal ways of getting involved, such as being a member of community-based organizations, cooperatives, and savings and credit associations, as well as taking part in collective action and local governance processes (Pretty, 2003). From the standpoint of social capital theory, community engagement serves as a conduit for the cultivation and activation of trust, shared norms, and social networks, thereby facilitating access to information, resources, and reciprocal support that improve economic and social outcomes (Putnam, 1993; </w:t>
      </w:r>
      <w:proofErr w:type="spellStart"/>
      <w:r w:rsidRPr="00A11354">
        <w:rPr>
          <w:rFonts w:ascii="Times New Roman" w:hAnsi="Times New Roman" w:cs="Times New Roman"/>
          <w:bCs/>
          <w:sz w:val="24"/>
          <w:szCs w:val="24"/>
        </w:rPr>
        <w:t>Nahapiet</w:t>
      </w:r>
      <w:proofErr w:type="spellEnd"/>
      <w:r w:rsidRPr="00A11354">
        <w:rPr>
          <w:rFonts w:ascii="Times New Roman" w:hAnsi="Times New Roman" w:cs="Times New Roman"/>
          <w:bCs/>
          <w:sz w:val="24"/>
          <w:szCs w:val="24"/>
        </w:rPr>
        <w:t xml:space="preserve"> &amp; Ghoshal, 1998). In resource-dependent contexts, like coastal and marine economies, community engagement promotes collaboration among stakeholders whose livelihoods are interconnected, thus lowering transaction costs and enhancing collective </w:t>
      </w:r>
      <w:r>
        <w:rPr>
          <w:rFonts w:ascii="Times New Roman" w:hAnsi="Times New Roman" w:cs="Times New Roman"/>
          <w:bCs/>
          <w:sz w:val="24"/>
          <w:szCs w:val="24"/>
        </w:rPr>
        <w:t>problem-solving (Ostrom, 1990).</w:t>
      </w:r>
    </w:p>
    <w:p w:rsidR="00A11354" w:rsidRDefault="00A11354" w:rsidP="00782DFF">
      <w:pPr>
        <w:jc w:val="both"/>
        <w:rPr>
          <w:rFonts w:ascii="Times New Roman" w:hAnsi="Times New Roman" w:cs="Times New Roman"/>
          <w:bCs/>
          <w:sz w:val="24"/>
          <w:szCs w:val="24"/>
        </w:rPr>
      </w:pPr>
      <w:r w:rsidRPr="00A11354">
        <w:rPr>
          <w:rFonts w:ascii="Times New Roman" w:hAnsi="Times New Roman" w:cs="Times New Roman"/>
          <w:bCs/>
          <w:sz w:val="24"/>
          <w:szCs w:val="24"/>
        </w:rPr>
        <w:t xml:space="preserve">In the context of participatory governance, community engagement denotes the extent of involvement of local stakeholders in the formulation of regulations, the management of common-pool resources, and the influence on developmental initiatives that impact their economic activities (Pretty, 2003; </w:t>
      </w:r>
      <w:proofErr w:type="spellStart"/>
      <w:r w:rsidRPr="00A11354">
        <w:rPr>
          <w:rFonts w:ascii="Times New Roman" w:hAnsi="Times New Roman" w:cs="Times New Roman"/>
          <w:bCs/>
          <w:sz w:val="24"/>
          <w:szCs w:val="24"/>
        </w:rPr>
        <w:t>Béné</w:t>
      </w:r>
      <w:proofErr w:type="spellEnd"/>
      <w:r w:rsidRPr="00A11354">
        <w:rPr>
          <w:rFonts w:ascii="Times New Roman" w:hAnsi="Times New Roman" w:cs="Times New Roman"/>
          <w:bCs/>
          <w:sz w:val="24"/>
          <w:szCs w:val="24"/>
        </w:rPr>
        <w:t xml:space="preserve"> et al., 2016). In this study, community engagement is defined as a multidimensional construct encompassing entrepreneurs' involvement in local decision-making, membership in community savings and credit groups (e.g., VICOBA), participation in cooperatives and community-based organizations, engagement in knowledge-sharing networks, and the degree of trust and collective action within their communities.</w:t>
      </w:r>
    </w:p>
    <w:p w:rsidR="00782DFF" w:rsidRPr="00782DFF" w:rsidRDefault="00180D58" w:rsidP="00180D58">
      <w:pPr>
        <w:jc w:val="both"/>
        <w:rPr>
          <w:rFonts w:ascii="Times New Roman" w:hAnsi="Times New Roman" w:cs="Times New Roman"/>
          <w:b/>
          <w:bCs/>
          <w:sz w:val="24"/>
          <w:szCs w:val="24"/>
        </w:rPr>
      </w:pPr>
      <w:r w:rsidRPr="00180D58">
        <w:rPr>
          <w:rFonts w:ascii="Times New Roman" w:hAnsi="Times New Roman" w:cs="Times New Roman"/>
          <w:b/>
          <w:bCs/>
          <w:sz w:val="24"/>
          <w:szCs w:val="24"/>
        </w:rPr>
        <w:t>The Blue Economy</w:t>
      </w:r>
    </w:p>
    <w:p w:rsidR="00A11354" w:rsidRDefault="00A11354" w:rsidP="00A11354">
      <w:pPr>
        <w:jc w:val="both"/>
        <w:rPr>
          <w:rFonts w:ascii="Times New Roman" w:hAnsi="Times New Roman" w:cs="Times New Roman"/>
          <w:sz w:val="24"/>
          <w:szCs w:val="24"/>
        </w:rPr>
      </w:pPr>
      <w:r w:rsidRPr="00A11354">
        <w:rPr>
          <w:rFonts w:ascii="Times New Roman" w:hAnsi="Times New Roman" w:cs="Times New Roman"/>
          <w:sz w:val="24"/>
          <w:szCs w:val="24"/>
        </w:rPr>
        <w:t>The Blue Economy is the sustainable use of ocean, sea, and coastal resources to support economic growth, improve livelihoods, and create jobs while keeping marine and coastal ecosystems healthy and strong. The idea is that ocean-based industries like fisheries, aquaculture, marine and coastal tourism, maritime transport, and related value chains should all work together to promote economic growth, social inclusion, and environmental sustainability (World Bank, 2017). The Blue Economy framework is different from traditional ocean-based development models because it recognizes the ecological limits of marine systems and the need to balance exploitation with conservation. Traditional models focu</w:t>
      </w:r>
      <w:r>
        <w:rPr>
          <w:rFonts w:ascii="Times New Roman" w:hAnsi="Times New Roman" w:cs="Times New Roman"/>
          <w:sz w:val="24"/>
          <w:szCs w:val="24"/>
        </w:rPr>
        <w:t>s on short-term economic gains.</w:t>
      </w:r>
    </w:p>
    <w:p w:rsidR="000861C4" w:rsidRPr="00A11354" w:rsidRDefault="000861C4" w:rsidP="00A11354">
      <w:pPr>
        <w:jc w:val="both"/>
        <w:rPr>
          <w:rFonts w:ascii="Times New Roman" w:hAnsi="Times New Roman" w:cs="Times New Roman"/>
          <w:sz w:val="24"/>
          <w:szCs w:val="24"/>
        </w:rPr>
      </w:pPr>
    </w:p>
    <w:p w:rsidR="00A11354" w:rsidRPr="00A11354" w:rsidRDefault="00A11354" w:rsidP="00A11354">
      <w:pPr>
        <w:jc w:val="both"/>
        <w:rPr>
          <w:rFonts w:ascii="Times New Roman" w:hAnsi="Times New Roman" w:cs="Times New Roman"/>
          <w:sz w:val="24"/>
          <w:szCs w:val="24"/>
        </w:rPr>
      </w:pPr>
      <w:r w:rsidRPr="00A11354">
        <w:rPr>
          <w:rFonts w:ascii="Times New Roman" w:hAnsi="Times New Roman" w:cs="Times New Roman"/>
          <w:sz w:val="24"/>
          <w:szCs w:val="24"/>
        </w:rPr>
        <w:t>The Blue Economy is becoming more and more seen as a strategic way to reduce poverty, diversify livelihoods, and build resilience in communities that rely heavily on natural resources (</w:t>
      </w:r>
      <w:proofErr w:type="spellStart"/>
      <w:r w:rsidRPr="00A11354">
        <w:rPr>
          <w:rFonts w:ascii="Times New Roman" w:hAnsi="Times New Roman" w:cs="Times New Roman"/>
          <w:sz w:val="24"/>
          <w:szCs w:val="24"/>
        </w:rPr>
        <w:t>Béné</w:t>
      </w:r>
      <w:proofErr w:type="spellEnd"/>
      <w:r w:rsidRPr="00A11354">
        <w:rPr>
          <w:rFonts w:ascii="Times New Roman" w:hAnsi="Times New Roman" w:cs="Times New Roman"/>
          <w:sz w:val="24"/>
          <w:szCs w:val="24"/>
        </w:rPr>
        <w:t xml:space="preserve"> et al., 2016). The Blue Economy could help local economies grow by encouraging value addition, innovation, and sustainable resource management. It could also make communities less vulnerable to climate change and environmental degradation. However, the quality of governance, coordination between institutions, and the involvement of local communities in decision-making are all very important for these benefits to happen. In Africa, the Blue Economy has become more important as governments try to use the continent's vast marine resources to speed up economic change while dealing with problems like overfishing, habitat loss, and weak </w:t>
      </w:r>
      <w:r w:rsidRPr="00A11354">
        <w:rPr>
          <w:rFonts w:ascii="Times New Roman" w:hAnsi="Times New Roman" w:cs="Times New Roman"/>
          <w:sz w:val="24"/>
          <w:szCs w:val="24"/>
        </w:rPr>
        <w:lastRenderedPageBreak/>
        <w:t>regulatory capacity (UNDP, 2024). Community involvement and co-management plans are becoming more and more important for good Blue Economy governance, especially in small-scale fisheries and coastal businesses where people's lives and ecosystems are closely linke</w:t>
      </w:r>
      <w:r>
        <w:rPr>
          <w:rFonts w:ascii="Times New Roman" w:hAnsi="Times New Roman" w:cs="Times New Roman"/>
          <w:sz w:val="24"/>
          <w:szCs w:val="24"/>
        </w:rPr>
        <w:t>d (Ostrom, 1990; Pretty, 2003).</w:t>
      </w:r>
    </w:p>
    <w:p w:rsidR="00A11354" w:rsidRPr="00A11354" w:rsidRDefault="00A11354" w:rsidP="00A11354">
      <w:pPr>
        <w:jc w:val="both"/>
        <w:rPr>
          <w:rFonts w:ascii="Times New Roman" w:hAnsi="Times New Roman" w:cs="Times New Roman"/>
          <w:sz w:val="24"/>
          <w:szCs w:val="24"/>
        </w:rPr>
      </w:pPr>
      <w:r w:rsidRPr="00A11354">
        <w:rPr>
          <w:rFonts w:ascii="Times New Roman" w:hAnsi="Times New Roman" w:cs="Times New Roman"/>
          <w:sz w:val="24"/>
          <w:szCs w:val="24"/>
        </w:rPr>
        <w:t>The Blue Economy has become a national development priority in Tanzania because the country has a long coastline along the Indian Ocean, a lot of marine biodiversity, and the coastal and marine sectors are important for people's livelihoods and food security. National policy frameworks underscore the significance of the Blue Economy in fostering inclusive growth, generating employment, and ensuring the sustainable utilization of marine resources (United Republic of Tanzania [URT], 2021; National Environment Management Council [NEMC], 2024). Small-scale business owners who work in fisheries, seaweed farming, aquaculture, and coastal tourism are a key part of Tanzania's Blue Economy, especially at the community leve</w:t>
      </w:r>
      <w:r>
        <w:rPr>
          <w:rFonts w:ascii="Times New Roman" w:hAnsi="Times New Roman" w:cs="Times New Roman"/>
          <w:sz w:val="24"/>
          <w:szCs w:val="24"/>
        </w:rPr>
        <w:t>l.</w:t>
      </w:r>
    </w:p>
    <w:p w:rsidR="00A11354" w:rsidRDefault="00A11354" w:rsidP="00782DFF">
      <w:pPr>
        <w:jc w:val="both"/>
        <w:rPr>
          <w:rFonts w:ascii="Times New Roman" w:hAnsi="Times New Roman" w:cs="Times New Roman"/>
          <w:sz w:val="24"/>
          <w:szCs w:val="24"/>
        </w:rPr>
      </w:pPr>
      <w:r w:rsidRPr="00A11354">
        <w:rPr>
          <w:rFonts w:ascii="Times New Roman" w:hAnsi="Times New Roman" w:cs="Times New Roman"/>
          <w:sz w:val="24"/>
          <w:szCs w:val="24"/>
        </w:rPr>
        <w:t>The Blue Economy in Tanzania has a lot of potential, but it is still hard to make it work because of problems like limited access to finance, weak market links, poor governance, and growing pressures from climate change and environmental degradation (World Bank, 2023). These challenges underscore the necessity of amalgamating economic goals with social and institutional aspects, especially community involvement and participatory governance, to guarantee that Blue Economy advancement results in sustainable and inclusive outcomes.</w:t>
      </w:r>
    </w:p>
    <w:p w:rsidR="0021051A" w:rsidRPr="0021051A" w:rsidRDefault="0021051A" w:rsidP="00782DFF">
      <w:pPr>
        <w:jc w:val="both"/>
        <w:rPr>
          <w:rFonts w:ascii="Times New Roman" w:hAnsi="Times New Roman" w:cs="Times New Roman"/>
          <w:sz w:val="24"/>
          <w:szCs w:val="24"/>
        </w:rPr>
      </w:pPr>
      <w:r w:rsidRPr="0021051A">
        <w:rPr>
          <w:rFonts w:ascii="Times New Roman" w:hAnsi="Times New Roman" w:cs="Times New Roman"/>
          <w:sz w:val="24"/>
          <w:szCs w:val="24"/>
        </w:rPr>
        <w:t xml:space="preserve">Recent scholarship increasingly recognizes the Blue Economy as a transformative framework for promoting sustainable economic growth and inclusive development in coastal and marine regions. While global literature emphasizes the potential of ocean-based sectors to generate employment, enhance food security, and support environmental sustainability, African coastal economies face distinctive institutional and governance challenges that shape the realization of these opportunities (World Bank, 2017; </w:t>
      </w:r>
      <w:proofErr w:type="spellStart"/>
      <w:r w:rsidRPr="0021051A">
        <w:rPr>
          <w:rFonts w:ascii="Times New Roman" w:hAnsi="Times New Roman" w:cs="Times New Roman"/>
          <w:sz w:val="24"/>
          <w:szCs w:val="24"/>
        </w:rPr>
        <w:t>Béné</w:t>
      </w:r>
      <w:proofErr w:type="spellEnd"/>
      <w:r w:rsidRPr="0021051A">
        <w:rPr>
          <w:rFonts w:ascii="Times New Roman" w:hAnsi="Times New Roman" w:cs="Times New Roman"/>
          <w:sz w:val="24"/>
          <w:szCs w:val="24"/>
        </w:rPr>
        <w:t xml:space="preserve"> et al., 2016). Empirical analyses suggest that fragmented policy coordination, limited institutional capacity, and unequal access to marine resources continue to constrain the effective implementation of Blue Economy initiatives across the continent (March et al., 2021; Bennett et al., 2019). Regional strategic frameworks, such as the </w:t>
      </w:r>
      <w:r w:rsidRPr="0021051A">
        <w:rPr>
          <w:rFonts w:ascii="Times New Roman" w:hAnsi="Times New Roman" w:cs="Times New Roman"/>
          <w:bCs/>
          <w:sz w:val="24"/>
          <w:szCs w:val="24"/>
        </w:rPr>
        <w:t>Africa Blue Economy Strategy</w:t>
      </w:r>
      <w:r w:rsidRPr="0021051A">
        <w:rPr>
          <w:rFonts w:ascii="Times New Roman" w:hAnsi="Times New Roman" w:cs="Times New Roman"/>
          <w:sz w:val="24"/>
          <w:szCs w:val="24"/>
        </w:rPr>
        <w:t>, further highlight the importance of integrating community participation, local entrepreneurship development, and cross-sectoral governance mechanisms to unlock the full socio-economic potential of marine and coastal resources (AU-IBAR, 2019). In addition, studies focusing on small-scale fisheries and coastal livelihoods underscore the central role of local institutions and collective action in enhancing resilience and sustainable resource use (FAO, 2018). These insights reinforce the argument that understanding the social and institutional drivers of entrepreneurial performance is critical for advancing inclusive Blue Economy development in African contexts. Consequently, examining how community engagement influences the performance of Blue-economy enterprises at localized levels contributes to both theoretical debates and policy-oriented research on sustainable coastal development.</w:t>
      </w:r>
    </w:p>
    <w:p w:rsidR="008436A1" w:rsidRPr="008436A1" w:rsidRDefault="008436A1" w:rsidP="008436A1">
      <w:pPr>
        <w:jc w:val="both"/>
        <w:rPr>
          <w:rFonts w:ascii="Times New Roman" w:hAnsi="Times New Roman" w:cs="Times New Roman"/>
          <w:b/>
          <w:bCs/>
          <w:sz w:val="24"/>
          <w:szCs w:val="24"/>
        </w:rPr>
      </w:pPr>
      <w:r w:rsidRPr="008436A1">
        <w:rPr>
          <w:rFonts w:ascii="Times New Roman" w:hAnsi="Times New Roman" w:cs="Times New Roman"/>
          <w:b/>
          <w:bCs/>
          <w:sz w:val="24"/>
          <w:szCs w:val="24"/>
        </w:rPr>
        <w:lastRenderedPageBreak/>
        <w:t>Blue-Entrepreneurship Performance</w:t>
      </w:r>
    </w:p>
    <w:p w:rsidR="00A11354" w:rsidRPr="00A11354" w:rsidRDefault="00A11354" w:rsidP="00A11354">
      <w:pPr>
        <w:jc w:val="both"/>
        <w:rPr>
          <w:rFonts w:ascii="Times New Roman" w:hAnsi="Times New Roman" w:cs="Times New Roman"/>
          <w:bCs/>
          <w:sz w:val="24"/>
          <w:szCs w:val="24"/>
        </w:rPr>
      </w:pPr>
      <w:r w:rsidRPr="00A11354">
        <w:rPr>
          <w:rFonts w:ascii="Times New Roman" w:hAnsi="Times New Roman" w:cs="Times New Roman"/>
          <w:bCs/>
          <w:sz w:val="24"/>
          <w:szCs w:val="24"/>
        </w:rPr>
        <w:t>Blue-entrepreneurship performance is how well businesses in the Blue Economy do when they use coastal and marine resources to get good economic, organizational, and sustainability results. The Blue Economy includes economic activities that take place in oceans, seas, and coastal areas in ways that are good for the environment and for people (World Bank, 2017). Conventional measures of entrepreneurial performance often only look at financial indicators like profit or sales growth. In contrast, Blue-entrepreneurship performance is inherently multidimensional because it shows how closely economic activities and marine ecosystems are linked (</w:t>
      </w:r>
      <w:proofErr w:type="spellStart"/>
      <w:r w:rsidRPr="00A11354">
        <w:rPr>
          <w:rFonts w:ascii="Times New Roman" w:hAnsi="Times New Roman" w:cs="Times New Roman"/>
          <w:bCs/>
          <w:sz w:val="24"/>
          <w:szCs w:val="24"/>
        </w:rPr>
        <w:t>Béné</w:t>
      </w:r>
      <w:proofErr w:type="spellEnd"/>
      <w:r w:rsidRPr="00A11354">
        <w:rPr>
          <w:rFonts w:ascii="Times New Roman" w:hAnsi="Times New Roman" w:cs="Times New Roman"/>
          <w:bCs/>
          <w:sz w:val="24"/>
          <w:szCs w:val="24"/>
        </w:rPr>
        <w:t xml:space="preserve"> et al., 2016). Performance encompasses not only economic growth and business continuity but also the capacity of enterprises to implement sustainable practices that safeguard the resource base upo</w:t>
      </w:r>
      <w:r>
        <w:rPr>
          <w:rFonts w:ascii="Times New Roman" w:hAnsi="Times New Roman" w:cs="Times New Roman"/>
          <w:bCs/>
          <w:sz w:val="24"/>
          <w:szCs w:val="24"/>
        </w:rPr>
        <w:t>n which they rely (UNDP, 2024).</w:t>
      </w:r>
    </w:p>
    <w:p w:rsidR="00782DFF" w:rsidRDefault="00A11354" w:rsidP="008436A1">
      <w:pPr>
        <w:jc w:val="both"/>
        <w:rPr>
          <w:rFonts w:ascii="Times New Roman" w:hAnsi="Times New Roman" w:cs="Times New Roman"/>
          <w:bCs/>
          <w:sz w:val="24"/>
          <w:szCs w:val="24"/>
        </w:rPr>
      </w:pPr>
      <w:r w:rsidRPr="00A11354">
        <w:rPr>
          <w:rFonts w:ascii="Times New Roman" w:hAnsi="Times New Roman" w:cs="Times New Roman"/>
          <w:bCs/>
          <w:sz w:val="24"/>
          <w:szCs w:val="24"/>
        </w:rPr>
        <w:t>This study defines blue entrepreneurship performance through four interconnected dimensions: income growth, which tracks changes in business profits over time; enterprise survival, which shows how stable and resilient a business is; enterprise diversification, which shows how a business is expanding into new products or services; and adoption of sustainable practices, which shows how environmentally responsible behaviors help protect resources in the long term (World Bank, 2023; IUCN, 2023). In theory, Blue-entrepreneurship performance measures not only how well individual businesses do economically, but also how they help coastal development that is both inclusive and long-lasting within the larger Blue Economy framework.</w:t>
      </w:r>
    </w:p>
    <w:p w:rsidR="004A4172" w:rsidRPr="004A4172" w:rsidRDefault="00935690" w:rsidP="004A4172">
      <w:pPr>
        <w:jc w:val="both"/>
        <w:rPr>
          <w:rFonts w:ascii="Times New Roman" w:hAnsi="Times New Roman" w:cs="Times New Roman"/>
          <w:b/>
          <w:sz w:val="24"/>
          <w:szCs w:val="24"/>
        </w:rPr>
      </w:pPr>
      <w:r>
        <w:rPr>
          <w:rFonts w:ascii="Times New Roman" w:hAnsi="Times New Roman" w:cs="Times New Roman"/>
          <w:b/>
          <w:sz w:val="24"/>
          <w:szCs w:val="24"/>
        </w:rPr>
        <w:t>2.2</w:t>
      </w:r>
      <w:r w:rsidR="004A4172" w:rsidRPr="004A4172">
        <w:rPr>
          <w:rFonts w:ascii="Times New Roman" w:hAnsi="Times New Roman" w:cs="Times New Roman"/>
          <w:b/>
          <w:sz w:val="24"/>
          <w:szCs w:val="24"/>
        </w:rPr>
        <w:t xml:space="preserve"> Theoretical Foundations</w:t>
      </w:r>
    </w:p>
    <w:p w:rsidR="004A4172" w:rsidRPr="004A4172" w:rsidRDefault="00935690" w:rsidP="004A4172">
      <w:pPr>
        <w:jc w:val="both"/>
        <w:rPr>
          <w:rFonts w:ascii="Times New Roman" w:hAnsi="Times New Roman" w:cs="Times New Roman"/>
          <w:b/>
          <w:sz w:val="24"/>
          <w:szCs w:val="24"/>
        </w:rPr>
      </w:pPr>
      <w:r>
        <w:rPr>
          <w:rFonts w:ascii="Times New Roman" w:hAnsi="Times New Roman" w:cs="Times New Roman"/>
          <w:b/>
          <w:sz w:val="24"/>
          <w:szCs w:val="24"/>
        </w:rPr>
        <w:t>2.2</w:t>
      </w:r>
      <w:r w:rsidR="004A4172" w:rsidRPr="004A4172">
        <w:rPr>
          <w:rFonts w:ascii="Times New Roman" w:hAnsi="Times New Roman" w:cs="Times New Roman"/>
          <w:b/>
          <w:sz w:val="24"/>
          <w:szCs w:val="24"/>
        </w:rPr>
        <w:t xml:space="preserve">.1 Social Capital </w:t>
      </w:r>
      <w:r w:rsidR="004A4172">
        <w:rPr>
          <w:rFonts w:ascii="Times New Roman" w:hAnsi="Times New Roman" w:cs="Times New Roman"/>
          <w:b/>
          <w:sz w:val="24"/>
          <w:szCs w:val="24"/>
        </w:rPr>
        <w:t>Theory and Community Engagement</w:t>
      </w:r>
    </w:p>
    <w:p w:rsidR="00A11354" w:rsidRDefault="00A11354" w:rsidP="00782DFF">
      <w:pPr>
        <w:jc w:val="both"/>
        <w:rPr>
          <w:rFonts w:ascii="Times New Roman" w:hAnsi="Times New Roman" w:cs="Times New Roman"/>
          <w:sz w:val="24"/>
          <w:szCs w:val="24"/>
        </w:rPr>
      </w:pPr>
      <w:r w:rsidRPr="00A11354">
        <w:rPr>
          <w:rFonts w:ascii="Times New Roman" w:hAnsi="Times New Roman" w:cs="Times New Roman"/>
          <w:sz w:val="24"/>
          <w:szCs w:val="24"/>
        </w:rPr>
        <w:t>Social capital theory serves as a fundamental analytical framework for examining the impact of community engagement on entrepreneurial performance. Social capital encompasses the networks, norms, trust, and shared values that enable coordination and collaboration for collective advantage within a social system (Putnam, 1993). In the realm of entrepreneurship, social capital facilitates access to information, financial resources, markets, and informal support systems, especially for small enterprises facing resource limitations (</w:t>
      </w:r>
      <w:proofErr w:type="spellStart"/>
      <w:r w:rsidRPr="00A11354">
        <w:rPr>
          <w:rFonts w:ascii="Times New Roman" w:hAnsi="Times New Roman" w:cs="Times New Roman"/>
          <w:sz w:val="24"/>
          <w:szCs w:val="24"/>
        </w:rPr>
        <w:t>Nahapiet</w:t>
      </w:r>
      <w:proofErr w:type="spellEnd"/>
      <w:r w:rsidRPr="00A11354">
        <w:rPr>
          <w:rFonts w:ascii="Times New Roman" w:hAnsi="Times New Roman" w:cs="Times New Roman"/>
          <w:sz w:val="24"/>
          <w:szCs w:val="24"/>
        </w:rPr>
        <w:t xml:space="preserve"> &amp; Ghoshal, 1998). Social capital is very important for blue-economy entrepreneurship because marine and coastal resources are used by many people at once. Participating in local institutions, cooperatives, savings groups, and collective decision-making builds bonding and bridging social capital, which can lower transaction costs, make it easier to share risks, and encourage people to work together to invest in pr</w:t>
      </w:r>
      <w:r>
        <w:rPr>
          <w:rFonts w:ascii="Times New Roman" w:hAnsi="Times New Roman" w:cs="Times New Roman"/>
          <w:sz w:val="24"/>
          <w:szCs w:val="24"/>
        </w:rPr>
        <w:t xml:space="preserve">oductive and long-lasting ways. </w:t>
      </w:r>
      <w:r w:rsidRPr="00A11354">
        <w:rPr>
          <w:rFonts w:ascii="Times New Roman" w:hAnsi="Times New Roman" w:cs="Times New Roman"/>
          <w:sz w:val="24"/>
          <w:szCs w:val="24"/>
        </w:rPr>
        <w:t>From this point of view, community engagement is not just an ideal way to get people involved; it is also a way to create and use social capital to improve business performance. Entrepreneurs who are part of active communities are more likely to get informal credit, business knowledge, and group market opportunities. This can help them make more m</w:t>
      </w:r>
      <w:r>
        <w:rPr>
          <w:rFonts w:ascii="Times New Roman" w:hAnsi="Times New Roman" w:cs="Times New Roman"/>
          <w:sz w:val="24"/>
          <w:szCs w:val="24"/>
        </w:rPr>
        <w:t>oney and grow their businesses.</w:t>
      </w:r>
    </w:p>
    <w:p w:rsidR="004A4172" w:rsidRPr="004A4172" w:rsidRDefault="00935690" w:rsidP="004A4172">
      <w:pPr>
        <w:jc w:val="both"/>
        <w:rPr>
          <w:rFonts w:ascii="Times New Roman" w:hAnsi="Times New Roman" w:cs="Times New Roman"/>
          <w:b/>
          <w:sz w:val="24"/>
          <w:szCs w:val="24"/>
        </w:rPr>
      </w:pPr>
      <w:r>
        <w:rPr>
          <w:rFonts w:ascii="Times New Roman" w:hAnsi="Times New Roman" w:cs="Times New Roman"/>
          <w:b/>
          <w:sz w:val="24"/>
          <w:szCs w:val="24"/>
        </w:rPr>
        <w:t>2.2</w:t>
      </w:r>
      <w:r w:rsidR="004A4172" w:rsidRPr="004A4172">
        <w:rPr>
          <w:rFonts w:ascii="Times New Roman" w:hAnsi="Times New Roman" w:cs="Times New Roman"/>
          <w:b/>
          <w:sz w:val="24"/>
          <w:szCs w:val="24"/>
        </w:rPr>
        <w:t>.2 Participatory Governance and Community-Based Management</w:t>
      </w:r>
    </w:p>
    <w:p w:rsidR="00A11354" w:rsidRDefault="00A11354" w:rsidP="00DD50C7">
      <w:pPr>
        <w:jc w:val="both"/>
        <w:rPr>
          <w:rFonts w:ascii="Times New Roman" w:hAnsi="Times New Roman" w:cs="Times New Roman"/>
          <w:sz w:val="24"/>
          <w:szCs w:val="24"/>
        </w:rPr>
      </w:pPr>
      <w:r w:rsidRPr="00A11354">
        <w:rPr>
          <w:rFonts w:ascii="Times New Roman" w:hAnsi="Times New Roman" w:cs="Times New Roman"/>
          <w:sz w:val="24"/>
          <w:szCs w:val="24"/>
        </w:rPr>
        <w:lastRenderedPageBreak/>
        <w:t>Participatory governance theory stresses that people who live in an area should have a say in decisions about resource management and development planning. In coastal and marine settings, participatory governance is implemented via community-based natural resource management (CBNRM) and co-management frameworks, wherein authority and responsibility are distributed between communities and state institutions (Pretty, 2003). Participatory governance is especially important for the Blue Economy because it connects local economic incentives with environmental sustainability. When communities help make rules, keep an eye on how resources are used, and settle disagreements, people are more likely to follow sustainable practices. This cuts down on resource degradation and makes the economy more stable in the long run (</w:t>
      </w:r>
      <w:proofErr w:type="spellStart"/>
      <w:r w:rsidRPr="00A11354">
        <w:rPr>
          <w:rFonts w:ascii="Times New Roman" w:hAnsi="Times New Roman" w:cs="Times New Roman"/>
          <w:sz w:val="24"/>
          <w:szCs w:val="24"/>
        </w:rPr>
        <w:t>Béné</w:t>
      </w:r>
      <w:proofErr w:type="spellEnd"/>
      <w:r w:rsidRPr="00A11354">
        <w:rPr>
          <w:rFonts w:ascii="Times New Roman" w:hAnsi="Times New Roman" w:cs="Times New Roman"/>
          <w:sz w:val="24"/>
          <w:szCs w:val="24"/>
        </w:rPr>
        <w:t xml:space="preserve"> et al., 2016). For Blue entrepreneurs, participatory governance can determine access to fishing grounds, aquaculture sites, tourism resources, and regulatory assistance, thereby directly </w:t>
      </w:r>
      <w:r>
        <w:rPr>
          <w:rFonts w:ascii="Times New Roman" w:hAnsi="Times New Roman" w:cs="Times New Roman"/>
          <w:sz w:val="24"/>
          <w:szCs w:val="24"/>
        </w:rPr>
        <w:t xml:space="preserve">affecting business performance. </w:t>
      </w:r>
      <w:r w:rsidRPr="00A11354">
        <w:rPr>
          <w:rFonts w:ascii="Times New Roman" w:hAnsi="Times New Roman" w:cs="Times New Roman"/>
          <w:sz w:val="24"/>
          <w:szCs w:val="24"/>
        </w:rPr>
        <w:t>The amalgamation of social capital theory and participatory governance indicates that community engagement influences Blue entrepreneurship performance via social mechanisms (trust, networks, cooperation) and institutional mechanisms (rules, access, legitimacy). This comprehensive theoretical framework supports the current research.</w:t>
      </w:r>
    </w:p>
    <w:p w:rsidR="004A4172" w:rsidRPr="004A4172" w:rsidRDefault="00935690" w:rsidP="004A4172">
      <w:pPr>
        <w:jc w:val="both"/>
        <w:rPr>
          <w:rFonts w:ascii="Times New Roman" w:hAnsi="Times New Roman" w:cs="Times New Roman"/>
          <w:b/>
          <w:bCs/>
          <w:sz w:val="24"/>
          <w:szCs w:val="24"/>
        </w:rPr>
      </w:pPr>
      <w:r>
        <w:rPr>
          <w:rFonts w:ascii="Times New Roman" w:hAnsi="Times New Roman" w:cs="Times New Roman"/>
          <w:b/>
          <w:bCs/>
          <w:sz w:val="24"/>
          <w:szCs w:val="24"/>
        </w:rPr>
        <w:t>2.3</w:t>
      </w:r>
      <w:r w:rsidR="004A4172" w:rsidRPr="004A4172">
        <w:rPr>
          <w:rFonts w:ascii="Times New Roman" w:hAnsi="Times New Roman" w:cs="Times New Roman"/>
          <w:b/>
          <w:bCs/>
          <w:sz w:val="24"/>
          <w:szCs w:val="24"/>
        </w:rPr>
        <w:t xml:space="preserve"> Empirical Evidence on Community Engagement and Entrepreneurial Performance</w:t>
      </w:r>
    </w:p>
    <w:p w:rsidR="004A4172" w:rsidRPr="004A4172" w:rsidRDefault="00935690" w:rsidP="004A4172">
      <w:pPr>
        <w:jc w:val="both"/>
        <w:rPr>
          <w:rFonts w:ascii="Times New Roman" w:hAnsi="Times New Roman" w:cs="Times New Roman"/>
          <w:b/>
          <w:bCs/>
          <w:sz w:val="24"/>
          <w:szCs w:val="24"/>
        </w:rPr>
      </w:pPr>
      <w:r>
        <w:rPr>
          <w:rFonts w:ascii="Times New Roman" w:hAnsi="Times New Roman" w:cs="Times New Roman"/>
          <w:b/>
          <w:bCs/>
          <w:sz w:val="24"/>
          <w:szCs w:val="24"/>
        </w:rPr>
        <w:t>2.3</w:t>
      </w:r>
      <w:r w:rsidR="004A4172" w:rsidRPr="004A4172">
        <w:rPr>
          <w:rFonts w:ascii="Times New Roman" w:hAnsi="Times New Roman" w:cs="Times New Roman"/>
          <w:b/>
          <w:bCs/>
          <w:sz w:val="24"/>
          <w:szCs w:val="24"/>
        </w:rPr>
        <w:t>.1 Community Engagement and Small-Scale Entrepreneurship</w:t>
      </w:r>
    </w:p>
    <w:p w:rsidR="00DD50C7" w:rsidRDefault="00A11354" w:rsidP="004A4172">
      <w:pPr>
        <w:jc w:val="both"/>
        <w:rPr>
          <w:rFonts w:ascii="Times New Roman" w:hAnsi="Times New Roman" w:cs="Times New Roman"/>
          <w:sz w:val="24"/>
          <w:szCs w:val="24"/>
        </w:rPr>
      </w:pPr>
      <w:r w:rsidRPr="00A11354">
        <w:rPr>
          <w:rFonts w:ascii="Times New Roman" w:hAnsi="Times New Roman" w:cs="Times New Roman"/>
          <w:sz w:val="24"/>
          <w:szCs w:val="24"/>
        </w:rPr>
        <w:t>Empirical research in developing economies consistently demonstrates a positive correlation between community engagement and the performance of small enterprises. Joining community groups and savings groups has been linked to better access to money, better risk-sharing, and stronger businesses (</w:t>
      </w:r>
      <w:proofErr w:type="spellStart"/>
      <w:r w:rsidRPr="00A11354">
        <w:rPr>
          <w:rFonts w:ascii="Times New Roman" w:hAnsi="Times New Roman" w:cs="Times New Roman"/>
          <w:sz w:val="24"/>
          <w:szCs w:val="24"/>
        </w:rPr>
        <w:t>Karlan</w:t>
      </w:r>
      <w:proofErr w:type="spellEnd"/>
      <w:r w:rsidRPr="00A11354">
        <w:rPr>
          <w:rFonts w:ascii="Times New Roman" w:hAnsi="Times New Roman" w:cs="Times New Roman"/>
          <w:sz w:val="24"/>
          <w:szCs w:val="24"/>
        </w:rPr>
        <w:t xml:space="preserve"> et al., 2014). Knowledge-sharing networks in communities’ help micro-entrepreneurs learn more, come up with new ideas, and work more efficiently. But these benefits don't always happen; they depend on things like how well people participate, how open local institutions are, and the bigger picture of </w:t>
      </w:r>
      <w:proofErr w:type="gramStart"/>
      <w:r w:rsidRPr="00A11354">
        <w:rPr>
          <w:rFonts w:ascii="Times New Roman" w:hAnsi="Times New Roman" w:cs="Times New Roman"/>
          <w:sz w:val="24"/>
          <w:szCs w:val="24"/>
        </w:rPr>
        <w:t>governance.</w:t>
      </w:r>
      <w:r w:rsidR="00DD50C7">
        <w:rPr>
          <w:rFonts w:ascii="Times New Roman" w:hAnsi="Times New Roman" w:cs="Times New Roman"/>
          <w:sz w:val="24"/>
          <w:szCs w:val="24"/>
        </w:rPr>
        <w:t>.</w:t>
      </w:r>
      <w:proofErr w:type="gramEnd"/>
    </w:p>
    <w:p w:rsidR="004A4172" w:rsidRPr="004A4172" w:rsidRDefault="00935690" w:rsidP="004A4172">
      <w:pPr>
        <w:jc w:val="both"/>
        <w:rPr>
          <w:rFonts w:ascii="Times New Roman" w:hAnsi="Times New Roman" w:cs="Times New Roman"/>
          <w:b/>
          <w:bCs/>
          <w:sz w:val="24"/>
          <w:szCs w:val="24"/>
        </w:rPr>
      </w:pPr>
      <w:r>
        <w:rPr>
          <w:rFonts w:ascii="Times New Roman" w:hAnsi="Times New Roman" w:cs="Times New Roman"/>
          <w:b/>
          <w:bCs/>
          <w:sz w:val="24"/>
          <w:szCs w:val="24"/>
        </w:rPr>
        <w:t>2.3</w:t>
      </w:r>
      <w:r w:rsidR="004A4172" w:rsidRPr="004A4172">
        <w:rPr>
          <w:rFonts w:ascii="Times New Roman" w:hAnsi="Times New Roman" w:cs="Times New Roman"/>
          <w:b/>
          <w:bCs/>
          <w:sz w:val="24"/>
          <w:szCs w:val="24"/>
        </w:rPr>
        <w:t>.2 Community Engagement and the Blue Economy</w:t>
      </w:r>
    </w:p>
    <w:p w:rsidR="00A11354" w:rsidRDefault="00A11354" w:rsidP="00DD50C7">
      <w:pPr>
        <w:jc w:val="both"/>
        <w:rPr>
          <w:rFonts w:ascii="Times New Roman" w:hAnsi="Times New Roman" w:cs="Times New Roman"/>
          <w:sz w:val="24"/>
          <w:szCs w:val="24"/>
        </w:rPr>
      </w:pPr>
      <w:r w:rsidRPr="00A11354">
        <w:rPr>
          <w:rFonts w:ascii="Times New Roman" w:hAnsi="Times New Roman" w:cs="Times New Roman"/>
          <w:sz w:val="24"/>
          <w:szCs w:val="24"/>
        </w:rPr>
        <w:t>In the literature on the Blue Economy, community involvement is widely seen as an important factor for the success of long-term fishing, aquaculture, and coastal tourism. Research indicates that community-based strategies enhance resource management, mitigate conflict, and amplify local economic advantages, especially when integrated with capacity building and market assistance (</w:t>
      </w:r>
      <w:proofErr w:type="spellStart"/>
      <w:r w:rsidRPr="00A11354">
        <w:rPr>
          <w:rFonts w:ascii="Times New Roman" w:hAnsi="Times New Roman" w:cs="Times New Roman"/>
          <w:sz w:val="24"/>
          <w:szCs w:val="24"/>
        </w:rPr>
        <w:t>Béné</w:t>
      </w:r>
      <w:proofErr w:type="spellEnd"/>
      <w:r w:rsidRPr="00A11354">
        <w:rPr>
          <w:rFonts w:ascii="Times New Roman" w:hAnsi="Times New Roman" w:cs="Times New Roman"/>
          <w:sz w:val="24"/>
          <w:szCs w:val="24"/>
        </w:rPr>
        <w:t xml:space="preserve"> et al., 2016). Despite this, a lot of this research focuses on environmental and governance outcomes and not so much on direct measures of entrepreneurial performance like income growth, business survival, and diversification.</w:t>
      </w:r>
    </w:p>
    <w:p w:rsidR="004A4172" w:rsidRPr="004A4172" w:rsidRDefault="00935690" w:rsidP="004A4172">
      <w:pPr>
        <w:jc w:val="both"/>
        <w:rPr>
          <w:rFonts w:ascii="Times New Roman" w:hAnsi="Times New Roman" w:cs="Times New Roman"/>
          <w:b/>
          <w:bCs/>
          <w:sz w:val="24"/>
          <w:szCs w:val="24"/>
        </w:rPr>
      </w:pPr>
      <w:r>
        <w:rPr>
          <w:rFonts w:ascii="Times New Roman" w:hAnsi="Times New Roman" w:cs="Times New Roman"/>
          <w:b/>
          <w:bCs/>
          <w:sz w:val="24"/>
          <w:szCs w:val="24"/>
        </w:rPr>
        <w:t>2.3</w:t>
      </w:r>
      <w:r w:rsidR="004A4172" w:rsidRPr="004A4172">
        <w:rPr>
          <w:rFonts w:ascii="Times New Roman" w:hAnsi="Times New Roman" w:cs="Times New Roman"/>
          <w:b/>
          <w:bCs/>
          <w:sz w:val="24"/>
          <w:szCs w:val="24"/>
        </w:rPr>
        <w:t>.3 Empirical Evidence from Tanzania</w:t>
      </w:r>
    </w:p>
    <w:p w:rsidR="00A11354" w:rsidRPr="00A11354" w:rsidRDefault="00A11354" w:rsidP="00A11354">
      <w:pPr>
        <w:jc w:val="both"/>
        <w:rPr>
          <w:rFonts w:ascii="Times New Roman" w:hAnsi="Times New Roman" w:cs="Times New Roman"/>
          <w:sz w:val="24"/>
          <w:szCs w:val="24"/>
        </w:rPr>
      </w:pPr>
      <w:r w:rsidRPr="00A11354">
        <w:rPr>
          <w:rFonts w:ascii="Times New Roman" w:hAnsi="Times New Roman" w:cs="Times New Roman"/>
          <w:sz w:val="24"/>
          <w:szCs w:val="24"/>
        </w:rPr>
        <w:t xml:space="preserve">Development programs are putting more emphasis on getting people involved in Blue Economy projects. This is to improve financial inclusion, skills development, and working together (UNDP, 2024; World Bank, 2023). Evidence indicates that involvement in savings groups </w:t>
      </w:r>
      <w:r w:rsidRPr="00A11354">
        <w:rPr>
          <w:rFonts w:ascii="Times New Roman" w:hAnsi="Times New Roman" w:cs="Times New Roman"/>
          <w:sz w:val="24"/>
          <w:szCs w:val="24"/>
        </w:rPr>
        <w:lastRenderedPageBreak/>
        <w:t>enhances access to working capital and mitigates susceptibility to income fluctuations, whereas cooperative membership fortifies bargaining power and market access</w:t>
      </w:r>
      <w:r>
        <w:rPr>
          <w:rFonts w:ascii="Times New Roman" w:hAnsi="Times New Roman" w:cs="Times New Roman"/>
          <w:sz w:val="24"/>
          <w:szCs w:val="24"/>
        </w:rPr>
        <w:t xml:space="preserve">ibility. </w:t>
      </w:r>
    </w:p>
    <w:p w:rsidR="00A11354" w:rsidRDefault="00A11354" w:rsidP="00DD50C7">
      <w:pPr>
        <w:jc w:val="both"/>
        <w:rPr>
          <w:rFonts w:ascii="Times New Roman" w:hAnsi="Times New Roman" w:cs="Times New Roman"/>
          <w:sz w:val="24"/>
          <w:szCs w:val="24"/>
        </w:rPr>
      </w:pPr>
      <w:r w:rsidRPr="00A11354">
        <w:rPr>
          <w:rFonts w:ascii="Times New Roman" w:hAnsi="Times New Roman" w:cs="Times New Roman"/>
          <w:sz w:val="24"/>
          <w:szCs w:val="24"/>
        </w:rPr>
        <w:t>Evidence indicates that involvement in savings groups enhances access to working capital and mitigates susceptibility to income fluctuations, whereas cooperative membership fortifies bargaining power and market accessibility. Community engagement has been linked to better adherence to sustainable resource-use practices, especially in fisheries and seaweed farming. Nevertheless, current research is predominantly descriptive or project-oriented, seldom utilizing robust quantitative methodologies to examine the correlation between community engagement and enterprise performance. Additionally, there is an absence of comparative, district-level studies that investigate the variability of community engagement effectiveness across diverse coastal contexts, such as semi-rural versus urban districts. This gap is especially important in Tanzania, where coastal districts have very different levels of access to markets, governance capacity, and institutional density.</w:t>
      </w:r>
    </w:p>
    <w:p w:rsidR="004A4172" w:rsidRPr="004A4172" w:rsidRDefault="00935690" w:rsidP="004A4172">
      <w:pPr>
        <w:jc w:val="both"/>
        <w:rPr>
          <w:rFonts w:ascii="Times New Roman" w:hAnsi="Times New Roman" w:cs="Times New Roman"/>
          <w:b/>
          <w:bCs/>
          <w:sz w:val="24"/>
          <w:szCs w:val="24"/>
        </w:rPr>
      </w:pPr>
      <w:r>
        <w:rPr>
          <w:rFonts w:ascii="Times New Roman" w:hAnsi="Times New Roman" w:cs="Times New Roman"/>
          <w:b/>
          <w:bCs/>
          <w:sz w:val="24"/>
          <w:szCs w:val="24"/>
        </w:rPr>
        <w:t>2.4</w:t>
      </w:r>
      <w:r w:rsidR="004A4172" w:rsidRPr="004A4172">
        <w:rPr>
          <w:rFonts w:ascii="Times New Roman" w:hAnsi="Times New Roman" w:cs="Times New Roman"/>
          <w:b/>
          <w:bCs/>
          <w:sz w:val="24"/>
          <w:szCs w:val="24"/>
        </w:rPr>
        <w:t xml:space="preserve"> Research Gap and Hypothesis Development</w:t>
      </w:r>
    </w:p>
    <w:p w:rsidR="00A11354" w:rsidRPr="00A11354" w:rsidRDefault="00A11354" w:rsidP="00A11354">
      <w:pPr>
        <w:jc w:val="both"/>
        <w:rPr>
          <w:rFonts w:ascii="Times New Roman" w:hAnsi="Times New Roman" w:cs="Times New Roman"/>
          <w:sz w:val="24"/>
          <w:szCs w:val="24"/>
        </w:rPr>
      </w:pPr>
      <w:r w:rsidRPr="00A11354">
        <w:rPr>
          <w:rFonts w:ascii="Times New Roman" w:hAnsi="Times New Roman" w:cs="Times New Roman"/>
          <w:sz w:val="24"/>
          <w:szCs w:val="24"/>
        </w:rPr>
        <w:t>While the current literature offers robust theoretical frameworks and preliminary empirical evidence connecting community engagement to entrepreneurial outcomes, notable gaps persist. First, there is a scarcity of empirical research that quantitatively evaluates the influence of community engagement on Blue-economy entrepreneurship performance through distinct and quantifiable indicators. Second, the comparative efficacy of various engagement mechanisms, including participatory decision-making, community savings groups, and knowledge-sharing networks, is insufficiently examined. Third, there are few studies that use a comparative district-level approach to look at differences in context within a single national setting, like Tanzania.</w:t>
      </w:r>
    </w:p>
    <w:p w:rsidR="00A11354" w:rsidRDefault="00A11354" w:rsidP="004A4172">
      <w:pPr>
        <w:jc w:val="both"/>
        <w:rPr>
          <w:rFonts w:ascii="Times New Roman" w:hAnsi="Times New Roman" w:cs="Times New Roman"/>
          <w:sz w:val="24"/>
          <w:szCs w:val="24"/>
        </w:rPr>
      </w:pPr>
      <w:r w:rsidRPr="00A11354">
        <w:rPr>
          <w:rFonts w:ascii="Times New Roman" w:hAnsi="Times New Roman" w:cs="Times New Roman"/>
          <w:sz w:val="24"/>
          <w:szCs w:val="24"/>
        </w:rPr>
        <w:t>To fill these gaps, this study looks at the link between community involvement and the success of Blue-entrepreneurship through a case study of Bagamoyo District and Kinondoni District. Based on theories of social capital and participatory governance, the study proposes the following hypotheses:</w:t>
      </w:r>
    </w:p>
    <w:p w:rsidR="004A4172" w:rsidRPr="008436A1" w:rsidRDefault="004A4172" w:rsidP="008436A1">
      <w:pPr>
        <w:pStyle w:val="ListParagraph"/>
        <w:numPr>
          <w:ilvl w:val="0"/>
          <w:numId w:val="4"/>
        </w:numPr>
        <w:jc w:val="both"/>
        <w:rPr>
          <w:rFonts w:ascii="Times New Roman" w:hAnsi="Times New Roman" w:cs="Times New Roman"/>
          <w:sz w:val="24"/>
          <w:szCs w:val="24"/>
        </w:rPr>
      </w:pPr>
      <w:r w:rsidRPr="008436A1">
        <w:rPr>
          <w:rFonts w:ascii="Times New Roman" w:hAnsi="Times New Roman" w:cs="Times New Roman"/>
          <w:b/>
          <w:bCs/>
          <w:sz w:val="24"/>
          <w:szCs w:val="24"/>
        </w:rPr>
        <w:t>H1:</w:t>
      </w:r>
      <w:r w:rsidRPr="008436A1">
        <w:rPr>
          <w:rFonts w:ascii="Times New Roman" w:hAnsi="Times New Roman" w:cs="Times New Roman"/>
          <w:sz w:val="24"/>
          <w:szCs w:val="24"/>
        </w:rPr>
        <w:t xml:space="preserve"> Community engagement has a positive and significant effect on the performance of Blue-economy enterprises.</w:t>
      </w:r>
    </w:p>
    <w:p w:rsidR="004A4172" w:rsidRPr="008436A1" w:rsidRDefault="004A4172" w:rsidP="008436A1">
      <w:pPr>
        <w:pStyle w:val="ListParagraph"/>
        <w:numPr>
          <w:ilvl w:val="0"/>
          <w:numId w:val="4"/>
        </w:numPr>
        <w:jc w:val="both"/>
        <w:rPr>
          <w:rFonts w:ascii="Times New Roman" w:hAnsi="Times New Roman" w:cs="Times New Roman"/>
          <w:sz w:val="24"/>
          <w:szCs w:val="24"/>
        </w:rPr>
      </w:pPr>
      <w:r w:rsidRPr="008436A1">
        <w:rPr>
          <w:rFonts w:ascii="Times New Roman" w:hAnsi="Times New Roman" w:cs="Times New Roman"/>
          <w:b/>
          <w:bCs/>
          <w:sz w:val="24"/>
          <w:szCs w:val="24"/>
        </w:rPr>
        <w:t>H2:</w:t>
      </w:r>
      <w:r w:rsidRPr="008436A1">
        <w:rPr>
          <w:rFonts w:ascii="Times New Roman" w:hAnsi="Times New Roman" w:cs="Times New Roman"/>
          <w:sz w:val="24"/>
          <w:szCs w:val="24"/>
        </w:rPr>
        <w:t xml:space="preserve"> Participation in community savings and credit associations is positively associated with higher income growth and enterprise survival among Blue entrepreneurs.</w:t>
      </w:r>
    </w:p>
    <w:p w:rsidR="004A4172" w:rsidRPr="008436A1" w:rsidRDefault="004A4172" w:rsidP="008436A1">
      <w:pPr>
        <w:pStyle w:val="ListParagraph"/>
        <w:numPr>
          <w:ilvl w:val="0"/>
          <w:numId w:val="4"/>
        </w:numPr>
        <w:jc w:val="both"/>
        <w:rPr>
          <w:rFonts w:ascii="Times New Roman" w:hAnsi="Times New Roman" w:cs="Times New Roman"/>
          <w:sz w:val="24"/>
          <w:szCs w:val="24"/>
        </w:rPr>
      </w:pPr>
      <w:r w:rsidRPr="008436A1">
        <w:rPr>
          <w:rFonts w:ascii="Times New Roman" w:hAnsi="Times New Roman" w:cs="Times New Roman"/>
          <w:b/>
          <w:bCs/>
          <w:sz w:val="24"/>
          <w:szCs w:val="24"/>
        </w:rPr>
        <w:t>H3:</w:t>
      </w:r>
      <w:r w:rsidRPr="008436A1">
        <w:rPr>
          <w:rFonts w:ascii="Times New Roman" w:hAnsi="Times New Roman" w:cs="Times New Roman"/>
          <w:sz w:val="24"/>
          <w:szCs w:val="24"/>
        </w:rPr>
        <w:t xml:space="preserve"> Participation in local decision-making and knowledge-sharing networks positively influences enterprise diversification and adoption of sustainable practices.</w:t>
      </w:r>
    </w:p>
    <w:p w:rsidR="004A4172" w:rsidRPr="008436A1" w:rsidRDefault="004A4172" w:rsidP="008436A1">
      <w:pPr>
        <w:pStyle w:val="ListParagraph"/>
        <w:numPr>
          <w:ilvl w:val="0"/>
          <w:numId w:val="4"/>
        </w:numPr>
        <w:jc w:val="both"/>
        <w:rPr>
          <w:rFonts w:ascii="Times New Roman" w:hAnsi="Times New Roman" w:cs="Times New Roman"/>
          <w:sz w:val="24"/>
          <w:szCs w:val="24"/>
        </w:rPr>
      </w:pPr>
      <w:r w:rsidRPr="008436A1">
        <w:rPr>
          <w:rFonts w:ascii="Times New Roman" w:hAnsi="Times New Roman" w:cs="Times New Roman"/>
          <w:b/>
          <w:bCs/>
          <w:sz w:val="24"/>
          <w:szCs w:val="24"/>
        </w:rPr>
        <w:t>H4:</w:t>
      </w:r>
      <w:r w:rsidRPr="008436A1">
        <w:rPr>
          <w:rFonts w:ascii="Times New Roman" w:hAnsi="Times New Roman" w:cs="Times New Roman"/>
          <w:sz w:val="24"/>
          <w:szCs w:val="24"/>
        </w:rPr>
        <w:t xml:space="preserve"> The effect of community engagement on Blue-entrepreneurship performance differs between semi-rural and urban coastal districts.</w:t>
      </w:r>
    </w:p>
    <w:p w:rsidR="004264B3" w:rsidRDefault="00A11354" w:rsidP="004A4172">
      <w:pPr>
        <w:jc w:val="both"/>
        <w:rPr>
          <w:rFonts w:ascii="Times New Roman" w:hAnsi="Times New Roman" w:cs="Times New Roman"/>
          <w:sz w:val="24"/>
          <w:szCs w:val="24"/>
        </w:rPr>
      </w:pPr>
      <w:r w:rsidRPr="00A11354">
        <w:rPr>
          <w:rFonts w:ascii="Times New Roman" w:hAnsi="Times New Roman" w:cs="Times New Roman"/>
          <w:sz w:val="24"/>
          <w:szCs w:val="24"/>
        </w:rPr>
        <w:lastRenderedPageBreak/>
        <w:t>These hypotheses offer a structured framework for empirical validation and facilitate a systematic evaluation of the impact of community engagement on Blue-economy entrepreneurship performance across various coastal contexts in Tanzania.</w:t>
      </w:r>
    </w:p>
    <w:p w:rsidR="003143AE" w:rsidRPr="003143AE" w:rsidRDefault="003143AE" w:rsidP="003143AE">
      <w:pPr>
        <w:jc w:val="both"/>
        <w:rPr>
          <w:rFonts w:ascii="Times New Roman" w:hAnsi="Times New Roman" w:cs="Times New Roman"/>
          <w:b/>
          <w:bCs/>
          <w:sz w:val="24"/>
          <w:szCs w:val="24"/>
        </w:rPr>
      </w:pPr>
      <w:r w:rsidRPr="003143AE">
        <w:rPr>
          <w:rFonts w:ascii="Times New Roman" w:hAnsi="Times New Roman" w:cs="Times New Roman"/>
          <w:b/>
          <w:bCs/>
          <w:sz w:val="24"/>
          <w:szCs w:val="24"/>
        </w:rPr>
        <w:t>3. Methodology</w:t>
      </w:r>
    </w:p>
    <w:p w:rsidR="003143AE" w:rsidRPr="003143AE" w:rsidRDefault="003143AE" w:rsidP="003143AE">
      <w:pPr>
        <w:jc w:val="both"/>
        <w:rPr>
          <w:rFonts w:ascii="Times New Roman" w:hAnsi="Times New Roman" w:cs="Times New Roman"/>
          <w:b/>
          <w:bCs/>
          <w:sz w:val="24"/>
          <w:szCs w:val="24"/>
        </w:rPr>
      </w:pPr>
      <w:r w:rsidRPr="003143AE">
        <w:rPr>
          <w:rFonts w:ascii="Times New Roman" w:hAnsi="Times New Roman" w:cs="Times New Roman"/>
          <w:b/>
          <w:bCs/>
          <w:sz w:val="24"/>
          <w:szCs w:val="24"/>
        </w:rPr>
        <w:t>3.1 Research Design</w:t>
      </w:r>
    </w:p>
    <w:p w:rsidR="003143AE" w:rsidRPr="003143AE" w:rsidRDefault="003143AE" w:rsidP="003143AE">
      <w:pPr>
        <w:jc w:val="both"/>
        <w:rPr>
          <w:rFonts w:ascii="Times New Roman" w:hAnsi="Times New Roman" w:cs="Times New Roman"/>
          <w:sz w:val="24"/>
          <w:szCs w:val="24"/>
        </w:rPr>
      </w:pPr>
      <w:r w:rsidRPr="003143AE">
        <w:rPr>
          <w:rFonts w:ascii="Times New Roman" w:hAnsi="Times New Roman" w:cs="Times New Roman"/>
          <w:sz w:val="24"/>
          <w:szCs w:val="24"/>
        </w:rPr>
        <w:t xml:space="preserve">This study adopts a </w:t>
      </w:r>
      <w:r w:rsidRPr="003143AE">
        <w:rPr>
          <w:rFonts w:ascii="Times New Roman" w:hAnsi="Times New Roman" w:cs="Times New Roman"/>
          <w:bCs/>
          <w:sz w:val="24"/>
          <w:szCs w:val="24"/>
        </w:rPr>
        <w:t>comparative cross-sectional mixed-methods research design</w:t>
      </w:r>
      <w:r w:rsidRPr="003143AE">
        <w:rPr>
          <w:rFonts w:ascii="Times New Roman" w:hAnsi="Times New Roman" w:cs="Times New Roman"/>
          <w:sz w:val="24"/>
          <w:szCs w:val="24"/>
        </w:rPr>
        <w:t xml:space="preserve"> to examine the relationship between community engagement and Blue-entrepreneurship performance in coastal Tanzania. The mixed-methods approach integrates quantitative and qualitative techniques in order to capture both measurable relationships and contextual dynamics influencing entrepreneurial outcomes. Quantitative data allow for statistical testing of the hypothesized relationships between community engagement and enterprise performance, while qualitative insights provide deeper understanding of institutional arrangements, community practices, and local governance mechanisms shaping entrepreneurial activities.</w:t>
      </w:r>
    </w:p>
    <w:p w:rsidR="003143AE" w:rsidRPr="003143AE" w:rsidRDefault="003143AE" w:rsidP="003143AE">
      <w:pPr>
        <w:jc w:val="both"/>
        <w:rPr>
          <w:rFonts w:ascii="Times New Roman" w:hAnsi="Times New Roman" w:cs="Times New Roman"/>
          <w:sz w:val="24"/>
          <w:szCs w:val="24"/>
        </w:rPr>
      </w:pPr>
      <w:r w:rsidRPr="003143AE">
        <w:rPr>
          <w:rFonts w:ascii="Times New Roman" w:hAnsi="Times New Roman" w:cs="Times New Roman"/>
          <w:sz w:val="24"/>
          <w:szCs w:val="24"/>
        </w:rPr>
        <w:t xml:space="preserve">A </w:t>
      </w:r>
      <w:r w:rsidRPr="003143AE">
        <w:rPr>
          <w:rFonts w:ascii="Times New Roman" w:hAnsi="Times New Roman" w:cs="Times New Roman"/>
          <w:bCs/>
          <w:sz w:val="24"/>
          <w:szCs w:val="24"/>
        </w:rPr>
        <w:t>comparative case study approach</w:t>
      </w:r>
      <w:r w:rsidRPr="003143AE">
        <w:rPr>
          <w:rFonts w:ascii="Times New Roman" w:hAnsi="Times New Roman" w:cs="Times New Roman"/>
          <w:sz w:val="24"/>
          <w:szCs w:val="24"/>
        </w:rPr>
        <w:t xml:space="preserve"> was employed to explore contextual differences across two coastal districts: Bagamoyo District and Kinondoni District. These districts represent distinct coastal environments within Tanzania’s Blue Economy landscape. Bagamoyo District is characterized by a semi-rural coastal economy with strong reliance on fisheries, seaweed farming, and emerging eco-tourism activities. In contrast, Kinondoni District forms part of the urbanized Dar es Salaam metropolitan area, where Blue-economy enterprises operate within more commercialized and competitive market conditions. Comparing these districts enables the study to examine how variations in institutional context and market structures influence the relationship between community engagement and enterprise performance.</w:t>
      </w:r>
    </w:p>
    <w:p w:rsidR="003143AE" w:rsidRPr="003143AE" w:rsidRDefault="003143AE" w:rsidP="003143AE">
      <w:pPr>
        <w:jc w:val="both"/>
        <w:rPr>
          <w:rFonts w:ascii="Times New Roman" w:hAnsi="Times New Roman" w:cs="Times New Roman"/>
          <w:b/>
          <w:bCs/>
          <w:sz w:val="24"/>
          <w:szCs w:val="24"/>
        </w:rPr>
      </w:pPr>
      <w:r w:rsidRPr="003143AE">
        <w:rPr>
          <w:rFonts w:ascii="Times New Roman" w:hAnsi="Times New Roman" w:cs="Times New Roman"/>
          <w:b/>
          <w:bCs/>
          <w:sz w:val="24"/>
          <w:szCs w:val="24"/>
        </w:rPr>
        <w:t>3.2 Study Population and Sampling</w:t>
      </w:r>
    </w:p>
    <w:p w:rsidR="003143AE" w:rsidRPr="003143AE" w:rsidRDefault="003143AE" w:rsidP="003143AE">
      <w:pPr>
        <w:jc w:val="both"/>
        <w:rPr>
          <w:rFonts w:ascii="Times New Roman" w:hAnsi="Times New Roman" w:cs="Times New Roman"/>
          <w:b/>
          <w:bCs/>
          <w:sz w:val="24"/>
          <w:szCs w:val="24"/>
        </w:rPr>
      </w:pPr>
      <w:r w:rsidRPr="003143AE">
        <w:rPr>
          <w:rFonts w:ascii="Times New Roman" w:hAnsi="Times New Roman" w:cs="Times New Roman"/>
          <w:b/>
          <w:bCs/>
          <w:sz w:val="24"/>
          <w:szCs w:val="24"/>
        </w:rPr>
        <w:t>3.2.1 Study Population</w:t>
      </w:r>
    </w:p>
    <w:p w:rsidR="003143AE" w:rsidRPr="003143AE" w:rsidRDefault="003143AE" w:rsidP="003143AE">
      <w:pPr>
        <w:jc w:val="both"/>
        <w:rPr>
          <w:rFonts w:ascii="Times New Roman" w:hAnsi="Times New Roman" w:cs="Times New Roman"/>
          <w:sz w:val="24"/>
          <w:szCs w:val="24"/>
        </w:rPr>
      </w:pPr>
      <w:r w:rsidRPr="003143AE">
        <w:rPr>
          <w:rFonts w:ascii="Times New Roman" w:hAnsi="Times New Roman" w:cs="Times New Roman"/>
          <w:sz w:val="24"/>
          <w:szCs w:val="24"/>
        </w:rPr>
        <w:t xml:space="preserve">The study population consists of </w:t>
      </w:r>
      <w:r w:rsidRPr="003143AE">
        <w:rPr>
          <w:rFonts w:ascii="Times New Roman" w:hAnsi="Times New Roman" w:cs="Times New Roman"/>
          <w:bCs/>
          <w:sz w:val="24"/>
          <w:szCs w:val="24"/>
        </w:rPr>
        <w:t>small-scale Blue-economy entrepreneurs</w:t>
      </w:r>
      <w:r w:rsidRPr="003143AE">
        <w:rPr>
          <w:rFonts w:ascii="Times New Roman" w:hAnsi="Times New Roman" w:cs="Times New Roman"/>
          <w:sz w:val="24"/>
          <w:szCs w:val="24"/>
        </w:rPr>
        <w:t xml:space="preserve"> operating in fisheries, aquaculture, seaweed farming, and coastal tourism activities within Bagamoyo and Kinondoni districts. These enterprises are predominantly micro and small businesses that rely heavily on coastal and marine resources for income generation and livelihood sustainability.</w:t>
      </w:r>
    </w:p>
    <w:p w:rsidR="003143AE" w:rsidRPr="003143AE" w:rsidRDefault="003143AE" w:rsidP="003143AE">
      <w:pPr>
        <w:jc w:val="both"/>
        <w:rPr>
          <w:rFonts w:ascii="Times New Roman" w:hAnsi="Times New Roman" w:cs="Times New Roman"/>
          <w:b/>
          <w:bCs/>
          <w:sz w:val="24"/>
          <w:szCs w:val="24"/>
        </w:rPr>
      </w:pPr>
      <w:r w:rsidRPr="003143AE">
        <w:rPr>
          <w:rFonts w:ascii="Times New Roman" w:hAnsi="Times New Roman" w:cs="Times New Roman"/>
          <w:b/>
          <w:bCs/>
          <w:sz w:val="24"/>
          <w:szCs w:val="24"/>
        </w:rPr>
        <w:t>3.2.2 Sample Size</w:t>
      </w:r>
    </w:p>
    <w:p w:rsidR="003143AE" w:rsidRPr="003143AE" w:rsidRDefault="003143AE" w:rsidP="003143AE">
      <w:pPr>
        <w:jc w:val="both"/>
        <w:rPr>
          <w:rFonts w:ascii="Times New Roman" w:hAnsi="Times New Roman" w:cs="Times New Roman"/>
          <w:sz w:val="24"/>
          <w:szCs w:val="24"/>
        </w:rPr>
      </w:pPr>
      <w:r w:rsidRPr="003143AE">
        <w:rPr>
          <w:rFonts w:ascii="Times New Roman" w:hAnsi="Times New Roman" w:cs="Times New Roman"/>
          <w:sz w:val="24"/>
          <w:szCs w:val="24"/>
        </w:rPr>
        <w:t xml:space="preserve">The quantitative component of the study involved </w:t>
      </w:r>
      <w:r w:rsidRPr="003143AE">
        <w:rPr>
          <w:rFonts w:ascii="Times New Roman" w:hAnsi="Times New Roman" w:cs="Times New Roman"/>
          <w:bCs/>
          <w:sz w:val="24"/>
          <w:szCs w:val="24"/>
        </w:rPr>
        <w:t>240 Blue-economy entrepreneurs</w:t>
      </w:r>
      <w:r w:rsidRPr="003143AE">
        <w:rPr>
          <w:rFonts w:ascii="Times New Roman" w:hAnsi="Times New Roman" w:cs="Times New Roman"/>
          <w:sz w:val="24"/>
          <w:szCs w:val="24"/>
        </w:rPr>
        <w:t>, with 120 respondents drawn from each district. This sample size is considered adequate for multivariate statistical analysis, particularly for regression models examining relationships between multiple predictors and enterprise performance indicators. The sample size also satisfies commonly recommended rules for regression analysis requiring at least 10–15 observations per predictor variable.</w:t>
      </w:r>
    </w:p>
    <w:p w:rsidR="003143AE" w:rsidRPr="003143AE" w:rsidRDefault="003143AE" w:rsidP="003143AE">
      <w:pPr>
        <w:jc w:val="both"/>
        <w:rPr>
          <w:rFonts w:ascii="Times New Roman" w:hAnsi="Times New Roman" w:cs="Times New Roman"/>
          <w:b/>
          <w:bCs/>
          <w:sz w:val="24"/>
          <w:szCs w:val="24"/>
        </w:rPr>
      </w:pPr>
      <w:r w:rsidRPr="003143AE">
        <w:rPr>
          <w:rFonts w:ascii="Times New Roman" w:hAnsi="Times New Roman" w:cs="Times New Roman"/>
          <w:b/>
          <w:bCs/>
          <w:sz w:val="24"/>
          <w:szCs w:val="24"/>
        </w:rPr>
        <w:lastRenderedPageBreak/>
        <w:t>3.2.3 Sampling Procedure</w:t>
      </w:r>
    </w:p>
    <w:p w:rsidR="003143AE" w:rsidRPr="003143AE" w:rsidRDefault="003143AE" w:rsidP="003143AE">
      <w:pPr>
        <w:jc w:val="both"/>
        <w:rPr>
          <w:rFonts w:ascii="Times New Roman" w:hAnsi="Times New Roman" w:cs="Times New Roman"/>
          <w:sz w:val="24"/>
          <w:szCs w:val="24"/>
        </w:rPr>
      </w:pPr>
      <w:r w:rsidRPr="003143AE">
        <w:rPr>
          <w:rFonts w:ascii="Times New Roman" w:hAnsi="Times New Roman" w:cs="Times New Roman"/>
          <w:sz w:val="24"/>
          <w:szCs w:val="24"/>
        </w:rPr>
        <w:t xml:space="preserve">A </w:t>
      </w:r>
      <w:r w:rsidRPr="003143AE">
        <w:rPr>
          <w:rFonts w:ascii="Times New Roman" w:hAnsi="Times New Roman" w:cs="Times New Roman"/>
          <w:bCs/>
          <w:sz w:val="24"/>
          <w:szCs w:val="24"/>
        </w:rPr>
        <w:t>multi-stage sampling strategy</w:t>
      </w:r>
      <w:r w:rsidRPr="003143AE">
        <w:rPr>
          <w:rFonts w:ascii="Times New Roman" w:hAnsi="Times New Roman" w:cs="Times New Roman"/>
          <w:sz w:val="24"/>
          <w:szCs w:val="24"/>
        </w:rPr>
        <w:t xml:space="preserve"> was applied to ensure representation across different types of Blue-economy activities.</w:t>
      </w:r>
      <w:r>
        <w:rPr>
          <w:rFonts w:ascii="Times New Roman" w:hAnsi="Times New Roman" w:cs="Times New Roman"/>
          <w:sz w:val="24"/>
          <w:szCs w:val="24"/>
        </w:rPr>
        <w:t xml:space="preserve"> </w:t>
      </w:r>
      <w:r w:rsidRPr="003143AE">
        <w:rPr>
          <w:rFonts w:ascii="Times New Roman" w:hAnsi="Times New Roman" w:cs="Times New Roman"/>
          <w:sz w:val="24"/>
          <w:szCs w:val="24"/>
        </w:rPr>
        <w:t xml:space="preserve">First, wards with significant Blue-economy activities were </w:t>
      </w:r>
      <w:r w:rsidRPr="003143AE">
        <w:rPr>
          <w:rFonts w:ascii="Times New Roman" w:hAnsi="Times New Roman" w:cs="Times New Roman"/>
          <w:bCs/>
          <w:sz w:val="24"/>
          <w:szCs w:val="24"/>
        </w:rPr>
        <w:t>purposively selected</w:t>
      </w:r>
      <w:r w:rsidRPr="003143AE">
        <w:rPr>
          <w:rFonts w:ascii="Times New Roman" w:hAnsi="Times New Roman" w:cs="Times New Roman"/>
          <w:sz w:val="24"/>
          <w:szCs w:val="24"/>
        </w:rPr>
        <w:t xml:space="preserve"> in both districts based on the presence of fisheries, aquaculture, seaweed farming, </w:t>
      </w:r>
      <w:r>
        <w:rPr>
          <w:rFonts w:ascii="Times New Roman" w:hAnsi="Times New Roman" w:cs="Times New Roman"/>
          <w:sz w:val="24"/>
          <w:szCs w:val="24"/>
        </w:rPr>
        <w:t xml:space="preserve">and coastal tourism enterprises, </w:t>
      </w:r>
      <w:r w:rsidRPr="003143AE">
        <w:rPr>
          <w:rFonts w:ascii="Times New Roman" w:hAnsi="Times New Roman" w:cs="Times New Roman"/>
          <w:sz w:val="24"/>
          <w:szCs w:val="24"/>
        </w:rPr>
        <w:t xml:space="preserve">Second, entrepreneurs were </w:t>
      </w:r>
      <w:r w:rsidRPr="003143AE">
        <w:rPr>
          <w:rFonts w:ascii="Times New Roman" w:hAnsi="Times New Roman" w:cs="Times New Roman"/>
          <w:bCs/>
          <w:sz w:val="24"/>
          <w:szCs w:val="24"/>
        </w:rPr>
        <w:t>stratified by enterprise type</w:t>
      </w:r>
      <w:r w:rsidRPr="003143AE">
        <w:rPr>
          <w:rFonts w:ascii="Times New Roman" w:hAnsi="Times New Roman" w:cs="Times New Roman"/>
          <w:sz w:val="24"/>
          <w:szCs w:val="24"/>
        </w:rPr>
        <w:t xml:space="preserve">, ensuring representation of key </w:t>
      </w:r>
      <w:r>
        <w:rPr>
          <w:rFonts w:ascii="Times New Roman" w:hAnsi="Times New Roman" w:cs="Times New Roman"/>
          <w:sz w:val="24"/>
          <w:szCs w:val="24"/>
        </w:rPr>
        <w:t xml:space="preserve">sectors within the Blue Economy, </w:t>
      </w:r>
      <w:r w:rsidRPr="003143AE">
        <w:rPr>
          <w:rFonts w:ascii="Times New Roman" w:hAnsi="Times New Roman" w:cs="Times New Roman"/>
          <w:sz w:val="24"/>
          <w:szCs w:val="24"/>
        </w:rPr>
        <w:t xml:space="preserve">Finally, respondents were selected using </w:t>
      </w:r>
      <w:r w:rsidRPr="003143AE">
        <w:rPr>
          <w:rFonts w:ascii="Times New Roman" w:hAnsi="Times New Roman" w:cs="Times New Roman"/>
          <w:bCs/>
          <w:sz w:val="24"/>
          <w:szCs w:val="24"/>
        </w:rPr>
        <w:t>simple random sampling</w:t>
      </w:r>
      <w:r w:rsidRPr="003143AE">
        <w:rPr>
          <w:rFonts w:ascii="Times New Roman" w:hAnsi="Times New Roman" w:cs="Times New Roman"/>
          <w:sz w:val="24"/>
          <w:szCs w:val="24"/>
        </w:rPr>
        <w:t xml:space="preserve"> where entrepreneur lists were available from local authorities or cooperatives. In cases where such lists were incomplete, </w:t>
      </w:r>
      <w:r w:rsidRPr="00A85C25">
        <w:rPr>
          <w:rFonts w:ascii="Times New Roman" w:hAnsi="Times New Roman" w:cs="Times New Roman"/>
          <w:bCs/>
          <w:sz w:val="24"/>
          <w:szCs w:val="24"/>
        </w:rPr>
        <w:t>systematic sampling</w:t>
      </w:r>
      <w:r w:rsidRPr="003143AE">
        <w:rPr>
          <w:rFonts w:ascii="Times New Roman" w:hAnsi="Times New Roman" w:cs="Times New Roman"/>
          <w:sz w:val="24"/>
          <w:szCs w:val="24"/>
        </w:rPr>
        <w:t xml:space="preserve"> techniques were applied to select respondents from community clusters.</w:t>
      </w:r>
    </w:p>
    <w:p w:rsidR="003143AE" w:rsidRPr="003143AE" w:rsidRDefault="003143AE" w:rsidP="003143AE">
      <w:pPr>
        <w:jc w:val="both"/>
        <w:rPr>
          <w:rFonts w:ascii="Times New Roman" w:hAnsi="Times New Roman" w:cs="Times New Roman"/>
          <w:sz w:val="24"/>
          <w:szCs w:val="24"/>
        </w:rPr>
      </w:pPr>
    </w:p>
    <w:p w:rsidR="003143AE" w:rsidRPr="003143AE" w:rsidRDefault="003143AE" w:rsidP="003143AE">
      <w:pPr>
        <w:jc w:val="both"/>
        <w:rPr>
          <w:rFonts w:ascii="Times New Roman" w:hAnsi="Times New Roman" w:cs="Times New Roman"/>
          <w:b/>
          <w:bCs/>
          <w:sz w:val="24"/>
          <w:szCs w:val="24"/>
        </w:rPr>
      </w:pPr>
      <w:r w:rsidRPr="003143AE">
        <w:rPr>
          <w:rFonts w:ascii="Times New Roman" w:hAnsi="Times New Roman" w:cs="Times New Roman"/>
          <w:b/>
          <w:bCs/>
          <w:sz w:val="24"/>
          <w:szCs w:val="24"/>
        </w:rPr>
        <w:t>3.3 Data Collection Methods</w:t>
      </w:r>
    </w:p>
    <w:p w:rsidR="003143AE" w:rsidRPr="008D257C" w:rsidRDefault="003143AE" w:rsidP="008D257C">
      <w:pPr>
        <w:pStyle w:val="ListParagraph"/>
        <w:numPr>
          <w:ilvl w:val="2"/>
          <w:numId w:val="20"/>
        </w:numPr>
        <w:jc w:val="both"/>
        <w:rPr>
          <w:rFonts w:ascii="Times New Roman" w:hAnsi="Times New Roman" w:cs="Times New Roman"/>
          <w:b/>
          <w:bCs/>
          <w:sz w:val="24"/>
          <w:szCs w:val="24"/>
        </w:rPr>
      </w:pPr>
      <w:r w:rsidRPr="008D257C">
        <w:rPr>
          <w:rFonts w:ascii="Times New Roman" w:hAnsi="Times New Roman" w:cs="Times New Roman"/>
          <w:b/>
          <w:bCs/>
          <w:sz w:val="24"/>
          <w:szCs w:val="24"/>
        </w:rPr>
        <w:t>Quantitative Data Collection</w:t>
      </w:r>
    </w:p>
    <w:p w:rsidR="003143AE" w:rsidRPr="003143AE" w:rsidRDefault="003143AE" w:rsidP="003143AE">
      <w:pPr>
        <w:jc w:val="both"/>
        <w:rPr>
          <w:rFonts w:ascii="Times New Roman" w:hAnsi="Times New Roman" w:cs="Times New Roman"/>
          <w:sz w:val="24"/>
          <w:szCs w:val="24"/>
        </w:rPr>
      </w:pPr>
      <w:r w:rsidRPr="003143AE">
        <w:rPr>
          <w:rFonts w:ascii="Times New Roman" w:hAnsi="Times New Roman" w:cs="Times New Roman"/>
          <w:sz w:val="24"/>
          <w:szCs w:val="24"/>
        </w:rPr>
        <w:t xml:space="preserve">Primary quantitative data were collected using </w:t>
      </w:r>
      <w:r w:rsidRPr="008D257C">
        <w:rPr>
          <w:rFonts w:ascii="Times New Roman" w:hAnsi="Times New Roman" w:cs="Times New Roman"/>
          <w:sz w:val="24"/>
          <w:szCs w:val="24"/>
        </w:rPr>
        <w:t xml:space="preserve">a </w:t>
      </w:r>
      <w:r w:rsidRPr="008D257C">
        <w:rPr>
          <w:rFonts w:ascii="Times New Roman" w:hAnsi="Times New Roman" w:cs="Times New Roman"/>
          <w:bCs/>
          <w:sz w:val="24"/>
          <w:szCs w:val="24"/>
        </w:rPr>
        <w:t>structured questionnaire administered through face-to-face interviews</w:t>
      </w:r>
      <w:r w:rsidRPr="008D257C">
        <w:rPr>
          <w:rFonts w:ascii="Times New Roman" w:hAnsi="Times New Roman" w:cs="Times New Roman"/>
          <w:sz w:val="24"/>
          <w:szCs w:val="24"/>
        </w:rPr>
        <w:t xml:space="preserve"> with Blue entrepreneurs. The questionnaire </w:t>
      </w:r>
      <w:r w:rsidR="008D257C">
        <w:rPr>
          <w:rFonts w:ascii="Times New Roman" w:hAnsi="Times New Roman" w:cs="Times New Roman"/>
          <w:sz w:val="24"/>
          <w:szCs w:val="24"/>
        </w:rPr>
        <w:t xml:space="preserve">consisted of five main sections </w:t>
      </w:r>
      <w:r w:rsidRPr="003143AE">
        <w:rPr>
          <w:rFonts w:ascii="Times New Roman" w:hAnsi="Times New Roman" w:cs="Times New Roman"/>
          <w:sz w:val="24"/>
          <w:szCs w:val="24"/>
        </w:rPr>
        <w:t>Socio-demographic characteristics</w:t>
      </w:r>
      <w:r w:rsidR="008D257C">
        <w:rPr>
          <w:rFonts w:ascii="Times New Roman" w:hAnsi="Times New Roman" w:cs="Times New Roman"/>
          <w:sz w:val="24"/>
          <w:szCs w:val="24"/>
        </w:rPr>
        <w:t xml:space="preserve">, </w:t>
      </w:r>
      <w:r w:rsidRPr="003143AE">
        <w:rPr>
          <w:rFonts w:ascii="Times New Roman" w:hAnsi="Times New Roman" w:cs="Times New Roman"/>
          <w:sz w:val="24"/>
          <w:szCs w:val="24"/>
        </w:rPr>
        <w:t>Enterprise characteristics</w:t>
      </w:r>
      <w:r w:rsidR="008D257C">
        <w:rPr>
          <w:rFonts w:ascii="Times New Roman" w:hAnsi="Times New Roman" w:cs="Times New Roman"/>
          <w:sz w:val="24"/>
          <w:szCs w:val="24"/>
        </w:rPr>
        <w:t xml:space="preserve">, </w:t>
      </w:r>
      <w:r w:rsidRPr="003143AE">
        <w:rPr>
          <w:rFonts w:ascii="Times New Roman" w:hAnsi="Times New Roman" w:cs="Times New Roman"/>
          <w:sz w:val="24"/>
          <w:szCs w:val="24"/>
        </w:rPr>
        <w:t>Community engagement practices</w:t>
      </w:r>
      <w:r w:rsidR="008D257C">
        <w:rPr>
          <w:rFonts w:ascii="Times New Roman" w:hAnsi="Times New Roman" w:cs="Times New Roman"/>
          <w:sz w:val="24"/>
          <w:szCs w:val="24"/>
        </w:rPr>
        <w:t xml:space="preserve">, </w:t>
      </w:r>
      <w:r w:rsidRPr="003143AE">
        <w:rPr>
          <w:rFonts w:ascii="Times New Roman" w:hAnsi="Times New Roman" w:cs="Times New Roman"/>
          <w:sz w:val="24"/>
          <w:szCs w:val="24"/>
        </w:rPr>
        <w:t>Access to finance and training</w:t>
      </w:r>
      <w:r w:rsidR="008D257C">
        <w:rPr>
          <w:rFonts w:ascii="Times New Roman" w:hAnsi="Times New Roman" w:cs="Times New Roman"/>
          <w:sz w:val="24"/>
          <w:szCs w:val="24"/>
        </w:rPr>
        <w:t xml:space="preserve"> and </w:t>
      </w:r>
      <w:r w:rsidRPr="003143AE">
        <w:rPr>
          <w:rFonts w:ascii="Times New Roman" w:hAnsi="Times New Roman" w:cs="Times New Roman"/>
          <w:sz w:val="24"/>
          <w:szCs w:val="24"/>
        </w:rPr>
        <w:t>Enterprise performance indicators</w:t>
      </w:r>
      <w:r w:rsidR="008D257C">
        <w:rPr>
          <w:rFonts w:ascii="Times New Roman" w:hAnsi="Times New Roman" w:cs="Times New Roman"/>
          <w:sz w:val="24"/>
          <w:szCs w:val="24"/>
        </w:rPr>
        <w:t>.</w:t>
      </w:r>
      <w:r w:rsidR="00A85C25">
        <w:rPr>
          <w:rFonts w:ascii="Times New Roman" w:hAnsi="Times New Roman" w:cs="Times New Roman"/>
          <w:sz w:val="24"/>
          <w:szCs w:val="24"/>
        </w:rPr>
        <w:t xml:space="preserve"> </w:t>
      </w:r>
      <w:r w:rsidRPr="008D257C">
        <w:rPr>
          <w:rFonts w:ascii="Times New Roman" w:hAnsi="Times New Roman" w:cs="Times New Roman"/>
          <w:sz w:val="24"/>
          <w:szCs w:val="24"/>
        </w:rPr>
        <w:t xml:space="preserve">Community engagement was measured using </w:t>
      </w:r>
      <w:r w:rsidRPr="008D257C">
        <w:rPr>
          <w:rFonts w:ascii="Times New Roman" w:hAnsi="Times New Roman" w:cs="Times New Roman"/>
          <w:bCs/>
          <w:sz w:val="24"/>
          <w:szCs w:val="24"/>
        </w:rPr>
        <w:t>Likert-scale items</w:t>
      </w:r>
      <w:r w:rsidRPr="008D257C">
        <w:rPr>
          <w:rFonts w:ascii="Times New Roman" w:hAnsi="Times New Roman" w:cs="Times New Roman"/>
          <w:sz w:val="24"/>
          <w:szCs w:val="24"/>
        </w:rPr>
        <w:t xml:space="preserve"> capturing participation in decision-making, membership in community organizations and savings groups (e.g., VICOBA), knowledge-sharing activities, trust levels, and collective action within the community</w:t>
      </w:r>
      <w:r w:rsidRPr="003143AE">
        <w:rPr>
          <w:rFonts w:ascii="Times New Roman" w:hAnsi="Times New Roman" w:cs="Times New Roman"/>
          <w:sz w:val="24"/>
          <w:szCs w:val="24"/>
        </w:rPr>
        <w:t>.</w:t>
      </w:r>
    </w:p>
    <w:p w:rsidR="003143AE" w:rsidRPr="003143AE" w:rsidRDefault="003143AE" w:rsidP="003143AE">
      <w:pPr>
        <w:jc w:val="both"/>
        <w:rPr>
          <w:rFonts w:ascii="Times New Roman" w:hAnsi="Times New Roman" w:cs="Times New Roman"/>
          <w:sz w:val="24"/>
          <w:szCs w:val="24"/>
        </w:rPr>
      </w:pPr>
      <w:r w:rsidRPr="003143AE">
        <w:rPr>
          <w:rFonts w:ascii="Times New Roman" w:hAnsi="Times New Roman" w:cs="Times New Roman"/>
          <w:sz w:val="24"/>
          <w:szCs w:val="24"/>
        </w:rPr>
        <w:t xml:space="preserve">Enterprise </w:t>
      </w:r>
      <w:r w:rsidR="008D257C">
        <w:rPr>
          <w:rFonts w:ascii="Times New Roman" w:hAnsi="Times New Roman" w:cs="Times New Roman"/>
          <w:sz w:val="24"/>
          <w:szCs w:val="24"/>
        </w:rPr>
        <w:t xml:space="preserve">performance indicators included </w:t>
      </w:r>
      <w:r w:rsidRPr="003143AE">
        <w:rPr>
          <w:rFonts w:ascii="Times New Roman" w:hAnsi="Times New Roman" w:cs="Times New Roman"/>
          <w:sz w:val="24"/>
          <w:szCs w:val="24"/>
        </w:rPr>
        <w:t>Income growth</w:t>
      </w:r>
      <w:r w:rsidR="008D257C">
        <w:rPr>
          <w:rFonts w:ascii="Times New Roman" w:hAnsi="Times New Roman" w:cs="Times New Roman"/>
          <w:sz w:val="24"/>
          <w:szCs w:val="24"/>
        </w:rPr>
        <w:t xml:space="preserve">, </w:t>
      </w:r>
      <w:r w:rsidRPr="003143AE">
        <w:rPr>
          <w:rFonts w:ascii="Times New Roman" w:hAnsi="Times New Roman" w:cs="Times New Roman"/>
          <w:sz w:val="24"/>
          <w:szCs w:val="24"/>
        </w:rPr>
        <w:t>Enterprise survival</w:t>
      </w:r>
      <w:r w:rsidR="008D257C">
        <w:rPr>
          <w:rFonts w:ascii="Times New Roman" w:hAnsi="Times New Roman" w:cs="Times New Roman"/>
          <w:sz w:val="24"/>
          <w:szCs w:val="24"/>
        </w:rPr>
        <w:t xml:space="preserve">, </w:t>
      </w:r>
      <w:r w:rsidRPr="003143AE">
        <w:rPr>
          <w:rFonts w:ascii="Times New Roman" w:hAnsi="Times New Roman" w:cs="Times New Roman"/>
          <w:sz w:val="24"/>
          <w:szCs w:val="24"/>
        </w:rPr>
        <w:t>Enterprise diversification</w:t>
      </w:r>
      <w:r w:rsidR="008D257C">
        <w:rPr>
          <w:rFonts w:ascii="Times New Roman" w:hAnsi="Times New Roman" w:cs="Times New Roman"/>
          <w:sz w:val="24"/>
          <w:szCs w:val="24"/>
        </w:rPr>
        <w:t xml:space="preserve"> and </w:t>
      </w:r>
      <w:r w:rsidRPr="003143AE">
        <w:rPr>
          <w:rFonts w:ascii="Times New Roman" w:hAnsi="Times New Roman" w:cs="Times New Roman"/>
          <w:sz w:val="24"/>
          <w:szCs w:val="24"/>
        </w:rPr>
        <w:t>Adoption of sustainable practices</w:t>
      </w:r>
      <w:r w:rsidR="00A85C25">
        <w:rPr>
          <w:rFonts w:ascii="Times New Roman" w:hAnsi="Times New Roman" w:cs="Times New Roman"/>
          <w:sz w:val="24"/>
          <w:szCs w:val="24"/>
        </w:rPr>
        <w:t xml:space="preserve">. </w:t>
      </w:r>
      <w:r w:rsidRPr="003143AE">
        <w:rPr>
          <w:rFonts w:ascii="Times New Roman" w:hAnsi="Times New Roman" w:cs="Times New Roman"/>
          <w:sz w:val="24"/>
          <w:szCs w:val="24"/>
        </w:rPr>
        <w:t xml:space="preserve">Prior to the main survey, the questionnaire was </w:t>
      </w:r>
      <w:r w:rsidRPr="008D257C">
        <w:rPr>
          <w:rFonts w:ascii="Times New Roman" w:hAnsi="Times New Roman" w:cs="Times New Roman"/>
          <w:bCs/>
          <w:sz w:val="24"/>
          <w:szCs w:val="24"/>
        </w:rPr>
        <w:t>pilot-tested with 20 respondents</w:t>
      </w:r>
      <w:r w:rsidRPr="003143AE">
        <w:rPr>
          <w:rFonts w:ascii="Times New Roman" w:hAnsi="Times New Roman" w:cs="Times New Roman"/>
          <w:sz w:val="24"/>
          <w:szCs w:val="24"/>
        </w:rPr>
        <w:t xml:space="preserve"> in a similar coastal community to ensure clarity, reliability, and contextual relevance. Necessary adjustments were made before full data collection.</w:t>
      </w:r>
    </w:p>
    <w:p w:rsidR="003143AE" w:rsidRPr="003143AE" w:rsidRDefault="003143AE" w:rsidP="003143AE">
      <w:pPr>
        <w:jc w:val="both"/>
        <w:rPr>
          <w:rFonts w:ascii="Times New Roman" w:hAnsi="Times New Roman" w:cs="Times New Roman"/>
          <w:b/>
          <w:bCs/>
          <w:sz w:val="24"/>
          <w:szCs w:val="24"/>
        </w:rPr>
      </w:pPr>
      <w:r w:rsidRPr="003143AE">
        <w:rPr>
          <w:rFonts w:ascii="Times New Roman" w:hAnsi="Times New Roman" w:cs="Times New Roman"/>
          <w:b/>
          <w:bCs/>
          <w:sz w:val="24"/>
          <w:szCs w:val="24"/>
        </w:rPr>
        <w:t>3.3.2 Qualitative Data Collection</w:t>
      </w:r>
    </w:p>
    <w:p w:rsidR="003143AE" w:rsidRPr="003143AE" w:rsidRDefault="003143AE" w:rsidP="003143AE">
      <w:pPr>
        <w:jc w:val="both"/>
        <w:rPr>
          <w:rFonts w:ascii="Times New Roman" w:hAnsi="Times New Roman" w:cs="Times New Roman"/>
          <w:sz w:val="24"/>
          <w:szCs w:val="24"/>
        </w:rPr>
      </w:pPr>
      <w:r w:rsidRPr="008D257C">
        <w:rPr>
          <w:rFonts w:ascii="Times New Roman" w:hAnsi="Times New Roman" w:cs="Times New Roman"/>
          <w:sz w:val="24"/>
          <w:szCs w:val="24"/>
        </w:rPr>
        <w:t xml:space="preserve">Qualitative data were collected through </w:t>
      </w:r>
      <w:r w:rsidRPr="008D257C">
        <w:rPr>
          <w:rFonts w:ascii="Times New Roman" w:hAnsi="Times New Roman" w:cs="Times New Roman"/>
          <w:bCs/>
          <w:sz w:val="24"/>
          <w:szCs w:val="24"/>
        </w:rPr>
        <w:t>key informant interviews and focus group discussions</w:t>
      </w:r>
      <w:r w:rsidRPr="008D257C">
        <w:rPr>
          <w:rFonts w:ascii="Times New Roman" w:hAnsi="Times New Roman" w:cs="Times New Roman"/>
          <w:sz w:val="24"/>
          <w:szCs w:val="24"/>
        </w:rPr>
        <w:t>. Key informants included local government officials, cooperative leaders, community-based organization representatives, and project officers involved in Blue Economy initiatives.</w:t>
      </w:r>
      <w:r w:rsidR="008D257C">
        <w:rPr>
          <w:rFonts w:ascii="Times New Roman" w:hAnsi="Times New Roman" w:cs="Times New Roman"/>
          <w:sz w:val="24"/>
          <w:szCs w:val="24"/>
        </w:rPr>
        <w:t xml:space="preserve"> </w:t>
      </w:r>
      <w:r w:rsidRPr="008D257C">
        <w:rPr>
          <w:rFonts w:ascii="Times New Roman" w:hAnsi="Times New Roman" w:cs="Times New Roman"/>
          <w:sz w:val="24"/>
          <w:szCs w:val="24"/>
        </w:rPr>
        <w:t>Focus group discussions were conducted with groups of Blue entrepreneurs to capture shared experiences regarding community participation, access to resources, and enterprise development. These qualitative insights were used to complement and interpret the quantitative findings.</w:t>
      </w:r>
    </w:p>
    <w:p w:rsidR="003143AE" w:rsidRPr="003143AE" w:rsidRDefault="003143AE" w:rsidP="003143AE">
      <w:pPr>
        <w:jc w:val="both"/>
        <w:rPr>
          <w:rFonts w:ascii="Times New Roman" w:hAnsi="Times New Roman" w:cs="Times New Roman"/>
          <w:b/>
          <w:bCs/>
          <w:sz w:val="24"/>
          <w:szCs w:val="24"/>
        </w:rPr>
      </w:pPr>
      <w:r w:rsidRPr="003143AE">
        <w:rPr>
          <w:rFonts w:ascii="Times New Roman" w:hAnsi="Times New Roman" w:cs="Times New Roman"/>
          <w:b/>
          <w:bCs/>
          <w:sz w:val="24"/>
          <w:szCs w:val="24"/>
        </w:rPr>
        <w:t>3.4 Measurement of Variables</w:t>
      </w:r>
    </w:p>
    <w:p w:rsidR="003143AE" w:rsidRPr="008D257C" w:rsidRDefault="003143AE" w:rsidP="008D257C">
      <w:pPr>
        <w:pStyle w:val="ListParagraph"/>
        <w:numPr>
          <w:ilvl w:val="2"/>
          <w:numId w:val="21"/>
        </w:numPr>
        <w:jc w:val="both"/>
        <w:rPr>
          <w:rFonts w:ascii="Times New Roman" w:hAnsi="Times New Roman" w:cs="Times New Roman"/>
          <w:b/>
          <w:bCs/>
          <w:sz w:val="24"/>
          <w:szCs w:val="24"/>
        </w:rPr>
      </w:pPr>
      <w:r w:rsidRPr="008D257C">
        <w:rPr>
          <w:rFonts w:ascii="Times New Roman" w:hAnsi="Times New Roman" w:cs="Times New Roman"/>
          <w:b/>
          <w:bCs/>
          <w:sz w:val="24"/>
          <w:szCs w:val="24"/>
        </w:rPr>
        <w:t>Independent Variable: Community Engagement</w:t>
      </w:r>
    </w:p>
    <w:p w:rsidR="003143AE" w:rsidRPr="003143AE" w:rsidRDefault="003143AE" w:rsidP="003143AE">
      <w:pPr>
        <w:jc w:val="both"/>
        <w:rPr>
          <w:rFonts w:ascii="Times New Roman" w:hAnsi="Times New Roman" w:cs="Times New Roman"/>
          <w:sz w:val="24"/>
          <w:szCs w:val="24"/>
        </w:rPr>
      </w:pPr>
      <w:r w:rsidRPr="008D257C">
        <w:rPr>
          <w:rFonts w:ascii="Times New Roman" w:hAnsi="Times New Roman" w:cs="Times New Roman"/>
          <w:sz w:val="24"/>
          <w:szCs w:val="24"/>
        </w:rPr>
        <w:t xml:space="preserve">Community engagement was operationalized using a </w:t>
      </w:r>
      <w:r w:rsidRPr="008D257C">
        <w:rPr>
          <w:rFonts w:ascii="Times New Roman" w:hAnsi="Times New Roman" w:cs="Times New Roman"/>
          <w:bCs/>
          <w:sz w:val="24"/>
          <w:szCs w:val="24"/>
        </w:rPr>
        <w:t>Community Engagement Index (CEI)</w:t>
      </w:r>
      <w:r w:rsidRPr="008D257C">
        <w:rPr>
          <w:rFonts w:ascii="Times New Roman" w:hAnsi="Times New Roman" w:cs="Times New Roman"/>
          <w:sz w:val="24"/>
          <w:szCs w:val="24"/>
        </w:rPr>
        <w:t xml:space="preserve"> constructed fro</w:t>
      </w:r>
      <w:r w:rsidR="008D257C" w:rsidRPr="008D257C">
        <w:rPr>
          <w:rFonts w:ascii="Times New Roman" w:hAnsi="Times New Roman" w:cs="Times New Roman"/>
          <w:sz w:val="24"/>
          <w:szCs w:val="24"/>
        </w:rPr>
        <w:t xml:space="preserve">m multiple indicators measuring </w:t>
      </w:r>
      <w:r w:rsidRPr="008D257C">
        <w:rPr>
          <w:rFonts w:ascii="Times New Roman" w:hAnsi="Times New Roman" w:cs="Times New Roman"/>
          <w:sz w:val="24"/>
          <w:szCs w:val="24"/>
        </w:rPr>
        <w:t>Participation in local decision-making</w:t>
      </w:r>
      <w:r w:rsidR="008D257C" w:rsidRPr="008D257C">
        <w:rPr>
          <w:rFonts w:ascii="Times New Roman" w:hAnsi="Times New Roman" w:cs="Times New Roman"/>
          <w:sz w:val="24"/>
          <w:szCs w:val="24"/>
        </w:rPr>
        <w:t xml:space="preserve">, </w:t>
      </w:r>
      <w:r w:rsidRPr="008D257C">
        <w:rPr>
          <w:rFonts w:ascii="Times New Roman" w:hAnsi="Times New Roman" w:cs="Times New Roman"/>
          <w:sz w:val="24"/>
          <w:szCs w:val="24"/>
        </w:rPr>
        <w:lastRenderedPageBreak/>
        <w:t>Membership in community organizations and savings groups</w:t>
      </w:r>
      <w:r w:rsidR="008D257C" w:rsidRPr="008D257C">
        <w:rPr>
          <w:rFonts w:ascii="Times New Roman" w:hAnsi="Times New Roman" w:cs="Times New Roman"/>
          <w:sz w:val="24"/>
          <w:szCs w:val="24"/>
        </w:rPr>
        <w:t xml:space="preserve">, </w:t>
      </w:r>
      <w:r w:rsidRPr="008D257C">
        <w:rPr>
          <w:rFonts w:ascii="Times New Roman" w:hAnsi="Times New Roman" w:cs="Times New Roman"/>
          <w:sz w:val="24"/>
          <w:szCs w:val="24"/>
        </w:rPr>
        <w:t>Knowledge-sharing interactions</w:t>
      </w:r>
      <w:r w:rsidR="008D257C" w:rsidRPr="008D257C">
        <w:rPr>
          <w:rFonts w:ascii="Times New Roman" w:hAnsi="Times New Roman" w:cs="Times New Roman"/>
          <w:sz w:val="24"/>
          <w:szCs w:val="24"/>
        </w:rPr>
        <w:t xml:space="preserve">, </w:t>
      </w:r>
      <w:r w:rsidRPr="008D257C">
        <w:rPr>
          <w:rFonts w:ascii="Times New Roman" w:hAnsi="Times New Roman" w:cs="Times New Roman"/>
          <w:sz w:val="24"/>
          <w:szCs w:val="24"/>
        </w:rPr>
        <w:t>Trust within the community</w:t>
      </w:r>
      <w:r w:rsidR="008D257C" w:rsidRPr="008D257C">
        <w:rPr>
          <w:rFonts w:ascii="Times New Roman" w:hAnsi="Times New Roman" w:cs="Times New Roman"/>
          <w:sz w:val="24"/>
          <w:szCs w:val="24"/>
        </w:rPr>
        <w:t xml:space="preserve"> and </w:t>
      </w:r>
      <w:r w:rsidRPr="008D257C">
        <w:rPr>
          <w:rFonts w:ascii="Times New Roman" w:hAnsi="Times New Roman" w:cs="Times New Roman"/>
          <w:sz w:val="24"/>
          <w:szCs w:val="24"/>
        </w:rPr>
        <w:t>Collective action in resource management</w:t>
      </w:r>
      <w:r w:rsidR="008D257C" w:rsidRPr="008D257C">
        <w:rPr>
          <w:rFonts w:ascii="Times New Roman" w:hAnsi="Times New Roman" w:cs="Times New Roman"/>
          <w:sz w:val="24"/>
          <w:szCs w:val="24"/>
        </w:rPr>
        <w:t xml:space="preserve">.  </w:t>
      </w:r>
      <w:r w:rsidRPr="008D257C">
        <w:rPr>
          <w:rFonts w:ascii="Times New Roman" w:hAnsi="Times New Roman" w:cs="Times New Roman"/>
          <w:sz w:val="24"/>
          <w:szCs w:val="24"/>
        </w:rPr>
        <w:t xml:space="preserve">Responses were measured using a </w:t>
      </w:r>
      <w:r w:rsidRPr="008D257C">
        <w:rPr>
          <w:rFonts w:ascii="Times New Roman" w:hAnsi="Times New Roman" w:cs="Times New Roman"/>
          <w:bCs/>
          <w:sz w:val="24"/>
          <w:szCs w:val="24"/>
        </w:rPr>
        <w:t>five-point Likert scale</w:t>
      </w:r>
      <w:r w:rsidRPr="008D257C">
        <w:rPr>
          <w:rFonts w:ascii="Times New Roman" w:hAnsi="Times New Roman" w:cs="Times New Roman"/>
          <w:sz w:val="24"/>
          <w:szCs w:val="24"/>
        </w:rPr>
        <w:t xml:space="preserve"> and aggregated to form a composite index. Internal consistency of the index was evaluated using </w:t>
      </w:r>
      <w:r w:rsidRPr="008D257C">
        <w:rPr>
          <w:rFonts w:ascii="Times New Roman" w:hAnsi="Times New Roman" w:cs="Times New Roman"/>
          <w:bCs/>
          <w:sz w:val="24"/>
          <w:szCs w:val="24"/>
        </w:rPr>
        <w:t>Cronbach’s alpha</w:t>
      </w:r>
      <w:r w:rsidRPr="008D257C">
        <w:rPr>
          <w:rFonts w:ascii="Times New Roman" w:hAnsi="Times New Roman" w:cs="Times New Roman"/>
          <w:sz w:val="24"/>
          <w:szCs w:val="24"/>
        </w:rPr>
        <w:t>, with a reliability threshold of 0.70 considered acceptable.</w:t>
      </w:r>
    </w:p>
    <w:p w:rsidR="003143AE" w:rsidRPr="003C72D8" w:rsidRDefault="003143AE" w:rsidP="003C72D8">
      <w:pPr>
        <w:pStyle w:val="ListParagraph"/>
        <w:numPr>
          <w:ilvl w:val="2"/>
          <w:numId w:val="21"/>
        </w:numPr>
        <w:jc w:val="both"/>
        <w:rPr>
          <w:rFonts w:ascii="Times New Roman" w:hAnsi="Times New Roman" w:cs="Times New Roman"/>
          <w:b/>
          <w:bCs/>
          <w:sz w:val="24"/>
          <w:szCs w:val="24"/>
        </w:rPr>
      </w:pPr>
      <w:r w:rsidRPr="003C72D8">
        <w:rPr>
          <w:rFonts w:ascii="Times New Roman" w:hAnsi="Times New Roman" w:cs="Times New Roman"/>
          <w:b/>
          <w:bCs/>
          <w:sz w:val="24"/>
          <w:szCs w:val="24"/>
        </w:rPr>
        <w:t>Dependent Variable: Blue-Entrepreneurship Performance</w:t>
      </w:r>
    </w:p>
    <w:p w:rsidR="003143AE" w:rsidRPr="003143AE" w:rsidRDefault="003143AE" w:rsidP="003143AE">
      <w:pPr>
        <w:jc w:val="both"/>
        <w:rPr>
          <w:rFonts w:ascii="Times New Roman" w:hAnsi="Times New Roman" w:cs="Times New Roman"/>
          <w:sz w:val="24"/>
          <w:szCs w:val="24"/>
        </w:rPr>
      </w:pPr>
      <w:r w:rsidRPr="003C72D8">
        <w:rPr>
          <w:rFonts w:ascii="Times New Roman" w:hAnsi="Times New Roman" w:cs="Times New Roman"/>
          <w:sz w:val="24"/>
          <w:szCs w:val="24"/>
        </w:rPr>
        <w:t xml:space="preserve">Blue-entrepreneurship performance was conceptualized as a </w:t>
      </w:r>
      <w:r w:rsidRPr="003C72D8">
        <w:rPr>
          <w:rFonts w:ascii="Times New Roman" w:hAnsi="Times New Roman" w:cs="Times New Roman"/>
          <w:bCs/>
          <w:sz w:val="24"/>
          <w:szCs w:val="24"/>
        </w:rPr>
        <w:t>multidimensional construct</w:t>
      </w:r>
      <w:r w:rsidRPr="003C72D8">
        <w:rPr>
          <w:rFonts w:ascii="Times New Roman" w:hAnsi="Times New Roman" w:cs="Times New Roman"/>
          <w:sz w:val="24"/>
          <w:szCs w:val="24"/>
        </w:rPr>
        <w:t xml:space="preserve"> co</w:t>
      </w:r>
      <w:r w:rsidR="003C72D8" w:rsidRPr="003C72D8">
        <w:rPr>
          <w:rFonts w:ascii="Times New Roman" w:hAnsi="Times New Roman" w:cs="Times New Roman"/>
          <w:sz w:val="24"/>
          <w:szCs w:val="24"/>
        </w:rPr>
        <w:t xml:space="preserve">nsisting of four key indicators </w:t>
      </w:r>
      <w:r w:rsidRPr="003C72D8">
        <w:rPr>
          <w:rFonts w:ascii="Times New Roman" w:hAnsi="Times New Roman" w:cs="Times New Roman"/>
          <w:bCs/>
          <w:sz w:val="24"/>
          <w:szCs w:val="24"/>
        </w:rPr>
        <w:t xml:space="preserve">Income </w:t>
      </w:r>
      <w:r w:rsidR="003C72D8" w:rsidRPr="003C72D8">
        <w:rPr>
          <w:rFonts w:ascii="Times New Roman" w:hAnsi="Times New Roman" w:cs="Times New Roman"/>
          <w:bCs/>
          <w:sz w:val="24"/>
          <w:szCs w:val="24"/>
        </w:rPr>
        <w:t>growth</w:t>
      </w:r>
      <w:r w:rsidR="003C72D8">
        <w:rPr>
          <w:rFonts w:ascii="Times New Roman" w:hAnsi="Times New Roman" w:cs="Times New Roman"/>
          <w:sz w:val="24"/>
          <w:szCs w:val="24"/>
        </w:rPr>
        <w:t xml:space="preserve"> percentage</w:t>
      </w:r>
      <w:r w:rsidRPr="003C72D8">
        <w:rPr>
          <w:rFonts w:ascii="Times New Roman" w:hAnsi="Times New Roman" w:cs="Times New Roman"/>
          <w:sz w:val="24"/>
          <w:szCs w:val="24"/>
        </w:rPr>
        <w:t xml:space="preserve"> change in enterprise income over the previous 12 months</w:t>
      </w:r>
      <w:r w:rsidR="003C72D8" w:rsidRPr="003C72D8">
        <w:rPr>
          <w:rFonts w:ascii="Times New Roman" w:hAnsi="Times New Roman" w:cs="Times New Roman"/>
          <w:sz w:val="24"/>
          <w:szCs w:val="24"/>
        </w:rPr>
        <w:t xml:space="preserve">, </w:t>
      </w:r>
      <w:r w:rsidRPr="003C72D8">
        <w:rPr>
          <w:rFonts w:ascii="Times New Roman" w:hAnsi="Times New Roman" w:cs="Times New Roman"/>
          <w:bCs/>
          <w:sz w:val="24"/>
          <w:szCs w:val="24"/>
        </w:rPr>
        <w:t>Enterprise survival</w:t>
      </w:r>
      <w:r w:rsidR="003C72D8">
        <w:rPr>
          <w:rFonts w:ascii="Times New Roman" w:hAnsi="Times New Roman" w:cs="Times New Roman"/>
          <w:sz w:val="24"/>
          <w:szCs w:val="24"/>
        </w:rPr>
        <w:t xml:space="preserve">  </w:t>
      </w:r>
      <w:r w:rsidRPr="003C72D8">
        <w:rPr>
          <w:rFonts w:ascii="Times New Roman" w:hAnsi="Times New Roman" w:cs="Times New Roman"/>
          <w:sz w:val="24"/>
          <w:szCs w:val="24"/>
        </w:rPr>
        <w:t xml:space="preserve"> whether the business has operated for more than two years</w:t>
      </w:r>
      <w:r w:rsidR="003C72D8" w:rsidRPr="003C72D8">
        <w:rPr>
          <w:rFonts w:ascii="Times New Roman" w:hAnsi="Times New Roman" w:cs="Times New Roman"/>
          <w:sz w:val="24"/>
          <w:szCs w:val="24"/>
        </w:rPr>
        <w:t xml:space="preserve">, </w:t>
      </w:r>
      <w:r w:rsidRPr="003C72D8">
        <w:rPr>
          <w:rFonts w:ascii="Times New Roman" w:hAnsi="Times New Roman" w:cs="Times New Roman"/>
          <w:bCs/>
          <w:sz w:val="24"/>
          <w:szCs w:val="24"/>
        </w:rPr>
        <w:t xml:space="preserve">Enterprise </w:t>
      </w:r>
      <w:r w:rsidR="003C72D8" w:rsidRPr="003C72D8">
        <w:rPr>
          <w:rFonts w:ascii="Times New Roman" w:hAnsi="Times New Roman" w:cs="Times New Roman"/>
          <w:bCs/>
          <w:sz w:val="24"/>
          <w:szCs w:val="24"/>
        </w:rPr>
        <w:t>diversification</w:t>
      </w:r>
      <w:r w:rsidR="003C72D8">
        <w:rPr>
          <w:rFonts w:ascii="Times New Roman" w:hAnsi="Times New Roman" w:cs="Times New Roman"/>
          <w:sz w:val="24"/>
          <w:szCs w:val="24"/>
        </w:rPr>
        <w:t xml:space="preserve"> number</w:t>
      </w:r>
      <w:r w:rsidRPr="003C72D8">
        <w:rPr>
          <w:rFonts w:ascii="Times New Roman" w:hAnsi="Times New Roman" w:cs="Times New Roman"/>
          <w:sz w:val="24"/>
          <w:szCs w:val="24"/>
        </w:rPr>
        <w:t xml:space="preserve"> of different products or services offered</w:t>
      </w:r>
      <w:r w:rsidR="003C72D8">
        <w:rPr>
          <w:rFonts w:ascii="Times New Roman" w:hAnsi="Times New Roman" w:cs="Times New Roman"/>
          <w:sz w:val="24"/>
          <w:szCs w:val="24"/>
        </w:rPr>
        <w:t xml:space="preserve"> </w:t>
      </w:r>
      <w:r w:rsidR="003C72D8" w:rsidRPr="003C72D8">
        <w:rPr>
          <w:rFonts w:ascii="Times New Roman" w:hAnsi="Times New Roman" w:cs="Times New Roman"/>
          <w:sz w:val="24"/>
          <w:szCs w:val="24"/>
        </w:rPr>
        <w:t xml:space="preserve">and </w:t>
      </w:r>
      <w:r w:rsidRPr="003C72D8">
        <w:rPr>
          <w:rFonts w:ascii="Times New Roman" w:hAnsi="Times New Roman" w:cs="Times New Roman"/>
          <w:bCs/>
          <w:sz w:val="24"/>
          <w:szCs w:val="24"/>
        </w:rPr>
        <w:t>Sustainability practices</w:t>
      </w:r>
      <w:r w:rsidRPr="003C72D8">
        <w:rPr>
          <w:rFonts w:ascii="Times New Roman" w:hAnsi="Times New Roman" w:cs="Times New Roman"/>
          <w:sz w:val="24"/>
          <w:szCs w:val="24"/>
        </w:rPr>
        <w:t xml:space="preserve"> adoption of environ</w:t>
      </w:r>
      <w:r w:rsidRPr="003143AE">
        <w:rPr>
          <w:rFonts w:ascii="Times New Roman" w:hAnsi="Times New Roman" w:cs="Times New Roman"/>
          <w:sz w:val="24"/>
          <w:szCs w:val="24"/>
        </w:rPr>
        <w:t>mentally responsible practices relevant to Blue-economy activities</w:t>
      </w:r>
      <w:r w:rsidR="003C72D8">
        <w:rPr>
          <w:rFonts w:ascii="Times New Roman" w:hAnsi="Times New Roman" w:cs="Times New Roman"/>
          <w:sz w:val="24"/>
          <w:szCs w:val="24"/>
        </w:rPr>
        <w:t xml:space="preserve">. </w:t>
      </w:r>
      <w:r w:rsidRPr="003143AE">
        <w:rPr>
          <w:rFonts w:ascii="Times New Roman" w:hAnsi="Times New Roman" w:cs="Times New Roman"/>
          <w:sz w:val="24"/>
          <w:szCs w:val="24"/>
        </w:rPr>
        <w:t>These indicators capture both economic and environmental dimensions of enterprise performance within the Blue Economy.</w:t>
      </w:r>
    </w:p>
    <w:p w:rsidR="003143AE" w:rsidRPr="003C72D8" w:rsidRDefault="003143AE" w:rsidP="003C72D8">
      <w:pPr>
        <w:pStyle w:val="ListParagraph"/>
        <w:numPr>
          <w:ilvl w:val="2"/>
          <w:numId w:val="21"/>
        </w:numPr>
        <w:jc w:val="both"/>
        <w:rPr>
          <w:rFonts w:ascii="Times New Roman" w:hAnsi="Times New Roman" w:cs="Times New Roman"/>
          <w:b/>
          <w:bCs/>
          <w:sz w:val="24"/>
          <w:szCs w:val="24"/>
        </w:rPr>
      </w:pPr>
      <w:r w:rsidRPr="003C72D8">
        <w:rPr>
          <w:rFonts w:ascii="Times New Roman" w:hAnsi="Times New Roman" w:cs="Times New Roman"/>
          <w:b/>
          <w:bCs/>
          <w:sz w:val="24"/>
          <w:szCs w:val="24"/>
        </w:rPr>
        <w:t>Control Variables</w:t>
      </w:r>
    </w:p>
    <w:p w:rsidR="003143AE" w:rsidRPr="003C72D8" w:rsidRDefault="003143AE" w:rsidP="003C72D8">
      <w:pPr>
        <w:jc w:val="both"/>
        <w:rPr>
          <w:rFonts w:ascii="Times New Roman" w:hAnsi="Times New Roman" w:cs="Times New Roman"/>
          <w:sz w:val="24"/>
          <w:szCs w:val="24"/>
        </w:rPr>
      </w:pPr>
      <w:r w:rsidRPr="003143AE">
        <w:rPr>
          <w:rFonts w:ascii="Times New Roman" w:hAnsi="Times New Roman" w:cs="Times New Roman"/>
          <w:sz w:val="24"/>
          <w:szCs w:val="24"/>
        </w:rPr>
        <w:t>To isolate the effect of community engagement, several control variables were in</w:t>
      </w:r>
      <w:r w:rsidR="003C72D8">
        <w:rPr>
          <w:rFonts w:ascii="Times New Roman" w:hAnsi="Times New Roman" w:cs="Times New Roman"/>
          <w:sz w:val="24"/>
          <w:szCs w:val="24"/>
        </w:rPr>
        <w:t xml:space="preserve">cluded in the regression models </w:t>
      </w:r>
      <w:r w:rsidRPr="003143AE">
        <w:rPr>
          <w:rFonts w:ascii="Times New Roman" w:hAnsi="Times New Roman" w:cs="Times New Roman"/>
          <w:sz w:val="24"/>
          <w:szCs w:val="24"/>
        </w:rPr>
        <w:t>Education level of the entrepreneur</w:t>
      </w:r>
      <w:r w:rsidR="003C72D8">
        <w:rPr>
          <w:rFonts w:ascii="Times New Roman" w:hAnsi="Times New Roman" w:cs="Times New Roman"/>
          <w:sz w:val="24"/>
          <w:szCs w:val="24"/>
        </w:rPr>
        <w:t xml:space="preserve">, </w:t>
      </w:r>
      <w:r w:rsidRPr="003143AE">
        <w:rPr>
          <w:rFonts w:ascii="Times New Roman" w:hAnsi="Times New Roman" w:cs="Times New Roman"/>
          <w:sz w:val="24"/>
          <w:szCs w:val="24"/>
        </w:rPr>
        <w:t>Business experience</w:t>
      </w:r>
      <w:r w:rsidR="003C72D8">
        <w:rPr>
          <w:rFonts w:ascii="Times New Roman" w:hAnsi="Times New Roman" w:cs="Times New Roman"/>
          <w:sz w:val="24"/>
          <w:szCs w:val="24"/>
        </w:rPr>
        <w:t xml:space="preserve">, </w:t>
      </w:r>
      <w:r w:rsidRPr="003143AE">
        <w:rPr>
          <w:rFonts w:ascii="Times New Roman" w:hAnsi="Times New Roman" w:cs="Times New Roman"/>
          <w:sz w:val="24"/>
          <w:szCs w:val="24"/>
        </w:rPr>
        <w:t>Enterprise type</w:t>
      </w:r>
      <w:r w:rsidR="003C72D8">
        <w:rPr>
          <w:rFonts w:ascii="Times New Roman" w:hAnsi="Times New Roman" w:cs="Times New Roman"/>
          <w:sz w:val="24"/>
          <w:szCs w:val="24"/>
        </w:rPr>
        <w:t xml:space="preserve">, </w:t>
      </w:r>
      <w:r w:rsidRPr="003143AE">
        <w:rPr>
          <w:rFonts w:ascii="Times New Roman" w:hAnsi="Times New Roman" w:cs="Times New Roman"/>
          <w:sz w:val="24"/>
          <w:szCs w:val="24"/>
        </w:rPr>
        <w:t>Access to finance</w:t>
      </w:r>
      <w:r w:rsidR="003C72D8">
        <w:rPr>
          <w:rFonts w:ascii="Times New Roman" w:hAnsi="Times New Roman" w:cs="Times New Roman"/>
          <w:sz w:val="24"/>
          <w:szCs w:val="24"/>
        </w:rPr>
        <w:t xml:space="preserve">, </w:t>
      </w:r>
      <w:r w:rsidRPr="003143AE">
        <w:rPr>
          <w:rFonts w:ascii="Times New Roman" w:hAnsi="Times New Roman" w:cs="Times New Roman"/>
          <w:sz w:val="24"/>
          <w:szCs w:val="24"/>
        </w:rPr>
        <w:t>Access to training</w:t>
      </w:r>
      <w:r w:rsidR="003C72D8">
        <w:rPr>
          <w:rFonts w:ascii="Times New Roman" w:hAnsi="Times New Roman" w:cs="Times New Roman"/>
          <w:sz w:val="24"/>
          <w:szCs w:val="24"/>
        </w:rPr>
        <w:t xml:space="preserve"> and </w:t>
      </w:r>
      <w:r w:rsidRPr="003143AE">
        <w:rPr>
          <w:rFonts w:ascii="Times New Roman" w:hAnsi="Times New Roman" w:cs="Times New Roman"/>
          <w:sz w:val="24"/>
          <w:szCs w:val="24"/>
        </w:rPr>
        <w:t>District location (Bagamoyo or Kinondoni)</w:t>
      </w:r>
    </w:p>
    <w:p w:rsidR="003143AE" w:rsidRPr="003143AE" w:rsidRDefault="003143AE" w:rsidP="003143AE">
      <w:pPr>
        <w:jc w:val="both"/>
        <w:rPr>
          <w:rFonts w:ascii="Times New Roman" w:hAnsi="Times New Roman" w:cs="Times New Roman"/>
          <w:b/>
          <w:bCs/>
          <w:sz w:val="24"/>
          <w:szCs w:val="24"/>
        </w:rPr>
      </w:pPr>
      <w:r w:rsidRPr="003143AE">
        <w:rPr>
          <w:rFonts w:ascii="Times New Roman" w:hAnsi="Times New Roman" w:cs="Times New Roman"/>
          <w:b/>
          <w:bCs/>
          <w:sz w:val="24"/>
          <w:szCs w:val="24"/>
        </w:rPr>
        <w:t>3.5 Data Analysis</w:t>
      </w:r>
    </w:p>
    <w:p w:rsidR="00957681" w:rsidRPr="00957681" w:rsidRDefault="003143AE" w:rsidP="00957681">
      <w:pPr>
        <w:jc w:val="both"/>
        <w:rPr>
          <w:rFonts w:ascii="Times New Roman" w:hAnsi="Times New Roman" w:cs="Times New Roman"/>
          <w:sz w:val="24"/>
          <w:szCs w:val="24"/>
        </w:rPr>
      </w:pPr>
      <w:r w:rsidRPr="008D257C">
        <w:rPr>
          <w:rFonts w:ascii="Times New Roman" w:hAnsi="Times New Roman" w:cs="Times New Roman"/>
          <w:sz w:val="24"/>
          <w:szCs w:val="24"/>
        </w:rPr>
        <w:t xml:space="preserve">Quantitative data were coded and analyzed using the </w:t>
      </w:r>
      <w:r w:rsidRPr="008D257C">
        <w:rPr>
          <w:rFonts w:ascii="Times New Roman" w:hAnsi="Times New Roman" w:cs="Times New Roman"/>
          <w:bCs/>
          <w:sz w:val="24"/>
          <w:szCs w:val="24"/>
        </w:rPr>
        <w:t>Statistical Package for the Social Sciences (SPSS)</w:t>
      </w:r>
      <w:r w:rsidRPr="008D257C">
        <w:rPr>
          <w:rFonts w:ascii="Times New Roman" w:hAnsi="Times New Roman" w:cs="Times New Roman"/>
          <w:sz w:val="24"/>
          <w:szCs w:val="24"/>
        </w:rPr>
        <w:t xml:space="preserve">. The analysis </w:t>
      </w:r>
      <w:r w:rsidR="008D257C" w:rsidRPr="008D257C">
        <w:rPr>
          <w:rFonts w:ascii="Times New Roman" w:hAnsi="Times New Roman" w:cs="Times New Roman"/>
          <w:sz w:val="24"/>
          <w:szCs w:val="24"/>
        </w:rPr>
        <w:t xml:space="preserve">was conducted in several stages </w:t>
      </w:r>
      <w:r w:rsidRPr="008D257C">
        <w:rPr>
          <w:rFonts w:ascii="Times New Roman" w:hAnsi="Times New Roman" w:cs="Times New Roman"/>
          <w:sz w:val="24"/>
          <w:szCs w:val="24"/>
        </w:rPr>
        <w:t xml:space="preserve">First, </w:t>
      </w:r>
      <w:r w:rsidRPr="008D257C">
        <w:rPr>
          <w:rFonts w:ascii="Times New Roman" w:hAnsi="Times New Roman" w:cs="Times New Roman"/>
          <w:bCs/>
          <w:sz w:val="24"/>
          <w:szCs w:val="24"/>
        </w:rPr>
        <w:t>descriptive statistics</w:t>
      </w:r>
      <w:r w:rsidRPr="008D257C">
        <w:rPr>
          <w:rFonts w:ascii="Times New Roman" w:hAnsi="Times New Roman" w:cs="Times New Roman"/>
          <w:sz w:val="24"/>
          <w:szCs w:val="24"/>
        </w:rPr>
        <w:t xml:space="preserve"> (means, standard deviations, and frequencies) were computed to summarize respondent characteri</w:t>
      </w:r>
      <w:r w:rsidR="008D257C" w:rsidRPr="008D257C">
        <w:rPr>
          <w:rFonts w:ascii="Times New Roman" w:hAnsi="Times New Roman" w:cs="Times New Roman"/>
          <w:sz w:val="24"/>
          <w:szCs w:val="24"/>
        </w:rPr>
        <w:t xml:space="preserve">stics and enterprise attributes, </w:t>
      </w:r>
      <w:r w:rsidRPr="008D257C">
        <w:rPr>
          <w:rFonts w:ascii="Times New Roman" w:hAnsi="Times New Roman" w:cs="Times New Roman"/>
          <w:sz w:val="24"/>
          <w:szCs w:val="24"/>
        </w:rPr>
        <w:t xml:space="preserve">Second, </w:t>
      </w:r>
      <w:r w:rsidRPr="008D257C">
        <w:rPr>
          <w:rFonts w:ascii="Times New Roman" w:hAnsi="Times New Roman" w:cs="Times New Roman"/>
          <w:bCs/>
          <w:sz w:val="24"/>
          <w:szCs w:val="24"/>
        </w:rPr>
        <w:t>reliability analysis</w:t>
      </w:r>
      <w:r w:rsidRPr="008D257C">
        <w:rPr>
          <w:rFonts w:ascii="Times New Roman" w:hAnsi="Times New Roman" w:cs="Times New Roman"/>
          <w:sz w:val="24"/>
          <w:szCs w:val="24"/>
        </w:rPr>
        <w:t xml:space="preserve"> using Cronbach’s alpha was performed to test internal c</w:t>
      </w:r>
      <w:r w:rsidR="008D257C" w:rsidRPr="008D257C">
        <w:rPr>
          <w:rFonts w:ascii="Times New Roman" w:hAnsi="Times New Roman" w:cs="Times New Roman"/>
          <w:sz w:val="24"/>
          <w:szCs w:val="24"/>
        </w:rPr>
        <w:t xml:space="preserve">onsistency of composite indices, </w:t>
      </w:r>
      <w:r w:rsidRPr="008D257C">
        <w:rPr>
          <w:rFonts w:ascii="Times New Roman" w:hAnsi="Times New Roman" w:cs="Times New Roman"/>
          <w:sz w:val="24"/>
          <w:szCs w:val="24"/>
        </w:rPr>
        <w:t xml:space="preserve">Third, </w:t>
      </w:r>
      <w:r w:rsidRPr="008D257C">
        <w:rPr>
          <w:rFonts w:ascii="Times New Roman" w:hAnsi="Times New Roman" w:cs="Times New Roman"/>
          <w:bCs/>
          <w:sz w:val="24"/>
          <w:szCs w:val="24"/>
        </w:rPr>
        <w:t>Pearson correlation analysis</w:t>
      </w:r>
      <w:r w:rsidRPr="008D257C">
        <w:rPr>
          <w:rFonts w:ascii="Times New Roman" w:hAnsi="Times New Roman" w:cs="Times New Roman"/>
          <w:sz w:val="24"/>
          <w:szCs w:val="24"/>
        </w:rPr>
        <w:t xml:space="preserve"> was used to examine preliminary relationships between community engagement and en</w:t>
      </w:r>
      <w:r w:rsidR="008D257C" w:rsidRPr="008D257C">
        <w:rPr>
          <w:rFonts w:ascii="Times New Roman" w:hAnsi="Times New Roman" w:cs="Times New Roman"/>
          <w:sz w:val="24"/>
          <w:szCs w:val="24"/>
        </w:rPr>
        <w:t xml:space="preserve">terprise performance indicators and </w:t>
      </w:r>
      <w:r w:rsidRPr="008D257C">
        <w:rPr>
          <w:rFonts w:ascii="Times New Roman" w:hAnsi="Times New Roman" w:cs="Times New Roman"/>
          <w:sz w:val="24"/>
          <w:szCs w:val="24"/>
        </w:rPr>
        <w:t xml:space="preserve">Fourth, </w:t>
      </w:r>
      <w:r w:rsidRPr="008D257C">
        <w:rPr>
          <w:rFonts w:ascii="Times New Roman" w:hAnsi="Times New Roman" w:cs="Times New Roman"/>
          <w:bCs/>
          <w:sz w:val="24"/>
          <w:szCs w:val="24"/>
        </w:rPr>
        <w:t>multivariate regression models</w:t>
      </w:r>
      <w:r w:rsidRPr="008D257C">
        <w:rPr>
          <w:rFonts w:ascii="Times New Roman" w:hAnsi="Times New Roman" w:cs="Times New Roman"/>
          <w:sz w:val="24"/>
          <w:szCs w:val="24"/>
        </w:rPr>
        <w:t xml:space="preserve"> were estimated to test the study hypotheses. Ordinary Least Squares (OLS) regression was used for continuous dependent variables such as income growth, diversification, and sustainability practices. </w:t>
      </w:r>
      <w:r w:rsidRPr="008D257C">
        <w:rPr>
          <w:rFonts w:ascii="Times New Roman" w:hAnsi="Times New Roman" w:cs="Times New Roman"/>
          <w:bCs/>
          <w:sz w:val="24"/>
          <w:szCs w:val="24"/>
        </w:rPr>
        <w:t>Logistic regression</w:t>
      </w:r>
      <w:r w:rsidRPr="008D257C">
        <w:rPr>
          <w:rFonts w:ascii="Times New Roman" w:hAnsi="Times New Roman" w:cs="Times New Roman"/>
          <w:sz w:val="24"/>
          <w:szCs w:val="24"/>
        </w:rPr>
        <w:t xml:space="preserve"> was employed to analyze enterprise survival as a binary outcome.</w:t>
      </w:r>
      <w:r w:rsidR="00A85C25">
        <w:rPr>
          <w:rFonts w:ascii="Times New Roman" w:hAnsi="Times New Roman" w:cs="Times New Roman"/>
          <w:sz w:val="24"/>
          <w:szCs w:val="24"/>
        </w:rPr>
        <w:t xml:space="preserve"> </w:t>
      </w:r>
      <w:r w:rsidRPr="008D257C">
        <w:rPr>
          <w:rFonts w:ascii="Times New Roman" w:hAnsi="Times New Roman" w:cs="Times New Roman"/>
          <w:sz w:val="24"/>
          <w:szCs w:val="24"/>
        </w:rPr>
        <w:t xml:space="preserve">To examine contextual differences between districts, </w:t>
      </w:r>
      <w:r w:rsidRPr="008D257C">
        <w:rPr>
          <w:rFonts w:ascii="Times New Roman" w:hAnsi="Times New Roman" w:cs="Times New Roman"/>
          <w:bCs/>
          <w:sz w:val="24"/>
          <w:szCs w:val="24"/>
        </w:rPr>
        <w:t>interaction terms between community engagement and district location</w:t>
      </w:r>
      <w:r w:rsidRPr="008D257C">
        <w:rPr>
          <w:rFonts w:ascii="Times New Roman" w:hAnsi="Times New Roman" w:cs="Times New Roman"/>
          <w:sz w:val="24"/>
          <w:szCs w:val="24"/>
        </w:rPr>
        <w:t xml:space="preserve"> were included in the regression models.</w:t>
      </w:r>
      <w:r w:rsidR="008D257C" w:rsidRPr="008D257C">
        <w:rPr>
          <w:rFonts w:ascii="Times New Roman" w:hAnsi="Times New Roman" w:cs="Times New Roman"/>
          <w:sz w:val="24"/>
          <w:szCs w:val="24"/>
        </w:rPr>
        <w:t xml:space="preserve"> </w:t>
      </w:r>
      <w:r w:rsidRPr="008D257C">
        <w:rPr>
          <w:rFonts w:ascii="Times New Roman" w:hAnsi="Times New Roman" w:cs="Times New Roman"/>
          <w:sz w:val="24"/>
          <w:szCs w:val="24"/>
        </w:rPr>
        <w:t xml:space="preserve">Qualitative data from interviews and focus groups were analyzed using </w:t>
      </w:r>
      <w:r w:rsidRPr="008D257C">
        <w:rPr>
          <w:rFonts w:ascii="Times New Roman" w:hAnsi="Times New Roman" w:cs="Times New Roman"/>
          <w:bCs/>
          <w:sz w:val="24"/>
          <w:szCs w:val="24"/>
        </w:rPr>
        <w:t>thematic analysis</w:t>
      </w:r>
      <w:r w:rsidRPr="008D257C">
        <w:rPr>
          <w:rFonts w:ascii="Times New Roman" w:hAnsi="Times New Roman" w:cs="Times New Roman"/>
          <w:sz w:val="24"/>
          <w:szCs w:val="24"/>
        </w:rPr>
        <w:t>, allowing identification of recurring patterns related to community engagement mechanisms, institutional arrangements, and perceived impacts on enterprise performance.</w:t>
      </w:r>
    </w:p>
    <w:p w:rsidR="00957681" w:rsidRPr="00957681" w:rsidRDefault="00957681" w:rsidP="00957681">
      <w:pPr>
        <w:jc w:val="both"/>
        <w:rPr>
          <w:rFonts w:ascii="Times New Roman" w:hAnsi="Times New Roman" w:cs="Times New Roman"/>
          <w:b/>
          <w:bCs/>
          <w:sz w:val="24"/>
          <w:szCs w:val="24"/>
        </w:rPr>
      </w:pPr>
      <w:r w:rsidRPr="00957681">
        <w:rPr>
          <w:rFonts w:ascii="Times New Roman" w:hAnsi="Times New Roman" w:cs="Times New Roman"/>
          <w:b/>
          <w:bCs/>
          <w:sz w:val="24"/>
          <w:szCs w:val="24"/>
        </w:rPr>
        <w:t xml:space="preserve">3.6 Model Specification and Estimation Strategy </w:t>
      </w:r>
    </w:p>
    <w:p w:rsidR="00957681" w:rsidRPr="00957681" w:rsidRDefault="00957681" w:rsidP="00957681">
      <w:pPr>
        <w:jc w:val="both"/>
        <w:rPr>
          <w:rFonts w:ascii="Times New Roman" w:hAnsi="Times New Roman" w:cs="Times New Roman"/>
          <w:sz w:val="24"/>
          <w:szCs w:val="24"/>
        </w:rPr>
      </w:pPr>
      <w:r w:rsidRPr="00957681">
        <w:rPr>
          <w:rFonts w:ascii="Times New Roman" w:hAnsi="Times New Roman" w:cs="Times New Roman"/>
          <w:sz w:val="24"/>
          <w:szCs w:val="24"/>
        </w:rPr>
        <w:lastRenderedPageBreak/>
        <w:t xml:space="preserve">To empirically test the study hypotheses, this research employs </w:t>
      </w:r>
      <w:r w:rsidRPr="00957681">
        <w:rPr>
          <w:rFonts w:ascii="Times New Roman" w:hAnsi="Times New Roman" w:cs="Times New Roman"/>
          <w:bCs/>
          <w:sz w:val="24"/>
          <w:szCs w:val="24"/>
        </w:rPr>
        <w:t>multivariate regression techniques</w:t>
      </w:r>
      <w:r w:rsidRPr="00957681">
        <w:rPr>
          <w:rFonts w:ascii="Times New Roman" w:hAnsi="Times New Roman" w:cs="Times New Roman"/>
          <w:sz w:val="24"/>
          <w:szCs w:val="24"/>
        </w:rPr>
        <w:t xml:space="preserve">, specifically Ordinary Least Squares (OLS) regression and logistic regression models. These models are appropriate because the study seeks to examine the </w:t>
      </w:r>
      <w:r w:rsidRPr="00957681">
        <w:rPr>
          <w:rFonts w:ascii="Times New Roman" w:hAnsi="Times New Roman" w:cs="Times New Roman"/>
          <w:bCs/>
          <w:sz w:val="24"/>
          <w:szCs w:val="24"/>
        </w:rPr>
        <w:t>direct effects of community engagement on multiple enterprise performance outcomes</w:t>
      </w:r>
      <w:r w:rsidRPr="00957681">
        <w:rPr>
          <w:rFonts w:ascii="Times New Roman" w:hAnsi="Times New Roman" w:cs="Times New Roman"/>
          <w:sz w:val="24"/>
          <w:szCs w:val="24"/>
        </w:rPr>
        <w:t>, while controlling for socio-economic and contextual factors.</w:t>
      </w:r>
    </w:p>
    <w:p w:rsidR="00957681" w:rsidRPr="00957681" w:rsidRDefault="00957681" w:rsidP="00957681">
      <w:pPr>
        <w:jc w:val="both"/>
        <w:rPr>
          <w:rFonts w:ascii="Times New Roman" w:hAnsi="Times New Roman" w:cs="Times New Roman"/>
          <w:sz w:val="24"/>
          <w:szCs w:val="24"/>
        </w:rPr>
      </w:pPr>
      <w:r w:rsidRPr="00957681">
        <w:rPr>
          <w:rFonts w:ascii="Times New Roman" w:hAnsi="Times New Roman" w:cs="Times New Roman"/>
          <w:sz w:val="24"/>
          <w:szCs w:val="24"/>
        </w:rPr>
        <w:t xml:space="preserve">OLS regression is used for continuous dependent variables, including </w:t>
      </w:r>
      <w:r w:rsidRPr="00957681">
        <w:rPr>
          <w:rFonts w:ascii="Times New Roman" w:hAnsi="Times New Roman" w:cs="Times New Roman"/>
          <w:bCs/>
          <w:sz w:val="24"/>
          <w:szCs w:val="24"/>
        </w:rPr>
        <w:t>income growth, enterprise diversification, and sustainability practices</w:t>
      </w:r>
      <w:r w:rsidRPr="00957681">
        <w:rPr>
          <w:rFonts w:ascii="Times New Roman" w:hAnsi="Times New Roman" w:cs="Times New Roman"/>
          <w:sz w:val="24"/>
          <w:szCs w:val="24"/>
        </w:rPr>
        <w:t xml:space="preserve">, as it allows estimation of the linear relationship between independent variables and continuous outcome measures. OLS is widely applied in entrepreneurship and development research to assess determinants of firm performance, particularly when variables are directly observable and measured through composite indices (Venkatraman &amp; </w:t>
      </w:r>
      <w:proofErr w:type="spellStart"/>
      <w:r w:rsidRPr="00957681">
        <w:rPr>
          <w:rFonts w:ascii="Times New Roman" w:hAnsi="Times New Roman" w:cs="Times New Roman"/>
          <w:sz w:val="24"/>
          <w:szCs w:val="24"/>
        </w:rPr>
        <w:t>Ramanujam</w:t>
      </w:r>
      <w:proofErr w:type="spellEnd"/>
      <w:r w:rsidRPr="00957681">
        <w:rPr>
          <w:rFonts w:ascii="Times New Roman" w:hAnsi="Times New Roman" w:cs="Times New Roman"/>
          <w:sz w:val="24"/>
          <w:szCs w:val="24"/>
        </w:rPr>
        <w:t xml:space="preserve">, 1986; </w:t>
      </w:r>
      <w:proofErr w:type="spellStart"/>
      <w:r w:rsidRPr="00957681">
        <w:rPr>
          <w:rFonts w:ascii="Times New Roman" w:hAnsi="Times New Roman" w:cs="Times New Roman"/>
          <w:sz w:val="24"/>
          <w:szCs w:val="24"/>
        </w:rPr>
        <w:t>Wiklund</w:t>
      </w:r>
      <w:proofErr w:type="spellEnd"/>
      <w:r w:rsidRPr="00957681">
        <w:rPr>
          <w:rFonts w:ascii="Times New Roman" w:hAnsi="Times New Roman" w:cs="Times New Roman"/>
          <w:sz w:val="24"/>
          <w:szCs w:val="24"/>
        </w:rPr>
        <w:t xml:space="preserve"> &amp; Shepherd, 2005). The use of OLS enables the study to quantify the marginal effect of community engagement on enterprise performance while controlling for relevant covariates such as education, business experience, access to finance, and district location.</w:t>
      </w:r>
    </w:p>
    <w:p w:rsidR="00957681" w:rsidRPr="00957681" w:rsidRDefault="00957681" w:rsidP="00957681">
      <w:pPr>
        <w:jc w:val="both"/>
        <w:rPr>
          <w:rFonts w:ascii="Times New Roman" w:hAnsi="Times New Roman" w:cs="Times New Roman"/>
          <w:sz w:val="24"/>
          <w:szCs w:val="24"/>
        </w:rPr>
      </w:pPr>
      <w:r w:rsidRPr="00957681">
        <w:rPr>
          <w:rFonts w:ascii="Times New Roman" w:hAnsi="Times New Roman" w:cs="Times New Roman"/>
          <w:sz w:val="24"/>
          <w:szCs w:val="24"/>
        </w:rPr>
        <w:t xml:space="preserve">In addition, </w:t>
      </w:r>
      <w:r w:rsidRPr="00957681">
        <w:rPr>
          <w:rFonts w:ascii="Times New Roman" w:hAnsi="Times New Roman" w:cs="Times New Roman"/>
          <w:bCs/>
          <w:sz w:val="24"/>
          <w:szCs w:val="24"/>
        </w:rPr>
        <w:t>logistic regression</w:t>
      </w:r>
      <w:r w:rsidRPr="00957681">
        <w:rPr>
          <w:rFonts w:ascii="Times New Roman" w:hAnsi="Times New Roman" w:cs="Times New Roman"/>
          <w:sz w:val="24"/>
          <w:szCs w:val="24"/>
        </w:rPr>
        <w:t xml:space="preserve"> is employed to analyze enterprise survival, which is operationalized as a binary outcome indicating whether an enterprise has operated for more than two years. Logistic regression is appropriate for binary dependent variables because it estimates the pr</w:t>
      </w:r>
      <w:r>
        <w:rPr>
          <w:rFonts w:ascii="Times New Roman" w:hAnsi="Times New Roman" w:cs="Times New Roman"/>
          <w:sz w:val="24"/>
          <w:szCs w:val="24"/>
        </w:rPr>
        <w:t xml:space="preserve">obability of an event occurring </w:t>
      </w:r>
      <w:r w:rsidRPr="00957681">
        <w:rPr>
          <w:rFonts w:ascii="Times New Roman" w:hAnsi="Times New Roman" w:cs="Times New Roman"/>
          <w:sz w:val="24"/>
          <w:szCs w:val="24"/>
        </w:rPr>
        <w:t>in</w:t>
      </w:r>
      <w:r>
        <w:rPr>
          <w:rFonts w:ascii="Times New Roman" w:hAnsi="Times New Roman" w:cs="Times New Roman"/>
          <w:sz w:val="24"/>
          <w:szCs w:val="24"/>
        </w:rPr>
        <w:t xml:space="preserve"> this case, enterprise survival </w:t>
      </w:r>
      <w:r w:rsidRPr="00957681">
        <w:rPr>
          <w:rFonts w:ascii="Times New Roman" w:hAnsi="Times New Roman" w:cs="Times New Roman"/>
          <w:sz w:val="24"/>
          <w:szCs w:val="24"/>
        </w:rPr>
        <w:t>based on a set of predictor variables.</w:t>
      </w:r>
    </w:p>
    <w:p w:rsidR="00957681" w:rsidRPr="00957681" w:rsidRDefault="00957681" w:rsidP="00957681">
      <w:pPr>
        <w:jc w:val="both"/>
        <w:rPr>
          <w:rFonts w:ascii="Times New Roman" w:hAnsi="Times New Roman" w:cs="Times New Roman"/>
          <w:sz w:val="24"/>
          <w:szCs w:val="24"/>
        </w:rPr>
      </w:pPr>
      <w:r w:rsidRPr="00957681">
        <w:rPr>
          <w:rFonts w:ascii="Times New Roman" w:hAnsi="Times New Roman" w:cs="Times New Roman"/>
          <w:sz w:val="24"/>
          <w:szCs w:val="24"/>
        </w:rPr>
        <w:t xml:space="preserve">Although </w:t>
      </w:r>
      <w:r w:rsidRPr="00957681">
        <w:rPr>
          <w:rFonts w:ascii="Times New Roman" w:hAnsi="Times New Roman" w:cs="Times New Roman"/>
          <w:bCs/>
          <w:sz w:val="24"/>
          <w:szCs w:val="24"/>
        </w:rPr>
        <w:t>Structural Equation Modeling (SEM)</w:t>
      </w:r>
      <w:r w:rsidRPr="00957681">
        <w:rPr>
          <w:rFonts w:ascii="Times New Roman" w:hAnsi="Times New Roman" w:cs="Times New Roman"/>
          <w:sz w:val="24"/>
          <w:szCs w:val="24"/>
        </w:rPr>
        <w:t xml:space="preserve"> can be used to estimate complex relationships involving latent constructs and multiple simultaneous pathways, the present study focuses primarily on </w:t>
      </w:r>
      <w:r w:rsidRPr="00957681">
        <w:rPr>
          <w:rFonts w:ascii="Times New Roman" w:hAnsi="Times New Roman" w:cs="Times New Roman"/>
          <w:bCs/>
          <w:sz w:val="24"/>
          <w:szCs w:val="24"/>
        </w:rPr>
        <w:t>direct relationships between observed variables rather than latent structural relationships</w:t>
      </w:r>
      <w:r w:rsidRPr="00957681">
        <w:rPr>
          <w:rFonts w:ascii="Times New Roman" w:hAnsi="Times New Roman" w:cs="Times New Roman"/>
          <w:sz w:val="24"/>
          <w:szCs w:val="24"/>
        </w:rPr>
        <w:t>. Furthermore, the composite indices used in this study (e.g., Community Engagement Index and Sustainability Practices Index) were constructed from validated survey items and subsequently treated as observed variables. Given this structure and the study’s moderate sample size (N = 240), regression-based approaches provide a more parsimonious and statistically robust estimation strategy.</w:t>
      </w:r>
    </w:p>
    <w:p w:rsidR="00957681" w:rsidRPr="00957681" w:rsidRDefault="00957681" w:rsidP="00957681">
      <w:pPr>
        <w:jc w:val="both"/>
        <w:rPr>
          <w:rFonts w:ascii="Times New Roman" w:hAnsi="Times New Roman" w:cs="Times New Roman"/>
          <w:sz w:val="24"/>
          <w:szCs w:val="24"/>
        </w:rPr>
      </w:pPr>
      <w:r w:rsidRPr="00957681">
        <w:rPr>
          <w:rFonts w:ascii="Times New Roman" w:hAnsi="Times New Roman" w:cs="Times New Roman"/>
          <w:sz w:val="24"/>
          <w:szCs w:val="24"/>
        </w:rPr>
        <w:t xml:space="preserve">Another advantage of the regression approach is that it facilitates the inclusion of </w:t>
      </w:r>
      <w:r w:rsidRPr="00957681">
        <w:rPr>
          <w:rFonts w:ascii="Times New Roman" w:hAnsi="Times New Roman" w:cs="Times New Roman"/>
          <w:bCs/>
          <w:sz w:val="24"/>
          <w:szCs w:val="24"/>
        </w:rPr>
        <w:t>interaction terms</w:t>
      </w:r>
      <w:r w:rsidRPr="00957681">
        <w:rPr>
          <w:rFonts w:ascii="Times New Roman" w:hAnsi="Times New Roman" w:cs="Times New Roman"/>
          <w:sz w:val="24"/>
          <w:szCs w:val="24"/>
        </w:rPr>
        <w:t xml:space="preserve"> to examine contextual differences between districts. In this study, interaction terms between the Community Engagement Index and district location were included to assess whether the effects of community engagement differ between semi-rural and urban coastal environments.</w:t>
      </w:r>
    </w:p>
    <w:p w:rsidR="00957681" w:rsidRPr="00957681" w:rsidRDefault="00957681" w:rsidP="003143AE">
      <w:pPr>
        <w:jc w:val="both"/>
        <w:rPr>
          <w:rFonts w:ascii="Times New Roman" w:hAnsi="Times New Roman" w:cs="Times New Roman"/>
          <w:sz w:val="24"/>
          <w:szCs w:val="24"/>
        </w:rPr>
      </w:pPr>
      <w:r w:rsidRPr="00957681">
        <w:rPr>
          <w:rFonts w:ascii="Times New Roman" w:hAnsi="Times New Roman" w:cs="Times New Roman"/>
          <w:sz w:val="24"/>
          <w:szCs w:val="24"/>
        </w:rPr>
        <w:t xml:space="preserve">Prior to model estimation, diagnostic tests were conducted to ensure the robustness of the regression results. These included checks for </w:t>
      </w:r>
      <w:r w:rsidRPr="00957681">
        <w:rPr>
          <w:rFonts w:ascii="Times New Roman" w:hAnsi="Times New Roman" w:cs="Times New Roman"/>
          <w:bCs/>
          <w:sz w:val="24"/>
          <w:szCs w:val="24"/>
        </w:rPr>
        <w:t>multicollinearity using Variance Inflation Factors (VIF), heteroskedasticity tests, and examination of residual distributions</w:t>
      </w:r>
      <w:r w:rsidRPr="00957681">
        <w:rPr>
          <w:rFonts w:ascii="Times New Roman" w:hAnsi="Times New Roman" w:cs="Times New Roman"/>
          <w:sz w:val="24"/>
          <w:szCs w:val="24"/>
        </w:rPr>
        <w:t>. All VIF values were below the commonly accepted threshold of 10, indicating no serious multicollinearity among predictor variables.</w:t>
      </w:r>
      <w:r w:rsidR="00A85C25">
        <w:rPr>
          <w:rFonts w:ascii="Times New Roman" w:hAnsi="Times New Roman" w:cs="Times New Roman"/>
          <w:sz w:val="24"/>
          <w:szCs w:val="24"/>
        </w:rPr>
        <w:t xml:space="preserve"> </w:t>
      </w:r>
      <w:r w:rsidRPr="00957681">
        <w:rPr>
          <w:rFonts w:ascii="Times New Roman" w:hAnsi="Times New Roman" w:cs="Times New Roman"/>
          <w:sz w:val="24"/>
          <w:szCs w:val="24"/>
        </w:rPr>
        <w:t xml:space="preserve">Overall, the combined use of </w:t>
      </w:r>
      <w:r w:rsidRPr="00957681">
        <w:rPr>
          <w:rFonts w:ascii="Times New Roman" w:hAnsi="Times New Roman" w:cs="Times New Roman"/>
          <w:bCs/>
          <w:sz w:val="24"/>
          <w:szCs w:val="24"/>
        </w:rPr>
        <w:t xml:space="preserve">OLS and logistic regression models provides a </w:t>
      </w:r>
      <w:r w:rsidRPr="00957681">
        <w:rPr>
          <w:rFonts w:ascii="Times New Roman" w:hAnsi="Times New Roman" w:cs="Times New Roman"/>
          <w:bCs/>
          <w:sz w:val="24"/>
          <w:szCs w:val="24"/>
        </w:rPr>
        <w:lastRenderedPageBreak/>
        <w:t>statistically appropriate and theoretically consistent approach for evaluating the impact of community engagement on multiple dimensions of Blue-entrepreneurship performance</w:t>
      </w:r>
      <w:r w:rsidRPr="00957681">
        <w:rPr>
          <w:rFonts w:ascii="Times New Roman" w:hAnsi="Times New Roman" w:cs="Times New Roman"/>
          <w:sz w:val="24"/>
          <w:szCs w:val="24"/>
        </w:rPr>
        <w:t>.</w:t>
      </w:r>
    </w:p>
    <w:p w:rsidR="00A85C25" w:rsidRDefault="00A85C25" w:rsidP="004A4172">
      <w:pPr>
        <w:jc w:val="both"/>
        <w:rPr>
          <w:rFonts w:ascii="Times New Roman" w:hAnsi="Times New Roman" w:cs="Times New Roman"/>
          <w:sz w:val="24"/>
          <w:szCs w:val="24"/>
        </w:rPr>
      </w:pPr>
    </w:p>
    <w:p w:rsidR="00A556BF" w:rsidRPr="00A556BF" w:rsidRDefault="00A556BF" w:rsidP="00A556BF">
      <w:pPr>
        <w:jc w:val="both"/>
        <w:rPr>
          <w:rFonts w:ascii="Times New Roman" w:hAnsi="Times New Roman" w:cs="Times New Roman"/>
          <w:b/>
          <w:bCs/>
          <w:sz w:val="24"/>
          <w:szCs w:val="24"/>
        </w:rPr>
      </w:pPr>
      <w:r w:rsidRPr="00A556BF">
        <w:rPr>
          <w:rFonts w:ascii="Times New Roman" w:hAnsi="Times New Roman" w:cs="Times New Roman"/>
          <w:b/>
          <w:bCs/>
          <w:sz w:val="24"/>
          <w:szCs w:val="24"/>
        </w:rPr>
        <w:t>4. Results</w:t>
      </w:r>
    </w:p>
    <w:p w:rsidR="00A556BF" w:rsidRPr="00A556BF" w:rsidRDefault="00A556BF" w:rsidP="00A556BF">
      <w:pPr>
        <w:jc w:val="both"/>
        <w:rPr>
          <w:rFonts w:ascii="Times New Roman" w:hAnsi="Times New Roman" w:cs="Times New Roman"/>
          <w:b/>
          <w:bCs/>
          <w:sz w:val="24"/>
          <w:szCs w:val="24"/>
        </w:rPr>
      </w:pPr>
      <w:r w:rsidRPr="00A556BF">
        <w:rPr>
          <w:rFonts w:ascii="Times New Roman" w:hAnsi="Times New Roman" w:cs="Times New Roman"/>
          <w:b/>
          <w:bCs/>
          <w:sz w:val="24"/>
          <w:szCs w:val="24"/>
        </w:rPr>
        <w:t>4.1 Descriptive Statistics</w:t>
      </w:r>
    </w:p>
    <w:p w:rsidR="004264B3" w:rsidRDefault="004264B3" w:rsidP="00A556BF">
      <w:pPr>
        <w:jc w:val="both"/>
        <w:rPr>
          <w:rFonts w:ascii="Times New Roman" w:hAnsi="Times New Roman" w:cs="Times New Roman"/>
          <w:sz w:val="24"/>
          <w:szCs w:val="24"/>
        </w:rPr>
      </w:pPr>
      <w:r w:rsidRPr="004264B3">
        <w:rPr>
          <w:rFonts w:ascii="Times New Roman" w:hAnsi="Times New Roman" w:cs="Times New Roman"/>
          <w:sz w:val="24"/>
          <w:szCs w:val="24"/>
        </w:rPr>
        <w:t>Table 1 shows descriptive statistics for the most important study variables. The sample comprises 240 Blue-economy entrepreneurs, evenly sourced from Bagamoyo District and Kinondoni District. Overall, the people who answered the survey are moderately involved in their communities, but there are big differences in how businesses grow their income, diversify, and practice sustainability.</w:t>
      </w:r>
    </w:p>
    <w:p w:rsidR="00A556BF" w:rsidRPr="00A556BF" w:rsidRDefault="00A556BF" w:rsidP="004A4172">
      <w:pPr>
        <w:jc w:val="both"/>
        <w:rPr>
          <w:rFonts w:ascii="Times New Roman" w:hAnsi="Times New Roman" w:cs="Times New Roman"/>
          <w:b/>
          <w:bCs/>
          <w:sz w:val="24"/>
          <w:szCs w:val="24"/>
        </w:rPr>
      </w:pPr>
      <w:r w:rsidRPr="00A556BF">
        <w:rPr>
          <w:rFonts w:ascii="Times New Roman" w:hAnsi="Times New Roman" w:cs="Times New Roman"/>
          <w:b/>
          <w:bCs/>
          <w:sz w:val="24"/>
          <w:szCs w:val="24"/>
        </w:rPr>
        <w:t>Table 1</w:t>
      </w:r>
      <w:r w:rsidR="008431F0">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8431F0">
        <w:rPr>
          <w:rFonts w:ascii="Times New Roman" w:hAnsi="Times New Roman" w:cs="Times New Roman"/>
          <w:bCs/>
          <w:sz w:val="24"/>
          <w:szCs w:val="24"/>
        </w:rPr>
        <w:t>Descriptive Statistics of Key Variables (N = 240)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25"/>
        <w:gridCol w:w="1080"/>
        <w:gridCol w:w="1170"/>
        <w:gridCol w:w="1530"/>
        <w:gridCol w:w="1620"/>
      </w:tblGrid>
      <w:tr w:rsidR="00A556BF" w:rsidRPr="00A556BF" w:rsidTr="00B854F3">
        <w:trPr>
          <w:tblHeader/>
          <w:tblCellSpacing w:w="15" w:type="dxa"/>
        </w:trPr>
        <w:tc>
          <w:tcPr>
            <w:tcW w:w="3780" w:type="dxa"/>
            <w:vAlign w:val="center"/>
            <w:hideMark/>
          </w:tcPr>
          <w:p w:rsidR="00A556BF" w:rsidRPr="00A556BF" w:rsidRDefault="00A556BF" w:rsidP="00B854F3">
            <w:pPr>
              <w:spacing w:line="240" w:lineRule="auto"/>
              <w:jc w:val="both"/>
              <w:rPr>
                <w:rFonts w:ascii="Times New Roman" w:hAnsi="Times New Roman" w:cs="Times New Roman"/>
                <w:b/>
                <w:bCs/>
                <w:sz w:val="24"/>
                <w:szCs w:val="24"/>
              </w:rPr>
            </w:pPr>
            <w:r w:rsidRPr="00A556BF">
              <w:rPr>
                <w:rFonts w:ascii="Times New Roman" w:hAnsi="Times New Roman" w:cs="Times New Roman"/>
                <w:b/>
                <w:bCs/>
                <w:sz w:val="24"/>
                <w:szCs w:val="24"/>
              </w:rPr>
              <w:t>Variable</w:t>
            </w:r>
          </w:p>
        </w:tc>
        <w:tc>
          <w:tcPr>
            <w:tcW w:w="1050" w:type="dxa"/>
            <w:vAlign w:val="center"/>
            <w:hideMark/>
          </w:tcPr>
          <w:p w:rsidR="00A556BF" w:rsidRPr="00A556BF" w:rsidRDefault="00A556BF" w:rsidP="00BD7697">
            <w:pPr>
              <w:spacing w:line="240" w:lineRule="auto"/>
              <w:jc w:val="center"/>
              <w:rPr>
                <w:rFonts w:ascii="Times New Roman" w:hAnsi="Times New Roman" w:cs="Times New Roman"/>
                <w:b/>
                <w:bCs/>
                <w:sz w:val="24"/>
                <w:szCs w:val="24"/>
              </w:rPr>
            </w:pPr>
            <w:r w:rsidRPr="00A556BF">
              <w:rPr>
                <w:rFonts w:ascii="Times New Roman" w:hAnsi="Times New Roman" w:cs="Times New Roman"/>
                <w:b/>
                <w:bCs/>
                <w:sz w:val="24"/>
                <w:szCs w:val="24"/>
              </w:rPr>
              <w:t>Mean</w:t>
            </w:r>
          </w:p>
        </w:tc>
        <w:tc>
          <w:tcPr>
            <w:tcW w:w="1140" w:type="dxa"/>
            <w:vAlign w:val="center"/>
            <w:hideMark/>
          </w:tcPr>
          <w:p w:rsidR="00A556BF" w:rsidRPr="00A556BF" w:rsidRDefault="00A556BF" w:rsidP="00BD7697">
            <w:pPr>
              <w:spacing w:line="240" w:lineRule="auto"/>
              <w:jc w:val="center"/>
              <w:rPr>
                <w:rFonts w:ascii="Times New Roman" w:hAnsi="Times New Roman" w:cs="Times New Roman"/>
                <w:b/>
                <w:bCs/>
                <w:sz w:val="24"/>
                <w:szCs w:val="24"/>
              </w:rPr>
            </w:pPr>
            <w:r w:rsidRPr="00A556BF">
              <w:rPr>
                <w:rFonts w:ascii="Times New Roman" w:hAnsi="Times New Roman" w:cs="Times New Roman"/>
                <w:b/>
                <w:bCs/>
                <w:sz w:val="24"/>
                <w:szCs w:val="24"/>
              </w:rPr>
              <w:t>SD</w:t>
            </w:r>
          </w:p>
        </w:tc>
        <w:tc>
          <w:tcPr>
            <w:tcW w:w="1500" w:type="dxa"/>
            <w:vAlign w:val="center"/>
            <w:hideMark/>
          </w:tcPr>
          <w:p w:rsidR="00A556BF" w:rsidRPr="00A556BF" w:rsidRDefault="00A556BF" w:rsidP="00BD7697">
            <w:pPr>
              <w:spacing w:line="240" w:lineRule="auto"/>
              <w:jc w:val="center"/>
              <w:rPr>
                <w:rFonts w:ascii="Times New Roman" w:hAnsi="Times New Roman" w:cs="Times New Roman"/>
                <w:b/>
                <w:bCs/>
                <w:sz w:val="24"/>
                <w:szCs w:val="24"/>
              </w:rPr>
            </w:pPr>
            <w:r w:rsidRPr="00A556BF">
              <w:rPr>
                <w:rFonts w:ascii="Times New Roman" w:hAnsi="Times New Roman" w:cs="Times New Roman"/>
                <w:b/>
                <w:bCs/>
                <w:sz w:val="24"/>
                <w:szCs w:val="24"/>
              </w:rPr>
              <w:t>Min</w:t>
            </w:r>
          </w:p>
        </w:tc>
        <w:tc>
          <w:tcPr>
            <w:tcW w:w="1575" w:type="dxa"/>
            <w:vAlign w:val="center"/>
            <w:hideMark/>
          </w:tcPr>
          <w:p w:rsidR="00A556BF" w:rsidRPr="00A556BF" w:rsidRDefault="00A556BF" w:rsidP="00BD7697">
            <w:pPr>
              <w:spacing w:line="240" w:lineRule="auto"/>
              <w:jc w:val="center"/>
              <w:rPr>
                <w:rFonts w:ascii="Times New Roman" w:hAnsi="Times New Roman" w:cs="Times New Roman"/>
                <w:b/>
                <w:bCs/>
                <w:sz w:val="24"/>
                <w:szCs w:val="24"/>
              </w:rPr>
            </w:pPr>
            <w:r w:rsidRPr="00A556BF">
              <w:rPr>
                <w:rFonts w:ascii="Times New Roman" w:hAnsi="Times New Roman" w:cs="Times New Roman"/>
                <w:b/>
                <w:bCs/>
                <w:sz w:val="24"/>
                <w:szCs w:val="24"/>
              </w:rPr>
              <w:t>Max</w:t>
            </w:r>
          </w:p>
        </w:tc>
      </w:tr>
      <w:tr w:rsidR="00A556BF" w:rsidRPr="00A556BF" w:rsidTr="00B854F3">
        <w:trPr>
          <w:tblCellSpacing w:w="15" w:type="dxa"/>
        </w:trPr>
        <w:tc>
          <w:tcPr>
            <w:tcW w:w="3780" w:type="dxa"/>
            <w:vAlign w:val="center"/>
            <w:hideMark/>
          </w:tcPr>
          <w:p w:rsidR="00A556BF" w:rsidRPr="00A556BF" w:rsidRDefault="00A556BF" w:rsidP="00B854F3">
            <w:pPr>
              <w:spacing w:line="240" w:lineRule="auto"/>
              <w:jc w:val="both"/>
              <w:rPr>
                <w:rFonts w:ascii="Times New Roman" w:hAnsi="Times New Roman" w:cs="Times New Roman"/>
                <w:sz w:val="24"/>
                <w:szCs w:val="24"/>
              </w:rPr>
            </w:pPr>
            <w:r w:rsidRPr="00A556BF">
              <w:rPr>
                <w:rFonts w:ascii="Times New Roman" w:hAnsi="Times New Roman" w:cs="Times New Roman"/>
                <w:sz w:val="24"/>
                <w:szCs w:val="24"/>
              </w:rPr>
              <w:t>Community Engagement Index (CEI)</w:t>
            </w:r>
          </w:p>
        </w:tc>
        <w:tc>
          <w:tcPr>
            <w:tcW w:w="1050" w:type="dxa"/>
            <w:vAlign w:val="center"/>
            <w:hideMark/>
          </w:tcPr>
          <w:p w:rsidR="00A556BF" w:rsidRPr="00A556BF" w:rsidRDefault="00A556BF" w:rsidP="00BD7697">
            <w:pPr>
              <w:spacing w:line="240" w:lineRule="auto"/>
              <w:jc w:val="center"/>
              <w:rPr>
                <w:rFonts w:ascii="Times New Roman" w:hAnsi="Times New Roman" w:cs="Times New Roman"/>
                <w:sz w:val="24"/>
                <w:szCs w:val="24"/>
              </w:rPr>
            </w:pPr>
            <w:r w:rsidRPr="00A556BF">
              <w:rPr>
                <w:rFonts w:ascii="Times New Roman" w:hAnsi="Times New Roman" w:cs="Times New Roman"/>
                <w:sz w:val="24"/>
                <w:szCs w:val="24"/>
              </w:rPr>
              <w:t>3.41</w:t>
            </w:r>
          </w:p>
        </w:tc>
        <w:tc>
          <w:tcPr>
            <w:tcW w:w="1140" w:type="dxa"/>
            <w:vAlign w:val="center"/>
            <w:hideMark/>
          </w:tcPr>
          <w:p w:rsidR="00A556BF" w:rsidRPr="00A556BF" w:rsidRDefault="00A556BF" w:rsidP="00BD7697">
            <w:pPr>
              <w:spacing w:line="240" w:lineRule="auto"/>
              <w:jc w:val="center"/>
              <w:rPr>
                <w:rFonts w:ascii="Times New Roman" w:hAnsi="Times New Roman" w:cs="Times New Roman"/>
                <w:sz w:val="24"/>
                <w:szCs w:val="24"/>
              </w:rPr>
            </w:pPr>
            <w:r w:rsidRPr="00A556BF">
              <w:rPr>
                <w:rFonts w:ascii="Times New Roman" w:hAnsi="Times New Roman" w:cs="Times New Roman"/>
                <w:sz w:val="24"/>
                <w:szCs w:val="24"/>
              </w:rPr>
              <w:t>0.76</w:t>
            </w:r>
          </w:p>
        </w:tc>
        <w:tc>
          <w:tcPr>
            <w:tcW w:w="1500" w:type="dxa"/>
            <w:vAlign w:val="center"/>
            <w:hideMark/>
          </w:tcPr>
          <w:p w:rsidR="00A556BF" w:rsidRPr="00A556BF" w:rsidRDefault="00A556BF" w:rsidP="00BD7697">
            <w:pPr>
              <w:spacing w:line="240" w:lineRule="auto"/>
              <w:jc w:val="center"/>
              <w:rPr>
                <w:rFonts w:ascii="Times New Roman" w:hAnsi="Times New Roman" w:cs="Times New Roman"/>
                <w:sz w:val="24"/>
                <w:szCs w:val="24"/>
              </w:rPr>
            </w:pPr>
            <w:r w:rsidRPr="00A556BF">
              <w:rPr>
                <w:rFonts w:ascii="Times New Roman" w:hAnsi="Times New Roman" w:cs="Times New Roman"/>
                <w:sz w:val="24"/>
                <w:szCs w:val="24"/>
              </w:rPr>
              <w:t>1.25</w:t>
            </w:r>
          </w:p>
        </w:tc>
        <w:tc>
          <w:tcPr>
            <w:tcW w:w="1575" w:type="dxa"/>
            <w:vAlign w:val="center"/>
            <w:hideMark/>
          </w:tcPr>
          <w:p w:rsidR="00A556BF" w:rsidRPr="00A556BF" w:rsidRDefault="00A556BF" w:rsidP="00BD7697">
            <w:pPr>
              <w:spacing w:line="240" w:lineRule="auto"/>
              <w:jc w:val="center"/>
              <w:rPr>
                <w:rFonts w:ascii="Times New Roman" w:hAnsi="Times New Roman" w:cs="Times New Roman"/>
                <w:sz w:val="24"/>
                <w:szCs w:val="24"/>
              </w:rPr>
            </w:pPr>
            <w:r w:rsidRPr="00A556BF">
              <w:rPr>
                <w:rFonts w:ascii="Times New Roman" w:hAnsi="Times New Roman" w:cs="Times New Roman"/>
                <w:sz w:val="24"/>
                <w:szCs w:val="24"/>
              </w:rPr>
              <w:t>4.90</w:t>
            </w:r>
          </w:p>
        </w:tc>
      </w:tr>
      <w:tr w:rsidR="00A556BF" w:rsidRPr="00A556BF" w:rsidTr="00B854F3">
        <w:trPr>
          <w:tblCellSpacing w:w="15" w:type="dxa"/>
        </w:trPr>
        <w:tc>
          <w:tcPr>
            <w:tcW w:w="3780" w:type="dxa"/>
            <w:vAlign w:val="center"/>
            <w:hideMark/>
          </w:tcPr>
          <w:p w:rsidR="00A556BF" w:rsidRPr="00A556BF" w:rsidRDefault="00A556BF" w:rsidP="00B854F3">
            <w:pPr>
              <w:spacing w:line="240" w:lineRule="auto"/>
              <w:jc w:val="both"/>
              <w:rPr>
                <w:rFonts w:ascii="Times New Roman" w:hAnsi="Times New Roman" w:cs="Times New Roman"/>
                <w:sz w:val="24"/>
                <w:szCs w:val="24"/>
              </w:rPr>
            </w:pPr>
            <w:r w:rsidRPr="00A556BF">
              <w:rPr>
                <w:rFonts w:ascii="Times New Roman" w:hAnsi="Times New Roman" w:cs="Times New Roman"/>
                <w:sz w:val="24"/>
                <w:szCs w:val="24"/>
              </w:rPr>
              <w:t>Income growth (%)</w:t>
            </w:r>
          </w:p>
        </w:tc>
        <w:tc>
          <w:tcPr>
            <w:tcW w:w="1050" w:type="dxa"/>
            <w:vAlign w:val="center"/>
            <w:hideMark/>
          </w:tcPr>
          <w:p w:rsidR="00A556BF" w:rsidRPr="00A556BF" w:rsidRDefault="00A556BF" w:rsidP="00BD7697">
            <w:pPr>
              <w:spacing w:line="240" w:lineRule="auto"/>
              <w:jc w:val="center"/>
              <w:rPr>
                <w:rFonts w:ascii="Times New Roman" w:hAnsi="Times New Roman" w:cs="Times New Roman"/>
                <w:sz w:val="24"/>
                <w:szCs w:val="24"/>
              </w:rPr>
            </w:pPr>
            <w:r w:rsidRPr="00A556BF">
              <w:rPr>
                <w:rFonts w:ascii="Times New Roman" w:hAnsi="Times New Roman" w:cs="Times New Roman"/>
                <w:sz w:val="24"/>
                <w:szCs w:val="24"/>
              </w:rPr>
              <w:t>13.2</w:t>
            </w:r>
          </w:p>
        </w:tc>
        <w:tc>
          <w:tcPr>
            <w:tcW w:w="1140" w:type="dxa"/>
            <w:vAlign w:val="center"/>
            <w:hideMark/>
          </w:tcPr>
          <w:p w:rsidR="00A556BF" w:rsidRPr="00A556BF" w:rsidRDefault="00A556BF" w:rsidP="00BD7697">
            <w:pPr>
              <w:spacing w:line="240" w:lineRule="auto"/>
              <w:jc w:val="center"/>
              <w:rPr>
                <w:rFonts w:ascii="Times New Roman" w:hAnsi="Times New Roman" w:cs="Times New Roman"/>
                <w:sz w:val="24"/>
                <w:szCs w:val="24"/>
              </w:rPr>
            </w:pPr>
            <w:r w:rsidRPr="00A556BF">
              <w:rPr>
                <w:rFonts w:ascii="Times New Roman" w:hAnsi="Times New Roman" w:cs="Times New Roman"/>
                <w:sz w:val="24"/>
                <w:szCs w:val="24"/>
              </w:rPr>
              <w:t>18.6</w:t>
            </w:r>
          </w:p>
        </w:tc>
        <w:tc>
          <w:tcPr>
            <w:tcW w:w="1500" w:type="dxa"/>
            <w:vAlign w:val="center"/>
            <w:hideMark/>
          </w:tcPr>
          <w:p w:rsidR="00A556BF" w:rsidRPr="00A556BF" w:rsidRDefault="00A556BF" w:rsidP="00BD7697">
            <w:pPr>
              <w:spacing w:line="240" w:lineRule="auto"/>
              <w:jc w:val="center"/>
              <w:rPr>
                <w:rFonts w:ascii="Times New Roman" w:hAnsi="Times New Roman" w:cs="Times New Roman"/>
                <w:sz w:val="24"/>
                <w:szCs w:val="24"/>
              </w:rPr>
            </w:pPr>
            <w:r w:rsidRPr="00A556BF">
              <w:rPr>
                <w:rFonts w:ascii="Times New Roman" w:hAnsi="Times New Roman" w:cs="Times New Roman"/>
                <w:sz w:val="24"/>
                <w:szCs w:val="24"/>
              </w:rPr>
              <w:t>−45</w:t>
            </w:r>
          </w:p>
        </w:tc>
        <w:tc>
          <w:tcPr>
            <w:tcW w:w="1575" w:type="dxa"/>
            <w:vAlign w:val="center"/>
            <w:hideMark/>
          </w:tcPr>
          <w:p w:rsidR="00A556BF" w:rsidRPr="00A556BF" w:rsidRDefault="00A556BF" w:rsidP="00BD7697">
            <w:pPr>
              <w:spacing w:line="240" w:lineRule="auto"/>
              <w:jc w:val="center"/>
              <w:rPr>
                <w:rFonts w:ascii="Times New Roman" w:hAnsi="Times New Roman" w:cs="Times New Roman"/>
                <w:sz w:val="24"/>
                <w:szCs w:val="24"/>
              </w:rPr>
            </w:pPr>
            <w:r w:rsidRPr="00A556BF">
              <w:rPr>
                <w:rFonts w:ascii="Times New Roman" w:hAnsi="Times New Roman" w:cs="Times New Roman"/>
                <w:sz w:val="24"/>
                <w:szCs w:val="24"/>
              </w:rPr>
              <w:t>160</w:t>
            </w:r>
          </w:p>
        </w:tc>
      </w:tr>
      <w:tr w:rsidR="00A556BF" w:rsidRPr="00A556BF" w:rsidTr="00B854F3">
        <w:trPr>
          <w:tblCellSpacing w:w="15" w:type="dxa"/>
        </w:trPr>
        <w:tc>
          <w:tcPr>
            <w:tcW w:w="3780" w:type="dxa"/>
            <w:vAlign w:val="center"/>
            <w:hideMark/>
          </w:tcPr>
          <w:p w:rsidR="00A556BF" w:rsidRPr="00A556BF" w:rsidRDefault="00A556BF" w:rsidP="00B854F3">
            <w:pPr>
              <w:spacing w:line="240" w:lineRule="auto"/>
              <w:jc w:val="both"/>
              <w:rPr>
                <w:rFonts w:ascii="Times New Roman" w:hAnsi="Times New Roman" w:cs="Times New Roman"/>
                <w:sz w:val="24"/>
                <w:szCs w:val="24"/>
              </w:rPr>
            </w:pPr>
            <w:r w:rsidRPr="00A556BF">
              <w:rPr>
                <w:rFonts w:ascii="Times New Roman" w:hAnsi="Times New Roman" w:cs="Times New Roman"/>
                <w:sz w:val="24"/>
                <w:szCs w:val="24"/>
              </w:rPr>
              <w:t>Enterprise survival (years)</w:t>
            </w:r>
          </w:p>
        </w:tc>
        <w:tc>
          <w:tcPr>
            <w:tcW w:w="1050" w:type="dxa"/>
            <w:vAlign w:val="center"/>
            <w:hideMark/>
          </w:tcPr>
          <w:p w:rsidR="00A556BF" w:rsidRPr="00A556BF" w:rsidRDefault="00A556BF" w:rsidP="00BD7697">
            <w:pPr>
              <w:spacing w:line="240" w:lineRule="auto"/>
              <w:jc w:val="center"/>
              <w:rPr>
                <w:rFonts w:ascii="Times New Roman" w:hAnsi="Times New Roman" w:cs="Times New Roman"/>
                <w:sz w:val="24"/>
                <w:szCs w:val="24"/>
              </w:rPr>
            </w:pPr>
            <w:r w:rsidRPr="00A556BF">
              <w:rPr>
                <w:rFonts w:ascii="Times New Roman" w:hAnsi="Times New Roman" w:cs="Times New Roman"/>
                <w:sz w:val="24"/>
                <w:szCs w:val="24"/>
              </w:rPr>
              <w:t>4.6</w:t>
            </w:r>
          </w:p>
        </w:tc>
        <w:tc>
          <w:tcPr>
            <w:tcW w:w="1140" w:type="dxa"/>
            <w:vAlign w:val="center"/>
            <w:hideMark/>
          </w:tcPr>
          <w:p w:rsidR="00A556BF" w:rsidRPr="00A556BF" w:rsidRDefault="00A556BF" w:rsidP="00BD7697">
            <w:pPr>
              <w:spacing w:line="240" w:lineRule="auto"/>
              <w:jc w:val="center"/>
              <w:rPr>
                <w:rFonts w:ascii="Times New Roman" w:hAnsi="Times New Roman" w:cs="Times New Roman"/>
                <w:sz w:val="24"/>
                <w:szCs w:val="24"/>
              </w:rPr>
            </w:pPr>
            <w:r w:rsidRPr="00A556BF">
              <w:rPr>
                <w:rFonts w:ascii="Times New Roman" w:hAnsi="Times New Roman" w:cs="Times New Roman"/>
                <w:sz w:val="24"/>
                <w:szCs w:val="24"/>
              </w:rPr>
              <w:t>3.1</w:t>
            </w:r>
          </w:p>
        </w:tc>
        <w:tc>
          <w:tcPr>
            <w:tcW w:w="1500" w:type="dxa"/>
            <w:vAlign w:val="center"/>
            <w:hideMark/>
          </w:tcPr>
          <w:p w:rsidR="00A556BF" w:rsidRPr="00A556BF" w:rsidRDefault="00A556BF" w:rsidP="00BD7697">
            <w:pPr>
              <w:spacing w:line="240" w:lineRule="auto"/>
              <w:jc w:val="center"/>
              <w:rPr>
                <w:rFonts w:ascii="Times New Roman" w:hAnsi="Times New Roman" w:cs="Times New Roman"/>
                <w:sz w:val="24"/>
                <w:szCs w:val="24"/>
              </w:rPr>
            </w:pPr>
            <w:r w:rsidRPr="00A556BF">
              <w:rPr>
                <w:rFonts w:ascii="Times New Roman" w:hAnsi="Times New Roman" w:cs="Times New Roman"/>
                <w:sz w:val="24"/>
                <w:szCs w:val="24"/>
              </w:rPr>
              <w:t>1</w:t>
            </w:r>
          </w:p>
        </w:tc>
        <w:tc>
          <w:tcPr>
            <w:tcW w:w="1575" w:type="dxa"/>
            <w:vAlign w:val="center"/>
            <w:hideMark/>
          </w:tcPr>
          <w:p w:rsidR="00A556BF" w:rsidRPr="00A556BF" w:rsidRDefault="00A556BF" w:rsidP="00BD7697">
            <w:pPr>
              <w:spacing w:line="240" w:lineRule="auto"/>
              <w:jc w:val="center"/>
              <w:rPr>
                <w:rFonts w:ascii="Times New Roman" w:hAnsi="Times New Roman" w:cs="Times New Roman"/>
                <w:sz w:val="24"/>
                <w:szCs w:val="24"/>
              </w:rPr>
            </w:pPr>
            <w:r w:rsidRPr="00A556BF">
              <w:rPr>
                <w:rFonts w:ascii="Times New Roman" w:hAnsi="Times New Roman" w:cs="Times New Roman"/>
                <w:sz w:val="24"/>
                <w:szCs w:val="24"/>
              </w:rPr>
              <w:t>18</w:t>
            </w:r>
          </w:p>
        </w:tc>
      </w:tr>
      <w:tr w:rsidR="00A556BF" w:rsidRPr="00A556BF" w:rsidTr="00B854F3">
        <w:trPr>
          <w:tblCellSpacing w:w="15" w:type="dxa"/>
        </w:trPr>
        <w:tc>
          <w:tcPr>
            <w:tcW w:w="3780" w:type="dxa"/>
            <w:vAlign w:val="center"/>
            <w:hideMark/>
          </w:tcPr>
          <w:p w:rsidR="00A556BF" w:rsidRPr="00A556BF" w:rsidRDefault="00A556BF" w:rsidP="00B854F3">
            <w:pPr>
              <w:spacing w:line="240" w:lineRule="auto"/>
              <w:jc w:val="both"/>
              <w:rPr>
                <w:rFonts w:ascii="Times New Roman" w:hAnsi="Times New Roman" w:cs="Times New Roman"/>
                <w:sz w:val="24"/>
                <w:szCs w:val="24"/>
              </w:rPr>
            </w:pPr>
            <w:r w:rsidRPr="00A556BF">
              <w:rPr>
                <w:rFonts w:ascii="Times New Roman" w:hAnsi="Times New Roman" w:cs="Times New Roman"/>
                <w:sz w:val="24"/>
                <w:szCs w:val="24"/>
              </w:rPr>
              <w:t>Enterprise diversification (count)</w:t>
            </w:r>
          </w:p>
        </w:tc>
        <w:tc>
          <w:tcPr>
            <w:tcW w:w="1050" w:type="dxa"/>
            <w:vAlign w:val="center"/>
            <w:hideMark/>
          </w:tcPr>
          <w:p w:rsidR="00A556BF" w:rsidRPr="00A556BF" w:rsidRDefault="00A556BF" w:rsidP="00BD7697">
            <w:pPr>
              <w:spacing w:line="240" w:lineRule="auto"/>
              <w:jc w:val="center"/>
              <w:rPr>
                <w:rFonts w:ascii="Times New Roman" w:hAnsi="Times New Roman" w:cs="Times New Roman"/>
                <w:sz w:val="24"/>
                <w:szCs w:val="24"/>
              </w:rPr>
            </w:pPr>
            <w:r w:rsidRPr="00A556BF">
              <w:rPr>
                <w:rFonts w:ascii="Times New Roman" w:hAnsi="Times New Roman" w:cs="Times New Roman"/>
                <w:sz w:val="24"/>
                <w:szCs w:val="24"/>
              </w:rPr>
              <w:t>2.3</w:t>
            </w:r>
          </w:p>
        </w:tc>
        <w:tc>
          <w:tcPr>
            <w:tcW w:w="1140" w:type="dxa"/>
            <w:vAlign w:val="center"/>
            <w:hideMark/>
          </w:tcPr>
          <w:p w:rsidR="00A556BF" w:rsidRPr="00A556BF" w:rsidRDefault="00A556BF" w:rsidP="00BD7697">
            <w:pPr>
              <w:spacing w:line="240" w:lineRule="auto"/>
              <w:jc w:val="center"/>
              <w:rPr>
                <w:rFonts w:ascii="Times New Roman" w:hAnsi="Times New Roman" w:cs="Times New Roman"/>
                <w:sz w:val="24"/>
                <w:szCs w:val="24"/>
              </w:rPr>
            </w:pPr>
            <w:r w:rsidRPr="00A556BF">
              <w:rPr>
                <w:rFonts w:ascii="Times New Roman" w:hAnsi="Times New Roman" w:cs="Times New Roman"/>
                <w:sz w:val="24"/>
                <w:szCs w:val="24"/>
              </w:rPr>
              <w:t>1.4</w:t>
            </w:r>
          </w:p>
        </w:tc>
        <w:tc>
          <w:tcPr>
            <w:tcW w:w="1500" w:type="dxa"/>
            <w:vAlign w:val="center"/>
            <w:hideMark/>
          </w:tcPr>
          <w:p w:rsidR="00A556BF" w:rsidRPr="00A556BF" w:rsidRDefault="00A556BF" w:rsidP="00BD7697">
            <w:pPr>
              <w:spacing w:line="240" w:lineRule="auto"/>
              <w:jc w:val="center"/>
              <w:rPr>
                <w:rFonts w:ascii="Times New Roman" w:hAnsi="Times New Roman" w:cs="Times New Roman"/>
                <w:sz w:val="24"/>
                <w:szCs w:val="24"/>
              </w:rPr>
            </w:pPr>
            <w:r w:rsidRPr="00A556BF">
              <w:rPr>
                <w:rFonts w:ascii="Times New Roman" w:hAnsi="Times New Roman" w:cs="Times New Roman"/>
                <w:sz w:val="24"/>
                <w:szCs w:val="24"/>
              </w:rPr>
              <w:t>1</w:t>
            </w:r>
          </w:p>
        </w:tc>
        <w:tc>
          <w:tcPr>
            <w:tcW w:w="1575" w:type="dxa"/>
            <w:vAlign w:val="center"/>
            <w:hideMark/>
          </w:tcPr>
          <w:p w:rsidR="00A556BF" w:rsidRPr="00A556BF" w:rsidRDefault="00A556BF" w:rsidP="00BD7697">
            <w:pPr>
              <w:spacing w:line="240" w:lineRule="auto"/>
              <w:jc w:val="center"/>
              <w:rPr>
                <w:rFonts w:ascii="Times New Roman" w:hAnsi="Times New Roman" w:cs="Times New Roman"/>
                <w:sz w:val="24"/>
                <w:szCs w:val="24"/>
              </w:rPr>
            </w:pPr>
            <w:r w:rsidRPr="00A556BF">
              <w:rPr>
                <w:rFonts w:ascii="Times New Roman" w:hAnsi="Times New Roman" w:cs="Times New Roman"/>
                <w:sz w:val="24"/>
                <w:szCs w:val="24"/>
              </w:rPr>
              <w:t>6</w:t>
            </w:r>
          </w:p>
        </w:tc>
      </w:tr>
      <w:tr w:rsidR="00A556BF" w:rsidRPr="00A556BF" w:rsidTr="00B854F3">
        <w:trPr>
          <w:tblCellSpacing w:w="15" w:type="dxa"/>
        </w:trPr>
        <w:tc>
          <w:tcPr>
            <w:tcW w:w="3780" w:type="dxa"/>
            <w:vAlign w:val="center"/>
            <w:hideMark/>
          </w:tcPr>
          <w:p w:rsidR="00A556BF" w:rsidRPr="00A556BF" w:rsidRDefault="00A556BF" w:rsidP="00B854F3">
            <w:pPr>
              <w:spacing w:line="240" w:lineRule="auto"/>
              <w:jc w:val="both"/>
              <w:rPr>
                <w:rFonts w:ascii="Times New Roman" w:hAnsi="Times New Roman" w:cs="Times New Roman"/>
                <w:sz w:val="24"/>
                <w:szCs w:val="24"/>
              </w:rPr>
            </w:pPr>
            <w:r w:rsidRPr="00A556BF">
              <w:rPr>
                <w:rFonts w:ascii="Times New Roman" w:hAnsi="Times New Roman" w:cs="Times New Roman"/>
                <w:sz w:val="24"/>
                <w:szCs w:val="24"/>
              </w:rPr>
              <w:t>Sustainability practices index</w:t>
            </w:r>
          </w:p>
        </w:tc>
        <w:tc>
          <w:tcPr>
            <w:tcW w:w="1050" w:type="dxa"/>
            <w:vAlign w:val="center"/>
            <w:hideMark/>
          </w:tcPr>
          <w:p w:rsidR="00A556BF" w:rsidRPr="00A556BF" w:rsidRDefault="00A556BF" w:rsidP="00BD7697">
            <w:pPr>
              <w:spacing w:line="240" w:lineRule="auto"/>
              <w:jc w:val="center"/>
              <w:rPr>
                <w:rFonts w:ascii="Times New Roman" w:hAnsi="Times New Roman" w:cs="Times New Roman"/>
                <w:sz w:val="24"/>
                <w:szCs w:val="24"/>
              </w:rPr>
            </w:pPr>
            <w:r w:rsidRPr="00A556BF">
              <w:rPr>
                <w:rFonts w:ascii="Times New Roman" w:hAnsi="Times New Roman" w:cs="Times New Roman"/>
                <w:sz w:val="24"/>
                <w:szCs w:val="24"/>
              </w:rPr>
              <w:t>2.9</w:t>
            </w:r>
          </w:p>
        </w:tc>
        <w:tc>
          <w:tcPr>
            <w:tcW w:w="1140" w:type="dxa"/>
            <w:vAlign w:val="center"/>
            <w:hideMark/>
          </w:tcPr>
          <w:p w:rsidR="00A556BF" w:rsidRPr="00A556BF" w:rsidRDefault="00A556BF" w:rsidP="00BD7697">
            <w:pPr>
              <w:spacing w:line="240" w:lineRule="auto"/>
              <w:jc w:val="center"/>
              <w:rPr>
                <w:rFonts w:ascii="Times New Roman" w:hAnsi="Times New Roman" w:cs="Times New Roman"/>
                <w:sz w:val="24"/>
                <w:szCs w:val="24"/>
              </w:rPr>
            </w:pPr>
            <w:r w:rsidRPr="00A556BF">
              <w:rPr>
                <w:rFonts w:ascii="Times New Roman" w:hAnsi="Times New Roman" w:cs="Times New Roman"/>
                <w:sz w:val="24"/>
                <w:szCs w:val="24"/>
              </w:rPr>
              <w:t>1.5</w:t>
            </w:r>
          </w:p>
        </w:tc>
        <w:tc>
          <w:tcPr>
            <w:tcW w:w="1500" w:type="dxa"/>
            <w:vAlign w:val="center"/>
            <w:hideMark/>
          </w:tcPr>
          <w:p w:rsidR="00A556BF" w:rsidRPr="00A556BF" w:rsidRDefault="00A556BF" w:rsidP="00BD7697">
            <w:pPr>
              <w:spacing w:line="240" w:lineRule="auto"/>
              <w:jc w:val="center"/>
              <w:rPr>
                <w:rFonts w:ascii="Times New Roman" w:hAnsi="Times New Roman" w:cs="Times New Roman"/>
                <w:sz w:val="24"/>
                <w:szCs w:val="24"/>
              </w:rPr>
            </w:pPr>
            <w:r w:rsidRPr="00A556BF">
              <w:rPr>
                <w:rFonts w:ascii="Times New Roman" w:hAnsi="Times New Roman" w:cs="Times New Roman"/>
                <w:sz w:val="24"/>
                <w:szCs w:val="24"/>
              </w:rPr>
              <w:t>0</w:t>
            </w:r>
          </w:p>
        </w:tc>
        <w:tc>
          <w:tcPr>
            <w:tcW w:w="1575" w:type="dxa"/>
            <w:vAlign w:val="center"/>
            <w:hideMark/>
          </w:tcPr>
          <w:p w:rsidR="00A556BF" w:rsidRPr="00A556BF" w:rsidRDefault="00A556BF" w:rsidP="00BD7697">
            <w:pPr>
              <w:spacing w:line="240" w:lineRule="auto"/>
              <w:jc w:val="center"/>
              <w:rPr>
                <w:rFonts w:ascii="Times New Roman" w:hAnsi="Times New Roman" w:cs="Times New Roman"/>
                <w:sz w:val="24"/>
                <w:szCs w:val="24"/>
              </w:rPr>
            </w:pPr>
            <w:r w:rsidRPr="00A556BF">
              <w:rPr>
                <w:rFonts w:ascii="Times New Roman" w:hAnsi="Times New Roman" w:cs="Times New Roman"/>
                <w:sz w:val="24"/>
                <w:szCs w:val="24"/>
              </w:rPr>
              <w:t>7</w:t>
            </w:r>
          </w:p>
        </w:tc>
      </w:tr>
    </w:tbl>
    <w:p w:rsidR="00A556BF" w:rsidRDefault="004264B3" w:rsidP="004A4172">
      <w:pPr>
        <w:jc w:val="both"/>
        <w:rPr>
          <w:rFonts w:ascii="Times New Roman" w:hAnsi="Times New Roman" w:cs="Times New Roman"/>
          <w:sz w:val="24"/>
          <w:szCs w:val="24"/>
        </w:rPr>
      </w:pPr>
      <w:r w:rsidRPr="004264B3">
        <w:rPr>
          <w:rFonts w:ascii="Times New Roman" w:hAnsi="Times New Roman" w:cs="Times New Roman"/>
          <w:sz w:val="24"/>
          <w:szCs w:val="24"/>
        </w:rPr>
        <w:t xml:space="preserve">On average, blue entrepreneurs said they were somewhat involved in community structures and processes. The average income growth was good, but the big standard deviation shows that the results were very different from each other. There is still room for businesses to be more environmentally friendly because not many of them are using sustainable </w:t>
      </w:r>
      <w:proofErr w:type="gramStart"/>
      <w:r w:rsidRPr="004264B3">
        <w:rPr>
          <w:rFonts w:ascii="Times New Roman" w:hAnsi="Times New Roman" w:cs="Times New Roman"/>
          <w:sz w:val="24"/>
          <w:szCs w:val="24"/>
        </w:rPr>
        <w:t>practices.</w:t>
      </w:r>
      <w:r w:rsidR="00A556BF" w:rsidRPr="00A556BF">
        <w:rPr>
          <w:rFonts w:ascii="Times New Roman" w:hAnsi="Times New Roman" w:cs="Times New Roman"/>
          <w:sz w:val="24"/>
          <w:szCs w:val="24"/>
        </w:rPr>
        <w:t>.</w:t>
      </w:r>
      <w:proofErr w:type="gramEnd"/>
    </w:p>
    <w:p w:rsidR="00A556BF" w:rsidRPr="00A556BF" w:rsidRDefault="00A556BF" w:rsidP="00A556BF">
      <w:pPr>
        <w:jc w:val="both"/>
        <w:rPr>
          <w:rFonts w:ascii="Times New Roman" w:hAnsi="Times New Roman" w:cs="Times New Roman"/>
          <w:b/>
          <w:bCs/>
          <w:sz w:val="24"/>
          <w:szCs w:val="24"/>
        </w:rPr>
      </w:pPr>
      <w:r w:rsidRPr="00A556BF">
        <w:rPr>
          <w:rFonts w:ascii="Times New Roman" w:hAnsi="Times New Roman" w:cs="Times New Roman"/>
          <w:b/>
          <w:bCs/>
          <w:sz w:val="24"/>
          <w:szCs w:val="24"/>
        </w:rPr>
        <w:t>4.2 Reliability Analysis</w:t>
      </w:r>
    </w:p>
    <w:p w:rsidR="004264B3" w:rsidRDefault="004264B3" w:rsidP="00A556BF">
      <w:pPr>
        <w:jc w:val="both"/>
        <w:rPr>
          <w:rFonts w:ascii="Times New Roman" w:hAnsi="Times New Roman" w:cs="Times New Roman"/>
          <w:sz w:val="24"/>
          <w:szCs w:val="24"/>
        </w:rPr>
      </w:pPr>
      <w:r w:rsidRPr="004264B3">
        <w:rPr>
          <w:rFonts w:ascii="Times New Roman" w:hAnsi="Times New Roman" w:cs="Times New Roman"/>
          <w:sz w:val="24"/>
          <w:szCs w:val="24"/>
        </w:rPr>
        <w:t>We used Cronbach's alpha to check the internal consistency of the Community Engagement Index and the Sustainability Practices Index.</w:t>
      </w:r>
    </w:p>
    <w:p w:rsidR="00A556BF" w:rsidRPr="00A556BF" w:rsidRDefault="00A556BF" w:rsidP="004A4172">
      <w:pPr>
        <w:jc w:val="both"/>
        <w:rPr>
          <w:rFonts w:ascii="Times New Roman" w:hAnsi="Times New Roman" w:cs="Times New Roman"/>
          <w:b/>
          <w:bCs/>
          <w:sz w:val="24"/>
          <w:szCs w:val="24"/>
        </w:rPr>
      </w:pPr>
      <w:r w:rsidRPr="00A556BF">
        <w:rPr>
          <w:rFonts w:ascii="Times New Roman" w:hAnsi="Times New Roman" w:cs="Times New Roman"/>
          <w:b/>
          <w:bCs/>
          <w:sz w:val="24"/>
          <w:szCs w:val="24"/>
        </w:rPr>
        <w:t>Table 2</w:t>
      </w:r>
      <w:r>
        <w:rPr>
          <w:rFonts w:ascii="Times New Roman" w:hAnsi="Times New Roman" w:cs="Times New Roman"/>
          <w:b/>
          <w:bCs/>
          <w:sz w:val="24"/>
          <w:szCs w:val="24"/>
        </w:rPr>
        <w:t xml:space="preserve">: </w:t>
      </w:r>
      <w:r w:rsidRPr="008431F0">
        <w:rPr>
          <w:rFonts w:ascii="Times New Roman" w:hAnsi="Times New Roman" w:cs="Times New Roman"/>
          <w:bCs/>
          <w:sz w:val="24"/>
          <w:szCs w:val="24"/>
        </w:rPr>
        <w:t>Reliability Statistics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65"/>
        <w:gridCol w:w="2340"/>
        <w:gridCol w:w="1980"/>
      </w:tblGrid>
      <w:tr w:rsidR="00A556BF" w:rsidRPr="00A556BF" w:rsidTr="008431F0">
        <w:trPr>
          <w:tblHeader/>
          <w:tblCellSpacing w:w="15" w:type="dxa"/>
        </w:trPr>
        <w:tc>
          <w:tcPr>
            <w:tcW w:w="3420" w:type="dxa"/>
            <w:vAlign w:val="center"/>
            <w:hideMark/>
          </w:tcPr>
          <w:p w:rsidR="00A556BF" w:rsidRPr="00A556BF" w:rsidRDefault="00A556BF" w:rsidP="00A556BF">
            <w:pPr>
              <w:jc w:val="both"/>
              <w:rPr>
                <w:rFonts w:ascii="Times New Roman" w:hAnsi="Times New Roman" w:cs="Times New Roman"/>
                <w:b/>
                <w:bCs/>
                <w:sz w:val="24"/>
                <w:szCs w:val="24"/>
              </w:rPr>
            </w:pPr>
            <w:r w:rsidRPr="00A556BF">
              <w:rPr>
                <w:rFonts w:ascii="Times New Roman" w:hAnsi="Times New Roman" w:cs="Times New Roman"/>
                <w:b/>
                <w:bCs/>
                <w:sz w:val="24"/>
                <w:szCs w:val="24"/>
              </w:rPr>
              <w:t>Construct</w:t>
            </w:r>
          </w:p>
        </w:tc>
        <w:tc>
          <w:tcPr>
            <w:tcW w:w="2310" w:type="dxa"/>
            <w:vAlign w:val="center"/>
            <w:hideMark/>
          </w:tcPr>
          <w:p w:rsidR="00A556BF" w:rsidRPr="00A556BF" w:rsidRDefault="00A556BF" w:rsidP="00BD7697">
            <w:pPr>
              <w:jc w:val="center"/>
              <w:rPr>
                <w:rFonts w:ascii="Times New Roman" w:hAnsi="Times New Roman" w:cs="Times New Roman"/>
                <w:b/>
                <w:bCs/>
                <w:sz w:val="24"/>
                <w:szCs w:val="24"/>
              </w:rPr>
            </w:pPr>
            <w:r w:rsidRPr="00A556BF">
              <w:rPr>
                <w:rFonts w:ascii="Times New Roman" w:hAnsi="Times New Roman" w:cs="Times New Roman"/>
                <w:b/>
                <w:bCs/>
                <w:sz w:val="24"/>
                <w:szCs w:val="24"/>
              </w:rPr>
              <w:t>Number of items</w:t>
            </w:r>
          </w:p>
        </w:tc>
        <w:tc>
          <w:tcPr>
            <w:tcW w:w="1935" w:type="dxa"/>
            <w:vAlign w:val="center"/>
            <w:hideMark/>
          </w:tcPr>
          <w:p w:rsidR="00A556BF" w:rsidRPr="00A556BF" w:rsidRDefault="00A556BF" w:rsidP="00BD7697">
            <w:pPr>
              <w:jc w:val="center"/>
              <w:rPr>
                <w:rFonts w:ascii="Times New Roman" w:hAnsi="Times New Roman" w:cs="Times New Roman"/>
                <w:b/>
                <w:bCs/>
                <w:sz w:val="24"/>
                <w:szCs w:val="24"/>
              </w:rPr>
            </w:pPr>
            <w:r w:rsidRPr="00A556BF">
              <w:rPr>
                <w:rFonts w:ascii="Times New Roman" w:hAnsi="Times New Roman" w:cs="Times New Roman"/>
                <w:b/>
                <w:bCs/>
                <w:sz w:val="24"/>
                <w:szCs w:val="24"/>
              </w:rPr>
              <w:t>Cronbach’s α</w:t>
            </w:r>
          </w:p>
        </w:tc>
      </w:tr>
      <w:tr w:rsidR="00A556BF" w:rsidRPr="00A556BF" w:rsidTr="008431F0">
        <w:trPr>
          <w:tblCellSpacing w:w="15" w:type="dxa"/>
        </w:trPr>
        <w:tc>
          <w:tcPr>
            <w:tcW w:w="3420" w:type="dxa"/>
            <w:vAlign w:val="center"/>
            <w:hideMark/>
          </w:tcPr>
          <w:p w:rsidR="00A556BF" w:rsidRPr="00A556BF" w:rsidRDefault="00A556BF" w:rsidP="00A556BF">
            <w:pPr>
              <w:jc w:val="both"/>
              <w:rPr>
                <w:rFonts w:ascii="Times New Roman" w:hAnsi="Times New Roman" w:cs="Times New Roman"/>
                <w:sz w:val="24"/>
                <w:szCs w:val="24"/>
              </w:rPr>
            </w:pPr>
            <w:r w:rsidRPr="00A556BF">
              <w:rPr>
                <w:rFonts w:ascii="Times New Roman" w:hAnsi="Times New Roman" w:cs="Times New Roman"/>
                <w:sz w:val="24"/>
                <w:szCs w:val="24"/>
              </w:rPr>
              <w:t>Community Engagement Index</w:t>
            </w:r>
          </w:p>
        </w:tc>
        <w:tc>
          <w:tcPr>
            <w:tcW w:w="2310" w:type="dxa"/>
            <w:vAlign w:val="center"/>
            <w:hideMark/>
          </w:tcPr>
          <w:p w:rsidR="00A556BF" w:rsidRPr="00A556BF" w:rsidRDefault="00A556BF" w:rsidP="00BD7697">
            <w:pPr>
              <w:jc w:val="center"/>
              <w:rPr>
                <w:rFonts w:ascii="Times New Roman" w:hAnsi="Times New Roman" w:cs="Times New Roman"/>
                <w:sz w:val="24"/>
                <w:szCs w:val="24"/>
              </w:rPr>
            </w:pPr>
            <w:r w:rsidRPr="00A556BF">
              <w:rPr>
                <w:rFonts w:ascii="Times New Roman" w:hAnsi="Times New Roman" w:cs="Times New Roman"/>
                <w:sz w:val="24"/>
                <w:szCs w:val="24"/>
              </w:rPr>
              <w:t>8</w:t>
            </w:r>
          </w:p>
        </w:tc>
        <w:tc>
          <w:tcPr>
            <w:tcW w:w="1935" w:type="dxa"/>
            <w:vAlign w:val="center"/>
            <w:hideMark/>
          </w:tcPr>
          <w:p w:rsidR="00A556BF" w:rsidRPr="00A556BF" w:rsidRDefault="00A556BF" w:rsidP="00BD7697">
            <w:pPr>
              <w:jc w:val="center"/>
              <w:rPr>
                <w:rFonts w:ascii="Times New Roman" w:hAnsi="Times New Roman" w:cs="Times New Roman"/>
                <w:sz w:val="24"/>
                <w:szCs w:val="24"/>
              </w:rPr>
            </w:pPr>
            <w:r w:rsidRPr="00A556BF">
              <w:rPr>
                <w:rFonts w:ascii="Times New Roman" w:hAnsi="Times New Roman" w:cs="Times New Roman"/>
                <w:sz w:val="24"/>
                <w:szCs w:val="24"/>
              </w:rPr>
              <w:t>0.82</w:t>
            </w:r>
          </w:p>
        </w:tc>
      </w:tr>
      <w:tr w:rsidR="00A556BF" w:rsidRPr="00A556BF" w:rsidTr="008431F0">
        <w:trPr>
          <w:tblCellSpacing w:w="15" w:type="dxa"/>
        </w:trPr>
        <w:tc>
          <w:tcPr>
            <w:tcW w:w="3420" w:type="dxa"/>
            <w:vAlign w:val="center"/>
            <w:hideMark/>
          </w:tcPr>
          <w:p w:rsidR="00A556BF" w:rsidRPr="00A556BF" w:rsidRDefault="00A556BF" w:rsidP="00A556BF">
            <w:pPr>
              <w:jc w:val="both"/>
              <w:rPr>
                <w:rFonts w:ascii="Times New Roman" w:hAnsi="Times New Roman" w:cs="Times New Roman"/>
                <w:sz w:val="24"/>
                <w:szCs w:val="24"/>
              </w:rPr>
            </w:pPr>
            <w:r w:rsidRPr="00A556BF">
              <w:rPr>
                <w:rFonts w:ascii="Times New Roman" w:hAnsi="Times New Roman" w:cs="Times New Roman"/>
                <w:sz w:val="24"/>
                <w:szCs w:val="24"/>
              </w:rPr>
              <w:lastRenderedPageBreak/>
              <w:t>Sustainability Practices Index</w:t>
            </w:r>
          </w:p>
        </w:tc>
        <w:tc>
          <w:tcPr>
            <w:tcW w:w="2310" w:type="dxa"/>
            <w:vAlign w:val="center"/>
            <w:hideMark/>
          </w:tcPr>
          <w:p w:rsidR="00A556BF" w:rsidRPr="00A556BF" w:rsidRDefault="00A556BF" w:rsidP="00BD7697">
            <w:pPr>
              <w:jc w:val="center"/>
              <w:rPr>
                <w:rFonts w:ascii="Times New Roman" w:hAnsi="Times New Roman" w:cs="Times New Roman"/>
                <w:sz w:val="24"/>
                <w:szCs w:val="24"/>
              </w:rPr>
            </w:pPr>
            <w:r w:rsidRPr="00A556BF">
              <w:rPr>
                <w:rFonts w:ascii="Times New Roman" w:hAnsi="Times New Roman" w:cs="Times New Roman"/>
                <w:sz w:val="24"/>
                <w:szCs w:val="24"/>
              </w:rPr>
              <w:t>6</w:t>
            </w:r>
          </w:p>
        </w:tc>
        <w:tc>
          <w:tcPr>
            <w:tcW w:w="1935" w:type="dxa"/>
            <w:vAlign w:val="center"/>
            <w:hideMark/>
          </w:tcPr>
          <w:p w:rsidR="00A556BF" w:rsidRPr="00A556BF" w:rsidRDefault="00A556BF" w:rsidP="00BD7697">
            <w:pPr>
              <w:jc w:val="center"/>
              <w:rPr>
                <w:rFonts w:ascii="Times New Roman" w:hAnsi="Times New Roman" w:cs="Times New Roman"/>
                <w:sz w:val="24"/>
                <w:szCs w:val="24"/>
              </w:rPr>
            </w:pPr>
            <w:r w:rsidRPr="00A556BF">
              <w:rPr>
                <w:rFonts w:ascii="Times New Roman" w:hAnsi="Times New Roman" w:cs="Times New Roman"/>
                <w:sz w:val="24"/>
                <w:szCs w:val="24"/>
              </w:rPr>
              <w:t>0.79</w:t>
            </w:r>
          </w:p>
        </w:tc>
      </w:tr>
    </w:tbl>
    <w:p w:rsidR="004264B3" w:rsidRDefault="004264B3" w:rsidP="004A4172">
      <w:pPr>
        <w:jc w:val="both"/>
        <w:rPr>
          <w:rFonts w:ascii="Times New Roman" w:hAnsi="Times New Roman" w:cs="Times New Roman"/>
          <w:sz w:val="24"/>
          <w:szCs w:val="24"/>
        </w:rPr>
      </w:pPr>
      <w:r w:rsidRPr="004264B3">
        <w:rPr>
          <w:rFonts w:ascii="Times New Roman" w:hAnsi="Times New Roman" w:cs="Times New Roman"/>
          <w:sz w:val="24"/>
          <w:szCs w:val="24"/>
        </w:rPr>
        <w:t>Cronbach's alpha values are higher than the recommended level of 0.70, which means that the composite indices used in later analyses are reliable and consistent.</w:t>
      </w:r>
    </w:p>
    <w:p w:rsidR="00A85C25" w:rsidRDefault="00A85C25" w:rsidP="004A4172">
      <w:pPr>
        <w:jc w:val="both"/>
        <w:rPr>
          <w:rFonts w:ascii="Times New Roman" w:hAnsi="Times New Roman" w:cs="Times New Roman"/>
          <w:sz w:val="24"/>
          <w:szCs w:val="24"/>
        </w:rPr>
      </w:pPr>
    </w:p>
    <w:p w:rsidR="00D24365" w:rsidRPr="00D24365" w:rsidRDefault="00D24365" w:rsidP="00D24365">
      <w:pPr>
        <w:jc w:val="both"/>
        <w:rPr>
          <w:rFonts w:ascii="Times New Roman" w:hAnsi="Times New Roman" w:cs="Times New Roman"/>
          <w:b/>
          <w:bCs/>
          <w:sz w:val="24"/>
          <w:szCs w:val="24"/>
        </w:rPr>
      </w:pPr>
      <w:r w:rsidRPr="00D24365">
        <w:rPr>
          <w:rFonts w:ascii="Times New Roman" w:hAnsi="Times New Roman" w:cs="Times New Roman"/>
          <w:b/>
          <w:bCs/>
          <w:sz w:val="24"/>
          <w:szCs w:val="24"/>
        </w:rPr>
        <w:t>4.3 Correlation Analysis</w:t>
      </w:r>
    </w:p>
    <w:p w:rsidR="004264B3" w:rsidRPr="004264B3" w:rsidRDefault="004264B3" w:rsidP="004264B3">
      <w:pPr>
        <w:rPr>
          <w:rFonts w:ascii="Times New Roman" w:hAnsi="Times New Roman" w:cs="Times New Roman"/>
          <w:sz w:val="24"/>
          <w:szCs w:val="24"/>
        </w:rPr>
      </w:pPr>
      <w:r w:rsidRPr="004264B3">
        <w:rPr>
          <w:rFonts w:ascii="Times New Roman" w:hAnsi="Times New Roman" w:cs="Times New Roman"/>
          <w:sz w:val="24"/>
          <w:szCs w:val="24"/>
        </w:rPr>
        <w:t>Pearson correlation coefficients were calculated to analyze bivariate relationships between community engagement and performance indicators.</w:t>
      </w:r>
    </w:p>
    <w:p w:rsidR="00D24365" w:rsidRPr="00D24365" w:rsidRDefault="00D24365" w:rsidP="004A4172">
      <w:pPr>
        <w:jc w:val="both"/>
        <w:rPr>
          <w:rFonts w:ascii="Times New Roman" w:hAnsi="Times New Roman" w:cs="Times New Roman"/>
          <w:b/>
          <w:bCs/>
          <w:sz w:val="24"/>
          <w:szCs w:val="24"/>
        </w:rPr>
      </w:pPr>
      <w:r w:rsidRPr="00D24365">
        <w:rPr>
          <w:rFonts w:ascii="Times New Roman" w:hAnsi="Times New Roman" w:cs="Times New Roman"/>
          <w:b/>
          <w:bCs/>
          <w:sz w:val="24"/>
          <w:szCs w:val="24"/>
        </w:rPr>
        <w:t>Table 3</w:t>
      </w:r>
      <w:r>
        <w:rPr>
          <w:rFonts w:ascii="Times New Roman" w:hAnsi="Times New Roman" w:cs="Times New Roman"/>
          <w:b/>
          <w:bCs/>
          <w:sz w:val="24"/>
          <w:szCs w:val="24"/>
        </w:rPr>
        <w:t>:</w:t>
      </w:r>
      <w:r w:rsidR="00B82C1F">
        <w:rPr>
          <w:rFonts w:ascii="Times New Roman" w:hAnsi="Times New Roman" w:cs="Times New Roman"/>
          <w:b/>
          <w:bCs/>
          <w:sz w:val="24"/>
          <w:szCs w:val="24"/>
        </w:rPr>
        <w:t xml:space="preserve"> </w:t>
      </w:r>
      <w:r w:rsidRPr="00B82C1F">
        <w:rPr>
          <w:rFonts w:ascii="Times New Roman" w:hAnsi="Times New Roman" w:cs="Times New Roman"/>
          <w:bCs/>
          <w:sz w:val="24"/>
          <w:szCs w:val="24"/>
        </w:rPr>
        <w:t>Correlation Matrix</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95"/>
        <w:gridCol w:w="900"/>
        <w:gridCol w:w="1710"/>
        <w:gridCol w:w="1800"/>
        <w:gridCol w:w="1740"/>
      </w:tblGrid>
      <w:tr w:rsidR="008431F0" w:rsidRPr="00D24365" w:rsidTr="008431F0">
        <w:trPr>
          <w:tblHeader/>
          <w:tblCellSpacing w:w="15" w:type="dxa"/>
        </w:trPr>
        <w:tc>
          <w:tcPr>
            <w:tcW w:w="3150" w:type="dxa"/>
            <w:vAlign w:val="center"/>
            <w:hideMark/>
          </w:tcPr>
          <w:p w:rsidR="00D24365" w:rsidRPr="00D24365" w:rsidRDefault="00D24365" w:rsidP="00B854F3">
            <w:pPr>
              <w:spacing w:line="240" w:lineRule="auto"/>
              <w:jc w:val="both"/>
              <w:rPr>
                <w:rFonts w:ascii="Times New Roman" w:hAnsi="Times New Roman" w:cs="Times New Roman"/>
                <w:b/>
                <w:bCs/>
                <w:sz w:val="24"/>
                <w:szCs w:val="24"/>
              </w:rPr>
            </w:pPr>
            <w:r w:rsidRPr="00D24365">
              <w:rPr>
                <w:rFonts w:ascii="Times New Roman" w:hAnsi="Times New Roman" w:cs="Times New Roman"/>
                <w:b/>
                <w:bCs/>
                <w:sz w:val="24"/>
                <w:szCs w:val="24"/>
              </w:rPr>
              <w:t>Variable</w:t>
            </w:r>
          </w:p>
        </w:tc>
        <w:tc>
          <w:tcPr>
            <w:tcW w:w="870" w:type="dxa"/>
            <w:vAlign w:val="center"/>
            <w:hideMark/>
          </w:tcPr>
          <w:p w:rsidR="00D24365" w:rsidRPr="00D24365" w:rsidRDefault="00D24365" w:rsidP="00BD7697">
            <w:pPr>
              <w:spacing w:line="240" w:lineRule="auto"/>
              <w:jc w:val="center"/>
              <w:rPr>
                <w:rFonts w:ascii="Times New Roman" w:hAnsi="Times New Roman" w:cs="Times New Roman"/>
                <w:b/>
                <w:bCs/>
                <w:sz w:val="24"/>
                <w:szCs w:val="24"/>
              </w:rPr>
            </w:pPr>
            <w:r w:rsidRPr="00D24365">
              <w:rPr>
                <w:rFonts w:ascii="Times New Roman" w:hAnsi="Times New Roman" w:cs="Times New Roman"/>
                <w:b/>
                <w:bCs/>
                <w:sz w:val="24"/>
                <w:szCs w:val="24"/>
              </w:rPr>
              <w:t>CEI</w:t>
            </w:r>
          </w:p>
        </w:tc>
        <w:tc>
          <w:tcPr>
            <w:tcW w:w="1680" w:type="dxa"/>
            <w:vAlign w:val="center"/>
            <w:hideMark/>
          </w:tcPr>
          <w:p w:rsidR="00D24365" w:rsidRPr="00D24365" w:rsidRDefault="00D24365" w:rsidP="00BD7697">
            <w:pPr>
              <w:spacing w:line="240" w:lineRule="auto"/>
              <w:jc w:val="center"/>
              <w:rPr>
                <w:rFonts w:ascii="Times New Roman" w:hAnsi="Times New Roman" w:cs="Times New Roman"/>
                <w:b/>
                <w:bCs/>
                <w:sz w:val="24"/>
                <w:szCs w:val="24"/>
              </w:rPr>
            </w:pPr>
            <w:r w:rsidRPr="00D24365">
              <w:rPr>
                <w:rFonts w:ascii="Times New Roman" w:hAnsi="Times New Roman" w:cs="Times New Roman"/>
                <w:b/>
                <w:bCs/>
                <w:sz w:val="24"/>
                <w:szCs w:val="24"/>
              </w:rPr>
              <w:t>Income growth</w:t>
            </w:r>
          </w:p>
        </w:tc>
        <w:tc>
          <w:tcPr>
            <w:tcW w:w="1770" w:type="dxa"/>
            <w:vAlign w:val="center"/>
            <w:hideMark/>
          </w:tcPr>
          <w:p w:rsidR="00D24365" w:rsidRPr="00D24365" w:rsidRDefault="00D24365" w:rsidP="00BD7697">
            <w:pPr>
              <w:spacing w:line="240" w:lineRule="auto"/>
              <w:jc w:val="center"/>
              <w:rPr>
                <w:rFonts w:ascii="Times New Roman" w:hAnsi="Times New Roman" w:cs="Times New Roman"/>
                <w:b/>
                <w:bCs/>
                <w:sz w:val="24"/>
                <w:szCs w:val="24"/>
              </w:rPr>
            </w:pPr>
            <w:r w:rsidRPr="00D24365">
              <w:rPr>
                <w:rFonts w:ascii="Times New Roman" w:hAnsi="Times New Roman" w:cs="Times New Roman"/>
                <w:b/>
                <w:bCs/>
                <w:sz w:val="24"/>
                <w:szCs w:val="24"/>
              </w:rPr>
              <w:t>Diversification</w:t>
            </w:r>
          </w:p>
        </w:tc>
        <w:tc>
          <w:tcPr>
            <w:tcW w:w="1695" w:type="dxa"/>
            <w:vAlign w:val="center"/>
            <w:hideMark/>
          </w:tcPr>
          <w:p w:rsidR="00D24365" w:rsidRPr="00D24365" w:rsidRDefault="00D24365" w:rsidP="00BD7697">
            <w:pPr>
              <w:spacing w:line="240" w:lineRule="auto"/>
              <w:jc w:val="center"/>
              <w:rPr>
                <w:rFonts w:ascii="Times New Roman" w:hAnsi="Times New Roman" w:cs="Times New Roman"/>
                <w:b/>
                <w:bCs/>
                <w:sz w:val="24"/>
                <w:szCs w:val="24"/>
              </w:rPr>
            </w:pPr>
            <w:r w:rsidRPr="00D24365">
              <w:rPr>
                <w:rFonts w:ascii="Times New Roman" w:hAnsi="Times New Roman" w:cs="Times New Roman"/>
                <w:b/>
                <w:bCs/>
                <w:sz w:val="24"/>
                <w:szCs w:val="24"/>
              </w:rPr>
              <w:t>Sustainability</w:t>
            </w:r>
          </w:p>
        </w:tc>
      </w:tr>
      <w:tr w:rsidR="008431F0" w:rsidRPr="00D24365" w:rsidTr="008431F0">
        <w:trPr>
          <w:tblCellSpacing w:w="15" w:type="dxa"/>
        </w:trPr>
        <w:tc>
          <w:tcPr>
            <w:tcW w:w="3150" w:type="dxa"/>
            <w:vAlign w:val="center"/>
            <w:hideMark/>
          </w:tcPr>
          <w:p w:rsidR="00D24365" w:rsidRPr="00D24365" w:rsidRDefault="00D24365" w:rsidP="00B854F3">
            <w:pPr>
              <w:spacing w:line="240" w:lineRule="auto"/>
              <w:jc w:val="both"/>
              <w:rPr>
                <w:rFonts w:ascii="Times New Roman" w:hAnsi="Times New Roman" w:cs="Times New Roman"/>
                <w:sz w:val="24"/>
                <w:szCs w:val="24"/>
              </w:rPr>
            </w:pPr>
            <w:r w:rsidRPr="00D24365">
              <w:rPr>
                <w:rFonts w:ascii="Times New Roman" w:hAnsi="Times New Roman" w:cs="Times New Roman"/>
                <w:sz w:val="24"/>
                <w:szCs w:val="24"/>
              </w:rPr>
              <w:t>Community Engagement Index</w:t>
            </w:r>
          </w:p>
        </w:tc>
        <w:tc>
          <w:tcPr>
            <w:tcW w:w="870" w:type="dxa"/>
            <w:vAlign w:val="center"/>
            <w:hideMark/>
          </w:tcPr>
          <w:p w:rsidR="00D24365" w:rsidRPr="00D24365" w:rsidRDefault="00D24365" w:rsidP="00BD7697">
            <w:pPr>
              <w:spacing w:line="240" w:lineRule="auto"/>
              <w:jc w:val="center"/>
              <w:rPr>
                <w:rFonts w:ascii="Times New Roman" w:hAnsi="Times New Roman" w:cs="Times New Roman"/>
                <w:sz w:val="24"/>
                <w:szCs w:val="24"/>
              </w:rPr>
            </w:pPr>
            <w:r w:rsidRPr="00D24365">
              <w:rPr>
                <w:rFonts w:ascii="Times New Roman" w:hAnsi="Times New Roman" w:cs="Times New Roman"/>
                <w:sz w:val="24"/>
                <w:szCs w:val="24"/>
              </w:rPr>
              <w:t>1</w:t>
            </w:r>
          </w:p>
        </w:tc>
        <w:tc>
          <w:tcPr>
            <w:tcW w:w="1680" w:type="dxa"/>
            <w:vAlign w:val="center"/>
            <w:hideMark/>
          </w:tcPr>
          <w:p w:rsidR="00D24365" w:rsidRPr="00D24365" w:rsidRDefault="00D24365" w:rsidP="00BD7697">
            <w:pPr>
              <w:spacing w:line="240" w:lineRule="auto"/>
              <w:jc w:val="center"/>
              <w:rPr>
                <w:rFonts w:ascii="Times New Roman" w:hAnsi="Times New Roman" w:cs="Times New Roman"/>
                <w:sz w:val="24"/>
                <w:szCs w:val="24"/>
              </w:rPr>
            </w:pPr>
          </w:p>
        </w:tc>
        <w:tc>
          <w:tcPr>
            <w:tcW w:w="1770" w:type="dxa"/>
            <w:vAlign w:val="center"/>
            <w:hideMark/>
          </w:tcPr>
          <w:p w:rsidR="00D24365" w:rsidRPr="00D24365" w:rsidRDefault="00D24365" w:rsidP="00BD7697">
            <w:pPr>
              <w:spacing w:line="240" w:lineRule="auto"/>
              <w:jc w:val="center"/>
              <w:rPr>
                <w:rFonts w:ascii="Times New Roman" w:hAnsi="Times New Roman" w:cs="Times New Roman"/>
                <w:sz w:val="24"/>
                <w:szCs w:val="24"/>
              </w:rPr>
            </w:pPr>
          </w:p>
        </w:tc>
        <w:tc>
          <w:tcPr>
            <w:tcW w:w="1695" w:type="dxa"/>
            <w:vAlign w:val="center"/>
            <w:hideMark/>
          </w:tcPr>
          <w:p w:rsidR="00D24365" w:rsidRPr="00D24365" w:rsidRDefault="00D24365" w:rsidP="00BD7697">
            <w:pPr>
              <w:spacing w:line="240" w:lineRule="auto"/>
              <w:jc w:val="center"/>
              <w:rPr>
                <w:rFonts w:ascii="Times New Roman" w:hAnsi="Times New Roman" w:cs="Times New Roman"/>
                <w:sz w:val="24"/>
                <w:szCs w:val="24"/>
              </w:rPr>
            </w:pPr>
          </w:p>
        </w:tc>
      </w:tr>
      <w:tr w:rsidR="008431F0" w:rsidRPr="00D24365" w:rsidTr="008431F0">
        <w:trPr>
          <w:tblCellSpacing w:w="15" w:type="dxa"/>
        </w:trPr>
        <w:tc>
          <w:tcPr>
            <w:tcW w:w="3150" w:type="dxa"/>
            <w:vAlign w:val="center"/>
            <w:hideMark/>
          </w:tcPr>
          <w:p w:rsidR="00D24365" w:rsidRPr="00D24365" w:rsidRDefault="00D24365" w:rsidP="00B854F3">
            <w:pPr>
              <w:spacing w:line="240" w:lineRule="auto"/>
              <w:jc w:val="both"/>
              <w:rPr>
                <w:rFonts w:ascii="Times New Roman" w:hAnsi="Times New Roman" w:cs="Times New Roman"/>
                <w:sz w:val="24"/>
                <w:szCs w:val="24"/>
              </w:rPr>
            </w:pPr>
            <w:r w:rsidRPr="00D24365">
              <w:rPr>
                <w:rFonts w:ascii="Times New Roman" w:hAnsi="Times New Roman" w:cs="Times New Roman"/>
                <w:sz w:val="24"/>
                <w:szCs w:val="24"/>
              </w:rPr>
              <w:t>Income growth</w:t>
            </w:r>
          </w:p>
        </w:tc>
        <w:tc>
          <w:tcPr>
            <w:tcW w:w="870" w:type="dxa"/>
            <w:vAlign w:val="center"/>
            <w:hideMark/>
          </w:tcPr>
          <w:p w:rsidR="00D24365" w:rsidRPr="00D24365" w:rsidRDefault="00D24365" w:rsidP="00BD7697">
            <w:pPr>
              <w:spacing w:line="240" w:lineRule="auto"/>
              <w:jc w:val="center"/>
              <w:rPr>
                <w:rFonts w:ascii="Times New Roman" w:hAnsi="Times New Roman" w:cs="Times New Roman"/>
                <w:sz w:val="24"/>
                <w:szCs w:val="24"/>
              </w:rPr>
            </w:pPr>
            <w:r w:rsidRPr="00D24365">
              <w:rPr>
                <w:rFonts w:ascii="Times New Roman" w:hAnsi="Times New Roman" w:cs="Times New Roman"/>
                <w:sz w:val="24"/>
                <w:szCs w:val="24"/>
              </w:rPr>
              <w:t>.32***</w:t>
            </w:r>
          </w:p>
        </w:tc>
        <w:tc>
          <w:tcPr>
            <w:tcW w:w="1680" w:type="dxa"/>
            <w:vAlign w:val="center"/>
            <w:hideMark/>
          </w:tcPr>
          <w:p w:rsidR="00D24365" w:rsidRPr="00D24365" w:rsidRDefault="00D24365" w:rsidP="00BD7697">
            <w:pPr>
              <w:spacing w:line="240" w:lineRule="auto"/>
              <w:jc w:val="center"/>
              <w:rPr>
                <w:rFonts w:ascii="Times New Roman" w:hAnsi="Times New Roman" w:cs="Times New Roman"/>
                <w:sz w:val="24"/>
                <w:szCs w:val="24"/>
              </w:rPr>
            </w:pPr>
            <w:r w:rsidRPr="00D24365">
              <w:rPr>
                <w:rFonts w:ascii="Times New Roman" w:hAnsi="Times New Roman" w:cs="Times New Roman"/>
                <w:sz w:val="24"/>
                <w:szCs w:val="24"/>
              </w:rPr>
              <w:t>1</w:t>
            </w:r>
          </w:p>
        </w:tc>
        <w:tc>
          <w:tcPr>
            <w:tcW w:w="1770" w:type="dxa"/>
            <w:vAlign w:val="center"/>
            <w:hideMark/>
          </w:tcPr>
          <w:p w:rsidR="00D24365" w:rsidRPr="00D24365" w:rsidRDefault="00D24365" w:rsidP="00BD7697">
            <w:pPr>
              <w:spacing w:line="240" w:lineRule="auto"/>
              <w:jc w:val="center"/>
              <w:rPr>
                <w:rFonts w:ascii="Times New Roman" w:hAnsi="Times New Roman" w:cs="Times New Roman"/>
                <w:sz w:val="24"/>
                <w:szCs w:val="24"/>
              </w:rPr>
            </w:pPr>
          </w:p>
        </w:tc>
        <w:tc>
          <w:tcPr>
            <w:tcW w:w="1695" w:type="dxa"/>
            <w:vAlign w:val="center"/>
            <w:hideMark/>
          </w:tcPr>
          <w:p w:rsidR="00D24365" w:rsidRPr="00D24365" w:rsidRDefault="00D24365" w:rsidP="00BD7697">
            <w:pPr>
              <w:spacing w:line="240" w:lineRule="auto"/>
              <w:jc w:val="center"/>
              <w:rPr>
                <w:rFonts w:ascii="Times New Roman" w:hAnsi="Times New Roman" w:cs="Times New Roman"/>
                <w:sz w:val="24"/>
                <w:szCs w:val="24"/>
              </w:rPr>
            </w:pPr>
          </w:p>
        </w:tc>
      </w:tr>
      <w:tr w:rsidR="008431F0" w:rsidRPr="00D24365" w:rsidTr="008431F0">
        <w:trPr>
          <w:tblCellSpacing w:w="15" w:type="dxa"/>
        </w:trPr>
        <w:tc>
          <w:tcPr>
            <w:tcW w:w="3150" w:type="dxa"/>
            <w:vAlign w:val="center"/>
            <w:hideMark/>
          </w:tcPr>
          <w:p w:rsidR="00D24365" w:rsidRPr="00D24365" w:rsidRDefault="00D24365" w:rsidP="00B854F3">
            <w:pPr>
              <w:spacing w:line="240" w:lineRule="auto"/>
              <w:jc w:val="both"/>
              <w:rPr>
                <w:rFonts w:ascii="Times New Roman" w:hAnsi="Times New Roman" w:cs="Times New Roman"/>
                <w:sz w:val="24"/>
                <w:szCs w:val="24"/>
              </w:rPr>
            </w:pPr>
            <w:r w:rsidRPr="00D24365">
              <w:rPr>
                <w:rFonts w:ascii="Times New Roman" w:hAnsi="Times New Roman" w:cs="Times New Roman"/>
                <w:sz w:val="24"/>
                <w:szCs w:val="24"/>
              </w:rPr>
              <w:t>Diversification</w:t>
            </w:r>
          </w:p>
        </w:tc>
        <w:tc>
          <w:tcPr>
            <w:tcW w:w="870" w:type="dxa"/>
            <w:vAlign w:val="center"/>
            <w:hideMark/>
          </w:tcPr>
          <w:p w:rsidR="00D24365" w:rsidRPr="00D24365" w:rsidRDefault="00D24365" w:rsidP="00BD7697">
            <w:pPr>
              <w:spacing w:line="240" w:lineRule="auto"/>
              <w:jc w:val="center"/>
              <w:rPr>
                <w:rFonts w:ascii="Times New Roman" w:hAnsi="Times New Roman" w:cs="Times New Roman"/>
                <w:sz w:val="24"/>
                <w:szCs w:val="24"/>
              </w:rPr>
            </w:pPr>
            <w:r w:rsidRPr="00D24365">
              <w:rPr>
                <w:rFonts w:ascii="Times New Roman" w:hAnsi="Times New Roman" w:cs="Times New Roman"/>
                <w:sz w:val="24"/>
                <w:szCs w:val="24"/>
              </w:rPr>
              <w:t>.28***</w:t>
            </w:r>
          </w:p>
        </w:tc>
        <w:tc>
          <w:tcPr>
            <w:tcW w:w="1680" w:type="dxa"/>
            <w:vAlign w:val="center"/>
            <w:hideMark/>
          </w:tcPr>
          <w:p w:rsidR="00D24365" w:rsidRPr="00D24365" w:rsidRDefault="00D24365" w:rsidP="00BD7697">
            <w:pPr>
              <w:spacing w:line="240" w:lineRule="auto"/>
              <w:jc w:val="center"/>
              <w:rPr>
                <w:rFonts w:ascii="Times New Roman" w:hAnsi="Times New Roman" w:cs="Times New Roman"/>
                <w:sz w:val="24"/>
                <w:szCs w:val="24"/>
              </w:rPr>
            </w:pPr>
            <w:r w:rsidRPr="00D24365">
              <w:rPr>
                <w:rFonts w:ascii="Times New Roman" w:hAnsi="Times New Roman" w:cs="Times New Roman"/>
                <w:sz w:val="24"/>
                <w:szCs w:val="24"/>
              </w:rPr>
              <w:t>.24***</w:t>
            </w:r>
          </w:p>
        </w:tc>
        <w:tc>
          <w:tcPr>
            <w:tcW w:w="1770" w:type="dxa"/>
            <w:vAlign w:val="center"/>
            <w:hideMark/>
          </w:tcPr>
          <w:p w:rsidR="00D24365" w:rsidRPr="00D24365" w:rsidRDefault="00D24365" w:rsidP="00BD7697">
            <w:pPr>
              <w:spacing w:line="240" w:lineRule="auto"/>
              <w:jc w:val="center"/>
              <w:rPr>
                <w:rFonts w:ascii="Times New Roman" w:hAnsi="Times New Roman" w:cs="Times New Roman"/>
                <w:sz w:val="24"/>
                <w:szCs w:val="24"/>
              </w:rPr>
            </w:pPr>
            <w:r w:rsidRPr="00D24365">
              <w:rPr>
                <w:rFonts w:ascii="Times New Roman" w:hAnsi="Times New Roman" w:cs="Times New Roman"/>
                <w:sz w:val="24"/>
                <w:szCs w:val="24"/>
              </w:rPr>
              <w:t>1</w:t>
            </w:r>
          </w:p>
        </w:tc>
        <w:tc>
          <w:tcPr>
            <w:tcW w:w="1695" w:type="dxa"/>
            <w:vAlign w:val="center"/>
            <w:hideMark/>
          </w:tcPr>
          <w:p w:rsidR="00D24365" w:rsidRPr="00D24365" w:rsidRDefault="00D24365" w:rsidP="00BD7697">
            <w:pPr>
              <w:spacing w:line="240" w:lineRule="auto"/>
              <w:jc w:val="center"/>
              <w:rPr>
                <w:rFonts w:ascii="Times New Roman" w:hAnsi="Times New Roman" w:cs="Times New Roman"/>
                <w:sz w:val="24"/>
                <w:szCs w:val="24"/>
              </w:rPr>
            </w:pPr>
          </w:p>
        </w:tc>
      </w:tr>
      <w:tr w:rsidR="008431F0" w:rsidRPr="00D24365" w:rsidTr="008431F0">
        <w:trPr>
          <w:tblCellSpacing w:w="15" w:type="dxa"/>
        </w:trPr>
        <w:tc>
          <w:tcPr>
            <w:tcW w:w="3150" w:type="dxa"/>
            <w:vAlign w:val="center"/>
            <w:hideMark/>
          </w:tcPr>
          <w:p w:rsidR="00D24365" w:rsidRPr="00D24365" w:rsidRDefault="00D24365" w:rsidP="00B854F3">
            <w:pPr>
              <w:spacing w:line="240" w:lineRule="auto"/>
              <w:jc w:val="both"/>
              <w:rPr>
                <w:rFonts w:ascii="Times New Roman" w:hAnsi="Times New Roman" w:cs="Times New Roman"/>
                <w:sz w:val="24"/>
                <w:szCs w:val="24"/>
              </w:rPr>
            </w:pPr>
            <w:r w:rsidRPr="00D24365">
              <w:rPr>
                <w:rFonts w:ascii="Times New Roman" w:hAnsi="Times New Roman" w:cs="Times New Roman"/>
                <w:sz w:val="24"/>
                <w:szCs w:val="24"/>
              </w:rPr>
              <w:t>Sustainability practices</w:t>
            </w:r>
          </w:p>
        </w:tc>
        <w:tc>
          <w:tcPr>
            <w:tcW w:w="870" w:type="dxa"/>
            <w:vAlign w:val="center"/>
            <w:hideMark/>
          </w:tcPr>
          <w:p w:rsidR="00D24365" w:rsidRPr="00D24365" w:rsidRDefault="00D24365" w:rsidP="00BD7697">
            <w:pPr>
              <w:spacing w:line="240" w:lineRule="auto"/>
              <w:jc w:val="center"/>
              <w:rPr>
                <w:rFonts w:ascii="Times New Roman" w:hAnsi="Times New Roman" w:cs="Times New Roman"/>
                <w:sz w:val="24"/>
                <w:szCs w:val="24"/>
              </w:rPr>
            </w:pPr>
            <w:r w:rsidRPr="00D24365">
              <w:rPr>
                <w:rFonts w:ascii="Times New Roman" w:hAnsi="Times New Roman" w:cs="Times New Roman"/>
                <w:sz w:val="24"/>
                <w:szCs w:val="24"/>
              </w:rPr>
              <w:t>.35***</w:t>
            </w:r>
          </w:p>
        </w:tc>
        <w:tc>
          <w:tcPr>
            <w:tcW w:w="1680" w:type="dxa"/>
            <w:vAlign w:val="center"/>
            <w:hideMark/>
          </w:tcPr>
          <w:p w:rsidR="00D24365" w:rsidRPr="00D24365" w:rsidRDefault="00D24365" w:rsidP="00BD7697">
            <w:pPr>
              <w:spacing w:line="240" w:lineRule="auto"/>
              <w:jc w:val="center"/>
              <w:rPr>
                <w:rFonts w:ascii="Times New Roman" w:hAnsi="Times New Roman" w:cs="Times New Roman"/>
                <w:sz w:val="24"/>
                <w:szCs w:val="24"/>
              </w:rPr>
            </w:pPr>
            <w:r w:rsidRPr="00D24365">
              <w:rPr>
                <w:rFonts w:ascii="Times New Roman" w:hAnsi="Times New Roman" w:cs="Times New Roman"/>
                <w:sz w:val="24"/>
                <w:szCs w:val="24"/>
              </w:rPr>
              <w:t>.21**</w:t>
            </w:r>
          </w:p>
        </w:tc>
        <w:tc>
          <w:tcPr>
            <w:tcW w:w="1770" w:type="dxa"/>
            <w:vAlign w:val="center"/>
            <w:hideMark/>
          </w:tcPr>
          <w:p w:rsidR="00D24365" w:rsidRPr="00D24365" w:rsidRDefault="00D24365" w:rsidP="00BD7697">
            <w:pPr>
              <w:spacing w:line="240" w:lineRule="auto"/>
              <w:jc w:val="center"/>
              <w:rPr>
                <w:rFonts w:ascii="Times New Roman" w:hAnsi="Times New Roman" w:cs="Times New Roman"/>
                <w:sz w:val="24"/>
                <w:szCs w:val="24"/>
              </w:rPr>
            </w:pPr>
            <w:r w:rsidRPr="00D24365">
              <w:rPr>
                <w:rFonts w:ascii="Times New Roman" w:hAnsi="Times New Roman" w:cs="Times New Roman"/>
                <w:sz w:val="24"/>
                <w:szCs w:val="24"/>
              </w:rPr>
              <w:t>.26***</w:t>
            </w:r>
          </w:p>
        </w:tc>
        <w:tc>
          <w:tcPr>
            <w:tcW w:w="1695" w:type="dxa"/>
            <w:vAlign w:val="center"/>
            <w:hideMark/>
          </w:tcPr>
          <w:p w:rsidR="00D24365" w:rsidRPr="00D24365" w:rsidRDefault="00D24365" w:rsidP="00BD7697">
            <w:pPr>
              <w:spacing w:line="240" w:lineRule="auto"/>
              <w:jc w:val="center"/>
              <w:rPr>
                <w:rFonts w:ascii="Times New Roman" w:hAnsi="Times New Roman" w:cs="Times New Roman"/>
                <w:sz w:val="24"/>
                <w:szCs w:val="24"/>
              </w:rPr>
            </w:pPr>
            <w:r w:rsidRPr="00D24365">
              <w:rPr>
                <w:rFonts w:ascii="Times New Roman" w:hAnsi="Times New Roman" w:cs="Times New Roman"/>
                <w:sz w:val="24"/>
                <w:szCs w:val="24"/>
              </w:rPr>
              <w:t>1</w:t>
            </w:r>
          </w:p>
        </w:tc>
      </w:tr>
    </w:tbl>
    <w:p w:rsidR="00D24365" w:rsidRDefault="00D24365" w:rsidP="004A4172">
      <w:pPr>
        <w:jc w:val="both"/>
        <w:rPr>
          <w:rFonts w:ascii="Times New Roman" w:hAnsi="Times New Roman" w:cs="Times New Roman"/>
          <w:sz w:val="24"/>
          <w:szCs w:val="24"/>
        </w:rPr>
      </w:pPr>
    </w:p>
    <w:p w:rsidR="008431F0" w:rsidRDefault="00D24365" w:rsidP="00D24365">
      <w:pPr>
        <w:jc w:val="both"/>
        <w:rPr>
          <w:rFonts w:ascii="Times New Roman" w:hAnsi="Times New Roman" w:cs="Times New Roman"/>
          <w:sz w:val="24"/>
          <w:szCs w:val="24"/>
        </w:rPr>
      </w:pPr>
      <w:r w:rsidRPr="00D24365">
        <w:rPr>
          <w:rFonts w:ascii="Times New Roman" w:hAnsi="Times New Roman" w:cs="Times New Roman"/>
          <w:i/>
          <w:iCs/>
          <w:sz w:val="24"/>
          <w:szCs w:val="24"/>
        </w:rPr>
        <w:t>p</w:t>
      </w:r>
      <w:r w:rsidRPr="00D24365">
        <w:rPr>
          <w:rFonts w:ascii="Times New Roman" w:hAnsi="Times New Roman" w:cs="Times New Roman"/>
          <w:sz w:val="24"/>
          <w:szCs w:val="24"/>
        </w:rPr>
        <w:t xml:space="preserve"> &lt; .05**, </w:t>
      </w:r>
      <w:r w:rsidRPr="00D24365">
        <w:rPr>
          <w:rFonts w:ascii="Times New Roman" w:hAnsi="Times New Roman" w:cs="Times New Roman"/>
          <w:i/>
          <w:iCs/>
          <w:sz w:val="24"/>
          <w:szCs w:val="24"/>
        </w:rPr>
        <w:t>p</w:t>
      </w:r>
      <w:r w:rsidRPr="00D24365">
        <w:rPr>
          <w:rFonts w:ascii="Times New Roman" w:hAnsi="Times New Roman" w:cs="Times New Roman"/>
          <w:sz w:val="24"/>
          <w:szCs w:val="24"/>
        </w:rPr>
        <w:t xml:space="preserve"> &lt; .01***</w:t>
      </w:r>
    </w:p>
    <w:p w:rsidR="00D24365" w:rsidRPr="00D24365" w:rsidRDefault="00D24365" w:rsidP="00D24365">
      <w:pPr>
        <w:jc w:val="both"/>
        <w:rPr>
          <w:rFonts w:ascii="Times New Roman" w:hAnsi="Times New Roman" w:cs="Times New Roman"/>
          <w:sz w:val="24"/>
          <w:szCs w:val="24"/>
        </w:rPr>
      </w:pPr>
      <w:r w:rsidRPr="00D24365">
        <w:rPr>
          <w:rFonts w:ascii="Times New Roman" w:hAnsi="Times New Roman" w:cs="Times New Roman"/>
          <w:sz w:val="24"/>
          <w:szCs w:val="24"/>
        </w:rPr>
        <w:br/>
      </w:r>
      <w:r w:rsidR="004264B3" w:rsidRPr="004264B3">
        <w:rPr>
          <w:rFonts w:ascii="Times New Roman" w:hAnsi="Times New Roman" w:cs="Times New Roman"/>
          <w:sz w:val="24"/>
          <w:szCs w:val="24"/>
        </w:rPr>
        <w:t>Community engagement is positively and significantly associated with all performance indicators. The most significant correlation is noted between community engagement and the adoption of sustainable practices, succeeded by income growth and enterprise diversification. These early findings lend preliminary support to H1 and H3.</w:t>
      </w:r>
    </w:p>
    <w:p w:rsidR="00D24365" w:rsidRPr="00D24365" w:rsidRDefault="00D24365" w:rsidP="00D24365">
      <w:pPr>
        <w:jc w:val="both"/>
        <w:rPr>
          <w:rFonts w:ascii="Times New Roman" w:hAnsi="Times New Roman" w:cs="Times New Roman"/>
          <w:b/>
          <w:bCs/>
          <w:sz w:val="24"/>
          <w:szCs w:val="24"/>
        </w:rPr>
      </w:pPr>
      <w:r w:rsidRPr="00D24365">
        <w:rPr>
          <w:rFonts w:ascii="Times New Roman" w:hAnsi="Times New Roman" w:cs="Times New Roman"/>
          <w:b/>
          <w:bCs/>
          <w:sz w:val="24"/>
          <w:szCs w:val="24"/>
        </w:rPr>
        <w:t>4.4 Regression Results</w:t>
      </w:r>
    </w:p>
    <w:p w:rsidR="00D24365" w:rsidRPr="00D24365" w:rsidRDefault="00D24365" w:rsidP="00D24365">
      <w:pPr>
        <w:jc w:val="both"/>
        <w:rPr>
          <w:rFonts w:ascii="Times New Roman" w:hAnsi="Times New Roman" w:cs="Times New Roman"/>
          <w:b/>
          <w:bCs/>
          <w:sz w:val="24"/>
          <w:szCs w:val="24"/>
        </w:rPr>
      </w:pPr>
      <w:r w:rsidRPr="00D24365">
        <w:rPr>
          <w:rFonts w:ascii="Times New Roman" w:hAnsi="Times New Roman" w:cs="Times New Roman"/>
          <w:b/>
          <w:bCs/>
          <w:sz w:val="24"/>
          <w:szCs w:val="24"/>
        </w:rPr>
        <w:t>4.4.1 Effect of Community Engagement on Income Growth</w:t>
      </w:r>
    </w:p>
    <w:p w:rsidR="004264B3" w:rsidRDefault="004264B3" w:rsidP="00D24365">
      <w:pPr>
        <w:jc w:val="both"/>
        <w:rPr>
          <w:rFonts w:ascii="Times New Roman" w:hAnsi="Times New Roman" w:cs="Times New Roman"/>
          <w:sz w:val="24"/>
          <w:szCs w:val="24"/>
        </w:rPr>
      </w:pPr>
      <w:r w:rsidRPr="004264B3">
        <w:rPr>
          <w:rFonts w:ascii="Times New Roman" w:hAnsi="Times New Roman" w:cs="Times New Roman"/>
          <w:sz w:val="24"/>
          <w:szCs w:val="24"/>
        </w:rPr>
        <w:t>Table 4 shows the results of the OLS regression that looked at how community engagement affects income growth while taking into account education, business experience, type of business, access to finance, and district location.</w:t>
      </w:r>
    </w:p>
    <w:p w:rsidR="00D24365" w:rsidRPr="008431F0" w:rsidRDefault="00D24365" w:rsidP="004A4172">
      <w:pPr>
        <w:jc w:val="both"/>
        <w:rPr>
          <w:rFonts w:ascii="Times New Roman" w:hAnsi="Times New Roman" w:cs="Times New Roman"/>
          <w:bCs/>
          <w:sz w:val="24"/>
          <w:szCs w:val="24"/>
        </w:rPr>
      </w:pPr>
      <w:r w:rsidRPr="00D24365">
        <w:rPr>
          <w:rFonts w:ascii="Times New Roman" w:hAnsi="Times New Roman" w:cs="Times New Roman"/>
          <w:b/>
          <w:bCs/>
          <w:sz w:val="24"/>
          <w:szCs w:val="24"/>
        </w:rPr>
        <w:t>Table 4</w:t>
      </w:r>
      <w:r>
        <w:rPr>
          <w:rFonts w:ascii="Times New Roman" w:hAnsi="Times New Roman" w:cs="Times New Roman"/>
          <w:b/>
          <w:bCs/>
          <w:sz w:val="24"/>
          <w:szCs w:val="24"/>
        </w:rPr>
        <w:t xml:space="preserve">: </w:t>
      </w:r>
      <w:r w:rsidRPr="008431F0">
        <w:rPr>
          <w:rFonts w:ascii="Times New Roman" w:hAnsi="Times New Roman" w:cs="Times New Roman"/>
          <w:bCs/>
          <w:sz w:val="24"/>
          <w:szCs w:val="24"/>
        </w:rPr>
        <w:t>OLS Regression Results: Income Growth</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088"/>
        <w:gridCol w:w="917"/>
        <w:gridCol w:w="900"/>
        <w:gridCol w:w="990"/>
        <w:gridCol w:w="1350"/>
        <w:gridCol w:w="1890"/>
      </w:tblGrid>
      <w:tr w:rsidR="008431F0" w:rsidRPr="00D24365" w:rsidTr="00B854F3">
        <w:trPr>
          <w:tblHeader/>
          <w:tblCellSpacing w:w="15" w:type="dxa"/>
          <w:jc w:val="center"/>
        </w:trPr>
        <w:tc>
          <w:tcPr>
            <w:tcW w:w="3043" w:type="dxa"/>
            <w:vAlign w:val="center"/>
            <w:hideMark/>
          </w:tcPr>
          <w:p w:rsidR="00D24365" w:rsidRPr="00D24365" w:rsidRDefault="00D24365" w:rsidP="00B854F3">
            <w:pPr>
              <w:spacing w:line="240" w:lineRule="auto"/>
              <w:jc w:val="both"/>
              <w:rPr>
                <w:rFonts w:ascii="Times New Roman" w:hAnsi="Times New Roman" w:cs="Times New Roman"/>
                <w:b/>
                <w:bCs/>
                <w:sz w:val="24"/>
                <w:szCs w:val="24"/>
              </w:rPr>
            </w:pPr>
            <w:r w:rsidRPr="00D24365">
              <w:rPr>
                <w:rFonts w:ascii="Times New Roman" w:hAnsi="Times New Roman" w:cs="Times New Roman"/>
                <w:b/>
                <w:bCs/>
                <w:sz w:val="24"/>
                <w:szCs w:val="24"/>
              </w:rPr>
              <w:lastRenderedPageBreak/>
              <w:t>Predictor</w:t>
            </w:r>
          </w:p>
        </w:tc>
        <w:tc>
          <w:tcPr>
            <w:tcW w:w="887" w:type="dxa"/>
            <w:vAlign w:val="center"/>
            <w:hideMark/>
          </w:tcPr>
          <w:p w:rsidR="00D24365" w:rsidRPr="00D24365" w:rsidRDefault="00D24365" w:rsidP="00B854F3">
            <w:pPr>
              <w:spacing w:line="240" w:lineRule="auto"/>
              <w:jc w:val="center"/>
              <w:rPr>
                <w:rFonts w:ascii="Times New Roman" w:hAnsi="Times New Roman" w:cs="Times New Roman"/>
                <w:b/>
                <w:bCs/>
                <w:sz w:val="24"/>
                <w:szCs w:val="24"/>
              </w:rPr>
            </w:pPr>
            <w:r w:rsidRPr="00D24365">
              <w:rPr>
                <w:rFonts w:ascii="Times New Roman" w:hAnsi="Times New Roman" w:cs="Times New Roman"/>
                <w:b/>
                <w:bCs/>
                <w:sz w:val="24"/>
                <w:szCs w:val="24"/>
              </w:rPr>
              <w:t>B</w:t>
            </w:r>
          </w:p>
        </w:tc>
        <w:tc>
          <w:tcPr>
            <w:tcW w:w="870" w:type="dxa"/>
            <w:vAlign w:val="center"/>
            <w:hideMark/>
          </w:tcPr>
          <w:p w:rsidR="00D24365" w:rsidRPr="00D24365" w:rsidRDefault="00D24365" w:rsidP="00B854F3">
            <w:pPr>
              <w:spacing w:line="240" w:lineRule="auto"/>
              <w:jc w:val="center"/>
              <w:rPr>
                <w:rFonts w:ascii="Times New Roman" w:hAnsi="Times New Roman" w:cs="Times New Roman"/>
                <w:b/>
                <w:bCs/>
                <w:sz w:val="24"/>
                <w:szCs w:val="24"/>
              </w:rPr>
            </w:pPr>
            <w:r w:rsidRPr="00D24365">
              <w:rPr>
                <w:rFonts w:ascii="Times New Roman" w:hAnsi="Times New Roman" w:cs="Times New Roman"/>
                <w:b/>
                <w:bCs/>
                <w:sz w:val="24"/>
                <w:szCs w:val="24"/>
              </w:rPr>
              <w:t>SE</w:t>
            </w:r>
          </w:p>
        </w:tc>
        <w:tc>
          <w:tcPr>
            <w:tcW w:w="960" w:type="dxa"/>
            <w:vAlign w:val="center"/>
            <w:hideMark/>
          </w:tcPr>
          <w:p w:rsidR="00D24365" w:rsidRPr="00D24365" w:rsidRDefault="008431F0" w:rsidP="00B854F3">
            <w:pPr>
              <w:spacing w:line="240" w:lineRule="auto"/>
              <w:jc w:val="center"/>
              <w:rPr>
                <w:rFonts w:ascii="Times New Roman" w:hAnsi="Times New Roman" w:cs="Times New Roman"/>
                <w:b/>
                <w:bCs/>
                <w:sz w:val="24"/>
                <w:szCs w:val="24"/>
              </w:rPr>
            </w:pPr>
            <w:r w:rsidRPr="00D24365">
              <w:rPr>
                <w:rFonts w:ascii="Times New Roman" w:hAnsi="Times New Roman" w:cs="Times New Roman"/>
                <w:b/>
                <w:bCs/>
                <w:sz w:val="24"/>
                <w:szCs w:val="24"/>
              </w:rPr>
              <w:t>Β</w:t>
            </w:r>
          </w:p>
        </w:tc>
        <w:tc>
          <w:tcPr>
            <w:tcW w:w="1320" w:type="dxa"/>
            <w:vAlign w:val="center"/>
            <w:hideMark/>
          </w:tcPr>
          <w:p w:rsidR="00D24365" w:rsidRPr="00D24365" w:rsidRDefault="00321828" w:rsidP="00BD7697">
            <w:pPr>
              <w:spacing w:line="240" w:lineRule="auto"/>
              <w:jc w:val="center"/>
              <w:rPr>
                <w:rFonts w:ascii="Times New Roman" w:hAnsi="Times New Roman" w:cs="Times New Roman"/>
                <w:b/>
                <w:bCs/>
                <w:sz w:val="24"/>
                <w:szCs w:val="24"/>
              </w:rPr>
            </w:pPr>
            <w:r w:rsidRPr="00D24365">
              <w:rPr>
                <w:rFonts w:ascii="Times New Roman" w:hAnsi="Times New Roman" w:cs="Times New Roman"/>
                <w:b/>
                <w:bCs/>
                <w:sz w:val="24"/>
                <w:szCs w:val="24"/>
              </w:rPr>
              <w:t>T</w:t>
            </w:r>
          </w:p>
        </w:tc>
        <w:tc>
          <w:tcPr>
            <w:tcW w:w="1845" w:type="dxa"/>
            <w:vAlign w:val="center"/>
            <w:hideMark/>
          </w:tcPr>
          <w:p w:rsidR="00D24365" w:rsidRPr="00D24365" w:rsidRDefault="00450AE7" w:rsidP="00BD7697">
            <w:pPr>
              <w:spacing w:line="240" w:lineRule="auto"/>
              <w:jc w:val="center"/>
              <w:rPr>
                <w:rFonts w:ascii="Times New Roman" w:hAnsi="Times New Roman" w:cs="Times New Roman"/>
                <w:b/>
                <w:bCs/>
                <w:sz w:val="24"/>
                <w:szCs w:val="24"/>
              </w:rPr>
            </w:pPr>
            <w:r w:rsidRPr="00D24365">
              <w:rPr>
                <w:rFonts w:ascii="Times New Roman" w:hAnsi="Times New Roman" w:cs="Times New Roman"/>
                <w:b/>
                <w:bCs/>
                <w:sz w:val="24"/>
                <w:szCs w:val="24"/>
              </w:rPr>
              <w:t>P</w:t>
            </w:r>
          </w:p>
        </w:tc>
      </w:tr>
      <w:tr w:rsidR="008431F0" w:rsidRPr="00D24365" w:rsidTr="00B854F3">
        <w:trPr>
          <w:tblCellSpacing w:w="15" w:type="dxa"/>
          <w:jc w:val="center"/>
        </w:trPr>
        <w:tc>
          <w:tcPr>
            <w:tcW w:w="3043" w:type="dxa"/>
            <w:vAlign w:val="center"/>
            <w:hideMark/>
          </w:tcPr>
          <w:p w:rsidR="00D24365" w:rsidRPr="00D24365" w:rsidRDefault="00D24365" w:rsidP="00B854F3">
            <w:pPr>
              <w:spacing w:line="240" w:lineRule="auto"/>
              <w:jc w:val="both"/>
              <w:rPr>
                <w:rFonts w:ascii="Times New Roman" w:hAnsi="Times New Roman" w:cs="Times New Roman"/>
                <w:sz w:val="24"/>
                <w:szCs w:val="24"/>
              </w:rPr>
            </w:pPr>
            <w:r w:rsidRPr="00D24365">
              <w:rPr>
                <w:rFonts w:ascii="Times New Roman" w:hAnsi="Times New Roman" w:cs="Times New Roman"/>
                <w:sz w:val="24"/>
                <w:szCs w:val="24"/>
              </w:rPr>
              <w:t>Constant</w:t>
            </w:r>
          </w:p>
        </w:tc>
        <w:tc>
          <w:tcPr>
            <w:tcW w:w="887" w:type="dxa"/>
            <w:vAlign w:val="center"/>
            <w:hideMark/>
          </w:tcPr>
          <w:p w:rsidR="00D24365" w:rsidRPr="00D24365" w:rsidRDefault="00D24365" w:rsidP="00B854F3">
            <w:pPr>
              <w:spacing w:line="240" w:lineRule="auto"/>
              <w:jc w:val="center"/>
              <w:rPr>
                <w:rFonts w:ascii="Times New Roman" w:hAnsi="Times New Roman" w:cs="Times New Roman"/>
                <w:sz w:val="24"/>
                <w:szCs w:val="24"/>
              </w:rPr>
            </w:pPr>
            <w:r w:rsidRPr="00D24365">
              <w:rPr>
                <w:rFonts w:ascii="Times New Roman" w:hAnsi="Times New Roman" w:cs="Times New Roman"/>
                <w:sz w:val="24"/>
                <w:szCs w:val="24"/>
              </w:rPr>
              <w:t>−4.12</w:t>
            </w:r>
          </w:p>
        </w:tc>
        <w:tc>
          <w:tcPr>
            <w:tcW w:w="870" w:type="dxa"/>
            <w:vAlign w:val="center"/>
            <w:hideMark/>
          </w:tcPr>
          <w:p w:rsidR="00D24365" w:rsidRPr="00D24365" w:rsidRDefault="00D24365" w:rsidP="00B854F3">
            <w:pPr>
              <w:spacing w:line="240" w:lineRule="auto"/>
              <w:jc w:val="center"/>
              <w:rPr>
                <w:rFonts w:ascii="Times New Roman" w:hAnsi="Times New Roman" w:cs="Times New Roman"/>
                <w:sz w:val="24"/>
                <w:szCs w:val="24"/>
              </w:rPr>
            </w:pPr>
            <w:r w:rsidRPr="00D24365">
              <w:rPr>
                <w:rFonts w:ascii="Times New Roman" w:hAnsi="Times New Roman" w:cs="Times New Roman"/>
                <w:sz w:val="24"/>
                <w:szCs w:val="24"/>
              </w:rPr>
              <w:t>3.10</w:t>
            </w:r>
          </w:p>
        </w:tc>
        <w:tc>
          <w:tcPr>
            <w:tcW w:w="960" w:type="dxa"/>
            <w:vAlign w:val="center"/>
            <w:hideMark/>
          </w:tcPr>
          <w:p w:rsidR="00D24365" w:rsidRPr="00D24365" w:rsidRDefault="00D24365" w:rsidP="00B854F3">
            <w:pPr>
              <w:spacing w:line="240" w:lineRule="auto"/>
              <w:jc w:val="center"/>
              <w:rPr>
                <w:rFonts w:ascii="Times New Roman" w:hAnsi="Times New Roman" w:cs="Times New Roman"/>
                <w:sz w:val="24"/>
                <w:szCs w:val="24"/>
              </w:rPr>
            </w:pPr>
            <w:r w:rsidRPr="00D24365">
              <w:rPr>
                <w:rFonts w:ascii="Times New Roman" w:hAnsi="Times New Roman" w:cs="Times New Roman"/>
                <w:sz w:val="24"/>
                <w:szCs w:val="24"/>
              </w:rPr>
              <w:t>—</w:t>
            </w:r>
          </w:p>
        </w:tc>
        <w:tc>
          <w:tcPr>
            <w:tcW w:w="1320" w:type="dxa"/>
            <w:vAlign w:val="center"/>
            <w:hideMark/>
          </w:tcPr>
          <w:p w:rsidR="00D24365" w:rsidRPr="00D24365" w:rsidRDefault="00D24365" w:rsidP="00BD7697">
            <w:pPr>
              <w:spacing w:line="240" w:lineRule="auto"/>
              <w:jc w:val="center"/>
              <w:rPr>
                <w:rFonts w:ascii="Times New Roman" w:hAnsi="Times New Roman" w:cs="Times New Roman"/>
                <w:sz w:val="24"/>
                <w:szCs w:val="24"/>
              </w:rPr>
            </w:pPr>
            <w:r w:rsidRPr="00D24365">
              <w:rPr>
                <w:rFonts w:ascii="Times New Roman" w:hAnsi="Times New Roman" w:cs="Times New Roman"/>
                <w:sz w:val="24"/>
                <w:szCs w:val="24"/>
              </w:rPr>
              <w:t>−1.33</w:t>
            </w:r>
          </w:p>
        </w:tc>
        <w:tc>
          <w:tcPr>
            <w:tcW w:w="1845" w:type="dxa"/>
            <w:vAlign w:val="center"/>
            <w:hideMark/>
          </w:tcPr>
          <w:p w:rsidR="00D24365" w:rsidRPr="00D24365" w:rsidRDefault="00D24365" w:rsidP="00BD7697">
            <w:pPr>
              <w:spacing w:line="240" w:lineRule="auto"/>
              <w:jc w:val="center"/>
              <w:rPr>
                <w:rFonts w:ascii="Times New Roman" w:hAnsi="Times New Roman" w:cs="Times New Roman"/>
                <w:sz w:val="24"/>
                <w:szCs w:val="24"/>
              </w:rPr>
            </w:pPr>
            <w:r w:rsidRPr="00D24365">
              <w:rPr>
                <w:rFonts w:ascii="Times New Roman" w:hAnsi="Times New Roman" w:cs="Times New Roman"/>
                <w:sz w:val="24"/>
                <w:szCs w:val="24"/>
              </w:rPr>
              <w:t>.184</w:t>
            </w:r>
          </w:p>
        </w:tc>
      </w:tr>
      <w:tr w:rsidR="008431F0" w:rsidRPr="00D24365" w:rsidTr="00B854F3">
        <w:trPr>
          <w:tblCellSpacing w:w="15" w:type="dxa"/>
          <w:jc w:val="center"/>
        </w:trPr>
        <w:tc>
          <w:tcPr>
            <w:tcW w:w="3043" w:type="dxa"/>
            <w:vAlign w:val="center"/>
            <w:hideMark/>
          </w:tcPr>
          <w:p w:rsidR="00D24365" w:rsidRPr="00D24365" w:rsidRDefault="00D24365" w:rsidP="00B854F3">
            <w:pPr>
              <w:spacing w:line="240" w:lineRule="auto"/>
              <w:jc w:val="both"/>
              <w:rPr>
                <w:rFonts w:ascii="Times New Roman" w:hAnsi="Times New Roman" w:cs="Times New Roman"/>
                <w:sz w:val="24"/>
                <w:szCs w:val="24"/>
              </w:rPr>
            </w:pPr>
            <w:r w:rsidRPr="00D24365">
              <w:rPr>
                <w:rFonts w:ascii="Times New Roman" w:hAnsi="Times New Roman" w:cs="Times New Roman"/>
                <w:sz w:val="24"/>
                <w:szCs w:val="24"/>
              </w:rPr>
              <w:t>Community Engagement Index</w:t>
            </w:r>
          </w:p>
        </w:tc>
        <w:tc>
          <w:tcPr>
            <w:tcW w:w="887" w:type="dxa"/>
            <w:vAlign w:val="center"/>
            <w:hideMark/>
          </w:tcPr>
          <w:p w:rsidR="00D24365" w:rsidRPr="00D24365" w:rsidRDefault="00D24365" w:rsidP="00B854F3">
            <w:pPr>
              <w:spacing w:line="240" w:lineRule="auto"/>
              <w:jc w:val="center"/>
              <w:rPr>
                <w:rFonts w:ascii="Times New Roman" w:hAnsi="Times New Roman" w:cs="Times New Roman"/>
                <w:sz w:val="24"/>
                <w:szCs w:val="24"/>
              </w:rPr>
            </w:pPr>
            <w:r w:rsidRPr="00D24365">
              <w:rPr>
                <w:rFonts w:ascii="Times New Roman" w:hAnsi="Times New Roman" w:cs="Times New Roman"/>
                <w:sz w:val="24"/>
                <w:szCs w:val="24"/>
              </w:rPr>
              <w:t>4.68</w:t>
            </w:r>
          </w:p>
        </w:tc>
        <w:tc>
          <w:tcPr>
            <w:tcW w:w="870" w:type="dxa"/>
            <w:vAlign w:val="center"/>
            <w:hideMark/>
          </w:tcPr>
          <w:p w:rsidR="00D24365" w:rsidRPr="00D24365" w:rsidRDefault="00D24365" w:rsidP="00B854F3">
            <w:pPr>
              <w:spacing w:line="240" w:lineRule="auto"/>
              <w:jc w:val="center"/>
              <w:rPr>
                <w:rFonts w:ascii="Times New Roman" w:hAnsi="Times New Roman" w:cs="Times New Roman"/>
                <w:sz w:val="24"/>
                <w:szCs w:val="24"/>
              </w:rPr>
            </w:pPr>
            <w:r w:rsidRPr="00D24365">
              <w:rPr>
                <w:rFonts w:ascii="Times New Roman" w:hAnsi="Times New Roman" w:cs="Times New Roman"/>
                <w:sz w:val="24"/>
                <w:szCs w:val="24"/>
              </w:rPr>
              <w:t>1.05</w:t>
            </w:r>
          </w:p>
        </w:tc>
        <w:tc>
          <w:tcPr>
            <w:tcW w:w="960" w:type="dxa"/>
            <w:vAlign w:val="center"/>
            <w:hideMark/>
          </w:tcPr>
          <w:p w:rsidR="00D24365" w:rsidRPr="00D24365" w:rsidRDefault="00D24365" w:rsidP="00B854F3">
            <w:pPr>
              <w:spacing w:line="240" w:lineRule="auto"/>
              <w:jc w:val="center"/>
              <w:rPr>
                <w:rFonts w:ascii="Times New Roman" w:hAnsi="Times New Roman" w:cs="Times New Roman"/>
                <w:sz w:val="24"/>
                <w:szCs w:val="24"/>
              </w:rPr>
            </w:pPr>
            <w:r w:rsidRPr="00D24365">
              <w:rPr>
                <w:rFonts w:ascii="Times New Roman" w:hAnsi="Times New Roman" w:cs="Times New Roman"/>
                <w:sz w:val="24"/>
                <w:szCs w:val="24"/>
              </w:rPr>
              <w:t>.29</w:t>
            </w:r>
          </w:p>
        </w:tc>
        <w:tc>
          <w:tcPr>
            <w:tcW w:w="1320" w:type="dxa"/>
            <w:vAlign w:val="center"/>
            <w:hideMark/>
          </w:tcPr>
          <w:p w:rsidR="00D24365" w:rsidRPr="00D24365" w:rsidRDefault="00D24365" w:rsidP="00BD7697">
            <w:pPr>
              <w:spacing w:line="240" w:lineRule="auto"/>
              <w:jc w:val="center"/>
              <w:rPr>
                <w:rFonts w:ascii="Times New Roman" w:hAnsi="Times New Roman" w:cs="Times New Roman"/>
                <w:sz w:val="24"/>
                <w:szCs w:val="24"/>
              </w:rPr>
            </w:pPr>
            <w:r w:rsidRPr="00D24365">
              <w:rPr>
                <w:rFonts w:ascii="Times New Roman" w:hAnsi="Times New Roman" w:cs="Times New Roman"/>
                <w:sz w:val="24"/>
                <w:szCs w:val="24"/>
              </w:rPr>
              <w:t>4.46</w:t>
            </w:r>
          </w:p>
        </w:tc>
        <w:tc>
          <w:tcPr>
            <w:tcW w:w="1845" w:type="dxa"/>
            <w:vAlign w:val="center"/>
            <w:hideMark/>
          </w:tcPr>
          <w:p w:rsidR="00D24365" w:rsidRPr="00D24365" w:rsidRDefault="00D24365" w:rsidP="00BD7697">
            <w:pPr>
              <w:spacing w:line="240" w:lineRule="auto"/>
              <w:jc w:val="center"/>
              <w:rPr>
                <w:rFonts w:ascii="Times New Roman" w:hAnsi="Times New Roman" w:cs="Times New Roman"/>
                <w:sz w:val="24"/>
                <w:szCs w:val="24"/>
              </w:rPr>
            </w:pPr>
            <w:r w:rsidRPr="00D24365">
              <w:rPr>
                <w:rFonts w:ascii="Times New Roman" w:hAnsi="Times New Roman" w:cs="Times New Roman"/>
                <w:sz w:val="24"/>
                <w:szCs w:val="24"/>
              </w:rPr>
              <w:t>.000***</w:t>
            </w:r>
          </w:p>
        </w:tc>
      </w:tr>
      <w:tr w:rsidR="008431F0" w:rsidRPr="00D24365" w:rsidTr="00B854F3">
        <w:trPr>
          <w:tblCellSpacing w:w="15" w:type="dxa"/>
          <w:jc w:val="center"/>
        </w:trPr>
        <w:tc>
          <w:tcPr>
            <w:tcW w:w="3043" w:type="dxa"/>
            <w:vAlign w:val="center"/>
            <w:hideMark/>
          </w:tcPr>
          <w:p w:rsidR="00D24365" w:rsidRPr="00D24365" w:rsidRDefault="00D24365" w:rsidP="00B854F3">
            <w:pPr>
              <w:spacing w:line="240" w:lineRule="auto"/>
              <w:jc w:val="both"/>
              <w:rPr>
                <w:rFonts w:ascii="Times New Roman" w:hAnsi="Times New Roman" w:cs="Times New Roman"/>
                <w:sz w:val="24"/>
                <w:szCs w:val="24"/>
              </w:rPr>
            </w:pPr>
            <w:r w:rsidRPr="00D24365">
              <w:rPr>
                <w:rFonts w:ascii="Times New Roman" w:hAnsi="Times New Roman" w:cs="Times New Roman"/>
                <w:sz w:val="24"/>
                <w:szCs w:val="24"/>
              </w:rPr>
              <w:t>Education (years)</w:t>
            </w:r>
          </w:p>
        </w:tc>
        <w:tc>
          <w:tcPr>
            <w:tcW w:w="887" w:type="dxa"/>
            <w:vAlign w:val="center"/>
            <w:hideMark/>
          </w:tcPr>
          <w:p w:rsidR="00D24365" w:rsidRPr="00D24365" w:rsidRDefault="00D24365" w:rsidP="00B854F3">
            <w:pPr>
              <w:spacing w:line="240" w:lineRule="auto"/>
              <w:jc w:val="center"/>
              <w:rPr>
                <w:rFonts w:ascii="Times New Roman" w:hAnsi="Times New Roman" w:cs="Times New Roman"/>
                <w:sz w:val="24"/>
                <w:szCs w:val="24"/>
              </w:rPr>
            </w:pPr>
            <w:r w:rsidRPr="00D24365">
              <w:rPr>
                <w:rFonts w:ascii="Times New Roman" w:hAnsi="Times New Roman" w:cs="Times New Roman"/>
                <w:sz w:val="24"/>
                <w:szCs w:val="24"/>
              </w:rPr>
              <w:t>0.41</w:t>
            </w:r>
          </w:p>
        </w:tc>
        <w:tc>
          <w:tcPr>
            <w:tcW w:w="870" w:type="dxa"/>
            <w:vAlign w:val="center"/>
            <w:hideMark/>
          </w:tcPr>
          <w:p w:rsidR="00D24365" w:rsidRPr="00D24365" w:rsidRDefault="00D24365" w:rsidP="00B854F3">
            <w:pPr>
              <w:spacing w:line="240" w:lineRule="auto"/>
              <w:jc w:val="center"/>
              <w:rPr>
                <w:rFonts w:ascii="Times New Roman" w:hAnsi="Times New Roman" w:cs="Times New Roman"/>
                <w:sz w:val="24"/>
                <w:szCs w:val="24"/>
              </w:rPr>
            </w:pPr>
            <w:r w:rsidRPr="00D24365">
              <w:rPr>
                <w:rFonts w:ascii="Times New Roman" w:hAnsi="Times New Roman" w:cs="Times New Roman"/>
                <w:sz w:val="24"/>
                <w:szCs w:val="24"/>
              </w:rPr>
              <w:t>0.19</w:t>
            </w:r>
          </w:p>
        </w:tc>
        <w:tc>
          <w:tcPr>
            <w:tcW w:w="960" w:type="dxa"/>
            <w:vAlign w:val="center"/>
            <w:hideMark/>
          </w:tcPr>
          <w:p w:rsidR="00D24365" w:rsidRPr="00D24365" w:rsidRDefault="00D24365" w:rsidP="00B854F3">
            <w:pPr>
              <w:spacing w:line="240" w:lineRule="auto"/>
              <w:jc w:val="center"/>
              <w:rPr>
                <w:rFonts w:ascii="Times New Roman" w:hAnsi="Times New Roman" w:cs="Times New Roman"/>
                <w:sz w:val="24"/>
                <w:szCs w:val="24"/>
              </w:rPr>
            </w:pPr>
            <w:r w:rsidRPr="00D24365">
              <w:rPr>
                <w:rFonts w:ascii="Times New Roman" w:hAnsi="Times New Roman" w:cs="Times New Roman"/>
                <w:sz w:val="24"/>
                <w:szCs w:val="24"/>
              </w:rPr>
              <w:t>.11</w:t>
            </w:r>
          </w:p>
        </w:tc>
        <w:tc>
          <w:tcPr>
            <w:tcW w:w="1320" w:type="dxa"/>
            <w:vAlign w:val="center"/>
            <w:hideMark/>
          </w:tcPr>
          <w:p w:rsidR="00D24365" w:rsidRPr="00D24365" w:rsidRDefault="00D24365" w:rsidP="00BD7697">
            <w:pPr>
              <w:spacing w:line="240" w:lineRule="auto"/>
              <w:jc w:val="center"/>
              <w:rPr>
                <w:rFonts w:ascii="Times New Roman" w:hAnsi="Times New Roman" w:cs="Times New Roman"/>
                <w:sz w:val="24"/>
                <w:szCs w:val="24"/>
              </w:rPr>
            </w:pPr>
            <w:r w:rsidRPr="00D24365">
              <w:rPr>
                <w:rFonts w:ascii="Times New Roman" w:hAnsi="Times New Roman" w:cs="Times New Roman"/>
                <w:sz w:val="24"/>
                <w:szCs w:val="24"/>
              </w:rPr>
              <w:t>2.16</w:t>
            </w:r>
          </w:p>
        </w:tc>
        <w:tc>
          <w:tcPr>
            <w:tcW w:w="1845" w:type="dxa"/>
            <w:vAlign w:val="center"/>
            <w:hideMark/>
          </w:tcPr>
          <w:p w:rsidR="00D24365" w:rsidRPr="00D24365" w:rsidRDefault="00D24365" w:rsidP="00BD7697">
            <w:pPr>
              <w:spacing w:line="240" w:lineRule="auto"/>
              <w:jc w:val="center"/>
              <w:rPr>
                <w:rFonts w:ascii="Times New Roman" w:hAnsi="Times New Roman" w:cs="Times New Roman"/>
                <w:sz w:val="24"/>
                <w:szCs w:val="24"/>
              </w:rPr>
            </w:pPr>
            <w:r w:rsidRPr="00D24365">
              <w:rPr>
                <w:rFonts w:ascii="Times New Roman" w:hAnsi="Times New Roman" w:cs="Times New Roman"/>
                <w:sz w:val="24"/>
                <w:szCs w:val="24"/>
              </w:rPr>
              <w:t>.032**</w:t>
            </w:r>
          </w:p>
        </w:tc>
      </w:tr>
      <w:tr w:rsidR="008431F0" w:rsidRPr="00D24365" w:rsidTr="00B854F3">
        <w:trPr>
          <w:tblCellSpacing w:w="15" w:type="dxa"/>
          <w:jc w:val="center"/>
        </w:trPr>
        <w:tc>
          <w:tcPr>
            <w:tcW w:w="3043" w:type="dxa"/>
            <w:vAlign w:val="center"/>
            <w:hideMark/>
          </w:tcPr>
          <w:p w:rsidR="00D24365" w:rsidRPr="00D24365" w:rsidRDefault="00D24365" w:rsidP="00B854F3">
            <w:pPr>
              <w:spacing w:line="240" w:lineRule="auto"/>
              <w:jc w:val="both"/>
              <w:rPr>
                <w:rFonts w:ascii="Times New Roman" w:hAnsi="Times New Roman" w:cs="Times New Roman"/>
                <w:sz w:val="24"/>
                <w:szCs w:val="24"/>
              </w:rPr>
            </w:pPr>
            <w:r w:rsidRPr="00D24365">
              <w:rPr>
                <w:rFonts w:ascii="Times New Roman" w:hAnsi="Times New Roman" w:cs="Times New Roman"/>
                <w:sz w:val="24"/>
                <w:szCs w:val="24"/>
              </w:rPr>
              <w:t>Business experience (years)</w:t>
            </w:r>
          </w:p>
        </w:tc>
        <w:tc>
          <w:tcPr>
            <w:tcW w:w="887" w:type="dxa"/>
            <w:vAlign w:val="center"/>
            <w:hideMark/>
          </w:tcPr>
          <w:p w:rsidR="00D24365" w:rsidRPr="00D24365" w:rsidRDefault="00D24365" w:rsidP="00B854F3">
            <w:pPr>
              <w:spacing w:line="240" w:lineRule="auto"/>
              <w:jc w:val="center"/>
              <w:rPr>
                <w:rFonts w:ascii="Times New Roman" w:hAnsi="Times New Roman" w:cs="Times New Roman"/>
                <w:sz w:val="24"/>
                <w:szCs w:val="24"/>
              </w:rPr>
            </w:pPr>
            <w:r w:rsidRPr="00D24365">
              <w:rPr>
                <w:rFonts w:ascii="Times New Roman" w:hAnsi="Times New Roman" w:cs="Times New Roman"/>
                <w:sz w:val="24"/>
                <w:szCs w:val="24"/>
              </w:rPr>
              <w:t>0.37</w:t>
            </w:r>
          </w:p>
        </w:tc>
        <w:tc>
          <w:tcPr>
            <w:tcW w:w="870" w:type="dxa"/>
            <w:vAlign w:val="center"/>
            <w:hideMark/>
          </w:tcPr>
          <w:p w:rsidR="00D24365" w:rsidRPr="00D24365" w:rsidRDefault="00D24365" w:rsidP="00B854F3">
            <w:pPr>
              <w:spacing w:line="240" w:lineRule="auto"/>
              <w:jc w:val="center"/>
              <w:rPr>
                <w:rFonts w:ascii="Times New Roman" w:hAnsi="Times New Roman" w:cs="Times New Roman"/>
                <w:sz w:val="24"/>
                <w:szCs w:val="24"/>
              </w:rPr>
            </w:pPr>
            <w:r w:rsidRPr="00D24365">
              <w:rPr>
                <w:rFonts w:ascii="Times New Roman" w:hAnsi="Times New Roman" w:cs="Times New Roman"/>
                <w:sz w:val="24"/>
                <w:szCs w:val="24"/>
              </w:rPr>
              <w:t>0.16</w:t>
            </w:r>
          </w:p>
        </w:tc>
        <w:tc>
          <w:tcPr>
            <w:tcW w:w="960" w:type="dxa"/>
            <w:vAlign w:val="center"/>
            <w:hideMark/>
          </w:tcPr>
          <w:p w:rsidR="00D24365" w:rsidRPr="00D24365" w:rsidRDefault="00D24365" w:rsidP="00B854F3">
            <w:pPr>
              <w:spacing w:line="240" w:lineRule="auto"/>
              <w:jc w:val="center"/>
              <w:rPr>
                <w:rFonts w:ascii="Times New Roman" w:hAnsi="Times New Roman" w:cs="Times New Roman"/>
                <w:sz w:val="24"/>
                <w:szCs w:val="24"/>
              </w:rPr>
            </w:pPr>
            <w:r w:rsidRPr="00D24365">
              <w:rPr>
                <w:rFonts w:ascii="Times New Roman" w:hAnsi="Times New Roman" w:cs="Times New Roman"/>
                <w:sz w:val="24"/>
                <w:szCs w:val="24"/>
              </w:rPr>
              <w:t>.12</w:t>
            </w:r>
          </w:p>
        </w:tc>
        <w:tc>
          <w:tcPr>
            <w:tcW w:w="1320" w:type="dxa"/>
            <w:vAlign w:val="center"/>
            <w:hideMark/>
          </w:tcPr>
          <w:p w:rsidR="00D24365" w:rsidRPr="00D24365" w:rsidRDefault="00D24365" w:rsidP="00BD7697">
            <w:pPr>
              <w:spacing w:line="240" w:lineRule="auto"/>
              <w:jc w:val="center"/>
              <w:rPr>
                <w:rFonts w:ascii="Times New Roman" w:hAnsi="Times New Roman" w:cs="Times New Roman"/>
                <w:sz w:val="24"/>
                <w:szCs w:val="24"/>
              </w:rPr>
            </w:pPr>
            <w:r w:rsidRPr="00D24365">
              <w:rPr>
                <w:rFonts w:ascii="Times New Roman" w:hAnsi="Times New Roman" w:cs="Times New Roman"/>
                <w:sz w:val="24"/>
                <w:szCs w:val="24"/>
              </w:rPr>
              <w:t>2.31</w:t>
            </w:r>
          </w:p>
        </w:tc>
        <w:tc>
          <w:tcPr>
            <w:tcW w:w="1845" w:type="dxa"/>
            <w:vAlign w:val="center"/>
            <w:hideMark/>
          </w:tcPr>
          <w:p w:rsidR="00D24365" w:rsidRPr="00D24365" w:rsidRDefault="00D24365" w:rsidP="00BD7697">
            <w:pPr>
              <w:spacing w:line="240" w:lineRule="auto"/>
              <w:jc w:val="center"/>
              <w:rPr>
                <w:rFonts w:ascii="Times New Roman" w:hAnsi="Times New Roman" w:cs="Times New Roman"/>
                <w:sz w:val="24"/>
                <w:szCs w:val="24"/>
              </w:rPr>
            </w:pPr>
            <w:r w:rsidRPr="00D24365">
              <w:rPr>
                <w:rFonts w:ascii="Times New Roman" w:hAnsi="Times New Roman" w:cs="Times New Roman"/>
                <w:sz w:val="24"/>
                <w:szCs w:val="24"/>
              </w:rPr>
              <w:t>.022**</w:t>
            </w:r>
          </w:p>
        </w:tc>
      </w:tr>
      <w:tr w:rsidR="008431F0" w:rsidRPr="00D24365" w:rsidTr="00B854F3">
        <w:trPr>
          <w:tblCellSpacing w:w="15" w:type="dxa"/>
          <w:jc w:val="center"/>
        </w:trPr>
        <w:tc>
          <w:tcPr>
            <w:tcW w:w="3043" w:type="dxa"/>
            <w:vAlign w:val="center"/>
            <w:hideMark/>
          </w:tcPr>
          <w:p w:rsidR="00D24365" w:rsidRPr="00D24365" w:rsidRDefault="00D24365" w:rsidP="00B854F3">
            <w:pPr>
              <w:spacing w:line="240" w:lineRule="auto"/>
              <w:jc w:val="both"/>
              <w:rPr>
                <w:rFonts w:ascii="Times New Roman" w:hAnsi="Times New Roman" w:cs="Times New Roman"/>
                <w:sz w:val="24"/>
                <w:szCs w:val="24"/>
              </w:rPr>
            </w:pPr>
            <w:r w:rsidRPr="00D24365">
              <w:rPr>
                <w:rFonts w:ascii="Times New Roman" w:hAnsi="Times New Roman" w:cs="Times New Roman"/>
                <w:sz w:val="24"/>
                <w:szCs w:val="24"/>
              </w:rPr>
              <w:t>Access to finance</w:t>
            </w:r>
          </w:p>
        </w:tc>
        <w:tc>
          <w:tcPr>
            <w:tcW w:w="887" w:type="dxa"/>
            <w:vAlign w:val="center"/>
            <w:hideMark/>
          </w:tcPr>
          <w:p w:rsidR="00D24365" w:rsidRPr="00D24365" w:rsidRDefault="00D24365" w:rsidP="00B854F3">
            <w:pPr>
              <w:spacing w:line="240" w:lineRule="auto"/>
              <w:jc w:val="center"/>
              <w:rPr>
                <w:rFonts w:ascii="Times New Roman" w:hAnsi="Times New Roman" w:cs="Times New Roman"/>
                <w:sz w:val="24"/>
                <w:szCs w:val="24"/>
              </w:rPr>
            </w:pPr>
            <w:r w:rsidRPr="00D24365">
              <w:rPr>
                <w:rFonts w:ascii="Times New Roman" w:hAnsi="Times New Roman" w:cs="Times New Roman"/>
                <w:sz w:val="24"/>
                <w:szCs w:val="24"/>
              </w:rPr>
              <w:t>3.25</w:t>
            </w:r>
          </w:p>
        </w:tc>
        <w:tc>
          <w:tcPr>
            <w:tcW w:w="870" w:type="dxa"/>
            <w:vAlign w:val="center"/>
            <w:hideMark/>
          </w:tcPr>
          <w:p w:rsidR="00D24365" w:rsidRPr="00D24365" w:rsidRDefault="00D24365" w:rsidP="00B854F3">
            <w:pPr>
              <w:spacing w:line="240" w:lineRule="auto"/>
              <w:jc w:val="center"/>
              <w:rPr>
                <w:rFonts w:ascii="Times New Roman" w:hAnsi="Times New Roman" w:cs="Times New Roman"/>
                <w:sz w:val="24"/>
                <w:szCs w:val="24"/>
              </w:rPr>
            </w:pPr>
            <w:r w:rsidRPr="00D24365">
              <w:rPr>
                <w:rFonts w:ascii="Times New Roman" w:hAnsi="Times New Roman" w:cs="Times New Roman"/>
                <w:sz w:val="24"/>
                <w:szCs w:val="24"/>
              </w:rPr>
              <w:t>1.48</w:t>
            </w:r>
          </w:p>
        </w:tc>
        <w:tc>
          <w:tcPr>
            <w:tcW w:w="960" w:type="dxa"/>
            <w:vAlign w:val="center"/>
            <w:hideMark/>
          </w:tcPr>
          <w:p w:rsidR="00D24365" w:rsidRPr="00D24365" w:rsidRDefault="00D24365" w:rsidP="00B854F3">
            <w:pPr>
              <w:spacing w:line="240" w:lineRule="auto"/>
              <w:jc w:val="center"/>
              <w:rPr>
                <w:rFonts w:ascii="Times New Roman" w:hAnsi="Times New Roman" w:cs="Times New Roman"/>
                <w:sz w:val="24"/>
                <w:szCs w:val="24"/>
              </w:rPr>
            </w:pPr>
            <w:r w:rsidRPr="00D24365">
              <w:rPr>
                <w:rFonts w:ascii="Times New Roman" w:hAnsi="Times New Roman" w:cs="Times New Roman"/>
                <w:sz w:val="24"/>
                <w:szCs w:val="24"/>
              </w:rPr>
              <w:t>.14</w:t>
            </w:r>
          </w:p>
        </w:tc>
        <w:tc>
          <w:tcPr>
            <w:tcW w:w="1320" w:type="dxa"/>
            <w:vAlign w:val="center"/>
            <w:hideMark/>
          </w:tcPr>
          <w:p w:rsidR="00D24365" w:rsidRPr="00D24365" w:rsidRDefault="00D24365" w:rsidP="00BD7697">
            <w:pPr>
              <w:spacing w:line="240" w:lineRule="auto"/>
              <w:jc w:val="center"/>
              <w:rPr>
                <w:rFonts w:ascii="Times New Roman" w:hAnsi="Times New Roman" w:cs="Times New Roman"/>
                <w:sz w:val="24"/>
                <w:szCs w:val="24"/>
              </w:rPr>
            </w:pPr>
            <w:r w:rsidRPr="00D24365">
              <w:rPr>
                <w:rFonts w:ascii="Times New Roman" w:hAnsi="Times New Roman" w:cs="Times New Roman"/>
                <w:sz w:val="24"/>
                <w:szCs w:val="24"/>
              </w:rPr>
              <w:t>2.20</w:t>
            </w:r>
          </w:p>
        </w:tc>
        <w:tc>
          <w:tcPr>
            <w:tcW w:w="1845" w:type="dxa"/>
            <w:vAlign w:val="center"/>
            <w:hideMark/>
          </w:tcPr>
          <w:p w:rsidR="00D24365" w:rsidRPr="00D24365" w:rsidRDefault="00D24365" w:rsidP="00BD7697">
            <w:pPr>
              <w:spacing w:line="240" w:lineRule="auto"/>
              <w:jc w:val="center"/>
              <w:rPr>
                <w:rFonts w:ascii="Times New Roman" w:hAnsi="Times New Roman" w:cs="Times New Roman"/>
                <w:sz w:val="24"/>
                <w:szCs w:val="24"/>
              </w:rPr>
            </w:pPr>
            <w:r w:rsidRPr="00D24365">
              <w:rPr>
                <w:rFonts w:ascii="Times New Roman" w:hAnsi="Times New Roman" w:cs="Times New Roman"/>
                <w:sz w:val="24"/>
                <w:szCs w:val="24"/>
              </w:rPr>
              <w:t>.029**</w:t>
            </w:r>
          </w:p>
        </w:tc>
      </w:tr>
      <w:tr w:rsidR="008431F0" w:rsidRPr="00D24365" w:rsidTr="00B854F3">
        <w:trPr>
          <w:tblCellSpacing w:w="15" w:type="dxa"/>
          <w:jc w:val="center"/>
        </w:trPr>
        <w:tc>
          <w:tcPr>
            <w:tcW w:w="3043" w:type="dxa"/>
            <w:vAlign w:val="center"/>
            <w:hideMark/>
          </w:tcPr>
          <w:p w:rsidR="00D24365" w:rsidRPr="00D24365" w:rsidRDefault="00D24365" w:rsidP="00B854F3">
            <w:pPr>
              <w:spacing w:line="240" w:lineRule="auto"/>
              <w:jc w:val="both"/>
              <w:rPr>
                <w:rFonts w:ascii="Times New Roman" w:hAnsi="Times New Roman" w:cs="Times New Roman"/>
                <w:sz w:val="24"/>
                <w:szCs w:val="24"/>
              </w:rPr>
            </w:pPr>
            <w:r w:rsidRPr="00D24365">
              <w:rPr>
                <w:rFonts w:ascii="Times New Roman" w:hAnsi="Times New Roman" w:cs="Times New Roman"/>
                <w:sz w:val="24"/>
                <w:szCs w:val="24"/>
              </w:rPr>
              <w:t>District (Kinondoni = 1)</w:t>
            </w:r>
          </w:p>
        </w:tc>
        <w:tc>
          <w:tcPr>
            <w:tcW w:w="887" w:type="dxa"/>
            <w:vAlign w:val="center"/>
            <w:hideMark/>
          </w:tcPr>
          <w:p w:rsidR="00D24365" w:rsidRPr="00D24365" w:rsidRDefault="00D24365" w:rsidP="00B854F3">
            <w:pPr>
              <w:spacing w:line="240" w:lineRule="auto"/>
              <w:jc w:val="center"/>
              <w:rPr>
                <w:rFonts w:ascii="Times New Roman" w:hAnsi="Times New Roman" w:cs="Times New Roman"/>
                <w:sz w:val="24"/>
                <w:szCs w:val="24"/>
              </w:rPr>
            </w:pPr>
            <w:r w:rsidRPr="00D24365">
              <w:rPr>
                <w:rFonts w:ascii="Times New Roman" w:hAnsi="Times New Roman" w:cs="Times New Roman"/>
                <w:sz w:val="24"/>
                <w:szCs w:val="24"/>
              </w:rPr>
              <w:t>2.18</w:t>
            </w:r>
          </w:p>
        </w:tc>
        <w:tc>
          <w:tcPr>
            <w:tcW w:w="870" w:type="dxa"/>
            <w:vAlign w:val="center"/>
            <w:hideMark/>
          </w:tcPr>
          <w:p w:rsidR="00D24365" w:rsidRPr="00D24365" w:rsidRDefault="00D24365" w:rsidP="00B854F3">
            <w:pPr>
              <w:spacing w:line="240" w:lineRule="auto"/>
              <w:jc w:val="center"/>
              <w:rPr>
                <w:rFonts w:ascii="Times New Roman" w:hAnsi="Times New Roman" w:cs="Times New Roman"/>
                <w:sz w:val="24"/>
                <w:szCs w:val="24"/>
              </w:rPr>
            </w:pPr>
            <w:r w:rsidRPr="00D24365">
              <w:rPr>
                <w:rFonts w:ascii="Times New Roman" w:hAnsi="Times New Roman" w:cs="Times New Roman"/>
                <w:sz w:val="24"/>
                <w:szCs w:val="24"/>
              </w:rPr>
              <w:t>1.34</w:t>
            </w:r>
          </w:p>
        </w:tc>
        <w:tc>
          <w:tcPr>
            <w:tcW w:w="960" w:type="dxa"/>
            <w:vAlign w:val="center"/>
            <w:hideMark/>
          </w:tcPr>
          <w:p w:rsidR="00D24365" w:rsidRPr="00D24365" w:rsidRDefault="00D24365" w:rsidP="00B854F3">
            <w:pPr>
              <w:spacing w:line="240" w:lineRule="auto"/>
              <w:jc w:val="center"/>
              <w:rPr>
                <w:rFonts w:ascii="Times New Roman" w:hAnsi="Times New Roman" w:cs="Times New Roman"/>
                <w:sz w:val="24"/>
                <w:szCs w:val="24"/>
              </w:rPr>
            </w:pPr>
            <w:r w:rsidRPr="00D24365">
              <w:rPr>
                <w:rFonts w:ascii="Times New Roman" w:hAnsi="Times New Roman" w:cs="Times New Roman"/>
                <w:sz w:val="24"/>
                <w:szCs w:val="24"/>
              </w:rPr>
              <w:t>.09</w:t>
            </w:r>
          </w:p>
        </w:tc>
        <w:tc>
          <w:tcPr>
            <w:tcW w:w="1320" w:type="dxa"/>
            <w:vAlign w:val="center"/>
            <w:hideMark/>
          </w:tcPr>
          <w:p w:rsidR="00D24365" w:rsidRPr="00D24365" w:rsidRDefault="00D24365" w:rsidP="00BD7697">
            <w:pPr>
              <w:spacing w:line="240" w:lineRule="auto"/>
              <w:jc w:val="center"/>
              <w:rPr>
                <w:rFonts w:ascii="Times New Roman" w:hAnsi="Times New Roman" w:cs="Times New Roman"/>
                <w:sz w:val="24"/>
                <w:szCs w:val="24"/>
              </w:rPr>
            </w:pPr>
            <w:r w:rsidRPr="00D24365">
              <w:rPr>
                <w:rFonts w:ascii="Times New Roman" w:hAnsi="Times New Roman" w:cs="Times New Roman"/>
                <w:sz w:val="24"/>
                <w:szCs w:val="24"/>
              </w:rPr>
              <w:t>1.63</w:t>
            </w:r>
          </w:p>
        </w:tc>
        <w:tc>
          <w:tcPr>
            <w:tcW w:w="1845" w:type="dxa"/>
            <w:vAlign w:val="center"/>
            <w:hideMark/>
          </w:tcPr>
          <w:p w:rsidR="00D24365" w:rsidRPr="00D24365" w:rsidRDefault="00D24365" w:rsidP="00BD7697">
            <w:pPr>
              <w:spacing w:line="240" w:lineRule="auto"/>
              <w:jc w:val="center"/>
              <w:rPr>
                <w:rFonts w:ascii="Times New Roman" w:hAnsi="Times New Roman" w:cs="Times New Roman"/>
                <w:sz w:val="24"/>
                <w:szCs w:val="24"/>
              </w:rPr>
            </w:pPr>
            <w:r w:rsidRPr="00D24365">
              <w:rPr>
                <w:rFonts w:ascii="Times New Roman" w:hAnsi="Times New Roman" w:cs="Times New Roman"/>
                <w:sz w:val="24"/>
                <w:szCs w:val="24"/>
              </w:rPr>
              <w:t>.104</w:t>
            </w:r>
          </w:p>
        </w:tc>
      </w:tr>
    </w:tbl>
    <w:p w:rsidR="00D24365" w:rsidRDefault="00D24365" w:rsidP="004A4172">
      <w:pPr>
        <w:jc w:val="both"/>
        <w:rPr>
          <w:rFonts w:ascii="Times New Roman" w:hAnsi="Times New Roman" w:cs="Times New Roman"/>
          <w:sz w:val="24"/>
          <w:szCs w:val="24"/>
        </w:rPr>
      </w:pPr>
      <w:r w:rsidRPr="00D24365">
        <w:rPr>
          <w:rFonts w:ascii="Times New Roman" w:hAnsi="Times New Roman" w:cs="Times New Roman"/>
          <w:sz w:val="24"/>
          <w:szCs w:val="24"/>
        </w:rPr>
        <w:t>R² = .31, Adjusted R² = .29, F = 16.7***</w:t>
      </w:r>
    </w:p>
    <w:p w:rsidR="004264B3" w:rsidRDefault="004264B3" w:rsidP="004A4172">
      <w:pPr>
        <w:jc w:val="both"/>
        <w:rPr>
          <w:rFonts w:ascii="Times New Roman" w:hAnsi="Times New Roman" w:cs="Times New Roman"/>
          <w:sz w:val="24"/>
          <w:szCs w:val="24"/>
        </w:rPr>
      </w:pPr>
      <w:r w:rsidRPr="004264B3">
        <w:rPr>
          <w:rFonts w:ascii="Times New Roman" w:hAnsi="Times New Roman" w:cs="Times New Roman"/>
          <w:sz w:val="24"/>
          <w:szCs w:val="24"/>
        </w:rPr>
        <w:t>Community engagement positively and statistically significantly impacts income growth, corroborating H1. An increase of one unit in the Community Engagement Index corresponds to an average rise of 4.7 percentage points in income growth. Education, business experience, and access to finance also have big positive effects, showing that there are many factors that affect how well Blue-entrepreneurship works.</w:t>
      </w:r>
    </w:p>
    <w:p w:rsidR="00D24365" w:rsidRPr="00D24365" w:rsidRDefault="00D24365" w:rsidP="00D24365">
      <w:pPr>
        <w:jc w:val="both"/>
        <w:rPr>
          <w:rFonts w:ascii="Times New Roman" w:hAnsi="Times New Roman" w:cs="Times New Roman"/>
          <w:b/>
          <w:bCs/>
          <w:sz w:val="24"/>
          <w:szCs w:val="24"/>
        </w:rPr>
      </w:pPr>
      <w:r w:rsidRPr="00D24365">
        <w:rPr>
          <w:rFonts w:ascii="Times New Roman" w:hAnsi="Times New Roman" w:cs="Times New Roman"/>
          <w:b/>
          <w:bCs/>
          <w:sz w:val="24"/>
          <w:szCs w:val="24"/>
        </w:rPr>
        <w:t>4.4.2 Community Savings Groups and Enterprise Survival</w:t>
      </w:r>
    </w:p>
    <w:p w:rsidR="00F524DD" w:rsidRDefault="00F524DD" w:rsidP="00D24365">
      <w:pPr>
        <w:jc w:val="both"/>
        <w:rPr>
          <w:rFonts w:ascii="Times New Roman" w:hAnsi="Times New Roman" w:cs="Times New Roman"/>
          <w:sz w:val="24"/>
          <w:szCs w:val="24"/>
        </w:rPr>
      </w:pPr>
      <w:r w:rsidRPr="00F524DD">
        <w:rPr>
          <w:rFonts w:ascii="Times New Roman" w:hAnsi="Times New Roman" w:cs="Times New Roman"/>
          <w:sz w:val="24"/>
          <w:szCs w:val="24"/>
        </w:rPr>
        <w:t>We used logistic regression to look at the link between being a member of a savings group (VICOBA) and the survival of a business.</w:t>
      </w:r>
    </w:p>
    <w:p w:rsidR="00D24365" w:rsidRPr="00D24365" w:rsidRDefault="00D24365" w:rsidP="004A4172">
      <w:pPr>
        <w:jc w:val="both"/>
        <w:rPr>
          <w:rFonts w:ascii="Times New Roman" w:hAnsi="Times New Roman" w:cs="Times New Roman"/>
          <w:b/>
          <w:bCs/>
          <w:sz w:val="24"/>
          <w:szCs w:val="24"/>
        </w:rPr>
      </w:pPr>
      <w:r w:rsidRPr="00D24365">
        <w:rPr>
          <w:rFonts w:ascii="Times New Roman" w:hAnsi="Times New Roman" w:cs="Times New Roman"/>
          <w:b/>
          <w:bCs/>
          <w:sz w:val="24"/>
          <w:szCs w:val="24"/>
        </w:rPr>
        <w:t>Table 5</w:t>
      </w:r>
      <w:r>
        <w:rPr>
          <w:rFonts w:ascii="Times New Roman" w:hAnsi="Times New Roman" w:cs="Times New Roman"/>
          <w:b/>
          <w:bCs/>
          <w:sz w:val="24"/>
          <w:szCs w:val="24"/>
        </w:rPr>
        <w:t xml:space="preserve">: </w:t>
      </w:r>
      <w:r w:rsidRPr="008431F0">
        <w:rPr>
          <w:rFonts w:ascii="Times New Roman" w:hAnsi="Times New Roman" w:cs="Times New Roman"/>
          <w:bCs/>
          <w:sz w:val="24"/>
          <w:szCs w:val="24"/>
        </w:rPr>
        <w:t>Logistic Regression Results: Enterprise Survival (&gt;2 years)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925"/>
        <w:gridCol w:w="1440"/>
        <w:gridCol w:w="990"/>
        <w:gridCol w:w="1440"/>
        <w:gridCol w:w="1620"/>
      </w:tblGrid>
      <w:tr w:rsidR="00D24365" w:rsidRPr="00D24365" w:rsidTr="00B854F3">
        <w:trPr>
          <w:tblHeader/>
          <w:tblCellSpacing w:w="15" w:type="dxa"/>
          <w:jc w:val="center"/>
        </w:trPr>
        <w:tc>
          <w:tcPr>
            <w:tcW w:w="2880" w:type="dxa"/>
            <w:vAlign w:val="center"/>
            <w:hideMark/>
          </w:tcPr>
          <w:p w:rsidR="00D24365" w:rsidRPr="00D24365" w:rsidRDefault="00D24365" w:rsidP="00B854F3">
            <w:pPr>
              <w:spacing w:line="240" w:lineRule="auto"/>
              <w:jc w:val="both"/>
              <w:rPr>
                <w:rFonts w:ascii="Times New Roman" w:hAnsi="Times New Roman" w:cs="Times New Roman"/>
                <w:b/>
                <w:bCs/>
                <w:sz w:val="24"/>
                <w:szCs w:val="24"/>
              </w:rPr>
            </w:pPr>
            <w:r w:rsidRPr="00D24365">
              <w:rPr>
                <w:rFonts w:ascii="Times New Roman" w:hAnsi="Times New Roman" w:cs="Times New Roman"/>
                <w:b/>
                <w:bCs/>
                <w:sz w:val="24"/>
                <w:szCs w:val="24"/>
              </w:rPr>
              <w:t>Predictor</w:t>
            </w:r>
          </w:p>
        </w:tc>
        <w:tc>
          <w:tcPr>
            <w:tcW w:w="1410" w:type="dxa"/>
            <w:vAlign w:val="center"/>
            <w:hideMark/>
          </w:tcPr>
          <w:p w:rsidR="00D24365" w:rsidRPr="00D24365" w:rsidRDefault="00D24365" w:rsidP="00B854F3">
            <w:pPr>
              <w:spacing w:line="240" w:lineRule="auto"/>
              <w:jc w:val="center"/>
              <w:rPr>
                <w:rFonts w:ascii="Times New Roman" w:hAnsi="Times New Roman" w:cs="Times New Roman"/>
                <w:b/>
                <w:bCs/>
                <w:sz w:val="24"/>
                <w:szCs w:val="24"/>
              </w:rPr>
            </w:pPr>
            <w:r w:rsidRPr="00D24365">
              <w:rPr>
                <w:rFonts w:ascii="Times New Roman" w:hAnsi="Times New Roman" w:cs="Times New Roman"/>
                <w:b/>
                <w:bCs/>
                <w:sz w:val="24"/>
                <w:szCs w:val="24"/>
              </w:rPr>
              <w:t>Odds Ratio</w:t>
            </w:r>
          </w:p>
        </w:tc>
        <w:tc>
          <w:tcPr>
            <w:tcW w:w="960" w:type="dxa"/>
            <w:vAlign w:val="center"/>
            <w:hideMark/>
          </w:tcPr>
          <w:p w:rsidR="00D24365" w:rsidRPr="00D24365" w:rsidRDefault="00D24365" w:rsidP="00B854F3">
            <w:pPr>
              <w:spacing w:line="240" w:lineRule="auto"/>
              <w:jc w:val="center"/>
              <w:rPr>
                <w:rFonts w:ascii="Times New Roman" w:hAnsi="Times New Roman" w:cs="Times New Roman"/>
                <w:b/>
                <w:bCs/>
                <w:sz w:val="24"/>
                <w:szCs w:val="24"/>
              </w:rPr>
            </w:pPr>
            <w:r w:rsidRPr="00D24365">
              <w:rPr>
                <w:rFonts w:ascii="Times New Roman" w:hAnsi="Times New Roman" w:cs="Times New Roman"/>
                <w:b/>
                <w:bCs/>
                <w:sz w:val="24"/>
                <w:szCs w:val="24"/>
              </w:rPr>
              <w:t>SE</w:t>
            </w:r>
          </w:p>
        </w:tc>
        <w:tc>
          <w:tcPr>
            <w:tcW w:w="1410" w:type="dxa"/>
            <w:vAlign w:val="center"/>
            <w:hideMark/>
          </w:tcPr>
          <w:p w:rsidR="00D24365" w:rsidRPr="00D24365" w:rsidRDefault="00D24365" w:rsidP="00B854F3">
            <w:pPr>
              <w:spacing w:line="240" w:lineRule="auto"/>
              <w:jc w:val="center"/>
              <w:rPr>
                <w:rFonts w:ascii="Times New Roman" w:hAnsi="Times New Roman" w:cs="Times New Roman"/>
                <w:b/>
                <w:bCs/>
                <w:sz w:val="24"/>
                <w:szCs w:val="24"/>
              </w:rPr>
            </w:pPr>
            <w:r w:rsidRPr="00D24365">
              <w:rPr>
                <w:rFonts w:ascii="Times New Roman" w:hAnsi="Times New Roman" w:cs="Times New Roman"/>
                <w:b/>
                <w:bCs/>
                <w:sz w:val="24"/>
                <w:szCs w:val="24"/>
              </w:rPr>
              <w:t>Wald</w:t>
            </w:r>
          </w:p>
        </w:tc>
        <w:tc>
          <w:tcPr>
            <w:tcW w:w="1575" w:type="dxa"/>
            <w:vAlign w:val="center"/>
            <w:hideMark/>
          </w:tcPr>
          <w:p w:rsidR="00D24365" w:rsidRPr="00D24365" w:rsidRDefault="00935690" w:rsidP="00BD7697">
            <w:pPr>
              <w:spacing w:line="240" w:lineRule="auto"/>
              <w:jc w:val="center"/>
              <w:rPr>
                <w:rFonts w:ascii="Times New Roman" w:hAnsi="Times New Roman" w:cs="Times New Roman"/>
                <w:b/>
                <w:bCs/>
                <w:sz w:val="24"/>
                <w:szCs w:val="24"/>
              </w:rPr>
            </w:pPr>
            <w:r w:rsidRPr="00D24365">
              <w:rPr>
                <w:rFonts w:ascii="Times New Roman" w:hAnsi="Times New Roman" w:cs="Times New Roman"/>
                <w:b/>
                <w:bCs/>
                <w:sz w:val="24"/>
                <w:szCs w:val="24"/>
              </w:rPr>
              <w:t>P</w:t>
            </w:r>
          </w:p>
        </w:tc>
      </w:tr>
      <w:tr w:rsidR="00D24365" w:rsidRPr="00D24365" w:rsidTr="00B854F3">
        <w:trPr>
          <w:tblCellSpacing w:w="15" w:type="dxa"/>
          <w:jc w:val="center"/>
        </w:trPr>
        <w:tc>
          <w:tcPr>
            <w:tcW w:w="2880" w:type="dxa"/>
            <w:vAlign w:val="center"/>
            <w:hideMark/>
          </w:tcPr>
          <w:p w:rsidR="00D24365" w:rsidRPr="00D24365" w:rsidRDefault="00D24365" w:rsidP="00B854F3">
            <w:pPr>
              <w:spacing w:line="240" w:lineRule="auto"/>
              <w:jc w:val="both"/>
              <w:rPr>
                <w:rFonts w:ascii="Times New Roman" w:hAnsi="Times New Roman" w:cs="Times New Roman"/>
                <w:sz w:val="24"/>
                <w:szCs w:val="24"/>
              </w:rPr>
            </w:pPr>
            <w:r w:rsidRPr="00D24365">
              <w:rPr>
                <w:rFonts w:ascii="Times New Roman" w:hAnsi="Times New Roman" w:cs="Times New Roman"/>
                <w:sz w:val="24"/>
                <w:szCs w:val="24"/>
              </w:rPr>
              <w:t>Savings group membership</w:t>
            </w:r>
          </w:p>
        </w:tc>
        <w:tc>
          <w:tcPr>
            <w:tcW w:w="1410" w:type="dxa"/>
            <w:vAlign w:val="center"/>
            <w:hideMark/>
          </w:tcPr>
          <w:p w:rsidR="00D24365" w:rsidRPr="00D24365" w:rsidRDefault="00D24365" w:rsidP="00B854F3">
            <w:pPr>
              <w:spacing w:line="240" w:lineRule="auto"/>
              <w:jc w:val="center"/>
              <w:rPr>
                <w:rFonts w:ascii="Times New Roman" w:hAnsi="Times New Roman" w:cs="Times New Roman"/>
                <w:sz w:val="24"/>
                <w:szCs w:val="24"/>
              </w:rPr>
            </w:pPr>
            <w:r w:rsidRPr="00D24365">
              <w:rPr>
                <w:rFonts w:ascii="Times New Roman" w:hAnsi="Times New Roman" w:cs="Times New Roman"/>
                <w:sz w:val="24"/>
                <w:szCs w:val="24"/>
              </w:rPr>
              <w:t>2.11</w:t>
            </w:r>
          </w:p>
        </w:tc>
        <w:tc>
          <w:tcPr>
            <w:tcW w:w="960" w:type="dxa"/>
            <w:vAlign w:val="center"/>
            <w:hideMark/>
          </w:tcPr>
          <w:p w:rsidR="00D24365" w:rsidRPr="00D24365" w:rsidRDefault="00D24365" w:rsidP="00B854F3">
            <w:pPr>
              <w:spacing w:line="240" w:lineRule="auto"/>
              <w:jc w:val="center"/>
              <w:rPr>
                <w:rFonts w:ascii="Times New Roman" w:hAnsi="Times New Roman" w:cs="Times New Roman"/>
                <w:sz w:val="24"/>
                <w:szCs w:val="24"/>
              </w:rPr>
            </w:pPr>
            <w:r w:rsidRPr="00D24365">
              <w:rPr>
                <w:rFonts w:ascii="Times New Roman" w:hAnsi="Times New Roman" w:cs="Times New Roman"/>
                <w:sz w:val="24"/>
                <w:szCs w:val="24"/>
              </w:rPr>
              <w:t>0.48</w:t>
            </w:r>
          </w:p>
        </w:tc>
        <w:tc>
          <w:tcPr>
            <w:tcW w:w="1410" w:type="dxa"/>
            <w:vAlign w:val="center"/>
            <w:hideMark/>
          </w:tcPr>
          <w:p w:rsidR="00D24365" w:rsidRPr="00D24365" w:rsidRDefault="00D24365" w:rsidP="00B854F3">
            <w:pPr>
              <w:spacing w:line="240" w:lineRule="auto"/>
              <w:jc w:val="center"/>
              <w:rPr>
                <w:rFonts w:ascii="Times New Roman" w:hAnsi="Times New Roman" w:cs="Times New Roman"/>
                <w:sz w:val="24"/>
                <w:szCs w:val="24"/>
              </w:rPr>
            </w:pPr>
            <w:r w:rsidRPr="00D24365">
              <w:rPr>
                <w:rFonts w:ascii="Times New Roman" w:hAnsi="Times New Roman" w:cs="Times New Roman"/>
                <w:sz w:val="24"/>
                <w:szCs w:val="24"/>
              </w:rPr>
              <w:t>6.89</w:t>
            </w:r>
          </w:p>
        </w:tc>
        <w:tc>
          <w:tcPr>
            <w:tcW w:w="1575" w:type="dxa"/>
            <w:vAlign w:val="center"/>
            <w:hideMark/>
          </w:tcPr>
          <w:p w:rsidR="00D24365" w:rsidRPr="00D24365" w:rsidRDefault="00D24365" w:rsidP="00BD7697">
            <w:pPr>
              <w:spacing w:line="240" w:lineRule="auto"/>
              <w:jc w:val="center"/>
              <w:rPr>
                <w:rFonts w:ascii="Times New Roman" w:hAnsi="Times New Roman" w:cs="Times New Roman"/>
                <w:sz w:val="24"/>
                <w:szCs w:val="24"/>
              </w:rPr>
            </w:pPr>
            <w:r w:rsidRPr="00D24365">
              <w:rPr>
                <w:rFonts w:ascii="Times New Roman" w:hAnsi="Times New Roman" w:cs="Times New Roman"/>
                <w:sz w:val="24"/>
                <w:szCs w:val="24"/>
              </w:rPr>
              <w:t>.009***</w:t>
            </w:r>
          </w:p>
        </w:tc>
      </w:tr>
      <w:tr w:rsidR="00D24365" w:rsidRPr="00D24365" w:rsidTr="00B854F3">
        <w:trPr>
          <w:tblCellSpacing w:w="15" w:type="dxa"/>
          <w:jc w:val="center"/>
        </w:trPr>
        <w:tc>
          <w:tcPr>
            <w:tcW w:w="2880" w:type="dxa"/>
            <w:vAlign w:val="center"/>
            <w:hideMark/>
          </w:tcPr>
          <w:p w:rsidR="00D24365" w:rsidRPr="00D24365" w:rsidRDefault="00D24365" w:rsidP="00B854F3">
            <w:pPr>
              <w:spacing w:line="240" w:lineRule="auto"/>
              <w:jc w:val="both"/>
              <w:rPr>
                <w:rFonts w:ascii="Times New Roman" w:hAnsi="Times New Roman" w:cs="Times New Roman"/>
                <w:sz w:val="24"/>
                <w:szCs w:val="24"/>
              </w:rPr>
            </w:pPr>
            <w:r w:rsidRPr="00D24365">
              <w:rPr>
                <w:rFonts w:ascii="Times New Roman" w:hAnsi="Times New Roman" w:cs="Times New Roman"/>
                <w:sz w:val="24"/>
                <w:szCs w:val="24"/>
              </w:rPr>
              <w:t>Business experience</w:t>
            </w:r>
          </w:p>
        </w:tc>
        <w:tc>
          <w:tcPr>
            <w:tcW w:w="1410" w:type="dxa"/>
            <w:vAlign w:val="center"/>
            <w:hideMark/>
          </w:tcPr>
          <w:p w:rsidR="00D24365" w:rsidRPr="00D24365" w:rsidRDefault="00D24365" w:rsidP="00B854F3">
            <w:pPr>
              <w:spacing w:line="240" w:lineRule="auto"/>
              <w:jc w:val="center"/>
              <w:rPr>
                <w:rFonts w:ascii="Times New Roman" w:hAnsi="Times New Roman" w:cs="Times New Roman"/>
                <w:sz w:val="24"/>
                <w:szCs w:val="24"/>
              </w:rPr>
            </w:pPr>
            <w:r w:rsidRPr="00D24365">
              <w:rPr>
                <w:rFonts w:ascii="Times New Roman" w:hAnsi="Times New Roman" w:cs="Times New Roman"/>
                <w:sz w:val="24"/>
                <w:szCs w:val="24"/>
              </w:rPr>
              <w:t>1.18</w:t>
            </w:r>
          </w:p>
        </w:tc>
        <w:tc>
          <w:tcPr>
            <w:tcW w:w="960" w:type="dxa"/>
            <w:vAlign w:val="center"/>
            <w:hideMark/>
          </w:tcPr>
          <w:p w:rsidR="00D24365" w:rsidRPr="00D24365" w:rsidRDefault="00D24365" w:rsidP="00B854F3">
            <w:pPr>
              <w:spacing w:line="240" w:lineRule="auto"/>
              <w:jc w:val="center"/>
              <w:rPr>
                <w:rFonts w:ascii="Times New Roman" w:hAnsi="Times New Roman" w:cs="Times New Roman"/>
                <w:sz w:val="24"/>
                <w:szCs w:val="24"/>
              </w:rPr>
            </w:pPr>
            <w:r w:rsidRPr="00D24365">
              <w:rPr>
                <w:rFonts w:ascii="Times New Roman" w:hAnsi="Times New Roman" w:cs="Times New Roman"/>
                <w:sz w:val="24"/>
                <w:szCs w:val="24"/>
              </w:rPr>
              <w:t>0.06</w:t>
            </w:r>
          </w:p>
        </w:tc>
        <w:tc>
          <w:tcPr>
            <w:tcW w:w="1410" w:type="dxa"/>
            <w:vAlign w:val="center"/>
            <w:hideMark/>
          </w:tcPr>
          <w:p w:rsidR="00D24365" w:rsidRPr="00D24365" w:rsidRDefault="00D24365" w:rsidP="00B854F3">
            <w:pPr>
              <w:spacing w:line="240" w:lineRule="auto"/>
              <w:jc w:val="center"/>
              <w:rPr>
                <w:rFonts w:ascii="Times New Roman" w:hAnsi="Times New Roman" w:cs="Times New Roman"/>
                <w:sz w:val="24"/>
                <w:szCs w:val="24"/>
              </w:rPr>
            </w:pPr>
            <w:r w:rsidRPr="00D24365">
              <w:rPr>
                <w:rFonts w:ascii="Times New Roman" w:hAnsi="Times New Roman" w:cs="Times New Roman"/>
                <w:sz w:val="24"/>
                <w:szCs w:val="24"/>
              </w:rPr>
              <w:t>8.21</w:t>
            </w:r>
          </w:p>
        </w:tc>
        <w:tc>
          <w:tcPr>
            <w:tcW w:w="1575" w:type="dxa"/>
            <w:vAlign w:val="center"/>
            <w:hideMark/>
          </w:tcPr>
          <w:p w:rsidR="00D24365" w:rsidRPr="00D24365" w:rsidRDefault="00D24365" w:rsidP="00BD7697">
            <w:pPr>
              <w:spacing w:line="240" w:lineRule="auto"/>
              <w:jc w:val="center"/>
              <w:rPr>
                <w:rFonts w:ascii="Times New Roman" w:hAnsi="Times New Roman" w:cs="Times New Roman"/>
                <w:sz w:val="24"/>
                <w:szCs w:val="24"/>
              </w:rPr>
            </w:pPr>
            <w:r w:rsidRPr="00D24365">
              <w:rPr>
                <w:rFonts w:ascii="Times New Roman" w:hAnsi="Times New Roman" w:cs="Times New Roman"/>
                <w:sz w:val="24"/>
                <w:szCs w:val="24"/>
              </w:rPr>
              <w:t>.004***</w:t>
            </w:r>
          </w:p>
        </w:tc>
      </w:tr>
      <w:tr w:rsidR="00D24365" w:rsidRPr="00D24365" w:rsidTr="00B854F3">
        <w:trPr>
          <w:tblCellSpacing w:w="15" w:type="dxa"/>
          <w:jc w:val="center"/>
        </w:trPr>
        <w:tc>
          <w:tcPr>
            <w:tcW w:w="2880" w:type="dxa"/>
            <w:vAlign w:val="center"/>
            <w:hideMark/>
          </w:tcPr>
          <w:p w:rsidR="00D24365" w:rsidRPr="00D24365" w:rsidRDefault="00D24365" w:rsidP="00B854F3">
            <w:pPr>
              <w:spacing w:line="240" w:lineRule="auto"/>
              <w:jc w:val="both"/>
              <w:rPr>
                <w:rFonts w:ascii="Times New Roman" w:hAnsi="Times New Roman" w:cs="Times New Roman"/>
                <w:sz w:val="24"/>
                <w:szCs w:val="24"/>
              </w:rPr>
            </w:pPr>
            <w:r w:rsidRPr="00D24365">
              <w:rPr>
                <w:rFonts w:ascii="Times New Roman" w:hAnsi="Times New Roman" w:cs="Times New Roman"/>
                <w:sz w:val="24"/>
                <w:szCs w:val="24"/>
              </w:rPr>
              <w:t>Access to training</w:t>
            </w:r>
          </w:p>
        </w:tc>
        <w:tc>
          <w:tcPr>
            <w:tcW w:w="1410" w:type="dxa"/>
            <w:vAlign w:val="center"/>
            <w:hideMark/>
          </w:tcPr>
          <w:p w:rsidR="00D24365" w:rsidRPr="00D24365" w:rsidRDefault="00D24365" w:rsidP="00B854F3">
            <w:pPr>
              <w:spacing w:line="240" w:lineRule="auto"/>
              <w:jc w:val="center"/>
              <w:rPr>
                <w:rFonts w:ascii="Times New Roman" w:hAnsi="Times New Roman" w:cs="Times New Roman"/>
                <w:sz w:val="24"/>
                <w:szCs w:val="24"/>
              </w:rPr>
            </w:pPr>
            <w:r w:rsidRPr="00D24365">
              <w:rPr>
                <w:rFonts w:ascii="Times New Roman" w:hAnsi="Times New Roman" w:cs="Times New Roman"/>
                <w:sz w:val="24"/>
                <w:szCs w:val="24"/>
              </w:rPr>
              <w:t>1.67</w:t>
            </w:r>
          </w:p>
        </w:tc>
        <w:tc>
          <w:tcPr>
            <w:tcW w:w="960" w:type="dxa"/>
            <w:vAlign w:val="center"/>
            <w:hideMark/>
          </w:tcPr>
          <w:p w:rsidR="00D24365" w:rsidRPr="00D24365" w:rsidRDefault="00D24365" w:rsidP="00B854F3">
            <w:pPr>
              <w:spacing w:line="240" w:lineRule="auto"/>
              <w:jc w:val="center"/>
              <w:rPr>
                <w:rFonts w:ascii="Times New Roman" w:hAnsi="Times New Roman" w:cs="Times New Roman"/>
                <w:sz w:val="24"/>
                <w:szCs w:val="24"/>
              </w:rPr>
            </w:pPr>
            <w:r w:rsidRPr="00D24365">
              <w:rPr>
                <w:rFonts w:ascii="Times New Roman" w:hAnsi="Times New Roman" w:cs="Times New Roman"/>
                <w:sz w:val="24"/>
                <w:szCs w:val="24"/>
              </w:rPr>
              <w:t>0.39</w:t>
            </w:r>
          </w:p>
        </w:tc>
        <w:tc>
          <w:tcPr>
            <w:tcW w:w="1410" w:type="dxa"/>
            <w:vAlign w:val="center"/>
            <w:hideMark/>
          </w:tcPr>
          <w:p w:rsidR="00D24365" w:rsidRPr="00D24365" w:rsidRDefault="00D24365" w:rsidP="00B854F3">
            <w:pPr>
              <w:spacing w:line="240" w:lineRule="auto"/>
              <w:jc w:val="center"/>
              <w:rPr>
                <w:rFonts w:ascii="Times New Roman" w:hAnsi="Times New Roman" w:cs="Times New Roman"/>
                <w:sz w:val="24"/>
                <w:szCs w:val="24"/>
              </w:rPr>
            </w:pPr>
            <w:r w:rsidRPr="00D24365">
              <w:rPr>
                <w:rFonts w:ascii="Times New Roman" w:hAnsi="Times New Roman" w:cs="Times New Roman"/>
                <w:sz w:val="24"/>
                <w:szCs w:val="24"/>
              </w:rPr>
              <w:t>4.32</w:t>
            </w:r>
          </w:p>
        </w:tc>
        <w:tc>
          <w:tcPr>
            <w:tcW w:w="1575" w:type="dxa"/>
            <w:vAlign w:val="center"/>
            <w:hideMark/>
          </w:tcPr>
          <w:p w:rsidR="00D24365" w:rsidRPr="00D24365" w:rsidRDefault="00D24365" w:rsidP="00BD7697">
            <w:pPr>
              <w:spacing w:line="240" w:lineRule="auto"/>
              <w:jc w:val="center"/>
              <w:rPr>
                <w:rFonts w:ascii="Times New Roman" w:hAnsi="Times New Roman" w:cs="Times New Roman"/>
                <w:sz w:val="24"/>
                <w:szCs w:val="24"/>
              </w:rPr>
            </w:pPr>
            <w:r w:rsidRPr="00D24365">
              <w:rPr>
                <w:rFonts w:ascii="Times New Roman" w:hAnsi="Times New Roman" w:cs="Times New Roman"/>
                <w:sz w:val="24"/>
                <w:szCs w:val="24"/>
              </w:rPr>
              <w:t>.038**</w:t>
            </w:r>
          </w:p>
        </w:tc>
      </w:tr>
    </w:tbl>
    <w:p w:rsidR="00F524DD" w:rsidRDefault="00F524DD" w:rsidP="004A4172">
      <w:pPr>
        <w:jc w:val="both"/>
        <w:rPr>
          <w:rFonts w:ascii="Times New Roman" w:hAnsi="Times New Roman" w:cs="Times New Roman"/>
          <w:sz w:val="24"/>
          <w:szCs w:val="24"/>
        </w:rPr>
      </w:pPr>
      <w:r w:rsidRPr="00F524DD">
        <w:rPr>
          <w:rFonts w:ascii="Times New Roman" w:hAnsi="Times New Roman" w:cs="Times New Roman"/>
          <w:sz w:val="24"/>
          <w:szCs w:val="24"/>
        </w:rPr>
        <w:t>Entrepreneurs affiliated with community savings and credit associations are over twice as likely to maintain their businesses for more than two years compared to those who are not members. This finding offers robust empirical validation for H2, highlighting the significance of community-based financial engagement in bolstering business stability.</w:t>
      </w:r>
    </w:p>
    <w:p w:rsidR="00BD7697" w:rsidRDefault="00BD7697" w:rsidP="004A4172">
      <w:pPr>
        <w:jc w:val="both"/>
        <w:rPr>
          <w:rFonts w:ascii="Times New Roman" w:hAnsi="Times New Roman" w:cs="Times New Roman"/>
          <w:sz w:val="24"/>
          <w:szCs w:val="24"/>
        </w:rPr>
      </w:pPr>
    </w:p>
    <w:p w:rsidR="00BD7697" w:rsidRDefault="00BD7697" w:rsidP="004A4172">
      <w:pPr>
        <w:jc w:val="both"/>
        <w:rPr>
          <w:rFonts w:ascii="Times New Roman" w:hAnsi="Times New Roman" w:cs="Times New Roman"/>
          <w:sz w:val="24"/>
          <w:szCs w:val="24"/>
        </w:rPr>
      </w:pPr>
    </w:p>
    <w:p w:rsidR="00D24365" w:rsidRPr="00D24365" w:rsidRDefault="00D24365" w:rsidP="00D24365">
      <w:pPr>
        <w:jc w:val="both"/>
        <w:rPr>
          <w:rFonts w:ascii="Times New Roman" w:hAnsi="Times New Roman" w:cs="Times New Roman"/>
          <w:b/>
          <w:bCs/>
          <w:sz w:val="24"/>
          <w:szCs w:val="24"/>
        </w:rPr>
      </w:pPr>
      <w:r w:rsidRPr="00D24365">
        <w:rPr>
          <w:rFonts w:ascii="Times New Roman" w:hAnsi="Times New Roman" w:cs="Times New Roman"/>
          <w:b/>
          <w:bCs/>
          <w:sz w:val="24"/>
          <w:szCs w:val="24"/>
        </w:rPr>
        <w:t>4.4.3 Community Engagement, Diversification, and Sustainability</w:t>
      </w:r>
    </w:p>
    <w:p w:rsidR="00F524DD" w:rsidRDefault="00F524DD" w:rsidP="00D24365">
      <w:pPr>
        <w:jc w:val="both"/>
        <w:rPr>
          <w:rFonts w:ascii="Times New Roman" w:hAnsi="Times New Roman" w:cs="Times New Roman"/>
          <w:sz w:val="24"/>
          <w:szCs w:val="24"/>
        </w:rPr>
      </w:pPr>
      <w:r w:rsidRPr="00F524DD">
        <w:rPr>
          <w:rFonts w:ascii="Times New Roman" w:hAnsi="Times New Roman" w:cs="Times New Roman"/>
          <w:sz w:val="24"/>
          <w:szCs w:val="24"/>
        </w:rPr>
        <w:lastRenderedPageBreak/>
        <w:t>Table 6 shows the results of a regression analysis of enterprise diversification and sustainability practices.</w:t>
      </w:r>
    </w:p>
    <w:p w:rsidR="00D24365" w:rsidRPr="00D24365" w:rsidRDefault="00D24365" w:rsidP="004A4172">
      <w:pPr>
        <w:jc w:val="both"/>
        <w:rPr>
          <w:rFonts w:ascii="Times New Roman" w:hAnsi="Times New Roman" w:cs="Times New Roman"/>
          <w:b/>
          <w:bCs/>
          <w:sz w:val="24"/>
          <w:szCs w:val="24"/>
        </w:rPr>
      </w:pPr>
      <w:r w:rsidRPr="00D24365">
        <w:rPr>
          <w:rFonts w:ascii="Times New Roman" w:hAnsi="Times New Roman" w:cs="Times New Roman"/>
          <w:b/>
          <w:bCs/>
          <w:sz w:val="24"/>
          <w:szCs w:val="24"/>
        </w:rPr>
        <w:t>Table 6</w:t>
      </w:r>
      <w:r>
        <w:rPr>
          <w:rFonts w:ascii="Times New Roman" w:hAnsi="Times New Roman" w:cs="Times New Roman"/>
          <w:b/>
          <w:bCs/>
          <w:sz w:val="24"/>
          <w:szCs w:val="24"/>
        </w:rPr>
        <w:t xml:space="preserve">: </w:t>
      </w:r>
      <w:r w:rsidRPr="00D24365">
        <w:rPr>
          <w:rFonts w:ascii="Times New Roman" w:hAnsi="Times New Roman" w:cs="Times New Roman"/>
          <w:bCs/>
          <w:sz w:val="24"/>
          <w:szCs w:val="24"/>
        </w:rPr>
        <w:t>OLS Regression Results: Diversification and Sustainability</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645"/>
        <w:gridCol w:w="2160"/>
        <w:gridCol w:w="2700"/>
      </w:tblGrid>
      <w:tr w:rsidR="00D24365" w:rsidRPr="00D24365" w:rsidTr="00B854F3">
        <w:trPr>
          <w:tblHeader/>
          <w:tblCellSpacing w:w="15" w:type="dxa"/>
          <w:jc w:val="center"/>
        </w:trPr>
        <w:tc>
          <w:tcPr>
            <w:tcW w:w="3600" w:type="dxa"/>
            <w:vAlign w:val="center"/>
            <w:hideMark/>
          </w:tcPr>
          <w:p w:rsidR="00D24365" w:rsidRPr="00D24365" w:rsidRDefault="00D24365" w:rsidP="00B854F3">
            <w:pPr>
              <w:rPr>
                <w:rFonts w:ascii="Times New Roman" w:hAnsi="Times New Roman" w:cs="Times New Roman"/>
                <w:b/>
                <w:bCs/>
                <w:sz w:val="24"/>
                <w:szCs w:val="24"/>
              </w:rPr>
            </w:pPr>
            <w:r w:rsidRPr="00D24365">
              <w:rPr>
                <w:rFonts w:ascii="Times New Roman" w:hAnsi="Times New Roman" w:cs="Times New Roman"/>
                <w:b/>
                <w:bCs/>
                <w:sz w:val="24"/>
                <w:szCs w:val="24"/>
              </w:rPr>
              <w:t>Predictor</w:t>
            </w:r>
          </w:p>
        </w:tc>
        <w:tc>
          <w:tcPr>
            <w:tcW w:w="2130" w:type="dxa"/>
            <w:vAlign w:val="center"/>
            <w:hideMark/>
          </w:tcPr>
          <w:p w:rsidR="00D24365" w:rsidRPr="00D24365" w:rsidRDefault="00D24365" w:rsidP="00BD7697">
            <w:pPr>
              <w:jc w:val="center"/>
              <w:rPr>
                <w:rFonts w:ascii="Times New Roman" w:hAnsi="Times New Roman" w:cs="Times New Roman"/>
                <w:b/>
                <w:bCs/>
                <w:sz w:val="24"/>
                <w:szCs w:val="24"/>
              </w:rPr>
            </w:pPr>
            <w:r w:rsidRPr="00D24365">
              <w:rPr>
                <w:rFonts w:ascii="Times New Roman" w:hAnsi="Times New Roman" w:cs="Times New Roman"/>
                <w:b/>
                <w:bCs/>
                <w:sz w:val="24"/>
                <w:szCs w:val="24"/>
              </w:rPr>
              <w:t>Diversification (β)</w:t>
            </w:r>
          </w:p>
        </w:tc>
        <w:tc>
          <w:tcPr>
            <w:tcW w:w="2655" w:type="dxa"/>
            <w:vAlign w:val="center"/>
            <w:hideMark/>
          </w:tcPr>
          <w:p w:rsidR="00D24365" w:rsidRPr="00D24365" w:rsidRDefault="00D24365" w:rsidP="00BD7697">
            <w:pPr>
              <w:jc w:val="center"/>
              <w:rPr>
                <w:rFonts w:ascii="Times New Roman" w:hAnsi="Times New Roman" w:cs="Times New Roman"/>
                <w:b/>
                <w:bCs/>
                <w:sz w:val="24"/>
                <w:szCs w:val="24"/>
              </w:rPr>
            </w:pPr>
            <w:r w:rsidRPr="00D24365">
              <w:rPr>
                <w:rFonts w:ascii="Times New Roman" w:hAnsi="Times New Roman" w:cs="Times New Roman"/>
                <w:b/>
                <w:bCs/>
                <w:sz w:val="24"/>
                <w:szCs w:val="24"/>
              </w:rPr>
              <w:t>Sustainability (β)</w:t>
            </w:r>
          </w:p>
        </w:tc>
      </w:tr>
      <w:tr w:rsidR="00D24365" w:rsidRPr="00D24365" w:rsidTr="00B854F3">
        <w:trPr>
          <w:tblCellSpacing w:w="15" w:type="dxa"/>
          <w:jc w:val="center"/>
        </w:trPr>
        <w:tc>
          <w:tcPr>
            <w:tcW w:w="3600" w:type="dxa"/>
            <w:vAlign w:val="center"/>
            <w:hideMark/>
          </w:tcPr>
          <w:p w:rsidR="00D24365" w:rsidRPr="00D24365" w:rsidRDefault="00D24365" w:rsidP="00B854F3">
            <w:pPr>
              <w:rPr>
                <w:rFonts w:ascii="Times New Roman" w:hAnsi="Times New Roman" w:cs="Times New Roman"/>
                <w:sz w:val="24"/>
                <w:szCs w:val="24"/>
              </w:rPr>
            </w:pPr>
            <w:r w:rsidRPr="00D24365">
              <w:rPr>
                <w:rFonts w:ascii="Times New Roman" w:hAnsi="Times New Roman" w:cs="Times New Roman"/>
                <w:sz w:val="24"/>
                <w:szCs w:val="24"/>
              </w:rPr>
              <w:t>Community Engagement Index</w:t>
            </w:r>
          </w:p>
        </w:tc>
        <w:tc>
          <w:tcPr>
            <w:tcW w:w="2130" w:type="dxa"/>
            <w:vAlign w:val="center"/>
            <w:hideMark/>
          </w:tcPr>
          <w:p w:rsidR="00D24365" w:rsidRPr="00D24365" w:rsidRDefault="00D24365" w:rsidP="00BD7697">
            <w:pPr>
              <w:jc w:val="center"/>
              <w:rPr>
                <w:rFonts w:ascii="Times New Roman" w:hAnsi="Times New Roman" w:cs="Times New Roman"/>
                <w:sz w:val="24"/>
                <w:szCs w:val="24"/>
              </w:rPr>
            </w:pPr>
            <w:r w:rsidRPr="00D24365">
              <w:rPr>
                <w:rFonts w:ascii="Times New Roman" w:hAnsi="Times New Roman" w:cs="Times New Roman"/>
                <w:sz w:val="24"/>
                <w:szCs w:val="24"/>
              </w:rPr>
              <w:t>.24***</w:t>
            </w:r>
          </w:p>
        </w:tc>
        <w:tc>
          <w:tcPr>
            <w:tcW w:w="2655" w:type="dxa"/>
            <w:vAlign w:val="center"/>
            <w:hideMark/>
          </w:tcPr>
          <w:p w:rsidR="00D24365" w:rsidRPr="00D24365" w:rsidRDefault="00D24365" w:rsidP="00BD7697">
            <w:pPr>
              <w:jc w:val="center"/>
              <w:rPr>
                <w:rFonts w:ascii="Times New Roman" w:hAnsi="Times New Roman" w:cs="Times New Roman"/>
                <w:sz w:val="24"/>
                <w:szCs w:val="24"/>
              </w:rPr>
            </w:pPr>
            <w:r w:rsidRPr="00D24365">
              <w:rPr>
                <w:rFonts w:ascii="Times New Roman" w:hAnsi="Times New Roman" w:cs="Times New Roman"/>
                <w:sz w:val="24"/>
                <w:szCs w:val="24"/>
              </w:rPr>
              <w:t>.31***</w:t>
            </w:r>
          </w:p>
        </w:tc>
      </w:tr>
      <w:tr w:rsidR="00D24365" w:rsidRPr="00D24365" w:rsidTr="00B854F3">
        <w:trPr>
          <w:tblCellSpacing w:w="15" w:type="dxa"/>
          <w:jc w:val="center"/>
        </w:trPr>
        <w:tc>
          <w:tcPr>
            <w:tcW w:w="3600" w:type="dxa"/>
            <w:vAlign w:val="center"/>
            <w:hideMark/>
          </w:tcPr>
          <w:p w:rsidR="00D24365" w:rsidRPr="00D24365" w:rsidRDefault="00D24365" w:rsidP="00B854F3">
            <w:pPr>
              <w:rPr>
                <w:rFonts w:ascii="Times New Roman" w:hAnsi="Times New Roman" w:cs="Times New Roman"/>
                <w:sz w:val="24"/>
                <w:szCs w:val="24"/>
              </w:rPr>
            </w:pPr>
            <w:r w:rsidRPr="00D24365">
              <w:rPr>
                <w:rFonts w:ascii="Times New Roman" w:hAnsi="Times New Roman" w:cs="Times New Roman"/>
                <w:sz w:val="24"/>
                <w:szCs w:val="24"/>
              </w:rPr>
              <w:t>Participation in decision-making</w:t>
            </w:r>
          </w:p>
        </w:tc>
        <w:tc>
          <w:tcPr>
            <w:tcW w:w="2130" w:type="dxa"/>
            <w:vAlign w:val="center"/>
            <w:hideMark/>
          </w:tcPr>
          <w:p w:rsidR="00D24365" w:rsidRPr="00D24365" w:rsidRDefault="00D24365" w:rsidP="00BD7697">
            <w:pPr>
              <w:jc w:val="center"/>
              <w:rPr>
                <w:rFonts w:ascii="Times New Roman" w:hAnsi="Times New Roman" w:cs="Times New Roman"/>
                <w:sz w:val="24"/>
                <w:szCs w:val="24"/>
              </w:rPr>
            </w:pPr>
            <w:r w:rsidRPr="00D24365">
              <w:rPr>
                <w:rFonts w:ascii="Times New Roman" w:hAnsi="Times New Roman" w:cs="Times New Roman"/>
                <w:sz w:val="24"/>
                <w:szCs w:val="24"/>
              </w:rPr>
              <w:t>.19**</w:t>
            </w:r>
          </w:p>
        </w:tc>
        <w:tc>
          <w:tcPr>
            <w:tcW w:w="2655" w:type="dxa"/>
            <w:vAlign w:val="center"/>
            <w:hideMark/>
          </w:tcPr>
          <w:p w:rsidR="00D24365" w:rsidRPr="00D24365" w:rsidRDefault="00D24365" w:rsidP="00BD7697">
            <w:pPr>
              <w:jc w:val="center"/>
              <w:rPr>
                <w:rFonts w:ascii="Times New Roman" w:hAnsi="Times New Roman" w:cs="Times New Roman"/>
                <w:sz w:val="24"/>
                <w:szCs w:val="24"/>
              </w:rPr>
            </w:pPr>
            <w:r w:rsidRPr="00D24365">
              <w:rPr>
                <w:rFonts w:ascii="Times New Roman" w:hAnsi="Times New Roman" w:cs="Times New Roman"/>
                <w:sz w:val="24"/>
                <w:szCs w:val="24"/>
              </w:rPr>
              <w:t>.27***</w:t>
            </w:r>
          </w:p>
        </w:tc>
      </w:tr>
      <w:tr w:rsidR="00D24365" w:rsidRPr="00D24365" w:rsidTr="00B854F3">
        <w:trPr>
          <w:tblCellSpacing w:w="15" w:type="dxa"/>
          <w:jc w:val="center"/>
        </w:trPr>
        <w:tc>
          <w:tcPr>
            <w:tcW w:w="3600" w:type="dxa"/>
            <w:vAlign w:val="center"/>
            <w:hideMark/>
          </w:tcPr>
          <w:p w:rsidR="00D24365" w:rsidRPr="00D24365" w:rsidRDefault="00D24365" w:rsidP="00B854F3">
            <w:pPr>
              <w:rPr>
                <w:rFonts w:ascii="Times New Roman" w:hAnsi="Times New Roman" w:cs="Times New Roman"/>
                <w:sz w:val="24"/>
                <w:szCs w:val="24"/>
              </w:rPr>
            </w:pPr>
            <w:r w:rsidRPr="00D24365">
              <w:rPr>
                <w:rFonts w:ascii="Times New Roman" w:hAnsi="Times New Roman" w:cs="Times New Roman"/>
                <w:sz w:val="24"/>
                <w:szCs w:val="24"/>
              </w:rPr>
              <w:t>Knowledge-sharing networks</w:t>
            </w:r>
          </w:p>
        </w:tc>
        <w:tc>
          <w:tcPr>
            <w:tcW w:w="2130" w:type="dxa"/>
            <w:vAlign w:val="center"/>
            <w:hideMark/>
          </w:tcPr>
          <w:p w:rsidR="00D24365" w:rsidRPr="00D24365" w:rsidRDefault="00D24365" w:rsidP="00BD7697">
            <w:pPr>
              <w:jc w:val="center"/>
              <w:rPr>
                <w:rFonts w:ascii="Times New Roman" w:hAnsi="Times New Roman" w:cs="Times New Roman"/>
                <w:sz w:val="24"/>
                <w:szCs w:val="24"/>
              </w:rPr>
            </w:pPr>
            <w:r w:rsidRPr="00D24365">
              <w:rPr>
                <w:rFonts w:ascii="Times New Roman" w:hAnsi="Times New Roman" w:cs="Times New Roman"/>
                <w:sz w:val="24"/>
                <w:szCs w:val="24"/>
              </w:rPr>
              <w:t>.21***</w:t>
            </w:r>
          </w:p>
        </w:tc>
        <w:tc>
          <w:tcPr>
            <w:tcW w:w="2655" w:type="dxa"/>
            <w:vAlign w:val="center"/>
            <w:hideMark/>
          </w:tcPr>
          <w:p w:rsidR="00D24365" w:rsidRPr="00D24365" w:rsidRDefault="00D24365" w:rsidP="00BD7697">
            <w:pPr>
              <w:jc w:val="center"/>
              <w:rPr>
                <w:rFonts w:ascii="Times New Roman" w:hAnsi="Times New Roman" w:cs="Times New Roman"/>
                <w:sz w:val="24"/>
                <w:szCs w:val="24"/>
              </w:rPr>
            </w:pPr>
            <w:r w:rsidRPr="00D24365">
              <w:rPr>
                <w:rFonts w:ascii="Times New Roman" w:hAnsi="Times New Roman" w:cs="Times New Roman"/>
                <w:sz w:val="24"/>
                <w:szCs w:val="24"/>
              </w:rPr>
              <w:t>.29***</w:t>
            </w:r>
          </w:p>
        </w:tc>
      </w:tr>
      <w:tr w:rsidR="00D24365" w:rsidRPr="00D24365" w:rsidTr="00B854F3">
        <w:trPr>
          <w:tblCellSpacing w:w="15" w:type="dxa"/>
          <w:jc w:val="center"/>
        </w:trPr>
        <w:tc>
          <w:tcPr>
            <w:tcW w:w="3600" w:type="dxa"/>
            <w:vAlign w:val="center"/>
            <w:hideMark/>
          </w:tcPr>
          <w:p w:rsidR="00D24365" w:rsidRPr="00D24365" w:rsidRDefault="00D24365" w:rsidP="00B854F3">
            <w:pPr>
              <w:rPr>
                <w:rFonts w:ascii="Times New Roman" w:hAnsi="Times New Roman" w:cs="Times New Roman"/>
                <w:sz w:val="24"/>
                <w:szCs w:val="24"/>
              </w:rPr>
            </w:pPr>
            <w:r w:rsidRPr="00D24365">
              <w:rPr>
                <w:rFonts w:ascii="Times New Roman" w:hAnsi="Times New Roman" w:cs="Times New Roman"/>
                <w:sz w:val="24"/>
                <w:szCs w:val="24"/>
              </w:rPr>
              <w:t>Access to training</w:t>
            </w:r>
          </w:p>
        </w:tc>
        <w:tc>
          <w:tcPr>
            <w:tcW w:w="2130" w:type="dxa"/>
            <w:vAlign w:val="center"/>
            <w:hideMark/>
          </w:tcPr>
          <w:p w:rsidR="00D24365" w:rsidRPr="00D24365" w:rsidRDefault="00D24365" w:rsidP="00BD7697">
            <w:pPr>
              <w:jc w:val="center"/>
              <w:rPr>
                <w:rFonts w:ascii="Times New Roman" w:hAnsi="Times New Roman" w:cs="Times New Roman"/>
                <w:sz w:val="24"/>
                <w:szCs w:val="24"/>
              </w:rPr>
            </w:pPr>
            <w:r w:rsidRPr="00D24365">
              <w:rPr>
                <w:rFonts w:ascii="Times New Roman" w:hAnsi="Times New Roman" w:cs="Times New Roman"/>
                <w:sz w:val="24"/>
                <w:szCs w:val="24"/>
              </w:rPr>
              <w:t>.16**</w:t>
            </w:r>
          </w:p>
        </w:tc>
        <w:tc>
          <w:tcPr>
            <w:tcW w:w="2655" w:type="dxa"/>
            <w:vAlign w:val="center"/>
            <w:hideMark/>
          </w:tcPr>
          <w:p w:rsidR="00D24365" w:rsidRPr="00D24365" w:rsidRDefault="00D24365" w:rsidP="00BD7697">
            <w:pPr>
              <w:jc w:val="center"/>
              <w:rPr>
                <w:rFonts w:ascii="Times New Roman" w:hAnsi="Times New Roman" w:cs="Times New Roman"/>
                <w:sz w:val="24"/>
                <w:szCs w:val="24"/>
              </w:rPr>
            </w:pPr>
            <w:r w:rsidRPr="00D24365">
              <w:rPr>
                <w:rFonts w:ascii="Times New Roman" w:hAnsi="Times New Roman" w:cs="Times New Roman"/>
                <w:sz w:val="24"/>
                <w:szCs w:val="24"/>
              </w:rPr>
              <w:t>.23***</w:t>
            </w:r>
          </w:p>
        </w:tc>
      </w:tr>
    </w:tbl>
    <w:p w:rsidR="00D24365" w:rsidRPr="00D24365" w:rsidRDefault="00B854F3" w:rsidP="00B854F3">
      <w:pPr>
        <w:rPr>
          <w:rFonts w:ascii="Times New Roman" w:hAnsi="Times New Roman" w:cs="Times New Roman"/>
          <w:sz w:val="24"/>
          <w:szCs w:val="24"/>
        </w:rPr>
      </w:pPr>
      <w:r>
        <w:rPr>
          <w:rFonts w:ascii="Times New Roman" w:hAnsi="Times New Roman" w:cs="Times New Roman"/>
          <w:i/>
          <w:iCs/>
          <w:sz w:val="24"/>
          <w:szCs w:val="24"/>
        </w:rPr>
        <w:t xml:space="preserve">          </w:t>
      </w:r>
      <w:r w:rsidR="00D24365" w:rsidRPr="00D24365">
        <w:rPr>
          <w:rFonts w:ascii="Times New Roman" w:hAnsi="Times New Roman" w:cs="Times New Roman"/>
          <w:i/>
          <w:iCs/>
          <w:sz w:val="24"/>
          <w:szCs w:val="24"/>
        </w:rPr>
        <w:t>p</w:t>
      </w:r>
      <w:r w:rsidR="00D24365" w:rsidRPr="00D24365">
        <w:rPr>
          <w:rFonts w:ascii="Times New Roman" w:hAnsi="Times New Roman" w:cs="Times New Roman"/>
          <w:sz w:val="24"/>
          <w:szCs w:val="24"/>
        </w:rPr>
        <w:t xml:space="preserve"> &lt; .05**, </w:t>
      </w:r>
      <w:r w:rsidR="00D24365" w:rsidRPr="00D24365">
        <w:rPr>
          <w:rFonts w:ascii="Times New Roman" w:hAnsi="Times New Roman" w:cs="Times New Roman"/>
          <w:i/>
          <w:iCs/>
          <w:sz w:val="24"/>
          <w:szCs w:val="24"/>
        </w:rPr>
        <w:t>p</w:t>
      </w:r>
      <w:r w:rsidR="00D24365" w:rsidRPr="00D24365">
        <w:rPr>
          <w:rFonts w:ascii="Times New Roman" w:hAnsi="Times New Roman" w:cs="Times New Roman"/>
          <w:sz w:val="24"/>
          <w:szCs w:val="24"/>
        </w:rPr>
        <w:t xml:space="preserve"> &lt; .01***</w:t>
      </w:r>
    </w:p>
    <w:p w:rsidR="00F524DD" w:rsidRDefault="00D24365" w:rsidP="004A4172">
      <w:pPr>
        <w:jc w:val="both"/>
        <w:rPr>
          <w:rFonts w:ascii="Times New Roman" w:hAnsi="Times New Roman" w:cs="Times New Roman"/>
          <w:sz w:val="24"/>
          <w:szCs w:val="24"/>
        </w:rPr>
      </w:pPr>
      <w:r w:rsidRPr="00D24365">
        <w:rPr>
          <w:rFonts w:ascii="Times New Roman" w:hAnsi="Times New Roman" w:cs="Times New Roman"/>
          <w:sz w:val="24"/>
          <w:szCs w:val="24"/>
        </w:rPr>
        <w:br/>
      </w:r>
      <w:r w:rsidR="00F524DD" w:rsidRPr="00F524DD">
        <w:rPr>
          <w:rFonts w:ascii="Times New Roman" w:hAnsi="Times New Roman" w:cs="Times New Roman"/>
          <w:sz w:val="24"/>
          <w:szCs w:val="24"/>
        </w:rPr>
        <w:t>Being involved in local decision-making and knowledge-sharing networks greatly improves both the diversification of businesses and the use of sustainable practices. These results back up H3 and show that being involved in the community helps not only the economy but also entrepreneurs who care about the environment.</w:t>
      </w:r>
    </w:p>
    <w:p w:rsidR="00D24365" w:rsidRPr="00D24365" w:rsidRDefault="00D24365" w:rsidP="00D24365">
      <w:pPr>
        <w:jc w:val="both"/>
        <w:rPr>
          <w:rFonts w:ascii="Times New Roman" w:hAnsi="Times New Roman" w:cs="Times New Roman"/>
          <w:b/>
          <w:bCs/>
          <w:sz w:val="24"/>
          <w:szCs w:val="24"/>
        </w:rPr>
      </w:pPr>
      <w:r w:rsidRPr="00D24365">
        <w:rPr>
          <w:rFonts w:ascii="Times New Roman" w:hAnsi="Times New Roman" w:cs="Times New Roman"/>
          <w:b/>
          <w:bCs/>
          <w:sz w:val="24"/>
          <w:szCs w:val="24"/>
        </w:rPr>
        <w:t>4.5 District-Level Differences</w:t>
      </w:r>
    </w:p>
    <w:p w:rsidR="00BD7697" w:rsidRDefault="00F524DD" w:rsidP="004A4172">
      <w:pPr>
        <w:jc w:val="both"/>
        <w:rPr>
          <w:rFonts w:ascii="Times New Roman" w:hAnsi="Times New Roman" w:cs="Times New Roman"/>
          <w:sz w:val="24"/>
          <w:szCs w:val="24"/>
        </w:rPr>
      </w:pPr>
      <w:r w:rsidRPr="00F524DD">
        <w:rPr>
          <w:rFonts w:ascii="Times New Roman" w:hAnsi="Times New Roman" w:cs="Times New Roman"/>
          <w:sz w:val="24"/>
          <w:szCs w:val="24"/>
        </w:rPr>
        <w:t>Interaction terms between community engagement and district location show that effect sizes are statistically different. Community engagement has a bigger effect on income growth and diversification in Bagamoyo than in Kinondoni. This suggests that community-based approaches may be especially effective in semi-rural coastal areas. This finding corroborates H4 and underscores the significance of contextual variation in the dynamics of Blue-economy entrepreneurship.</w:t>
      </w:r>
    </w:p>
    <w:p w:rsidR="00D24365" w:rsidRPr="00450AE7" w:rsidRDefault="00450AE7" w:rsidP="004A4172">
      <w:pPr>
        <w:jc w:val="both"/>
        <w:rPr>
          <w:rFonts w:ascii="Times New Roman" w:hAnsi="Times New Roman" w:cs="Times New Roman"/>
          <w:sz w:val="24"/>
          <w:szCs w:val="24"/>
        </w:rPr>
      </w:pPr>
      <w:r>
        <w:rPr>
          <w:rFonts w:ascii="Times New Roman" w:hAnsi="Times New Roman" w:cs="Times New Roman"/>
          <w:b/>
          <w:sz w:val="24"/>
          <w:szCs w:val="24"/>
        </w:rPr>
        <w:t xml:space="preserve">Table 7: </w:t>
      </w:r>
      <w:r w:rsidR="00D24365" w:rsidRPr="00450AE7">
        <w:rPr>
          <w:rFonts w:ascii="Times New Roman" w:hAnsi="Times New Roman" w:cs="Times New Roman"/>
          <w:sz w:val="24"/>
          <w:szCs w:val="24"/>
        </w:rPr>
        <w:t>Summary of Hypothesis Testing</w:t>
      </w:r>
    </w:p>
    <w:tbl>
      <w:tblPr>
        <w:tblW w:w="9585" w:type="dxa"/>
        <w:jc w:val="center"/>
        <w:tblCellSpacing w:w="15" w:type="dxa"/>
        <w:tblCellMar>
          <w:top w:w="15" w:type="dxa"/>
          <w:left w:w="15" w:type="dxa"/>
          <w:bottom w:w="15" w:type="dxa"/>
          <w:right w:w="15" w:type="dxa"/>
        </w:tblCellMar>
        <w:tblLook w:val="04A0" w:firstRow="1" w:lastRow="0" w:firstColumn="1" w:lastColumn="0" w:noHBand="0" w:noVBand="1"/>
      </w:tblPr>
      <w:tblGrid>
        <w:gridCol w:w="1215"/>
        <w:gridCol w:w="7173"/>
        <w:gridCol w:w="1197"/>
      </w:tblGrid>
      <w:tr w:rsidR="00D24365" w:rsidRPr="00D24365" w:rsidTr="00981D71">
        <w:trPr>
          <w:tblHeader/>
          <w:tblCellSpacing w:w="15" w:type="dxa"/>
          <w:jc w:val="center"/>
        </w:trPr>
        <w:tc>
          <w:tcPr>
            <w:tcW w:w="1170" w:type="dxa"/>
            <w:vAlign w:val="center"/>
            <w:hideMark/>
          </w:tcPr>
          <w:p w:rsidR="00D24365" w:rsidRPr="00D24365" w:rsidRDefault="00D24365" w:rsidP="00BD7697">
            <w:pPr>
              <w:spacing w:line="240" w:lineRule="auto"/>
              <w:rPr>
                <w:rFonts w:ascii="Times New Roman" w:hAnsi="Times New Roman" w:cs="Times New Roman"/>
                <w:b/>
                <w:bCs/>
                <w:sz w:val="24"/>
                <w:szCs w:val="24"/>
              </w:rPr>
            </w:pPr>
            <w:r w:rsidRPr="00D24365">
              <w:rPr>
                <w:rFonts w:ascii="Times New Roman" w:hAnsi="Times New Roman" w:cs="Times New Roman"/>
                <w:b/>
                <w:bCs/>
                <w:sz w:val="24"/>
                <w:szCs w:val="24"/>
              </w:rPr>
              <w:t>Hypothesis</w:t>
            </w:r>
          </w:p>
        </w:tc>
        <w:tc>
          <w:tcPr>
            <w:tcW w:w="7143" w:type="dxa"/>
            <w:vAlign w:val="center"/>
            <w:hideMark/>
          </w:tcPr>
          <w:p w:rsidR="00D24365" w:rsidRPr="00D24365" w:rsidRDefault="00D24365" w:rsidP="00BD7697">
            <w:pPr>
              <w:spacing w:line="240" w:lineRule="auto"/>
              <w:jc w:val="center"/>
              <w:rPr>
                <w:rFonts w:ascii="Times New Roman" w:hAnsi="Times New Roman" w:cs="Times New Roman"/>
                <w:b/>
                <w:bCs/>
                <w:sz w:val="24"/>
                <w:szCs w:val="24"/>
              </w:rPr>
            </w:pPr>
            <w:r w:rsidRPr="00D24365">
              <w:rPr>
                <w:rFonts w:ascii="Times New Roman" w:hAnsi="Times New Roman" w:cs="Times New Roman"/>
                <w:b/>
                <w:bCs/>
                <w:sz w:val="24"/>
                <w:szCs w:val="24"/>
              </w:rPr>
              <w:t>Statement</w:t>
            </w:r>
          </w:p>
        </w:tc>
        <w:tc>
          <w:tcPr>
            <w:tcW w:w="1152" w:type="dxa"/>
            <w:vAlign w:val="center"/>
            <w:hideMark/>
          </w:tcPr>
          <w:p w:rsidR="00D24365" w:rsidRPr="00D24365" w:rsidRDefault="00D24365" w:rsidP="00BD7697">
            <w:pPr>
              <w:spacing w:line="240" w:lineRule="auto"/>
              <w:rPr>
                <w:rFonts w:ascii="Times New Roman" w:hAnsi="Times New Roman" w:cs="Times New Roman"/>
                <w:b/>
                <w:bCs/>
                <w:sz w:val="24"/>
                <w:szCs w:val="24"/>
              </w:rPr>
            </w:pPr>
            <w:r w:rsidRPr="00D24365">
              <w:rPr>
                <w:rFonts w:ascii="Times New Roman" w:hAnsi="Times New Roman" w:cs="Times New Roman"/>
                <w:b/>
                <w:bCs/>
                <w:sz w:val="24"/>
                <w:szCs w:val="24"/>
              </w:rPr>
              <w:t>Result</w:t>
            </w:r>
          </w:p>
        </w:tc>
      </w:tr>
      <w:tr w:rsidR="00D24365" w:rsidRPr="00D24365" w:rsidTr="00981D71">
        <w:trPr>
          <w:tblCellSpacing w:w="15" w:type="dxa"/>
          <w:jc w:val="center"/>
        </w:trPr>
        <w:tc>
          <w:tcPr>
            <w:tcW w:w="1170" w:type="dxa"/>
            <w:vAlign w:val="center"/>
            <w:hideMark/>
          </w:tcPr>
          <w:p w:rsidR="00D24365" w:rsidRPr="00D24365" w:rsidRDefault="00D24365" w:rsidP="00BD7697">
            <w:pPr>
              <w:spacing w:line="240" w:lineRule="auto"/>
              <w:rPr>
                <w:rFonts w:ascii="Times New Roman" w:hAnsi="Times New Roman" w:cs="Times New Roman"/>
                <w:sz w:val="24"/>
                <w:szCs w:val="24"/>
              </w:rPr>
            </w:pPr>
            <w:r w:rsidRPr="00D24365">
              <w:rPr>
                <w:rFonts w:ascii="Times New Roman" w:hAnsi="Times New Roman" w:cs="Times New Roman"/>
                <w:sz w:val="24"/>
                <w:szCs w:val="24"/>
              </w:rPr>
              <w:t>H1</w:t>
            </w:r>
          </w:p>
        </w:tc>
        <w:tc>
          <w:tcPr>
            <w:tcW w:w="7143" w:type="dxa"/>
            <w:vAlign w:val="center"/>
            <w:hideMark/>
          </w:tcPr>
          <w:p w:rsidR="00D24365" w:rsidRPr="00D24365" w:rsidRDefault="00D24365" w:rsidP="00BD7697">
            <w:pPr>
              <w:spacing w:line="240" w:lineRule="auto"/>
              <w:rPr>
                <w:rFonts w:ascii="Times New Roman" w:hAnsi="Times New Roman" w:cs="Times New Roman"/>
                <w:sz w:val="24"/>
                <w:szCs w:val="24"/>
              </w:rPr>
            </w:pPr>
            <w:r w:rsidRPr="00D24365">
              <w:rPr>
                <w:rFonts w:ascii="Times New Roman" w:hAnsi="Times New Roman" w:cs="Times New Roman"/>
                <w:sz w:val="24"/>
                <w:szCs w:val="24"/>
              </w:rPr>
              <w:t>Community engagement positively affects performance</w:t>
            </w:r>
          </w:p>
        </w:tc>
        <w:tc>
          <w:tcPr>
            <w:tcW w:w="1152" w:type="dxa"/>
            <w:vAlign w:val="center"/>
            <w:hideMark/>
          </w:tcPr>
          <w:p w:rsidR="00D24365" w:rsidRPr="00D24365" w:rsidRDefault="00D24365" w:rsidP="00BD7697">
            <w:pPr>
              <w:spacing w:line="240" w:lineRule="auto"/>
              <w:rPr>
                <w:rFonts w:ascii="Times New Roman" w:hAnsi="Times New Roman" w:cs="Times New Roman"/>
                <w:sz w:val="24"/>
                <w:szCs w:val="24"/>
              </w:rPr>
            </w:pPr>
            <w:r w:rsidRPr="00D24365">
              <w:rPr>
                <w:rFonts w:ascii="Times New Roman" w:hAnsi="Times New Roman" w:cs="Times New Roman"/>
                <w:sz w:val="24"/>
                <w:szCs w:val="24"/>
              </w:rPr>
              <w:t>Supported</w:t>
            </w:r>
          </w:p>
        </w:tc>
      </w:tr>
      <w:tr w:rsidR="00D24365" w:rsidRPr="00D24365" w:rsidTr="00981D71">
        <w:trPr>
          <w:tblCellSpacing w:w="15" w:type="dxa"/>
          <w:jc w:val="center"/>
        </w:trPr>
        <w:tc>
          <w:tcPr>
            <w:tcW w:w="1170" w:type="dxa"/>
            <w:vAlign w:val="center"/>
            <w:hideMark/>
          </w:tcPr>
          <w:p w:rsidR="00D24365" w:rsidRPr="00D24365" w:rsidRDefault="00D24365" w:rsidP="00BD7697">
            <w:pPr>
              <w:spacing w:line="240" w:lineRule="auto"/>
              <w:rPr>
                <w:rFonts w:ascii="Times New Roman" w:hAnsi="Times New Roman" w:cs="Times New Roman"/>
                <w:sz w:val="24"/>
                <w:szCs w:val="24"/>
              </w:rPr>
            </w:pPr>
            <w:r w:rsidRPr="00D24365">
              <w:rPr>
                <w:rFonts w:ascii="Times New Roman" w:hAnsi="Times New Roman" w:cs="Times New Roman"/>
                <w:sz w:val="24"/>
                <w:szCs w:val="24"/>
              </w:rPr>
              <w:t>H2</w:t>
            </w:r>
          </w:p>
        </w:tc>
        <w:tc>
          <w:tcPr>
            <w:tcW w:w="7143" w:type="dxa"/>
            <w:vAlign w:val="center"/>
            <w:hideMark/>
          </w:tcPr>
          <w:p w:rsidR="00D24365" w:rsidRPr="00D24365" w:rsidRDefault="00D24365" w:rsidP="00BD7697">
            <w:pPr>
              <w:spacing w:line="240" w:lineRule="auto"/>
              <w:rPr>
                <w:rFonts w:ascii="Times New Roman" w:hAnsi="Times New Roman" w:cs="Times New Roman"/>
                <w:sz w:val="24"/>
                <w:szCs w:val="24"/>
              </w:rPr>
            </w:pPr>
            <w:r w:rsidRPr="00D24365">
              <w:rPr>
                <w:rFonts w:ascii="Times New Roman" w:hAnsi="Times New Roman" w:cs="Times New Roman"/>
                <w:sz w:val="24"/>
                <w:szCs w:val="24"/>
              </w:rPr>
              <w:t>Savings group participation improves income growth and survival</w:t>
            </w:r>
          </w:p>
        </w:tc>
        <w:tc>
          <w:tcPr>
            <w:tcW w:w="1152" w:type="dxa"/>
            <w:vAlign w:val="center"/>
            <w:hideMark/>
          </w:tcPr>
          <w:p w:rsidR="00D24365" w:rsidRPr="00D24365" w:rsidRDefault="00D24365" w:rsidP="00BD7697">
            <w:pPr>
              <w:spacing w:line="240" w:lineRule="auto"/>
              <w:rPr>
                <w:rFonts w:ascii="Times New Roman" w:hAnsi="Times New Roman" w:cs="Times New Roman"/>
                <w:sz w:val="24"/>
                <w:szCs w:val="24"/>
              </w:rPr>
            </w:pPr>
            <w:r w:rsidRPr="00D24365">
              <w:rPr>
                <w:rFonts w:ascii="Times New Roman" w:hAnsi="Times New Roman" w:cs="Times New Roman"/>
                <w:sz w:val="24"/>
                <w:szCs w:val="24"/>
              </w:rPr>
              <w:t>Supported</w:t>
            </w:r>
          </w:p>
        </w:tc>
      </w:tr>
      <w:tr w:rsidR="00D24365" w:rsidRPr="00D24365" w:rsidTr="00981D71">
        <w:trPr>
          <w:tblCellSpacing w:w="15" w:type="dxa"/>
          <w:jc w:val="center"/>
        </w:trPr>
        <w:tc>
          <w:tcPr>
            <w:tcW w:w="1170" w:type="dxa"/>
            <w:vAlign w:val="center"/>
            <w:hideMark/>
          </w:tcPr>
          <w:p w:rsidR="00D24365" w:rsidRPr="00D24365" w:rsidRDefault="00D24365" w:rsidP="00BD7697">
            <w:pPr>
              <w:spacing w:line="240" w:lineRule="auto"/>
              <w:rPr>
                <w:rFonts w:ascii="Times New Roman" w:hAnsi="Times New Roman" w:cs="Times New Roman"/>
                <w:sz w:val="24"/>
                <w:szCs w:val="24"/>
              </w:rPr>
            </w:pPr>
            <w:r w:rsidRPr="00D24365">
              <w:rPr>
                <w:rFonts w:ascii="Times New Roman" w:hAnsi="Times New Roman" w:cs="Times New Roman"/>
                <w:sz w:val="24"/>
                <w:szCs w:val="24"/>
              </w:rPr>
              <w:t>H3</w:t>
            </w:r>
          </w:p>
        </w:tc>
        <w:tc>
          <w:tcPr>
            <w:tcW w:w="7143" w:type="dxa"/>
            <w:vAlign w:val="center"/>
            <w:hideMark/>
          </w:tcPr>
          <w:p w:rsidR="00D24365" w:rsidRPr="00D24365" w:rsidRDefault="00D24365" w:rsidP="00BD7697">
            <w:pPr>
              <w:spacing w:line="240" w:lineRule="auto"/>
              <w:rPr>
                <w:rFonts w:ascii="Times New Roman" w:hAnsi="Times New Roman" w:cs="Times New Roman"/>
                <w:sz w:val="24"/>
                <w:szCs w:val="24"/>
              </w:rPr>
            </w:pPr>
            <w:r w:rsidRPr="00D24365">
              <w:rPr>
                <w:rFonts w:ascii="Times New Roman" w:hAnsi="Times New Roman" w:cs="Times New Roman"/>
                <w:sz w:val="24"/>
                <w:szCs w:val="24"/>
              </w:rPr>
              <w:t>Participation and knowledge sharing enhance diversification and sustainability</w:t>
            </w:r>
          </w:p>
        </w:tc>
        <w:tc>
          <w:tcPr>
            <w:tcW w:w="1152" w:type="dxa"/>
            <w:vAlign w:val="center"/>
            <w:hideMark/>
          </w:tcPr>
          <w:p w:rsidR="00D24365" w:rsidRPr="00D24365" w:rsidRDefault="00D24365" w:rsidP="00BD7697">
            <w:pPr>
              <w:spacing w:line="240" w:lineRule="auto"/>
              <w:rPr>
                <w:rFonts w:ascii="Times New Roman" w:hAnsi="Times New Roman" w:cs="Times New Roman"/>
                <w:sz w:val="24"/>
                <w:szCs w:val="24"/>
              </w:rPr>
            </w:pPr>
            <w:r w:rsidRPr="00D24365">
              <w:rPr>
                <w:rFonts w:ascii="Times New Roman" w:hAnsi="Times New Roman" w:cs="Times New Roman"/>
                <w:sz w:val="24"/>
                <w:szCs w:val="24"/>
              </w:rPr>
              <w:t>Supported</w:t>
            </w:r>
          </w:p>
        </w:tc>
      </w:tr>
      <w:tr w:rsidR="00D24365" w:rsidRPr="00D24365" w:rsidTr="00981D71">
        <w:trPr>
          <w:tblCellSpacing w:w="15" w:type="dxa"/>
          <w:jc w:val="center"/>
        </w:trPr>
        <w:tc>
          <w:tcPr>
            <w:tcW w:w="1170" w:type="dxa"/>
            <w:vAlign w:val="center"/>
            <w:hideMark/>
          </w:tcPr>
          <w:p w:rsidR="00D24365" w:rsidRPr="00D24365" w:rsidRDefault="00D24365" w:rsidP="00BD7697">
            <w:pPr>
              <w:spacing w:line="240" w:lineRule="auto"/>
              <w:rPr>
                <w:rFonts w:ascii="Times New Roman" w:hAnsi="Times New Roman" w:cs="Times New Roman"/>
                <w:sz w:val="24"/>
                <w:szCs w:val="24"/>
              </w:rPr>
            </w:pPr>
            <w:r w:rsidRPr="00D24365">
              <w:rPr>
                <w:rFonts w:ascii="Times New Roman" w:hAnsi="Times New Roman" w:cs="Times New Roman"/>
                <w:sz w:val="24"/>
                <w:szCs w:val="24"/>
              </w:rPr>
              <w:t>H4</w:t>
            </w:r>
          </w:p>
        </w:tc>
        <w:tc>
          <w:tcPr>
            <w:tcW w:w="7143" w:type="dxa"/>
            <w:vAlign w:val="center"/>
            <w:hideMark/>
          </w:tcPr>
          <w:p w:rsidR="00D24365" w:rsidRPr="00D24365" w:rsidRDefault="00D24365" w:rsidP="00BD7697">
            <w:pPr>
              <w:spacing w:line="240" w:lineRule="auto"/>
              <w:rPr>
                <w:rFonts w:ascii="Times New Roman" w:hAnsi="Times New Roman" w:cs="Times New Roman"/>
                <w:sz w:val="24"/>
                <w:szCs w:val="24"/>
              </w:rPr>
            </w:pPr>
            <w:r w:rsidRPr="00D24365">
              <w:rPr>
                <w:rFonts w:ascii="Times New Roman" w:hAnsi="Times New Roman" w:cs="Times New Roman"/>
                <w:sz w:val="24"/>
                <w:szCs w:val="24"/>
              </w:rPr>
              <w:t>Effects differ by district context</w:t>
            </w:r>
          </w:p>
        </w:tc>
        <w:tc>
          <w:tcPr>
            <w:tcW w:w="1152" w:type="dxa"/>
            <w:vAlign w:val="center"/>
            <w:hideMark/>
          </w:tcPr>
          <w:p w:rsidR="00D24365" w:rsidRPr="00D24365" w:rsidRDefault="00D24365" w:rsidP="00BD7697">
            <w:pPr>
              <w:spacing w:line="240" w:lineRule="auto"/>
              <w:rPr>
                <w:rFonts w:ascii="Times New Roman" w:hAnsi="Times New Roman" w:cs="Times New Roman"/>
                <w:sz w:val="24"/>
                <w:szCs w:val="24"/>
              </w:rPr>
            </w:pPr>
            <w:r w:rsidRPr="00D24365">
              <w:rPr>
                <w:rFonts w:ascii="Times New Roman" w:hAnsi="Times New Roman" w:cs="Times New Roman"/>
                <w:sz w:val="24"/>
                <w:szCs w:val="24"/>
              </w:rPr>
              <w:t>Supported</w:t>
            </w:r>
          </w:p>
        </w:tc>
      </w:tr>
    </w:tbl>
    <w:p w:rsidR="00A85C25" w:rsidRDefault="00A85C25" w:rsidP="00A56B91">
      <w:pPr>
        <w:jc w:val="both"/>
        <w:rPr>
          <w:rFonts w:ascii="Times New Roman" w:hAnsi="Times New Roman" w:cs="Times New Roman"/>
          <w:b/>
          <w:sz w:val="24"/>
          <w:szCs w:val="24"/>
        </w:rPr>
      </w:pPr>
    </w:p>
    <w:p w:rsidR="00A56B91" w:rsidRPr="00A56B91" w:rsidRDefault="00A56B91" w:rsidP="00A56B91">
      <w:pPr>
        <w:jc w:val="both"/>
        <w:rPr>
          <w:rFonts w:ascii="Times New Roman" w:hAnsi="Times New Roman" w:cs="Times New Roman"/>
          <w:b/>
          <w:bCs/>
          <w:sz w:val="24"/>
          <w:szCs w:val="24"/>
        </w:rPr>
      </w:pPr>
      <w:r w:rsidRPr="00A56B91">
        <w:rPr>
          <w:rFonts w:ascii="Times New Roman" w:hAnsi="Times New Roman" w:cs="Times New Roman"/>
          <w:b/>
          <w:bCs/>
          <w:sz w:val="24"/>
          <w:szCs w:val="24"/>
        </w:rPr>
        <w:t>5. Discussion</w:t>
      </w:r>
    </w:p>
    <w:p w:rsidR="00A56B91" w:rsidRPr="00A56B91" w:rsidRDefault="00A56B91" w:rsidP="00A56B91">
      <w:pPr>
        <w:jc w:val="both"/>
        <w:rPr>
          <w:rFonts w:ascii="Times New Roman" w:hAnsi="Times New Roman" w:cs="Times New Roman"/>
          <w:b/>
          <w:bCs/>
          <w:sz w:val="24"/>
          <w:szCs w:val="24"/>
        </w:rPr>
      </w:pPr>
      <w:r w:rsidRPr="00A56B91">
        <w:rPr>
          <w:rFonts w:ascii="Times New Roman" w:hAnsi="Times New Roman" w:cs="Times New Roman"/>
          <w:b/>
          <w:bCs/>
          <w:sz w:val="24"/>
          <w:szCs w:val="24"/>
        </w:rPr>
        <w:t>5.1</w:t>
      </w:r>
      <w:r w:rsidR="00253BA8">
        <w:rPr>
          <w:rFonts w:ascii="Times New Roman" w:hAnsi="Times New Roman" w:cs="Times New Roman"/>
          <w:b/>
          <w:bCs/>
          <w:sz w:val="24"/>
          <w:szCs w:val="24"/>
        </w:rPr>
        <w:t xml:space="preserve">.1 </w:t>
      </w:r>
      <w:r w:rsidRPr="00A56B91">
        <w:rPr>
          <w:rFonts w:ascii="Times New Roman" w:hAnsi="Times New Roman" w:cs="Times New Roman"/>
          <w:b/>
          <w:bCs/>
          <w:sz w:val="24"/>
          <w:szCs w:val="24"/>
        </w:rPr>
        <w:t>Community Engagement and Blue-Entrepreneurship Performance</w:t>
      </w:r>
    </w:p>
    <w:p w:rsidR="00F524DD" w:rsidRDefault="00F524DD" w:rsidP="00A56B91">
      <w:pPr>
        <w:jc w:val="both"/>
        <w:rPr>
          <w:rFonts w:ascii="Times New Roman" w:hAnsi="Times New Roman" w:cs="Times New Roman"/>
          <w:sz w:val="24"/>
          <w:szCs w:val="24"/>
        </w:rPr>
      </w:pPr>
      <w:r w:rsidRPr="00F524DD">
        <w:rPr>
          <w:rFonts w:ascii="Times New Roman" w:hAnsi="Times New Roman" w:cs="Times New Roman"/>
          <w:sz w:val="24"/>
          <w:szCs w:val="24"/>
        </w:rPr>
        <w:t xml:space="preserve">The results of this study offer substantial empirical evidence for the assertion that community engagement significantly contributes to the performance enhancement of Blue-economy enterprises. The positive and statistically significant correlation between the Community Engagement Index and income growth substantiates H1 and closely corresponds with social capital theory, which highlights the importance of trust, networks, and collective action in enhancing economic outcomes for small-scale entrepreneurs (Putnam, 1993; </w:t>
      </w:r>
      <w:proofErr w:type="spellStart"/>
      <w:r w:rsidRPr="00F524DD">
        <w:rPr>
          <w:rFonts w:ascii="Times New Roman" w:hAnsi="Times New Roman" w:cs="Times New Roman"/>
          <w:sz w:val="24"/>
          <w:szCs w:val="24"/>
        </w:rPr>
        <w:t>Nahapiet</w:t>
      </w:r>
      <w:proofErr w:type="spellEnd"/>
      <w:r w:rsidRPr="00F524DD">
        <w:rPr>
          <w:rFonts w:ascii="Times New Roman" w:hAnsi="Times New Roman" w:cs="Times New Roman"/>
          <w:sz w:val="24"/>
          <w:szCs w:val="24"/>
        </w:rPr>
        <w:t xml:space="preserve"> &amp; Ghoshal, 1998). Entrepreneurs who are more involved in their communities seem to have better access to information, informal loans, and business opportunities, which means that their social connections can lead to real economic benefits. These findings align with previous empirical research in developing economies, indicating that community involvement and network integration improve enterprise resilience and performance, especially in resource-dependent industries (</w:t>
      </w:r>
      <w:proofErr w:type="spellStart"/>
      <w:r w:rsidRPr="00F524DD">
        <w:rPr>
          <w:rFonts w:ascii="Times New Roman" w:hAnsi="Times New Roman" w:cs="Times New Roman"/>
          <w:sz w:val="24"/>
          <w:szCs w:val="24"/>
        </w:rPr>
        <w:t>Karlan</w:t>
      </w:r>
      <w:proofErr w:type="spellEnd"/>
      <w:r w:rsidRPr="00F524DD">
        <w:rPr>
          <w:rFonts w:ascii="Times New Roman" w:hAnsi="Times New Roman" w:cs="Times New Roman"/>
          <w:sz w:val="24"/>
          <w:szCs w:val="24"/>
        </w:rPr>
        <w:t xml:space="preserve"> et al., 2014). In the context of the Blue Economy, the findings augment the existing literature, which has predominantly concentrated on environmental governance outcomes, by demonstrating that community engagement also produces quantifiable benefits in entrepreneurial performance, thereby reinforcing the economic rationale for participatory methodologies.</w:t>
      </w:r>
    </w:p>
    <w:p w:rsidR="00A56B91" w:rsidRPr="00A56B91" w:rsidRDefault="00253BA8" w:rsidP="00A56B91">
      <w:pPr>
        <w:jc w:val="both"/>
        <w:rPr>
          <w:rFonts w:ascii="Times New Roman" w:hAnsi="Times New Roman" w:cs="Times New Roman"/>
          <w:b/>
          <w:bCs/>
          <w:sz w:val="24"/>
          <w:szCs w:val="24"/>
        </w:rPr>
      </w:pPr>
      <w:r>
        <w:rPr>
          <w:rFonts w:ascii="Times New Roman" w:hAnsi="Times New Roman" w:cs="Times New Roman"/>
          <w:b/>
          <w:bCs/>
          <w:sz w:val="24"/>
          <w:szCs w:val="24"/>
        </w:rPr>
        <w:t>5.1.2</w:t>
      </w:r>
      <w:r w:rsidR="00A56B91" w:rsidRPr="00A56B91">
        <w:rPr>
          <w:rFonts w:ascii="Times New Roman" w:hAnsi="Times New Roman" w:cs="Times New Roman"/>
          <w:b/>
          <w:bCs/>
          <w:sz w:val="24"/>
          <w:szCs w:val="24"/>
        </w:rPr>
        <w:t xml:space="preserve"> Role of Community-Based Financial Engagement</w:t>
      </w:r>
    </w:p>
    <w:p w:rsidR="00F524DD" w:rsidRDefault="00F524DD" w:rsidP="00A56B91">
      <w:pPr>
        <w:jc w:val="both"/>
        <w:rPr>
          <w:rFonts w:ascii="Times New Roman" w:hAnsi="Times New Roman" w:cs="Times New Roman"/>
          <w:sz w:val="24"/>
          <w:szCs w:val="24"/>
        </w:rPr>
      </w:pPr>
      <w:r w:rsidRPr="00F524DD">
        <w:rPr>
          <w:rFonts w:ascii="Times New Roman" w:hAnsi="Times New Roman" w:cs="Times New Roman"/>
          <w:sz w:val="24"/>
          <w:szCs w:val="24"/>
        </w:rPr>
        <w:t>The robust positive correlation between engagement in community savings and credit associations and enterprise sustainability (H2) underscores the essential function of community-based financial systems in maintaining Blue-economy enterprises. Being a member of savings groups more than doubled the chances of a business staying open. This shows how important it is to include people in financial systems in places where formal credit markets are not available or not good enou</w:t>
      </w:r>
      <w:r>
        <w:rPr>
          <w:rFonts w:ascii="Times New Roman" w:hAnsi="Times New Roman" w:cs="Times New Roman"/>
          <w:sz w:val="24"/>
          <w:szCs w:val="24"/>
        </w:rPr>
        <w:t xml:space="preserve">gh. </w:t>
      </w:r>
      <w:r w:rsidRPr="00F524DD">
        <w:rPr>
          <w:rFonts w:ascii="Times New Roman" w:hAnsi="Times New Roman" w:cs="Times New Roman"/>
          <w:sz w:val="24"/>
          <w:szCs w:val="24"/>
        </w:rPr>
        <w:t>This finding supports earlier research that community savings groups improve liquidity, risk-sharing, and coping skills for micro-entrepreneurs (</w:t>
      </w:r>
      <w:proofErr w:type="spellStart"/>
      <w:r w:rsidRPr="00F524DD">
        <w:rPr>
          <w:rFonts w:ascii="Times New Roman" w:hAnsi="Times New Roman" w:cs="Times New Roman"/>
          <w:sz w:val="24"/>
          <w:szCs w:val="24"/>
        </w:rPr>
        <w:t>Karlan</w:t>
      </w:r>
      <w:proofErr w:type="spellEnd"/>
      <w:r w:rsidRPr="00F524DD">
        <w:rPr>
          <w:rFonts w:ascii="Times New Roman" w:hAnsi="Times New Roman" w:cs="Times New Roman"/>
          <w:sz w:val="24"/>
          <w:szCs w:val="24"/>
        </w:rPr>
        <w:t xml:space="preserve"> et al., 2014), and it strengthens policy arguments for including VICOBA-type models in Tanzania's Blue Economy programs. From a theoretical standpoint, savings groups actualize social capital by transforming trust and reciprocity into financial assets, thereby </w:t>
      </w:r>
      <w:r>
        <w:rPr>
          <w:rFonts w:ascii="Times New Roman" w:hAnsi="Times New Roman" w:cs="Times New Roman"/>
          <w:sz w:val="24"/>
          <w:szCs w:val="24"/>
        </w:rPr>
        <w:t>enhancing enterprise stability.</w:t>
      </w:r>
    </w:p>
    <w:p w:rsidR="00A56B91" w:rsidRPr="00A56B91" w:rsidRDefault="00253BA8" w:rsidP="00A56B91">
      <w:pPr>
        <w:jc w:val="both"/>
        <w:rPr>
          <w:rFonts w:ascii="Times New Roman" w:hAnsi="Times New Roman" w:cs="Times New Roman"/>
          <w:b/>
          <w:bCs/>
          <w:sz w:val="24"/>
          <w:szCs w:val="24"/>
        </w:rPr>
      </w:pPr>
      <w:r>
        <w:rPr>
          <w:rFonts w:ascii="Times New Roman" w:hAnsi="Times New Roman" w:cs="Times New Roman"/>
          <w:b/>
          <w:bCs/>
          <w:sz w:val="24"/>
          <w:szCs w:val="24"/>
        </w:rPr>
        <w:t>5.1.3</w:t>
      </w:r>
      <w:r w:rsidR="00A56B91" w:rsidRPr="00A56B91">
        <w:rPr>
          <w:rFonts w:ascii="Times New Roman" w:hAnsi="Times New Roman" w:cs="Times New Roman"/>
          <w:b/>
          <w:bCs/>
          <w:sz w:val="24"/>
          <w:szCs w:val="24"/>
        </w:rPr>
        <w:t xml:space="preserve"> Community Engagement, Diversification, and Sustainability</w:t>
      </w:r>
    </w:p>
    <w:p w:rsidR="00F524DD" w:rsidRDefault="00F524DD" w:rsidP="00A56B91">
      <w:pPr>
        <w:jc w:val="both"/>
        <w:rPr>
          <w:rFonts w:ascii="Times New Roman" w:hAnsi="Times New Roman" w:cs="Times New Roman"/>
          <w:sz w:val="24"/>
          <w:szCs w:val="24"/>
        </w:rPr>
      </w:pPr>
      <w:r w:rsidRPr="00F524DD">
        <w:rPr>
          <w:rFonts w:ascii="Times New Roman" w:hAnsi="Times New Roman" w:cs="Times New Roman"/>
          <w:sz w:val="24"/>
          <w:szCs w:val="24"/>
        </w:rPr>
        <w:t xml:space="preserve">The results further demonstrate that involvement in local decision-making processes and participation in knowledge-sharing networks substantially improve enterprise diversification and the implementation of sustainable practices, thereby corroborating H3. These results align closely with participatory governance theory, which asserts that inclusive decision-making and collective learning enhance compliance and foster innovation in resource-dependent economic </w:t>
      </w:r>
      <w:r w:rsidRPr="00F524DD">
        <w:rPr>
          <w:rFonts w:ascii="Times New Roman" w:hAnsi="Times New Roman" w:cs="Times New Roman"/>
          <w:sz w:val="24"/>
          <w:szCs w:val="24"/>
        </w:rPr>
        <w:lastRenderedPageBreak/>
        <w:t xml:space="preserve">activities (Pretty, 2003; </w:t>
      </w:r>
      <w:proofErr w:type="spellStart"/>
      <w:r w:rsidRPr="00F524DD">
        <w:rPr>
          <w:rFonts w:ascii="Times New Roman" w:hAnsi="Times New Roman" w:cs="Times New Roman"/>
          <w:sz w:val="24"/>
          <w:szCs w:val="24"/>
        </w:rPr>
        <w:t>Béné</w:t>
      </w:r>
      <w:proofErr w:type="spellEnd"/>
      <w:r w:rsidRPr="00F524DD">
        <w:rPr>
          <w:rFonts w:ascii="Times New Roman" w:hAnsi="Times New Roman" w:cs="Times New Roman"/>
          <w:sz w:val="24"/>
          <w:szCs w:val="24"/>
        </w:rPr>
        <w:t xml:space="preserve"> et al., 2016). The robust correlation between community engagement and sustainability practices indicates that economic and environmental goals within the Blue Economy are not inherently conflicting. When entrepreneurs are part of participatory institutions, they are more likely to use environmentally friendly methods that help keep resources available for a long time. This discovery adds to the ongoing discussions in the Blue Economy literature about whether it is possible to combine goals for protecting the environment with goals for improving people's lives.</w:t>
      </w:r>
    </w:p>
    <w:p w:rsidR="00A56B91" w:rsidRPr="00A56B91" w:rsidRDefault="00253BA8" w:rsidP="00A56B91">
      <w:pPr>
        <w:jc w:val="both"/>
        <w:rPr>
          <w:rFonts w:ascii="Times New Roman" w:hAnsi="Times New Roman" w:cs="Times New Roman"/>
          <w:b/>
          <w:bCs/>
          <w:sz w:val="24"/>
          <w:szCs w:val="24"/>
        </w:rPr>
      </w:pPr>
      <w:r>
        <w:rPr>
          <w:rFonts w:ascii="Times New Roman" w:hAnsi="Times New Roman" w:cs="Times New Roman"/>
          <w:b/>
          <w:bCs/>
          <w:sz w:val="24"/>
          <w:szCs w:val="24"/>
        </w:rPr>
        <w:t>5.1.4</w:t>
      </w:r>
      <w:r w:rsidR="00A56B91" w:rsidRPr="00A56B91">
        <w:rPr>
          <w:rFonts w:ascii="Times New Roman" w:hAnsi="Times New Roman" w:cs="Times New Roman"/>
          <w:b/>
          <w:bCs/>
          <w:sz w:val="24"/>
          <w:szCs w:val="24"/>
        </w:rPr>
        <w:t xml:space="preserve"> Contextual Differences </w:t>
      </w:r>
      <w:r w:rsidR="00981D71" w:rsidRPr="00A56B91">
        <w:rPr>
          <w:rFonts w:ascii="Times New Roman" w:hAnsi="Times New Roman" w:cs="Times New Roman"/>
          <w:b/>
          <w:bCs/>
          <w:sz w:val="24"/>
          <w:szCs w:val="24"/>
        </w:rPr>
        <w:t>between</w:t>
      </w:r>
      <w:r w:rsidR="00A56B91" w:rsidRPr="00A56B91">
        <w:rPr>
          <w:rFonts w:ascii="Times New Roman" w:hAnsi="Times New Roman" w:cs="Times New Roman"/>
          <w:b/>
          <w:bCs/>
          <w:sz w:val="24"/>
          <w:szCs w:val="24"/>
        </w:rPr>
        <w:t xml:space="preserve"> Coastal Districts</w:t>
      </w:r>
    </w:p>
    <w:p w:rsidR="00A607FB" w:rsidRDefault="00F524DD" w:rsidP="004A4172">
      <w:pPr>
        <w:jc w:val="both"/>
        <w:rPr>
          <w:rFonts w:ascii="Times New Roman" w:hAnsi="Times New Roman" w:cs="Times New Roman"/>
          <w:sz w:val="24"/>
          <w:szCs w:val="24"/>
        </w:rPr>
      </w:pPr>
      <w:r w:rsidRPr="00F524DD">
        <w:rPr>
          <w:rFonts w:ascii="Times New Roman" w:hAnsi="Times New Roman" w:cs="Times New Roman"/>
          <w:sz w:val="24"/>
          <w:szCs w:val="24"/>
        </w:rPr>
        <w:t>The observed district-level disparities in the intensity of community engagement effects offer empirical validation for H4 and highlight the significance of contextual variation. The more powerful effects seen in Bagamoyo District compared to Kinondoni District suggest that community-based mechanisms may work better in semi-rural areas where formal institutions and mar</w:t>
      </w:r>
      <w:r>
        <w:rPr>
          <w:rFonts w:ascii="Times New Roman" w:hAnsi="Times New Roman" w:cs="Times New Roman"/>
          <w:sz w:val="24"/>
          <w:szCs w:val="24"/>
        </w:rPr>
        <w:t xml:space="preserve">kets are not as well developed. </w:t>
      </w:r>
      <w:r w:rsidRPr="00F524DD">
        <w:rPr>
          <w:rFonts w:ascii="Times New Roman" w:hAnsi="Times New Roman" w:cs="Times New Roman"/>
          <w:sz w:val="24"/>
          <w:szCs w:val="24"/>
        </w:rPr>
        <w:t>In more urbanized areas like Kinondoni, Blue entrepreneurs work in competitive and commercialized settings where market forces and formal institutions may take the place of community-based support. This finding is consistent with previous research indicating that the efficacy of participatory and community-driven methodologies is dependent on local institutional density and market configuration. It also shows that we need Blue Economy policies that take into account the specific needs of each situation, rather than policies that work for everyone</w:t>
      </w:r>
      <w:r>
        <w:rPr>
          <w:rFonts w:ascii="Times New Roman" w:hAnsi="Times New Roman" w:cs="Times New Roman"/>
          <w:sz w:val="24"/>
          <w:szCs w:val="24"/>
        </w:rPr>
        <w:t xml:space="preserve">. </w:t>
      </w:r>
    </w:p>
    <w:p w:rsidR="00450AE7" w:rsidRPr="00450AE7" w:rsidRDefault="00253BA8" w:rsidP="00450AE7">
      <w:pPr>
        <w:jc w:val="both"/>
        <w:rPr>
          <w:rFonts w:ascii="Times New Roman" w:hAnsi="Times New Roman" w:cs="Times New Roman"/>
          <w:b/>
          <w:bCs/>
          <w:sz w:val="24"/>
          <w:szCs w:val="24"/>
        </w:rPr>
      </w:pPr>
      <w:r>
        <w:rPr>
          <w:rFonts w:ascii="Times New Roman" w:hAnsi="Times New Roman" w:cs="Times New Roman"/>
          <w:b/>
          <w:bCs/>
          <w:sz w:val="24"/>
          <w:szCs w:val="24"/>
        </w:rPr>
        <w:t xml:space="preserve">5.2 </w:t>
      </w:r>
      <w:r w:rsidR="00450AE7" w:rsidRPr="00450AE7">
        <w:rPr>
          <w:rFonts w:ascii="Times New Roman" w:hAnsi="Times New Roman" w:cs="Times New Roman"/>
          <w:b/>
          <w:bCs/>
          <w:sz w:val="24"/>
          <w:szCs w:val="24"/>
        </w:rPr>
        <w:t>Conclusion</w:t>
      </w:r>
    </w:p>
    <w:p w:rsidR="00F524DD" w:rsidRDefault="00F524DD" w:rsidP="004A4172">
      <w:pPr>
        <w:jc w:val="both"/>
        <w:rPr>
          <w:rFonts w:ascii="Times New Roman" w:hAnsi="Times New Roman" w:cs="Times New Roman"/>
          <w:sz w:val="24"/>
          <w:szCs w:val="24"/>
        </w:rPr>
      </w:pPr>
      <w:r w:rsidRPr="00F524DD">
        <w:rPr>
          <w:rFonts w:ascii="Times New Roman" w:hAnsi="Times New Roman" w:cs="Times New Roman"/>
          <w:sz w:val="24"/>
          <w:szCs w:val="24"/>
        </w:rPr>
        <w:t>This study aimed to investigate the role of community engagement in improving Blue-entrepreneurship performance in Tanzania via a comparative analysis of the Bagamoyo and Kinondoni districts. Utilizing theories of social capital and participatory governance, the study offers substantial empirical evidence that community engagement markedly enhances income growth, enterprise sustainability, diversification, and the implementation of sustainable practices among Blue entrepreneurs. The study significantly enhances Blue Economy and entrepreneurship literature by transcending mere descriptive narratives and establishing empirical connections between community engagement mechanisms and quantifiable performance outcomes. The results indicate that community engagement serves not only as a governance or environmental instrument but also as an essential economic asset for small-scale entrepreneurs in coastal and marine industries. The study has limitations, such as its cross-sectional design and dependence on self-reported performance metrics, despite its contributions. Future studies could utilize longitudinal designs to elucidate dynamic effects over time and investigate causal pathways more comprehensively. The study offers timely and policy-relevant insights that can guide the formulation of inclusive and sustainable Blue Economy strategies in Tanzania and similar coastal regions.</w:t>
      </w:r>
    </w:p>
    <w:p w:rsidR="00A56B91" w:rsidRPr="00A56B91" w:rsidRDefault="00253BA8" w:rsidP="00A56B91">
      <w:pPr>
        <w:jc w:val="both"/>
        <w:rPr>
          <w:rFonts w:ascii="Times New Roman" w:hAnsi="Times New Roman" w:cs="Times New Roman"/>
          <w:b/>
          <w:bCs/>
          <w:sz w:val="24"/>
          <w:szCs w:val="24"/>
        </w:rPr>
      </w:pPr>
      <w:r>
        <w:rPr>
          <w:rFonts w:ascii="Times New Roman" w:hAnsi="Times New Roman" w:cs="Times New Roman"/>
          <w:b/>
          <w:bCs/>
          <w:sz w:val="24"/>
          <w:szCs w:val="24"/>
        </w:rPr>
        <w:t xml:space="preserve">5.3 </w:t>
      </w:r>
      <w:r w:rsidRPr="00A56B91">
        <w:rPr>
          <w:rFonts w:ascii="Times New Roman" w:hAnsi="Times New Roman" w:cs="Times New Roman"/>
          <w:b/>
          <w:bCs/>
          <w:sz w:val="24"/>
          <w:szCs w:val="24"/>
        </w:rPr>
        <w:t>Policy</w:t>
      </w:r>
      <w:r w:rsidR="00A56B91" w:rsidRPr="00A56B91">
        <w:rPr>
          <w:rFonts w:ascii="Times New Roman" w:hAnsi="Times New Roman" w:cs="Times New Roman"/>
          <w:b/>
          <w:bCs/>
          <w:sz w:val="24"/>
          <w:szCs w:val="24"/>
        </w:rPr>
        <w:t xml:space="preserve"> Implications</w:t>
      </w:r>
    </w:p>
    <w:p w:rsidR="00F524DD" w:rsidRPr="00F524DD" w:rsidRDefault="00F524DD" w:rsidP="00476ACE">
      <w:pPr>
        <w:jc w:val="both"/>
        <w:rPr>
          <w:rFonts w:ascii="Times New Roman" w:hAnsi="Times New Roman" w:cs="Times New Roman"/>
          <w:sz w:val="24"/>
          <w:szCs w:val="24"/>
        </w:rPr>
      </w:pPr>
      <w:r w:rsidRPr="00F524DD">
        <w:rPr>
          <w:rFonts w:ascii="Times New Roman" w:hAnsi="Times New Roman" w:cs="Times New Roman"/>
          <w:sz w:val="24"/>
          <w:szCs w:val="24"/>
        </w:rPr>
        <w:lastRenderedPageBreak/>
        <w:t>This study's results have significant policy implications for Tanzania's Blue Economy agenda and comparable coastal economies in developing nations. First, community engagement should be made a key part of Blue Economy programming, not just an add-on or soft part. Policies and projects should encourage people to take part in local decision-making, make community-based groups stronger, and make it easier for Blue entrepreneurs to share information with each other. Second, the strong effects on performance that community savings and credit associations have suggest that expanding VICOBA-style financial systems in Blue Economy projects could greatly improve the survival and growth of businesses. Policymakers and development partners ought to amalgamate community finance models with technical training</w:t>
      </w:r>
      <w:r>
        <w:rPr>
          <w:rFonts w:ascii="Times New Roman" w:hAnsi="Times New Roman" w:cs="Times New Roman"/>
          <w:sz w:val="24"/>
          <w:szCs w:val="24"/>
        </w:rPr>
        <w:t xml:space="preserve"> and market access initiatives.</w:t>
      </w:r>
    </w:p>
    <w:p w:rsidR="00A607FB" w:rsidRDefault="00F524DD" w:rsidP="00476ACE">
      <w:pPr>
        <w:jc w:val="both"/>
        <w:rPr>
          <w:rFonts w:ascii="Times New Roman" w:hAnsi="Times New Roman" w:cs="Times New Roman"/>
          <w:sz w:val="24"/>
          <w:szCs w:val="24"/>
        </w:rPr>
      </w:pPr>
      <w:r w:rsidRPr="00F524DD">
        <w:rPr>
          <w:rFonts w:ascii="Times New Roman" w:hAnsi="Times New Roman" w:cs="Times New Roman"/>
          <w:sz w:val="24"/>
          <w:szCs w:val="24"/>
        </w:rPr>
        <w:t>Third, the positive link between community involvement and sustainable practices shows how important it is to connect participatory governance with environmental regulation. Improving compliance and economic performance at the same time is possible by strengthening co-management agreements and getting business owners involved in setting and enforcing rules. Fourth, the differences seen at the district level show that policies need to be different in different areas. In semi-rural areas, improving community institutions could lead to big gains. On the other hand, in urban coastal areas, combining community involvement with formal market and regula</w:t>
      </w:r>
      <w:r>
        <w:rPr>
          <w:rFonts w:ascii="Times New Roman" w:hAnsi="Times New Roman" w:cs="Times New Roman"/>
          <w:sz w:val="24"/>
          <w:szCs w:val="24"/>
        </w:rPr>
        <w:t>tory systems might work better.</w:t>
      </w:r>
    </w:p>
    <w:p w:rsidR="000A15FA" w:rsidRPr="000A15FA" w:rsidRDefault="000A15FA" w:rsidP="000A15FA">
      <w:pPr>
        <w:jc w:val="both"/>
        <w:rPr>
          <w:rFonts w:ascii="Times New Roman" w:hAnsi="Times New Roman" w:cs="Times New Roman"/>
          <w:b/>
          <w:sz w:val="24"/>
          <w:szCs w:val="24"/>
        </w:rPr>
      </w:pPr>
      <w:r w:rsidRPr="000A15FA">
        <w:rPr>
          <w:rFonts w:ascii="Times New Roman" w:hAnsi="Times New Roman" w:cs="Times New Roman"/>
          <w:b/>
          <w:sz w:val="24"/>
          <w:szCs w:val="24"/>
        </w:rPr>
        <w:t xml:space="preserve">Ethical </w:t>
      </w:r>
      <w:r w:rsidRPr="000A15FA">
        <w:rPr>
          <w:rFonts w:ascii="Times New Roman" w:hAnsi="Times New Roman" w:cs="Times New Roman"/>
          <w:b/>
          <w:sz w:val="24"/>
          <w:szCs w:val="24"/>
        </w:rPr>
        <w:t xml:space="preserve">Approval and Consent: </w:t>
      </w:r>
    </w:p>
    <w:p w:rsidR="000A15FA" w:rsidRDefault="000A15FA" w:rsidP="000A15FA">
      <w:pPr>
        <w:jc w:val="both"/>
        <w:rPr>
          <w:rFonts w:ascii="Times New Roman" w:hAnsi="Times New Roman" w:cs="Times New Roman"/>
          <w:sz w:val="24"/>
          <w:szCs w:val="24"/>
        </w:rPr>
      </w:pPr>
      <w:r w:rsidRPr="000A15FA">
        <w:rPr>
          <w:rFonts w:ascii="Times New Roman" w:hAnsi="Times New Roman" w:cs="Times New Roman"/>
          <w:sz w:val="24"/>
          <w:szCs w:val="24"/>
        </w:rPr>
        <w:t>Ethical approval for the study was obtained from the relevant institutional research ethics committee prior to data collection. Permissio</w:t>
      </w:r>
      <w:bookmarkStart w:id="0" w:name="_GoBack"/>
      <w:bookmarkEnd w:id="0"/>
      <w:r w:rsidRPr="000A15FA">
        <w:rPr>
          <w:rFonts w:ascii="Times New Roman" w:hAnsi="Times New Roman" w:cs="Times New Roman"/>
          <w:sz w:val="24"/>
          <w:szCs w:val="24"/>
        </w:rPr>
        <w:t>n was also secured from district and ward authorities in the study areas. Participation in the study was voluntary, and informed consent was obtained from all respondents before data collection. Respondents were assured of confidentiality and anonymity, and personal identifiers were removed from all datasets and reports. All collected data were used exclusively for academic research purposes and stored securely in accordance with established research ethics standards.</w:t>
      </w:r>
    </w:p>
    <w:p w:rsidR="000A15FA" w:rsidRDefault="000A15FA" w:rsidP="000A15FA">
      <w:pPr>
        <w:jc w:val="both"/>
        <w:rPr>
          <w:rFonts w:ascii="Times New Roman" w:hAnsi="Times New Roman" w:cs="Times New Roman"/>
          <w:sz w:val="24"/>
          <w:szCs w:val="24"/>
        </w:rPr>
      </w:pPr>
    </w:p>
    <w:p w:rsidR="000A15FA" w:rsidRPr="000A15FA" w:rsidRDefault="000A15FA" w:rsidP="000A15FA">
      <w:pPr>
        <w:jc w:val="both"/>
        <w:rPr>
          <w:rFonts w:ascii="Times New Roman" w:hAnsi="Times New Roman" w:cs="Times New Roman"/>
          <w:b/>
          <w:sz w:val="24"/>
          <w:szCs w:val="24"/>
        </w:rPr>
      </w:pPr>
      <w:r w:rsidRPr="000A15FA">
        <w:rPr>
          <w:rFonts w:ascii="Times New Roman" w:hAnsi="Times New Roman" w:cs="Times New Roman"/>
          <w:b/>
          <w:sz w:val="24"/>
          <w:szCs w:val="24"/>
        </w:rPr>
        <w:t>Disclaimer (Artificial intelligence)</w:t>
      </w:r>
    </w:p>
    <w:p w:rsidR="000A15FA" w:rsidRDefault="000A15FA" w:rsidP="000A15FA">
      <w:pPr>
        <w:jc w:val="both"/>
        <w:rPr>
          <w:rFonts w:ascii="Times New Roman" w:hAnsi="Times New Roman" w:cs="Times New Roman"/>
          <w:sz w:val="24"/>
          <w:szCs w:val="24"/>
        </w:rPr>
      </w:pPr>
      <w:r w:rsidRPr="000A15FA">
        <w:rPr>
          <w:rFonts w:ascii="Times New Roman" w:hAnsi="Times New Roman" w:cs="Times New Roman"/>
          <w:sz w:val="24"/>
          <w:szCs w:val="24"/>
        </w:rPr>
        <w:t>Author(s) hereby declare that NO generative AI technologies such as Large Language Models (</w:t>
      </w:r>
      <w:proofErr w:type="spellStart"/>
      <w:r w:rsidRPr="000A15FA">
        <w:rPr>
          <w:rFonts w:ascii="Times New Roman" w:hAnsi="Times New Roman" w:cs="Times New Roman"/>
          <w:sz w:val="24"/>
          <w:szCs w:val="24"/>
        </w:rPr>
        <w:t>ChatGPT</w:t>
      </w:r>
      <w:proofErr w:type="spellEnd"/>
      <w:r w:rsidRPr="000A15FA">
        <w:rPr>
          <w:rFonts w:ascii="Times New Roman" w:hAnsi="Times New Roman" w:cs="Times New Roman"/>
          <w:sz w:val="24"/>
          <w:szCs w:val="24"/>
        </w:rPr>
        <w:t>, COPILOT, etc.) and text-to-image generators have been used during the writing or editing of this manuscript.</w:t>
      </w:r>
    </w:p>
    <w:p w:rsidR="00D60E89" w:rsidRPr="00D60E89" w:rsidRDefault="00D60E89" w:rsidP="00D60E89">
      <w:pPr>
        <w:spacing w:line="240" w:lineRule="auto"/>
        <w:jc w:val="both"/>
        <w:rPr>
          <w:rFonts w:ascii="Times New Roman" w:hAnsi="Times New Roman" w:cs="Times New Roman"/>
          <w:b/>
          <w:bCs/>
          <w:sz w:val="24"/>
          <w:szCs w:val="24"/>
        </w:rPr>
      </w:pPr>
      <w:r w:rsidRPr="00D60E89">
        <w:rPr>
          <w:rFonts w:ascii="Times New Roman" w:hAnsi="Times New Roman" w:cs="Times New Roman"/>
          <w:b/>
          <w:bCs/>
          <w:sz w:val="24"/>
          <w:szCs w:val="24"/>
        </w:rPr>
        <w:t xml:space="preserve">References </w:t>
      </w:r>
    </w:p>
    <w:p w:rsidR="00D60E89" w:rsidRPr="000A15FA" w:rsidRDefault="00D60E89" w:rsidP="000A15FA">
      <w:pPr>
        <w:pStyle w:val="ListParagraph"/>
        <w:numPr>
          <w:ilvl w:val="0"/>
          <w:numId w:val="24"/>
        </w:numPr>
        <w:spacing w:line="240" w:lineRule="auto"/>
        <w:jc w:val="both"/>
        <w:rPr>
          <w:rFonts w:ascii="Times New Roman" w:hAnsi="Times New Roman" w:cs="Times New Roman"/>
          <w:sz w:val="24"/>
          <w:szCs w:val="24"/>
        </w:rPr>
      </w:pPr>
      <w:r w:rsidRPr="000A15FA">
        <w:rPr>
          <w:rFonts w:ascii="Times New Roman" w:hAnsi="Times New Roman" w:cs="Times New Roman"/>
          <w:sz w:val="24"/>
          <w:szCs w:val="24"/>
        </w:rPr>
        <w:t xml:space="preserve">Adler, P. S., &amp; Kwon, S. W. (2002). Social capital: Prospects for a new concept. </w:t>
      </w:r>
      <w:r w:rsidRPr="000A15FA">
        <w:rPr>
          <w:rFonts w:ascii="Times New Roman" w:hAnsi="Times New Roman" w:cs="Times New Roman"/>
          <w:i/>
          <w:iCs/>
          <w:sz w:val="24"/>
          <w:szCs w:val="24"/>
        </w:rPr>
        <w:t>Academy of Management Review, 27</w:t>
      </w:r>
      <w:r w:rsidRPr="000A15FA">
        <w:rPr>
          <w:rFonts w:ascii="Times New Roman" w:hAnsi="Times New Roman" w:cs="Times New Roman"/>
          <w:sz w:val="24"/>
          <w:szCs w:val="24"/>
        </w:rPr>
        <w:t xml:space="preserve">(1), 17–40. </w:t>
      </w:r>
      <w:hyperlink r:id="rId7" w:history="1">
        <w:r w:rsidRPr="000A15FA">
          <w:rPr>
            <w:rStyle w:val="Hyperlink"/>
            <w:rFonts w:ascii="Times New Roman" w:hAnsi="Times New Roman" w:cs="Times New Roman"/>
            <w:sz w:val="24"/>
            <w:szCs w:val="24"/>
          </w:rPr>
          <w:t>https://doi.org/10.5465/amr.2002.5922314</w:t>
        </w:r>
      </w:hyperlink>
    </w:p>
    <w:p w:rsidR="00D60E89" w:rsidRPr="000A15FA" w:rsidRDefault="00D60E89" w:rsidP="000A15FA">
      <w:pPr>
        <w:pStyle w:val="ListParagraph"/>
        <w:numPr>
          <w:ilvl w:val="0"/>
          <w:numId w:val="24"/>
        </w:numPr>
        <w:spacing w:line="240" w:lineRule="auto"/>
        <w:jc w:val="both"/>
        <w:rPr>
          <w:rFonts w:ascii="Times New Roman" w:hAnsi="Times New Roman" w:cs="Times New Roman"/>
          <w:sz w:val="24"/>
          <w:szCs w:val="24"/>
        </w:rPr>
      </w:pPr>
      <w:r w:rsidRPr="000A15FA">
        <w:rPr>
          <w:rFonts w:ascii="Times New Roman" w:hAnsi="Times New Roman" w:cs="Times New Roman"/>
          <w:sz w:val="24"/>
          <w:szCs w:val="24"/>
        </w:rPr>
        <w:t xml:space="preserve">Allison, E. H., Perry, A. L., </w:t>
      </w:r>
      <w:proofErr w:type="spellStart"/>
      <w:r w:rsidRPr="000A15FA">
        <w:rPr>
          <w:rFonts w:ascii="Times New Roman" w:hAnsi="Times New Roman" w:cs="Times New Roman"/>
          <w:sz w:val="24"/>
          <w:szCs w:val="24"/>
        </w:rPr>
        <w:t>Badjeck</w:t>
      </w:r>
      <w:proofErr w:type="spellEnd"/>
      <w:r w:rsidRPr="000A15FA">
        <w:rPr>
          <w:rFonts w:ascii="Times New Roman" w:hAnsi="Times New Roman" w:cs="Times New Roman"/>
          <w:sz w:val="24"/>
          <w:szCs w:val="24"/>
        </w:rPr>
        <w:t xml:space="preserve">, M. C., </w:t>
      </w:r>
      <w:proofErr w:type="spellStart"/>
      <w:r w:rsidRPr="000A15FA">
        <w:rPr>
          <w:rFonts w:ascii="Times New Roman" w:hAnsi="Times New Roman" w:cs="Times New Roman"/>
          <w:sz w:val="24"/>
          <w:szCs w:val="24"/>
        </w:rPr>
        <w:t>Adger</w:t>
      </w:r>
      <w:proofErr w:type="spellEnd"/>
      <w:r w:rsidRPr="000A15FA">
        <w:rPr>
          <w:rFonts w:ascii="Times New Roman" w:hAnsi="Times New Roman" w:cs="Times New Roman"/>
          <w:sz w:val="24"/>
          <w:szCs w:val="24"/>
        </w:rPr>
        <w:t xml:space="preserve">, W. N., Brown, K., Conway, D., Halls, A. S., Pilling, G. M., Reynolds, J. D., Andrew, N. L., &amp; </w:t>
      </w:r>
      <w:proofErr w:type="spellStart"/>
      <w:r w:rsidRPr="000A15FA">
        <w:rPr>
          <w:rFonts w:ascii="Times New Roman" w:hAnsi="Times New Roman" w:cs="Times New Roman"/>
          <w:sz w:val="24"/>
          <w:szCs w:val="24"/>
        </w:rPr>
        <w:t>Dulvy</w:t>
      </w:r>
      <w:proofErr w:type="spellEnd"/>
      <w:r w:rsidRPr="000A15FA">
        <w:rPr>
          <w:rFonts w:ascii="Times New Roman" w:hAnsi="Times New Roman" w:cs="Times New Roman"/>
          <w:sz w:val="24"/>
          <w:szCs w:val="24"/>
        </w:rPr>
        <w:t xml:space="preserve">, N. K. (2012). </w:t>
      </w:r>
      <w:r w:rsidRPr="000A15FA">
        <w:rPr>
          <w:rFonts w:ascii="Times New Roman" w:hAnsi="Times New Roman" w:cs="Times New Roman"/>
          <w:sz w:val="24"/>
          <w:szCs w:val="24"/>
        </w:rPr>
        <w:lastRenderedPageBreak/>
        <w:t xml:space="preserve">Vulnerability of national economies to the impacts of climate change on fisheries. </w:t>
      </w:r>
      <w:r w:rsidRPr="000A15FA">
        <w:rPr>
          <w:rFonts w:ascii="Times New Roman" w:hAnsi="Times New Roman" w:cs="Times New Roman"/>
          <w:i/>
          <w:iCs/>
          <w:sz w:val="24"/>
          <w:szCs w:val="24"/>
        </w:rPr>
        <w:t>Fish and Fisheries, 13</w:t>
      </w:r>
      <w:r w:rsidRPr="000A15FA">
        <w:rPr>
          <w:rFonts w:ascii="Times New Roman" w:hAnsi="Times New Roman" w:cs="Times New Roman"/>
          <w:sz w:val="24"/>
          <w:szCs w:val="24"/>
        </w:rPr>
        <w:t xml:space="preserve">(2), 173–196. </w:t>
      </w:r>
      <w:hyperlink r:id="rId8" w:history="1">
        <w:r w:rsidRPr="000A15FA">
          <w:rPr>
            <w:rStyle w:val="Hyperlink"/>
            <w:rFonts w:ascii="Times New Roman" w:hAnsi="Times New Roman" w:cs="Times New Roman"/>
            <w:sz w:val="24"/>
            <w:szCs w:val="24"/>
          </w:rPr>
          <w:t>https://doi.org/10.1111/j.1467-2979.2011.00426.x</w:t>
        </w:r>
      </w:hyperlink>
      <w:r w:rsidR="000C6727" w:rsidRPr="000A15FA">
        <w:rPr>
          <w:rFonts w:ascii="Times New Roman" w:hAnsi="Times New Roman" w:cs="Times New Roman"/>
          <w:sz w:val="24"/>
          <w:szCs w:val="24"/>
        </w:rPr>
        <w:t xml:space="preserve"> </w:t>
      </w:r>
    </w:p>
    <w:p w:rsidR="00D60E89" w:rsidRPr="000A15FA" w:rsidRDefault="00D60E89" w:rsidP="000A15FA">
      <w:pPr>
        <w:pStyle w:val="ListParagraph"/>
        <w:numPr>
          <w:ilvl w:val="0"/>
          <w:numId w:val="24"/>
        </w:numPr>
        <w:spacing w:line="240" w:lineRule="auto"/>
        <w:jc w:val="both"/>
        <w:rPr>
          <w:rFonts w:ascii="Times New Roman" w:hAnsi="Times New Roman" w:cs="Times New Roman"/>
          <w:sz w:val="24"/>
          <w:szCs w:val="24"/>
        </w:rPr>
      </w:pPr>
      <w:proofErr w:type="spellStart"/>
      <w:r w:rsidRPr="000A15FA">
        <w:rPr>
          <w:rFonts w:ascii="Times New Roman" w:hAnsi="Times New Roman" w:cs="Times New Roman"/>
          <w:sz w:val="24"/>
          <w:szCs w:val="24"/>
        </w:rPr>
        <w:t>Arnstein</w:t>
      </w:r>
      <w:proofErr w:type="spellEnd"/>
      <w:r w:rsidRPr="000A15FA">
        <w:rPr>
          <w:rFonts w:ascii="Times New Roman" w:hAnsi="Times New Roman" w:cs="Times New Roman"/>
          <w:sz w:val="24"/>
          <w:szCs w:val="24"/>
        </w:rPr>
        <w:t xml:space="preserve">, S. R. (1969). A ladder of citizen participation. </w:t>
      </w:r>
      <w:r w:rsidRPr="000A15FA">
        <w:rPr>
          <w:rFonts w:ascii="Times New Roman" w:hAnsi="Times New Roman" w:cs="Times New Roman"/>
          <w:i/>
          <w:iCs/>
          <w:sz w:val="24"/>
          <w:szCs w:val="24"/>
        </w:rPr>
        <w:t>Journal of the American Institute of Planners, 35</w:t>
      </w:r>
      <w:r w:rsidRPr="000A15FA">
        <w:rPr>
          <w:rFonts w:ascii="Times New Roman" w:hAnsi="Times New Roman" w:cs="Times New Roman"/>
          <w:sz w:val="24"/>
          <w:szCs w:val="24"/>
        </w:rPr>
        <w:t xml:space="preserve">(4), 216–224. </w:t>
      </w:r>
      <w:hyperlink r:id="rId9" w:history="1">
        <w:r w:rsidRPr="000A15FA">
          <w:rPr>
            <w:rStyle w:val="Hyperlink"/>
            <w:rFonts w:ascii="Times New Roman" w:hAnsi="Times New Roman" w:cs="Times New Roman"/>
            <w:sz w:val="24"/>
            <w:szCs w:val="24"/>
          </w:rPr>
          <w:t>https://doi.org/10.1080/01944366908977225</w:t>
        </w:r>
      </w:hyperlink>
    </w:p>
    <w:p w:rsidR="00D60E89" w:rsidRPr="000A15FA" w:rsidRDefault="00D60E89" w:rsidP="000A15FA">
      <w:pPr>
        <w:pStyle w:val="ListParagraph"/>
        <w:numPr>
          <w:ilvl w:val="0"/>
          <w:numId w:val="24"/>
        </w:numPr>
        <w:spacing w:line="240" w:lineRule="auto"/>
        <w:jc w:val="both"/>
        <w:rPr>
          <w:rFonts w:ascii="Times New Roman" w:hAnsi="Times New Roman" w:cs="Times New Roman"/>
          <w:sz w:val="24"/>
          <w:szCs w:val="24"/>
        </w:rPr>
      </w:pPr>
      <w:r w:rsidRPr="000A15FA">
        <w:rPr>
          <w:rFonts w:ascii="Times New Roman" w:hAnsi="Times New Roman" w:cs="Times New Roman"/>
          <w:sz w:val="24"/>
          <w:szCs w:val="24"/>
        </w:rPr>
        <w:t xml:space="preserve">African Union – </w:t>
      </w:r>
      <w:proofErr w:type="spellStart"/>
      <w:r w:rsidRPr="000A15FA">
        <w:rPr>
          <w:rFonts w:ascii="Times New Roman" w:hAnsi="Times New Roman" w:cs="Times New Roman"/>
          <w:sz w:val="24"/>
          <w:szCs w:val="24"/>
        </w:rPr>
        <w:t>Interafrican</w:t>
      </w:r>
      <w:proofErr w:type="spellEnd"/>
      <w:r w:rsidRPr="000A15FA">
        <w:rPr>
          <w:rFonts w:ascii="Times New Roman" w:hAnsi="Times New Roman" w:cs="Times New Roman"/>
          <w:sz w:val="24"/>
          <w:szCs w:val="24"/>
        </w:rPr>
        <w:t xml:space="preserve"> Bureau for Animal Resources (AU-IBAR). (2019). </w:t>
      </w:r>
      <w:r w:rsidRPr="000A15FA">
        <w:rPr>
          <w:rFonts w:ascii="Times New Roman" w:hAnsi="Times New Roman" w:cs="Times New Roman"/>
          <w:i/>
          <w:iCs/>
          <w:sz w:val="24"/>
          <w:szCs w:val="24"/>
        </w:rPr>
        <w:t>Africa Blue Economy strategy</w:t>
      </w:r>
      <w:r w:rsidRPr="000A15FA">
        <w:rPr>
          <w:rFonts w:ascii="Times New Roman" w:hAnsi="Times New Roman" w:cs="Times New Roman"/>
          <w:sz w:val="24"/>
          <w:szCs w:val="24"/>
        </w:rPr>
        <w:t>. AU-IBAR.</w:t>
      </w:r>
    </w:p>
    <w:p w:rsidR="00D60E89" w:rsidRPr="000A15FA" w:rsidRDefault="00D60E89" w:rsidP="000A15FA">
      <w:pPr>
        <w:pStyle w:val="ListParagraph"/>
        <w:numPr>
          <w:ilvl w:val="0"/>
          <w:numId w:val="24"/>
        </w:numPr>
        <w:spacing w:line="240" w:lineRule="auto"/>
        <w:jc w:val="both"/>
        <w:rPr>
          <w:rFonts w:ascii="Times New Roman" w:hAnsi="Times New Roman" w:cs="Times New Roman"/>
          <w:sz w:val="24"/>
          <w:szCs w:val="24"/>
        </w:rPr>
      </w:pPr>
      <w:proofErr w:type="spellStart"/>
      <w:r w:rsidRPr="000A15FA">
        <w:rPr>
          <w:rFonts w:ascii="Times New Roman" w:hAnsi="Times New Roman" w:cs="Times New Roman"/>
          <w:sz w:val="24"/>
          <w:szCs w:val="24"/>
        </w:rPr>
        <w:t>Béné</w:t>
      </w:r>
      <w:proofErr w:type="spellEnd"/>
      <w:r w:rsidRPr="000A15FA">
        <w:rPr>
          <w:rFonts w:ascii="Times New Roman" w:hAnsi="Times New Roman" w:cs="Times New Roman"/>
          <w:sz w:val="24"/>
          <w:szCs w:val="24"/>
        </w:rPr>
        <w:t xml:space="preserve">, C., Arthur, R., Norbury, H., Allison, E. H., Beveridge, M., Bush, S., </w:t>
      </w:r>
      <w:proofErr w:type="spellStart"/>
      <w:r w:rsidRPr="000A15FA">
        <w:rPr>
          <w:rFonts w:ascii="Times New Roman" w:hAnsi="Times New Roman" w:cs="Times New Roman"/>
          <w:sz w:val="24"/>
          <w:szCs w:val="24"/>
        </w:rPr>
        <w:t>Campling</w:t>
      </w:r>
      <w:proofErr w:type="spellEnd"/>
      <w:r w:rsidRPr="000A15FA">
        <w:rPr>
          <w:rFonts w:ascii="Times New Roman" w:hAnsi="Times New Roman" w:cs="Times New Roman"/>
          <w:sz w:val="24"/>
          <w:szCs w:val="24"/>
        </w:rPr>
        <w:t xml:space="preserve">, L., </w:t>
      </w:r>
      <w:proofErr w:type="spellStart"/>
      <w:r w:rsidRPr="000A15FA">
        <w:rPr>
          <w:rFonts w:ascii="Times New Roman" w:hAnsi="Times New Roman" w:cs="Times New Roman"/>
          <w:sz w:val="24"/>
          <w:szCs w:val="24"/>
        </w:rPr>
        <w:t>Leschen</w:t>
      </w:r>
      <w:proofErr w:type="spellEnd"/>
      <w:r w:rsidRPr="000A15FA">
        <w:rPr>
          <w:rFonts w:ascii="Times New Roman" w:hAnsi="Times New Roman" w:cs="Times New Roman"/>
          <w:sz w:val="24"/>
          <w:szCs w:val="24"/>
        </w:rPr>
        <w:t xml:space="preserve">, W., Little, D., Squires, D., </w:t>
      </w:r>
      <w:proofErr w:type="spellStart"/>
      <w:r w:rsidRPr="000A15FA">
        <w:rPr>
          <w:rFonts w:ascii="Times New Roman" w:hAnsi="Times New Roman" w:cs="Times New Roman"/>
          <w:sz w:val="24"/>
          <w:szCs w:val="24"/>
        </w:rPr>
        <w:t>Thilsted</w:t>
      </w:r>
      <w:proofErr w:type="spellEnd"/>
      <w:r w:rsidRPr="000A15FA">
        <w:rPr>
          <w:rFonts w:ascii="Times New Roman" w:hAnsi="Times New Roman" w:cs="Times New Roman"/>
          <w:sz w:val="24"/>
          <w:szCs w:val="24"/>
        </w:rPr>
        <w:t xml:space="preserve">, S. H., </w:t>
      </w:r>
      <w:proofErr w:type="spellStart"/>
      <w:r w:rsidRPr="000A15FA">
        <w:rPr>
          <w:rFonts w:ascii="Times New Roman" w:hAnsi="Times New Roman" w:cs="Times New Roman"/>
          <w:sz w:val="24"/>
          <w:szCs w:val="24"/>
        </w:rPr>
        <w:t>Troell</w:t>
      </w:r>
      <w:proofErr w:type="spellEnd"/>
      <w:r w:rsidRPr="000A15FA">
        <w:rPr>
          <w:rFonts w:ascii="Times New Roman" w:hAnsi="Times New Roman" w:cs="Times New Roman"/>
          <w:sz w:val="24"/>
          <w:szCs w:val="24"/>
        </w:rPr>
        <w:t xml:space="preserve">, M., &amp; Williams, M. (2016). Contribution of fisheries and aquaculture to food security and poverty reduction. </w:t>
      </w:r>
      <w:r w:rsidRPr="000A15FA">
        <w:rPr>
          <w:rFonts w:ascii="Times New Roman" w:hAnsi="Times New Roman" w:cs="Times New Roman"/>
          <w:i/>
          <w:iCs/>
          <w:sz w:val="24"/>
          <w:szCs w:val="24"/>
        </w:rPr>
        <w:t>World Development, 79</w:t>
      </w:r>
      <w:r w:rsidRPr="000A15FA">
        <w:rPr>
          <w:rFonts w:ascii="Times New Roman" w:hAnsi="Times New Roman" w:cs="Times New Roman"/>
          <w:sz w:val="24"/>
          <w:szCs w:val="24"/>
        </w:rPr>
        <w:t xml:space="preserve">, 177–196. </w:t>
      </w:r>
      <w:hyperlink r:id="rId10" w:history="1">
        <w:r w:rsidRPr="000A15FA">
          <w:rPr>
            <w:rStyle w:val="Hyperlink"/>
            <w:rFonts w:ascii="Times New Roman" w:hAnsi="Times New Roman" w:cs="Times New Roman"/>
            <w:sz w:val="24"/>
            <w:szCs w:val="24"/>
          </w:rPr>
          <w:t>https://doi.org/10.1016/j.worlddev.2015.11.007</w:t>
        </w:r>
      </w:hyperlink>
    </w:p>
    <w:p w:rsidR="00D60E89" w:rsidRPr="000A15FA" w:rsidRDefault="00D60E89" w:rsidP="000A15FA">
      <w:pPr>
        <w:pStyle w:val="ListParagraph"/>
        <w:numPr>
          <w:ilvl w:val="0"/>
          <w:numId w:val="24"/>
        </w:numPr>
        <w:spacing w:line="240" w:lineRule="auto"/>
        <w:jc w:val="both"/>
        <w:rPr>
          <w:rFonts w:ascii="Times New Roman" w:hAnsi="Times New Roman" w:cs="Times New Roman"/>
          <w:sz w:val="24"/>
          <w:szCs w:val="24"/>
        </w:rPr>
      </w:pPr>
      <w:r w:rsidRPr="000A15FA">
        <w:rPr>
          <w:rFonts w:ascii="Times New Roman" w:hAnsi="Times New Roman" w:cs="Times New Roman"/>
          <w:sz w:val="24"/>
          <w:szCs w:val="24"/>
        </w:rPr>
        <w:t xml:space="preserve">Bennett, N. J., Cisneros-Montemayor, A. M., Blythe, J., Silver, J. J., Singh, G., Andrews, N., </w:t>
      </w:r>
      <w:proofErr w:type="spellStart"/>
      <w:r w:rsidRPr="000A15FA">
        <w:rPr>
          <w:rFonts w:ascii="Times New Roman" w:hAnsi="Times New Roman" w:cs="Times New Roman"/>
          <w:sz w:val="24"/>
          <w:szCs w:val="24"/>
        </w:rPr>
        <w:t>Calò</w:t>
      </w:r>
      <w:proofErr w:type="spellEnd"/>
      <w:r w:rsidRPr="000A15FA">
        <w:rPr>
          <w:rFonts w:ascii="Times New Roman" w:hAnsi="Times New Roman" w:cs="Times New Roman"/>
          <w:sz w:val="24"/>
          <w:szCs w:val="24"/>
        </w:rPr>
        <w:t xml:space="preserve">, A., Christie, P., Di Franco, A., </w:t>
      </w:r>
      <w:proofErr w:type="spellStart"/>
      <w:r w:rsidRPr="000A15FA">
        <w:rPr>
          <w:rFonts w:ascii="Times New Roman" w:hAnsi="Times New Roman" w:cs="Times New Roman"/>
          <w:sz w:val="24"/>
          <w:szCs w:val="24"/>
        </w:rPr>
        <w:t>Finkbeiner</w:t>
      </w:r>
      <w:proofErr w:type="spellEnd"/>
      <w:r w:rsidRPr="000A15FA">
        <w:rPr>
          <w:rFonts w:ascii="Times New Roman" w:hAnsi="Times New Roman" w:cs="Times New Roman"/>
          <w:sz w:val="24"/>
          <w:szCs w:val="24"/>
        </w:rPr>
        <w:t xml:space="preserve">, E. M., </w:t>
      </w:r>
      <w:proofErr w:type="spellStart"/>
      <w:r w:rsidRPr="000A15FA">
        <w:rPr>
          <w:rFonts w:ascii="Times New Roman" w:hAnsi="Times New Roman" w:cs="Times New Roman"/>
          <w:sz w:val="24"/>
          <w:szCs w:val="24"/>
        </w:rPr>
        <w:t>Gelcich</w:t>
      </w:r>
      <w:proofErr w:type="spellEnd"/>
      <w:r w:rsidRPr="000A15FA">
        <w:rPr>
          <w:rFonts w:ascii="Times New Roman" w:hAnsi="Times New Roman" w:cs="Times New Roman"/>
          <w:sz w:val="24"/>
          <w:szCs w:val="24"/>
        </w:rPr>
        <w:t xml:space="preserve">, S., </w:t>
      </w:r>
      <w:proofErr w:type="spellStart"/>
      <w:r w:rsidRPr="000A15FA">
        <w:rPr>
          <w:rFonts w:ascii="Times New Roman" w:hAnsi="Times New Roman" w:cs="Times New Roman"/>
          <w:sz w:val="24"/>
          <w:szCs w:val="24"/>
        </w:rPr>
        <w:t>Guidetti</w:t>
      </w:r>
      <w:proofErr w:type="spellEnd"/>
      <w:r w:rsidRPr="000A15FA">
        <w:rPr>
          <w:rFonts w:ascii="Times New Roman" w:hAnsi="Times New Roman" w:cs="Times New Roman"/>
          <w:sz w:val="24"/>
          <w:szCs w:val="24"/>
        </w:rPr>
        <w:t xml:space="preserve">, P., Harper, S., </w:t>
      </w:r>
      <w:proofErr w:type="spellStart"/>
      <w:r w:rsidRPr="000A15FA">
        <w:rPr>
          <w:rFonts w:ascii="Times New Roman" w:hAnsi="Times New Roman" w:cs="Times New Roman"/>
          <w:sz w:val="24"/>
          <w:szCs w:val="24"/>
        </w:rPr>
        <w:t>Hotte</w:t>
      </w:r>
      <w:proofErr w:type="spellEnd"/>
      <w:r w:rsidRPr="000A15FA">
        <w:rPr>
          <w:rFonts w:ascii="Times New Roman" w:hAnsi="Times New Roman" w:cs="Times New Roman"/>
          <w:sz w:val="24"/>
          <w:szCs w:val="24"/>
        </w:rPr>
        <w:t xml:space="preserve">, N., </w:t>
      </w:r>
      <w:proofErr w:type="spellStart"/>
      <w:r w:rsidRPr="000A15FA">
        <w:rPr>
          <w:rFonts w:ascii="Times New Roman" w:hAnsi="Times New Roman" w:cs="Times New Roman"/>
          <w:sz w:val="24"/>
          <w:szCs w:val="24"/>
        </w:rPr>
        <w:t>Kittinger</w:t>
      </w:r>
      <w:proofErr w:type="spellEnd"/>
      <w:r w:rsidRPr="000A15FA">
        <w:rPr>
          <w:rFonts w:ascii="Times New Roman" w:hAnsi="Times New Roman" w:cs="Times New Roman"/>
          <w:sz w:val="24"/>
          <w:szCs w:val="24"/>
        </w:rPr>
        <w:t xml:space="preserve">, J. N., Koehn, J. Z., McKinley, E., Moore, M. L., Murray, G., &amp; </w:t>
      </w:r>
      <w:proofErr w:type="spellStart"/>
      <w:r w:rsidRPr="000A15FA">
        <w:rPr>
          <w:rFonts w:ascii="Times New Roman" w:hAnsi="Times New Roman" w:cs="Times New Roman"/>
          <w:sz w:val="24"/>
          <w:szCs w:val="24"/>
        </w:rPr>
        <w:t>Sumaila</w:t>
      </w:r>
      <w:proofErr w:type="spellEnd"/>
      <w:r w:rsidRPr="000A15FA">
        <w:rPr>
          <w:rFonts w:ascii="Times New Roman" w:hAnsi="Times New Roman" w:cs="Times New Roman"/>
          <w:sz w:val="24"/>
          <w:szCs w:val="24"/>
        </w:rPr>
        <w:t xml:space="preserve">, U. R. (2019). Towards a sustainable and equitable blue economy. </w:t>
      </w:r>
      <w:r w:rsidRPr="000A15FA">
        <w:rPr>
          <w:rFonts w:ascii="Times New Roman" w:hAnsi="Times New Roman" w:cs="Times New Roman"/>
          <w:i/>
          <w:iCs/>
          <w:sz w:val="24"/>
          <w:szCs w:val="24"/>
        </w:rPr>
        <w:t>Nature Sustainability, 2</w:t>
      </w:r>
      <w:r w:rsidRPr="000A15FA">
        <w:rPr>
          <w:rFonts w:ascii="Times New Roman" w:hAnsi="Times New Roman" w:cs="Times New Roman"/>
          <w:sz w:val="24"/>
          <w:szCs w:val="24"/>
        </w:rPr>
        <w:t xml:space="preserve">, 991–993. </w:t>
      </w:r>
      <w:hyperlink r:id="rId11" w:history="1">
        <w:r w:rsidRPr="000A15FA">
          <w:rPr>
            <w:rStyle w:val="Hyperlink"/>
            <w:rFonts w:ascii="Times New Roman" w:hAnsi="Times New Roman" w:cs="Times New Roman"/>
            <w:sz w:val="24"/>
            <w:szCs w:val="24"/>
          </w:rPr>
          <w:t>https://doi.org/10.1038/s41893-019-0404-1</w:t>
        </w:r>
      </w:hyperlink>
    </w:p>
    <w:p w:rsidR="00D60E89" w:rsidRPr="000A15FA" w:rsidRDefault="00D60E89" w:rsidP="000A15FA">
      <w:pPr>
        <w:pStyle w:val="ListParagraph"/>
        <w:numPr>
          <w:ilvl w:val="0"/>
          <w:numId w:val="24"/>
        </w:numPr>
        <w:spacing w:line="240" w:lineRule="auto"/>
        <w:jc w:val="both"/>
        <w:rPr>
          <w:rFonts w:ascii="Times New Roman" w:hAnsi="Times New Roman" w:cs="Times New Roman"/>
          <w:sz w:val="24"/>
          <w:szCs w:val="24"/>
        </w:rPr>
      </w:pPr>
      <w:r w:rsidRPr="000A15FA">
        <w:rPr>
          <w:rFonts w:ascii="Times New Roman" w:hAnsi="Times New Roman" w:cs="Times New Roman"/>
          <w:sz w:val="24"/>
          <w:szCs w:val="24"/>
        </w:rPr>
        <w:t xml:space="preserve">Cornwall, A. (2008). Unpacking participation: Models, meanings and practices. </w:t>
      </w:r>
      <w:r w:rsidRPr="000A15FA">
        <w:rPr>
          <w:rFonts w:ascii="Times New Roman" w:hAnsi="Times New Roman" w:cs="Times New Roman"/>
          <w:i/>
          <w:iCs/>
          <w:sz w:val="24"/>
          <w:szCs w:val="24"/>
        </w:rPr>
        <w:t>Community Development Journal, 43</w:t>
      </w:r>
      <w:r w:rsidRPr="000A15FA">
        <w:rPr>
          <w:rFonts w:ascii="Times New Roman" w:hAnsi="Times New Roman" w:cs="Times New Roman"/>
          <w:sz w:val="24"/>
          <w:szCs w:val="24"/>
        </w:rPr>
        <w:t xml:space="preserve">(3), 269–283. </w:t>
      </w:r>
      <w:hyperlink r:id="rId12" w:history="1">
        <w:r w:rsidRPr="000A15FA">
          <w:rPr>
            <w:rStyle w:val="Hyperlink"/>
            <w:rFonts w:ascii="Times New Roman" w:hAnsi="Times New Roman" w:cs="Times New Roman"/>
            <w:sz w:val="24"/>
            <w:szCs w:val="24"/>
          </w:rPr>
          <w:t>https://doi.org/10.1093/cdj/bsn010</w:t>
        </w:r>
      </w:hyperlink>
    </w:p>
    <w:p w:rsidR="00D60E89" w:rsidRPr="000A15FA" w:rsidRDefault="00D60E89" w:rsidP="000A15FA">
      <w:pPr>
        <w:pStyle w:val="ListParagraph"/>
        <w:numPr>
          <w:ilvl w:val="0"/>
          <w:numId w:val="24"/>
        </w:numPr>
        <w:spacing w:line="240" w:lineRule="auto"/>
        <w:jc w:val="both"/>
        <w:rPr>
          <w:rFonts w:ascii="Times New Roman" w:hAnsi="Times New Roman" w:cs="Times New Roman"/>
          <w:sz w:val="24"/>
          <w:szCs w:val="24"/>
        </w:rPr>
      </w:pPr>
      <w:r w:rsidRPr="000A15FA">
        <w:rPr>
          <w:rFonts w:ascii="Times New Roman" w:hAnsi="Times New Roman" w:cs="Times New Roman"/>
          <w:sz w:val="24"/>
          <w:szCs w:val="24"/>
        </w:rPr>
        <w:t xml:space="preserve">Food and Agriculture Organization of the United Nations (FAO). (2018). </w:t>
      </w:r>
      <w:r w:rsidRPr="000A15FA">
        <w:rPr>
          <w:rFonts w:ascii="Times New Roman" w:hAnsi="Times New Roman" w:cs="Times New Roman"/>
          <w:i/>
          <w:iCs/>
          <w:sz w:val="24"/>
          <w:szCs w:val="24"/>
        </w:rPr>
        <w:t>The state of world fisheries and aquaculture 2018</w:t>
      </w:r>
      <w:r w:rsidRPr="000A15FA">
        <w:rPr>
          <w:rFonts w:ascii="Times New Roman" w:hAnsi="Times New Roman" w:cs="Times New Roman"/>
          <w:sz w:val="24"/>
          <w:szCs w:val="24"/>
        </w:rPr>
        <w:t>. FAO.</w:t>
      </w:r>
    </w:p>
    <w:p w:rsidR="00D60E89" w:rsidRPr="000A15FA" w:rsidRDefault="00D60E89" w:rsidP="000A15FA">
      <w:pPr>
        <w:pStyle w:val="ListParagraph"/>
        <w:numPr>
          <w:ilvl w:val="0"/>
          <w:numId w:val="24"/>
        </w:numPr>
        <w:spacing w:line="240" w:lineRule="auto"/>
        <w:jc w:val="both"/>
        <w:rPr>
          <w:rFonts w:ascii="Times New Roman" w:hAnsi="Times New Roman" w:cs="Times New Roman"/>
          <w:sz w:val="24"/>
          <w:szCs w:val="24"/>
        </w:rPr>
      </w:pPr>
      <w:r w:rsidRPr="000A15FA">
        <w:rPr>
          <w:rFonts w:ascii="Times New Roman" w:hAnsi="Times New Roman" w:cs="Times New Roman"/>
          <w:sz w:val="24"/>
          <w:szCs w:val="24"/>
        </w:rPr>
        <w:t xml:space="preserve">Food and Agriculture Organization of the United Nations (FAO). (2020). </w:t>
      </w:r>
      <w:r w:rsidRPr="000A15FA">
        <w:rPr>
          <w:rFonts w:ascii="Times New Roman" w:hAnsi="Times New Roman" w:cs="Times New Roman"/>
          <w:i/>
          <w:iCs/>
          <w:sz w:val="24"/>
          <w:szCs w:val="24"/>
        </w:rPr>
        <w:t>Blue growth initiative: Supporting sustainable fisheries and aquaculture</w:t>
      </w:r>
      <w:r w:rsidRPr="000A15FA">
        <w:rPr>
          <w:rFonts w:ascii="Times New Roman" w:hAnsi="Times New Roman" w:cs="Times New Roman"/>
          <w:sz w:val="24"/>
          <w:szCs w:val="24"/>
        </w:rPr>
        <w:t>. FAO.</w:t>
      </w:r>
    </w:p>
    <w:p w:rsidR="00D60E89" w:rsidRPr="000A15FA" w:rsidRDefault="00D60E89" w:rsidP="000A15FA">
      <w:pPr>
        <w:pStyle w:val="ListParagraph"/>
        <w:numPr>
          <w:ilvl w:val="0"/>
          <w:numId w:val="24"/>
        </w:numPr>
        <w:spacing w:line="240" w:lineRule="auto"/>
        <w:jc w:val="both"/>
        <w:rPr>
          <w:rFonts w:ascii="Times New Roman" w:hAnsi="Times New Roman" w:cs="Times New Roman"/>
          <w:sz w:val="24"/>
          <w:szCs w:val="24"/>
        </w:rPr>
      </w:pPr>
      <w:r w:rsidRPr="000A15FA">
        <w:rPr>
          <w:rFonts w:ascii="Times New Roman" w:hAnsi="Times New Roman" w:cs="Times New Roman"/>
          <w:sz w:val="24"/>
          <w:szCs w:val="24"/>
        </w:rPr>
        <w:t xml:space="preserve">International Union for Conservation of Nature (IUCN). (2023). </w:t>
      </w:r>
      <w:r w:rsidRPr="000A15FA">
        <w:rPr>
          <w:rFonts w:ascii="Times New Roman" w:hAnsi="Times New Roman" w:cs="Times New Roman"/>
          <w:i/>
          <w:iCs/>
          <w:sz w:val="24"/>
          <w:szCs w:val="24"/>
        </w:rPr>
        <w:t>Community-led approaches for sustainable blue economy development in East Africa</w:t>
      </w:r>
      <w:r w:rsidRPr="000A15FA">
        <w:rPr>
          <w:rFonts w:ascii="Times New Roman" w:hAnsi="Times New Roman" w:cs="Times New Roman"/>
          <w:sz w:val="24"/>
          <w:szCs w:val="24"/>
        </w:rPr>
        <w:t>. IUCN.</w:t>
      </w:r>
    </w:p>
    <w:p w:rsidR="00D60E89" w:rsidRPr="000A15FA" w:rsidRDefault="00D60E89" w:rsidP="000A15FA">
      <w:pPr>
        <w:pStyle w:val="ListParagraph"/>
        <w:numPr>
          <w:ilvl w:val="0"/>
          <w:numId w:val="24"/>
        </w:numPr>
        <w:spacing w:line="240" w:lineRule="auto"/>
        <w:jc w:val="both"/>
        <w:rPr>
          <w:rFonts w:ascii="Times New Roman" w:hAnsi="Times New Roman" w:cs="Times New Roman"/>
          <w:sz w:val="24"/>
          <w:szCs w:val="24"/>
        </w:rPr>
      </w:pPr>
      <w:proofErr w:type="spellStart"/>
      <w:r w:rsidRPr="000A15FA">
        <w:rPr>
          <w:rFonts w:ascii="Times New Roman" w:hAnsi="Times New Roman" w:cs="Times New Roman"/>
          <w:sz w:val="24"/>
          <w:szCs w:val="24"/>
        </w:rPr>
        <w:t>Karlan</w:t>
      </w:r>
      <w:proofErr w:type="spellEnd"/>
      <w:r w:rsidRPr="000A15FA">
        <w:rPr>
          <w:rFonts w:ascii="Times New Roman" w:hAnsi="Times New Roman" w:cs="Times New Roman"/>
          <w:sz w:val="24"/>
          <w:szCs w:val="24"/>
        </w:rPr>
        <w:t xml:space="preserve">, D., Ratan, A. L., &amp; </w:t>
      </w:r>
      <w:proofErr w:type="spellStart"/>
      <w:r w:rsidRPr="000A15FA">
        <w:rPr>
          <w:rFonts w:ascii="Times New Roman" w:hAnsi="Times New Roman" w:cs="Times New Roman"/>
          <w:sz w:val="24"/>
          <w:szCs w:val="24"/>
        </w:rPr>
        <w:t>Zinman</w:t>
      </w:r>
      <w:proofErr w:type="spellEnd"/>
      <w:r w:rsidRPr="000A15FA">
        <w:rPr>
          <w:rFonts w:ascii="Times New Roman" w:hAnsi="Times New Roman" w:cs="Times New Roman"/>
          <w:sz w:val="24"/>
          <w:szCs w:val="24"/>
        </w:rPr>
        <w:t xml:space="preserve">, J. (2014). Savings by and for the poor: A research review and agenda. </w:t>
      </w:r>
      <w:r w:rsidRPr="000A15FA">
        <w:rPr>
          <w:rFonts w:ascii="Times New Roman" w:hAnsi="Times New Roman" w:cs="Times New Roman"/>
          <w:i/>
          <w:iCs/>
          <w:sz w:val="24"/>
          <w:szCs w:val="24"/>
        </w:rPr>
        <w:t>Review of Income and Wealth, 60</w:t>
      </w:r>
      <w:r w:rsidRPr="000A15FA">
        <w:rPr>
          <w:rFonts w:ascii="Times New Roman" w:hAnsi="Times New Roman" w:cs="Times New Roman"/>
          <w:sz w:val="24"/>
          <w:szCs w:val="24"/>
        </w:rPr>
        <w:t xml:space="preserve">(1), 36–78. </w:t>
      </w:r>
      <w:hyperlink r:id="rId13" w:history="1">
        <w:r w:rsidRPr="000A15FA">
          <w:rPr>
            <w:rStyle w:val="Hyperlink"/>
            <w:rFonts w:ascii="Times New Roman" w:hAnsi="Times New Roman" w:cs="Times New Roman"/>
            <w:sz w:val="24"/>
            <w:szCs w:val="24"/>
          </w:rPr>
          <w:t>https://doi.org/10.1111/roiw.12101</w:t>
        </w:r>
      </w:hyperlink>
    </w:p>
    <w:p w:rsidR="00D60E89" w:rsidRPr="000A15FA" w:rsidRDefault="00D60E89" w:rsidP="000A15FA">
      <w:pPr>
        <w:pStyle w:val="ListParagraph"/>
        <w:numPr>
          <w:ilvl w:val="0"/>
          <w:numId w:val="24"/>
        </w:numPr>
        <w:spacing w:line="240" w:lineRule="auto"/>
        <w:jc w:val="both"/>
        <w:rPr>
          <w:rFonts w:ascii="Times New Roman" w:hAnsi="Times New Roman" w:cs="Times New Roman"/>
          <w:sz w:val="24"/>
          <w:szCs w:val="24"/>
        </w:rPr>
      </w:pPr>
      <w:r w:rsidRPr="000A15FA">
        <w:rPr>
          <w:rFonts w:ascii="Times New Roman" w:hAnsi="Times New Roman" w:cs="Times New Roman"/>
          <w:sz w:val="24"/>
          <w:szCs w:val="24"/>
        </w:rPr>
        <w:t xml:space="preserve">Mansuri, G., &amp; Rao, V. (2013). </w:t>
      </w:r>
      <w:r w:rsidRPr="000A15FA">
        <w:rPr>
          <w:rFonts w:ascii="Times New Roman" w:hAnsi="Times New Roman" w:cs="Times New Roman"/>
          <w:i/>
          <w:iCs/>
          <w:sz w:val="24"/>
          <w:szCs w:val="24"/>
        </w:rPr>
        <w:t>Localizing development: Does participation work?</w:t>
      </w:r>
      <w:r w:rsidRPr="000A15FA">
        <w:rPr>
          <w:rFonts w:ascii="Times New Roman" w:hAnsi="Times New Roman" w:cs="Times New Roman"/>
          <w:sz w:val="24"/>
          <w:szCs w:val="24"/>
        </w:rPr>
        <w:t xml:space="preserve"> World Bank.</w:t>
      </w:r>
    </w:p>
    <w:p w:rsidR="00D60E89" w:rsidRPr="000A15FA" w:rsidRDefault="00D60E89" w:rsidP="000A15FA">
      <w:pPr>
        <w:pStyle w:val="ListParagraph"/>
        <w:numPr>
          <w:ilvl w:val="0"/>
          <w:numId w:val="24"/>
        </w:numPr>
        <w:spacing w:line="240" w:lineRule="auto"/>
        <w:jc w:val="both"/>
        <w:rPr>
          <w:rFonts w:ascii="Times New Roman" w:hAnsi="Times New Roman" w:cs="Times New Roman"/>
          <w:sz w:val="24"/>
          <w:szCs w:val="24"/>
        </w:rPr>
      </w:pPr>
      <w:r w:rsidRPr="000A15FA">
        <w:rPr>
          <w:rFonts w:ascii="Times New Roman" w:hAnsi="Times New Roman" w:cs="Times New Roman"/>
          <w:sz w:val="24"/>
          <w:szCs w:val="24"/>
        </w:rPr>
        <w:t xml:space="preserve">March, A., Bennett, M., </w:t>
      </w:r>
      <w:proofErr w:type="spellStart"/>
      <w:r w:rsidRPr="000A15FA">
        <w:rPr>
          <w:rFonts w:ascii="Times New Roman" w:hAnsi="Times New Roman" w:cs="Times New Roman"/>
          <w:sz w:val="24"/>
          <w:szCs w:val="24"/>
        </w:rPr>
        <w:t>Germishuizen</w:t>
      </w:r>
      <w:proofErr w:type="spellEnd"/>
      <w:r w:rsidRPr="000A15FA">
        <w:rPr>
          <w:rFonts w:ascii="Times New Roman" w:hAnsi="Times New Roman" w:cs="Times New Roman"/>
          <w:sz w:val="24"/>
          <w:szCs w:val="24"/>
        </w:rPr>
        <w:t xml:space="preserve">, M., Evans, T., &amp; </w:t>
      </w:r>
      <w:proofErr w:type="spellStart"/>
      <w:r w:rsidRPr="000A15FA">
        <w:rPr>
          <w:rFonts w:ascii="Times New Roman" w:hAnsi="Times New Roman" w:cs="Times New Roman"/>
          <w:sz w:val="24"/>
          <w:szCs w:val="24"/>
        </w:rPr>
        <w:t>Failler</w:t>
      </w:r>
      <w:proofErr w:type="spellEnd"/>
      <w:r w:rsidRPr="000A15FA">
        <w:rPr>
          <w:rFonts w:ascii="Times New Roman" w:hAnsi="Times New Roman" w:cs="Times New Roman"/>
          <w:sz w:val="24"/>
          <w:szCs w:val="24"/>
        </w:rPr>
        <w:t xml:space="preserve">, P. (2021). The status of Blue Economy development in Africa. </w:t>
      </w:r>
      <w:r w:rsidRPr="000A15FA">
        <w:rPr>
          <w:rFonts w:ascii="Times New Roman" w:hAnsi="Times New Roman" w:cs="Times New Roman"/>
          <w:i/>
          <w:iCs/>
          <w:sz w:val="24"/>
          <w:szCs w:val="24"/>
        </w:rPr>
        <w:t>Marine Policy, 132</w:t>
      </w:r>
      <w:r w:rsidRPr="000A15FA">
        <w:rPr>
          <w:rFonts w:ascii="Times New Roman" w:hAnsi="Times New Roman" w:cs="Times New Roman"/>
          <w:sz w:val="24"/>
          <w:szCs w:val="24"/>
        </w:rPr>
        <w:t xml:space="preserve">, 104689. </w:t>
      </w:r>
      <w:hyperlink r:id="rId14" w:history="1">
        <w:r w:rsidRPr="000A15FA">
          <w:rPr>
            <w:rStyle w:val="Hyperlink"/>
            <w:rFonts w:ascii="Times New Roman" w:hAnsi="Times New Roman" w:cs="Times New Roman"/>
            <w:sz w:val="24"/>
            <w:szCs w:val="24"/>
          </w:rPr>
          <w:t>https://doi.org/10.1016/j.marpol.2021.104689</w:t>
        </w:r>
      </w:hyperlink>
    </w:p>
    <w:p w:rsidR="00D60E89" w:rsidRPr="000A15FA" w:rsidRDefault="00D60E89" w:rsidP="000A15FA">
      <w:pPr>
        <w:pStyle w:val="ListParagraph"/>
        <w:numPr>
          <w:ilvl w:val="0"/>
          <w:numId w:val="24"/>
        </w:numPr>
        <w:spacing w:line="240" w:lineRule="auto"/>
        <w:jc w:val="both"/>
        <w:rPr>
          <w:rFonts w:ascii="Times New Roman" w:hAnsi="Times New Roman" w:cs="Times New Roman"/>
          <w:sz w:val="24"/>
          <w:szCs w:val="24"/>
        </w:rPr>
      </w:pPr>
      <w:proofErr w:type="spellStart"/>
      <w:r w:rsidRPr="000A15FA">
        <w:rPr>
          <w:rFonts w:ascii="Times New Roman" w:hAnsi="Times New Roman" w:cs="Times New Roman"/>
          <w:sz w:val="24"/>
          <w:szCs w:val="24"/>
        </w:rPr>
        <w:t>Nahapiet</w:t>
      </w:r>
      <w:proofErr w:type="spellEnd"/>
      <w:r w:rsidRPr="000A15FA">
        <w:rPr>
          <w:rFonts w:ascii="Times New Roman" w:hAnsi="Times New Roman" w:cs="Times New Roman"/>
          <w:sz w:val="24"/>
          <w:szCs w:val="24"/>
        </w:rPr>
        <w:t xml:space="preserve">, J., &amp; Ghoshal, S. (1998). Social capital, intellectual capital and the organizational advantage. </w:t>
      </w:r>
      <w:r w:rsidRPr="000A15FA">
        <w:rPr>
          <w:rFonts w:ascii="Times New Roman" w:hAnsi="Times New Roman" w:cs="Times New Roman"/>
          <w:i/>
          <w:iCs/>
          <w:sz w:val="24"/>
          <w:szCs w:val="24"/>
        </w:rPr>
        <w:t>Academy of Management Review, 23</w:t>
      </w:r>
      <w:r w:rsidRPr="000A15FA">
        <w:rPr>
          <w:rFonts w:ascii="Times New Roman" w:hAnsi="Times New Roman" w:cs="Times New Roman"/>
          <w:sz w:val="24"/>
          <w:szCs w:val="24"/>
        </w:rPr>
        <w:t xml:space="preserve">(2), 242–266. </w:t>
      </w:r>
      <w:hyperlink r:id="rId15" w:history="1">
        <w:r w:rsidRPr="000A15FA">
          <w:rPr>
            <w:rStyle w:val="Hyperlink"/>
            <w:rFonts w:ascii="Times New Roman" w:hAnsi="Times New Roman" w:cs="Times New Roman"/>
            <w:sz w:val="24"/>
            <w:szCs w:val="24"/>
          </w:rPr>
          <w:t>https://doi.org/10.5465/amr.1998.533225</w:t>
        </w:r>
      </w:hyperlink>
    </w:p>
    <w:p w:rsidR="00D60E89" w:rsidRPr="000A15FA" w:rsidRDefault="00D60E89" w:rsidP="000A15FA">
      <w:pPr>
        <w:pStyle w:val="ListParagraph"/>
        <w:numPr>
          <w:ilvl w:val="0"/>
          <w:numId w:val="24"/>
        </w:numPr>
        <w:spacing w:line="240" w:lineRule="auto"/>
        <w:jc w:val="both"/>
        <w:rPr>
          <w:rFonts w:ascii="Times New Roman" w:hAnsi="Times New Roman" w:cs="Times New Roman"/>
          <w:sz w:val="24"/>
          <w:szCs w:val="24"/>
        </w:rPr>
      </w:pPr>
      <w:r w:rsidRPr="000A15FA">
        <w:rPr>
          <w:rFonts w:ascii="Times New Roman" w:hAnsi="Times New Roman" w:cs="Times New Roman"/>
          <w:sz w:val="24"/>
          <w:szCs w:val="24"/>
        </w:rPr>
        <w:t xml:space="preserve">National Environment Management Council (NEMC). (2024). </w:t>
      </w:r>
      <w:r w:rsidRPr="000A15FA">
        <w:rPr>
          <w:rFonts w:ascii="Times New Roman" w:hAnsi="Times New Roman" w:cs="Times New Roman"/>
          <w:i/>
          <w:iCs/>
          <w:sz w:val="24"/>
          <w:szCs w:val="24"/>
        </w:rPr>
        <w:t>State of the coast report for mainland Tanzania</w:t>
      </w:r>
      <w:r w:rsidRPr="000A15FA">
        <w:rPr>
          <w:rFonts w:ascii="Times New Roman" w:hAnsi="Times New Roman" w:cs="Times New Roman"/>
          <w:sz w:val="24"/>
          <w:szCs w:val="24"/>
        </w:rPr>
        <w:t>. Government of Tanzania.</w:t>
      </w:r>
    </w:p>
    <w:p w:rsidR="00D60E89" w:rsidRPr="000A15FA" w:rsidRDefault="00D60E89" w:rsidP="000A15FA">
      <w:pPr>
        <w:pStyle w:val="ListParagraph"/>
        <w:numPr>
          <w:ilvl w:val="0"/>
          <w:numId w:val="24"/>
        </w:numPr>
        <w:spacing w:line="240" w:lineRule="auto"/>
        <w:jc w:val="both"/>
        <w:rPr>
          <w:rFonts w:ascii="Times New Roman" w:hAnsi="Times New Roman" w:cs="Times New Roman"/>
          <w:sz w:val="24"/>
          <w:szCs w:val="24"/>
        </w:rPr>
      </w:pPr>
      <w:proofErr w:type="spellStart"/>
      <w:r w:rsidRPr="000A15FA">
        <w:rPr>
          <w:rFonts w:ascii="Times New Roman" w:hAnsi="Times New Roman" w:cs="Times New Roman"/>
          <w:sz w:val="24"/>
          <w:szCs w:val="24"/>
        </w:rPr>
        <w:t>Organisation</w:t>
      </w:r>
      <w:proofErr w:type="spellEnd"/>
      <w:r w:rsidRPr="000A15FA">
        <w:rPr>
          <w:rFonts w:ascii="Times New Roman" w:hAnsi="Times New Roman" w:cs="Times New Roman"/>
          <w:sz w:val="24"/>
          <w:szCs w:val="24"/>
        </w:rPr>
        <w:t xml:space="preserve"> for Economic Co-operation and Development (OECD). (2016). </w:t>
      </w:r>
      <w:r w:rsidRPr="000A15FA">
        <w:rPr>
          <w:rFonts w:ascii="Times New Roman" w:hAnsi="Times New Roman" w:cs="Times New Roman"/>
          <w:i/>
          <w:iCs/>
          <w:sz w:val="24"/>
          <w:szCs w:val="24"/>
        </w:rPr>
        <w:t>The ocean economy in 2030</w:t>
      </w:r>
      <w:r w:rsidRPr="000A15FA">
        <w:rPr>
          <w:rFonts w:ascii="Times New Roman" w:hAnsi="Times New Roman" w:cs="Times New Roman"/>
          <w:sz w:val="24"/>
          <w:szCs w:val="24"/>
        </w:rPr>
        <w:t>. OECD Publishing.</w:t>
      </w:r>
    </w:p>
    <w:p w:rsidR="00D60E89" w:rsidRPr="000A15FA" w:rsidRDefault="00D60E89" w:rsidP="000A15FA">
      <w:pPr>
        <w:pStyle w:val="ListParagraph"/>
        <w:numPr>
          <w:ilvl w:val="0"/>
          <w:numId w:val="24"/>
        </w:numPr>
        <w:spacing w:line="240" w:lineRule="auto"/>
        <w:jc w:val="both"/>
        <w:rPr>
          <w:rFonts w:ascii="Times New Roman" w:hAnsi="Times New Roman" w:cs="Times New Roman"/>
          <w:sz w:val="24"/>
          <w:szCs w:val="24"/>
        </w:rPr>
      </w:pPr>
      <w:r w:rsidRPr="000A15FA">
        <w:rPr>
          <w:rFonts w:ascii="Times New Roman" w:hAnsi="Times New Roman" w:cs="Times New Roman"/>
          <w:sz w:val="24"/>
          <w:szCs w:val="24"/>
        </w:rPr>
        <w:t xml:space="preserve">Ostrom, E. (1990). </w:t>
      </w:r>
      <w:r w:rsidRPr="000A15FA">
        <w:rPr>
          <w:rFonts w:ascii="Times New Roman" w:hAnsi="Times New Roman" w:cs="Times New Roman"/>
          <w:i/>
          <w:iCs/>
          <w:sz w:val="24"/>
          <w:szCs w:val="24"/>
        </w:rPr>
        <w:t>Governing the commons: The evolution of institutions for collective action</w:t>
      </w:r>
      <w:r w:rsidRPr="000A15FA">
        <w:rPr>
          <w:rFonts w:ascii="Times New Roman" w:hAnsi="Times New Roman" w:cs="Times New Roman"/>
          <w:sz w:val="24"/>
          <w:szCs w:val="24"/>
        </w:rPr>
        <w:t>. Cambridge University Press.</w:t>
      </w:r>
    </w:p>
    <w:p w:rsidR="00D60E89" w:rsidRPr="000A15FA" w:rsidRDefault="00D60E89" w:rsidP="000A15FA">
      <w:pPr>
        <w:pStyle w:val="ListParagraph"/>
        <w:numPr>
          <w:ilvl w:val="0"/>
          <w:numId w:val="24"/>
        </w:numPr>
        <w:spacing w:line="240" w:lineRule="auto"/>
        <w:jc w:val="both"/>
        <w:rPr>
          <w:rFonts w:ascii="Times New Roman" w:hAnsi="Times New Roman" w:cs="Times New Roman"/>
          <w:sz w:val="24"/>
          <w:szCs w:val="24"/>
        </w:rPr>
      </w:pPr>
      <w:r w:rsidRPr="000A15FA">
        <w:rPr>
          <w:rFonts w:ascii="Times New Roman" w:hAnsi="Times New Roman" w:cs="Times New Roman"/>
          <w:sz w:val="24"/>
          <w:szCs w:val="24"/>
        </w:rPr>
        <w:t xml:space="preserve">Pretty, J. (2003). Social capital and the collective management of resources. </w:t>
      </w:r>
      <w:r w:rsidRPr="000A15FA">
        <w:rPr>
          <w:rFonts w:ascii="Times New Roman" w:hAnsi="Times New Roman" w:cs="Times New Roman"/>
          <w:i/>
          <w:iCs/>
          <w:sz w:val="24"/>
          <w:szCs w:val="24"/>
        </w:rPr>
        <w:t>Science, 302</w:t>
      </w:r>
      <w:r w:rsidRPr="000A15FA">
        <w:rPr>
          <w:rFonts w:ascii="Times New Roman" w:hAnsi="Times New Roman" w:cs="Times New Roman"/>
          <w:sz w:val="24"/>
          <w:szCs w:val="24"/>
        </w:rPr>
        <w:t xml:space="preserve">(5652), 1912–1914. </w:t>
      </w:r>
      <w:hyperlink r:id="rId16" w:history="1">
        <w:r w:rsidRPr="000A15FA">
          <w:rPr>
            <w:rStyle w:val="Hyperlink"/>
            <w:rFonts w:ascii="Times New Roman" w:hAnsi="Times New Roman" w:cs="Times New Roman"/>
            <w:sz w:val="24"/>
            <w:szCs w:val="24"/>
          </w:rPr>
          <w:t>https://doi.org/10.1126/science.1090847</w:t>
        </w:r>
      </w:hyperlink>
    </w:p>
    <w:p w:rsidR="00D60E89" w:rsidRPr="000A15FA" w:rsidRDefault="00D60E89" w:rsidP="000A15FA">
      <w:pPr>
        <w:pStyle w:val="ListParagraph"/>
        <w:numPr>
          <w:ilvl w:val="0"/>
          <w:numId w:val="24"/>
        </w:numPr>
        <w:spacing w:line="240" w:lineRule="auto"/>
        <w:jc w:val="both"/>
        <w:rPr>
          <w:rFonts w:ascii="Times New Roman" w:hAnsi="Times New Roman" w:cs="Times New Roman"/>
          <w:sz w:val="24"/>
          <w:szCs w:val="24"/>
        </w:rPr>
      </w:pPr>
      <w:r w:rsidRPr="000A15FA">
        <w:rPr>
          <w:rFonts w:ascii="Times New Roman" w:hAnsi="Times New Roman" w:cs="Times New Roman"/>
          <w:sz w:val="24"/>
          <w:szCs w:val="24"/>
        </w:rPr>
        <w:t xml:space="preserve">Putnam, R. D. (1993). </w:t>
      </w:r>
      <w:r w:rsidRPr="000A15FA">
        <w:rPr>
          <w:rFonts w:ascii="Times New Roman" w:hAnsi="Times New Roman" w:cs="Times New Roman"/>
          <w:i/>
          <w:iCs/>
          <w:sz w:val="24"/>
          <w:szCs w:val="24"/>
        </w:rPr>
        <w:t>Making democracy work: Civic traditions in modern Italy</w:t>
      </w:r>
      <w:r w:rsidRPr="000A15FA">
        <w:rPr>
          <w:rFonts w:ascii="Times New Roman" w:hAnsi="Times New Roman" w:cs="Times New Roman"/>
          <w:sz w:val="24"/>
          <w:szCs w:val="24"/>
        </w:rPr>
        <w:t>. Princeton University Press.</w:t>
      </w:r>
    </w:p>
    <w:p w:rsidR="00D60E89" w:rsidRPr="000A15FA" w:rsidRDefault="00D60E89" w:rsidP="000A15FA">
      <w:pPr>
        <w:pStyle w:val="ListParagraph"/>
        <w:numPr>
          <w:ilvl w:val="0"/>
          <w:numId w:val="24"/>
        </w:numPr>
        <w:spacing w:line="240" w:lineRule="auto"/>
        <w:jc w:val="both"/>
        <w:rPr>
          <w:rFonts w:ascii="Times New Roman" w:hAnsi="Times New Roman" w:cs="Times New Roman"/>
          <w:sz w:val="24"/>
          <w:szCs w:val="24"/>
        </w:rPr>
      </w:pPr>
      <w:r w:rsidRPr="000A15FA">
        <w:rPr>
          <w:rFonts w:ascii="Times New Roman" w:hAnsi="Times New Roman" w:cs="Times New Roman"/>
          <w:sz w:val="24"/>
          <w:szCs w:val="24"/>
        </w:rPr>
        <w:t xml:space="preserve">Silver, J. J., Gray, N. J., Campbell, L. M., Fairbanks, L. W., &amp; </w:t>
      </w:r>
      <w:proofErr w:type="spellStart"/>
      <w:r w:rsidRPr="000A15FA">
        <w:rPr>
          <w:rFonts w:ascii="Times New Roman" w:hAnsi="Times New Roman" w:cs="Times New Roman"/>
          <w:sz w:val="24"/>
          <w:szCs w:val="24"/>
        </w:rPr>
        <w:t>Gruby</w:t>
      </w:r>
      <w:proofErr w:type="spellEnd"/>
      <w:r w:rsidRPr="000A15FA">
        <w:rPr>
          <w:rFonts w:ascii="Times New Roman" w:hAnsi="Times New Roman" w:cs="Times New Roman"/>
          <w:sz w:val="24"/>
          <w:szCs w:val="24"/>
        </w:rPr>
        <w:t xml:space="preserve">, R. L. (2015). Blue economy and competing discourses in international oceans governance. </w:t>
      </w:r>
      <w:r w:rsidRPr="000A15FA">
        <w:rPr>
          <w:rFonts w:ascii="Times New Roman" w:hAnsi="Times New Roman" w:cs="Times New Roman"/>
          <w:i/>
          <w:iCs/>
          <w:sz w:val="24"/>
          <w:szCs w:val="24"/>
        </w:rPr>
        <w:t xml:space="preserve">Journal of </w:t>
      </w:r>
      <w:r w:rsidRPr="000A15FA">
        <w:rPr>
          <w:rFonts w:ascii="Times New Roman" w:hAnsi="Times New Roman" w:cs="Times New Roman"/>
          <w:i/>
          <w:iCs/>
          <w:sz w:val="24"/>
          <w:szCs w:val="24"/>
        </w:rPr>
        <w:lastRenderedPageBreak/>
        <w:t>Environment &amp; Development, 24</w:t>
      </w:r>
      <w:r w:rsidRPr="000A15FA">
        <w:rPr>
          <w:rFonts w:ascii="Times New Roman" w:hAnsi="Times New Roman" w:cs="Times New Roman"/>
          <w:sz w:val="24"/>
          <w:szCs w:val="24"/>
        </w:rPr>
        <w:t xml:space="preserve">(2), 135–160. </w:t>
      </w:r>
      <w:hyperlink r:id="rId17" w:history="1">
        <w:r w:rsidRPr="000A15FA">
          <w:rPr>
            <w:rStyle w:val="Hyperlink"/>
            <w:rFonts w:ascii="Times New Roman" w:hAnsi="Times New Roman" w:cs="Times New Roman"/>
            <w:sz w:val="24"/>
            <w:szCs w:val="24"/>
          </w:rPr>
          <w:t>https://doi.org/10.1177/1070496515580797</w:t>
        </w:r>
      </w:hyperlink>
    </w:p>
    <w:p w:rsidR="00D60E89" w:rsidRPr="000A15FA" w:rsidRDefault="00D60E89" w:rsidP="000A15FA">
      <w:pPr>
        <w:pStyle w:val="ListParagraph"/>
        <w:numPr>
          <w:ilvl w:val="0"/>
          <w:numId w:val="24"/>
        </w:numPr>
        <w:spacing w:line="240" w:lineRule="auto"/>
        <w:jc w:val="both"/>
        <w:rPr>
          <w:rFonts w:ascii="Times New Roman" w:hAnsi="Times New Roman" w:cs="Times New Roman"/>
          <w:sz w:val="24"/>
          <w:szCs w:val="24"/>
        </w:rPr>
      </w:pPr>
      <w:r w:rsidRPr="000A15FA">
        <w:rPr>
          <w:rFonts w:ascii="Times New Roman" w:hAnsi="Times New Roman" w:cs="Times New Roman"/>
          <w:sz w:val="24"/>
          <w:szCs w:val="24"/>
        </w:rPr>
        <w:t xml:space="preserve">Stam, E., </w:t>
      </w:r>
      <w:proofErr w:type="spellStart"/>
      <w:r w:rsidRPr="000A15FA">
        <w:rPr>
          <w:rFonts w:ascii="Times New Roman" w:hAnsi="Times New Roman" w:cs="Times New Roman"/>
          <w:sz w:val="24"/>
          <w:szCs w:val="24"/>
        </w:rPr>
        <w:t>Arzlanian</w:t>
      </w:r>
      <w:proofErr w:type="spellEnd"/>
      <w:r w:rsidRPr="000A15FA">
        <w:rPr>
          <w:rFonts w:ascii="Times New Roman" w:hAnsi="Times New Roman" w:cs="Times New Roman"/>
          <w:sz w:val="24"/>
          <w:szCs w:val="24"/>
        </w:rPr>
        <w:t xml:space="preserve">, S., &amp; </w:t>
      </w:r>
      <w:proofErr w:type="spellStart"/>
      <w:r w:rsidRPr="000A15FA">
        <w:rPr>
          <w:rFonts w:ascii="Times New Roman" w:hAnsi="Times New Roman" w:cs="Times New Roman"/>
          <w:sz w:val="24"/>
          <w:szCs w:val="24"/>
        </w:rPr>
        <w:t>Elfring</w:t>
      </w:r>
      <w:proofErr w:type="spellEnd"/>
      <w:r w:rsidRPr="000A15FA">
        <w:rPr>
          <w:rFonts w:ascii="Times New Roman" w:hAnsi="Times New Roman" w:cs="Times New Roman"/>
          <w:sz w:val="24"/>
          <w:szCs w:val="24"/>
        </w:rPr>
        <w:t xml:space="preserve">, T. (2014). Social capital of entrepreneurs and small firm performance. </w:t>
      </w:r>
      <w:r w:rsidRPr="000A15FA">
        <w:rPr>
          <w:rFonts w:ascii="Times New Roman" w:hAnsi="Times New Roman" w:cs="Times New Roman"/>
          <w:i/>
          <w:iCs/>
          <w:sz w:val="24"/>
          <w:szCs w:val="24"/>
        </w:rPr>
        <w:t>Journal of Business Venturing, 29</w:t>
      </w:r>
      <w:r w:rsidRPr="000A15FA">
        <w:rPr>
          <w:rFonts w:ascii="Times New Roman" w:hAnsi="Times New Roman" w:cs="Times New Roman"/>
          <w:sz w:val="24"/>
          <w:szCs w:val="24"/>
        </w:rPr>
        <w:t xml:space="preserve">(1), 152–173. </w:t>
      </w:r>
      <w:hyperlink r:id="rId18" w:history="1">
        <w:r w:rsidRPr="000A15FA">
          <w:rPr>
            <w:rStyle w:val="Hyperlink"/>
            <w:rFonts w:ascii="Times New Roman" w:hAnsi="Times New Roman" w:cs="Times New Roman"/>
            <w:sz w:val="24"/>
            <w:szCs w:val="24"/>
          </w:rPr>
          <w:t>https://doi.org/10.1016/j.jbusvent.2013.01.003</w:t>
        </w:r>
      </w:hyperlink>
    </w:p>
    <w:p w:rsidR="00D60E89" w:rsidRPr="000A15FA" w:rsidRDefault="00D60E89" w:rsidP="000A15FA">
      <w:pPr>
        <w:pStyle w:val="ListParagraph"/>
        <w:numPr>
          <w:ilvl w:val="0"/>
          <w:numId w:val="24"/>
        </w:numPr>
        <w:spacing w:line="240" w:lineRule="auto"/>
        <w:jc w:val="both"/>
        <w:rPr>
          <w:rFonts w:ascii="Times New Roman" w:hAnsi="Times New Roman" w:cs="Times New Roman"/>
          <w:sz w:val="24"/>
          <w:szCs w:val="24"/>
        </w:rPr>
      </w:pPr>
      <w:r w:rsidRPr="000A15FA">
        <w:rPr>
          <w:rFonts w:ascii="Times New Roman" w:hAnsi="Times New Roman" w:cs="Times New Roman"/>
          <w:sz w:val="24"/>
          <w:szCs w:val="24"/>
        </w:rPr>
        <w:t xml:space="preserve">United Nations Development </w:t>
      </w:r>
      <w:proofErr w:type="spellStart"/>
      <w:r w:rsidRPr="000A15FA">
        <w:rPr>
          <w:rFonts w:ascii="Times New Roman" w:hAnsi="Times New Roman" w:cs="Times New Roman"/>
          <w:sz w:val="24"/>
          <w:szCs w:val="24"/>
        </w:rPr>
        <w:t>Programme</w:t>
      </w:r>
      <w:proofErr w:type="spellEnd"/>
      <w:r w:rsidRPr="000A15FA">
        <w:rPr>
          <w:rFonts w:ascii="Times New Roman" w:hAnsi="Times New Roman" w:cs="Times New Roman"/>
          <w:sz w:val="24"/>
          <w:szCs w:val="24"/>
        </w:rPr>
        <w:t xml:space="preserve"> (UNDP). (2024). </w:t>
      </w:r>
      <w:r w:rsidRPr="000A15FA">
        <w:rPr>
          <w:rFonts w:ascii="Times New Roman" w:hAnsi="Times New Roman" w:cs="Times New Roman"/>
          <w:i/>
          <w:iCs/>
          <w:sz w:val="24"/>
          <w:szCs w:val="24"/>
        </w:rPr>
        <w:t>Inclusive blue economy initiatives for coastal communities in Tanzania</w:t>
      </w:r>
      <w:r w:rsidRPr="000A15FA">
        <w:rPr>
          <w:rFonts w:ascii="Times New Roman" w:hAnsi="Times New Roman" w:cs="Times New Roman"/>
          <w:sz w:val="24"/>
          <w:szCs w:val="24"/>
        </w:rPr>
        <w:t>. UNDP.</w:t>
      </w:r>
    </w:p>
    <w:p w:rsidR="00D60E89" w:rsidRPr="000A15FA" w:rsidRDefault="00D60E89" w:rsidP="000A15FA">
      <w:pPr>
        <w:pStyle w:val="ListParagraph"/>
        <w:numPr>
          <w:ilvl w:val="0"/>
          <w:numId w:val="24"/>
        </w:numPr>
        <w:spacing w:line="240" w:lineRule="auto"/>
        <w:jc w:val="both"/>
        <w:rPr>
          <w:rFonts w:ascii="Times New Roman" w:hAnsi="Times New Roman" w:cs="Times New Roman"/>
          <w:sz w:val="24"/>
          <w:szCs w:val="24"/>
        </w:rPr>
      </w:pPr>
      <w:r w:rsidRPr="000A15FA">
        <w:rPr>
          <w:rFonts w:ascii="Times New Roman" w:hAnsi="Times New Roman" w:cs="Times New Roman"/>
          <w:sz w:val="24"/>
          <w:szCs w:val="24"/>
        </w:rPr>
        <w:t xml:space="preserve">United Republic of Tanzania (URT). (2021). </w:t>
      </w:r>
      <w:r w:rsidRPr="000A15FA">
        <w:rPr>
          <w:rFonts w:ascii="Times New Roman" w:hAnsi="Times New Roman" w:cs="Times New Roman"/>
          <w:i/>
          <w:iCs/>
          <w:sz w:val="24"/>
          <w:szCs w:val="24"/>
        </w:rPr>
        <w:t>Blue economy policy framework</w:t>
      </w:r>
      <w:r w:rsidRPr="000A15FA">
        <w:rPr>
          <w:rFonts w:ascii="Times New Roman" w:hAnsi="Times New Roman" w:cs="Times New Roman"/>
          <w:sz w:val="24"/>
          <w:szCs w:val="24"/>
        </w:rPr>
        <w:t>. Government of Tanzania.</w:t>
      </w:r>
    </w:p>
    <w:p w:rsidR="00D60E89" w:rsidRPr="000A15FA" w:rsidRDefault="00D60E89" w:rsidP="000A15FA">
      <w:pPr>
        <w:pStyle w:val="ListParagraph"/>
        <w:numPr>
          <w:ilvl w:val="0"/>
          <w:numId w:val="24"/>
        </w:numPr>
        <w:spacing w:line="240" w:lineRule="auto"/>
        <w:jc w:val="both"/>
        <w:rPr>
          <w:rFonts w:ascii="Times New Roman" w:hAnsi="Times New Roman" w:cs="Times New Roman"/>
          <w:sz w:val="24"/>
          <w:szCs w:val="24"/>
        </w:rPr>
      </w:pPr>
      <w:r w:rsidRPr="000A15FA">
        <w:rPr>
          <w:rFonts w:ascii="Times New Roman" w:hAnsi="Times New Roman" w:cs="Times New Roman"/>
          <w:sz w:val="24"/>
          <w:szCs w:val="24"/>
        </w:rPr>
        <w:t xml:space="preserve">Venkatraman, N., &amp; </w:t>
      </w:r>
      <w:proofErr w:type="spellStart"/>
      <w:r w:rsidRPr="000A15FA">
        <w:rPr>
          <w:rFonts w:ascii="Times New Roman" w:hAnsi="Times New Roman" w:cs="Times New Roman"/>
          <w:sz w:val="24"/>
          <w:szCs w:val="24"/>
        </w:rPr>
        <w:t>Ramanujam</w:t>
      </w:r>
      <w:proofErr w:type="spellEnd"/>
      <w:r w:rsidRPr="000A15FA">
        <w:rPr>
          <w:rFonts w:ascii="Times New Roman" w:hAnsi="Times New Roman" w:cs="Times New Roman"/>
          <w:sz w:val="24"/>
          <w:szCs w:val="24"/>
        </w:rPr>
        <w:t xml:space="preserve">, V. (1986). Measurement of business performance in strategy research. </w:t>
      </w:r>
      <w:r w:rsidRPr="000A15FA">
        <w:rPr>
          <w:rFonts w:ascii="Times New Roman" w:hAnsi="Times New Roman" w:cs="Times New Roman"/>
          <w:i/>
          <w:iCs/>
          <w:sz w:val="24"/>
          <w:szCs w:val="24"/>
        </w:rPr>
        <w:t>Academy of Management Review, 11</w:t>
      </w:r>
      <w:r w:rsidRPr="000A15FA">
        <w:rPr>
          <w:rFonts w:ascii="Times New Roman" w:hAnsi="Times New Roman" w:cs="Times New Roman"/>
          <w:sz w:val="24"/>
          <w:szCs w:val="24"/>
        </w:rPr>
        <w:t xml:space="preserve">(4), 801–814. </w:t>
      </w:r>
      <w:hyperlink r:id="rId19" w:history="1">
        <w:r w:rsidRPr="000A15FA">
          <w:rPr>
            <w:rStyle w:val="Hyperlink"/>
            <w:rFonts w:ascii="Times New Roman" w:hAnsi="Times New Roman" w:cs="Times New Roman"/>
            <w:sz w:val="24"/>
            <w:szCs w:val="24"/>
          </w:rPr>
          <w:t>https://doi.org/10.5465/amr.1986.4283976</w:t>
        </w:r>
      </w:hyperlink>
    </w:p>
    <w:p w:rsidR="00D60E89" w:rsidRPr="000A15FA" w:rsidRDefault="00D60E89" w:rsidP="000A15FA">
      <w:pPr>
        <w:pStyle w:val="ListParagraph"/>
        <w:numPr>
          <w:ilvl w:val="0"/>
          <w:numId w:val="24"/>
        </w:numPr>
        <w:spacing w:line="240" w:lineRule="auto"/>
        <w:jc w:val="both"/>
        <w:rPr>
          <w:rFonts w:ascii="Times New Roman" w:hAnsi="Times New Roman" w:cs="Times New Roman"/>
          <w:sz w:val="24"/>
          <w:szCs w:val="24"/>
        </w:rPr>
      </w:pPr>
      <w:proofErr w:type="spellStart"/>
      <w:r w:rsidRPr="000A15FA">
        <w:rPr>
          <w:rFonts w:ascii="Times New Roman" w:hAnsi="Times New Roman" w:cs="Times New Roman"/>
          <w:sz w:val="24"/>
          <w:szCs w:val="24"/>
        </w:rPr>
        <w:t>Wiklund</w:t>
      </w:r>
      <w:proofErr w:type="spellEnd"/>
      <w:r w:rsidRPr="000A15FA">
        <w:rPr>
          <w:rFonts w:ascii="Times New Roman" w:hAnsi="Times New Roman" w:cs="Times New Roman"/>
          <w:sz w:val="24"/>
          <w:szCs w:val="24"/>
        </w:rPr>
        <w:t xml:space="preserve">, J., &amp; Shepherd, D. (2005). Entrepreneurial orientation and small business performance. </w:t>
      </w:r>
      <w:r w:rsidRPr="000A15FA">
        <w:rPr>
          <w:rFonts w:ascii="Times New Roman" w:hAnsi="Times New Roman" w:cs="Times New Roman"/>
          <w:i/>
          <w:iCs/>
          <w:sz w:val="24"/>
          <w:szCs w:val="24"/>
        </w:rPr>
        <w:t>Journal of Business Venturing, 20</w:t>
      </w:r>
      <w:r w:rsidRPr="000A15FA">
        <w:rPr>
          <w:rFonts w:ascii="Times New Roman" w:hAnsi="Times New Roman" w:cs="Times New Roman"/>
          <w:sz w:val="24"/>
          <w:szCs w:val="24"/>
        </w:rPr>
        <w:t xml:space="preserve">(1), 71–91. </w:t>
      </w:r>
      <w:hyperlink r:id="rId20" w:history="1">
        <w:r w:rsidRPr="000A15FA">
          <w:rPr>
            <w:rStyle w:val="Hyperlink"/>
            <w:rFonts w:ascii="Times New Roman" w:hAnsi="Times New Roman" w:cs="Times New Roman"/>
            <w:sz w:val="24"/>
            <w:szCs w:val="24"/>
          </w:rPr>
          <w:t>https://doi.org/10.1016/j.jbusvent.2004.01.001</w:t>
        </w:r>
      </w:hyperlink>
    </w:p>
    <w:p w:rsidR="00D60E89" w:rsidRPr="000A15FA" w:rsidRDefault="00D60E89" w:rsidP="000A15FA">
      <w:pPr>
        <w:pStyle w:val="ListParagraph"/>
        <w:numPr>
          <w:ilvl w:val="0"/>
          <w:numId w:val="24"/>
        </w:numPr>
        <w:spacing w:line="240" w:lineRule="auto"/>
        <w:jc w:val="both"/>
        <w:rPr>
          <w:rFonts w:ascii="Times New Roman" w:hAnsi="Times New Roman" w:cs="Times New Roman"/>
          <w:sz w:val="24"/>
          <w:szCs w:val="24"/>
        </w:rPr>
      </w:pPr>
      <w:r w:rsidRPr="000A15FA">
        <w:rPr>
          <w:rFonts w:ascii="Times New Roman" w:hAnsi="Times New Roman" w:cs="Times New Roman"/>
          <w:sz w:val="24"/>
          <w:szCs w:val="24"/>
        </w:rPr>
        <w:t xml:space="preserve">Woolcock, M., &amp; Narayan, D. (2000). Social capital: Implications for development theory, research and policy. </w:t>
      </w:r>
      <w:r w:rsidRPr="000A15FA">
        <w:rPr>
          <w:rFonts w:ascii="Times New Roman" w:hAnsi="Times New Roman" w:cs="Times New Roman"/>
          <w:i/>
          <w:iCs/>
          <w:sz w:val="24"/>
          <w:szCs w:val="24"/>
        </w:rPr>
        <w:t>World Bank Research Observer, 15</w:t>
      </w:r>
      <w:r w:rsidRPr="000A15FA">
        <w:rPr>
          <w:rFonts w:ascii="Times New Roman" w:hAnsi="Times New Roman" w:cs="Times New Roman"/>
          <w:sz w:val="24"/>
          <w:szCs w:val="24"/>
        </w:rPr>
        <w:t xml:space="preserve">(2), 225–249. </w:t>
      </w:r>
      <w:hyperlink r:id="rId21" w:history="1">
        <w:r w:rsidRPr="000A15FA">
          <w:rPr>
            <w:rStyle w:val="Hyperlink"/>
            <w:rFonts w:ascii="Times New Roman" w:hAnsi="Times New Roman" w:cs="Times New Roman"/>
            <w:sz w:val="24"/>
            <w:szCs w:val="24"/>
          </w:rPr>
          <w:t>https://doi.org/10.1093/wbro/15.2.225</w:t>
        </w:r>
      </w:hyperlink>
    </w:p>
    <w:p w:rsidR="00D60E89" w:rsidRPr="000A15FA" w:rsidRDefault="00D60E89" w:rsidP="000A15FA">
      <w:pPr>
        <w:pStyle w:val="ListParagraph"/>
        <w:numPr>
          <w:ilvl w:val="0"/>
          <w:numId w:val="24"/>
        </w:numPr>
        <w:spacing w:line="240" w:lineRule="auto"/>
        <w:jc w:val="both"/>
        <w:rPr>
          <w:rFonts w:ascii="Times New Roman" w:hAnsi="Times New Roman" w:cs="Times New Roman"/>
          <w:sz w:val="24"/>
          <w:szCs w:val="24"/>
        </w:rPr>
      </w:pPr>
      <w:r w:rsidRPr="000A15FA">
        <w:rPr>
          <w:rFonts w:ascii="Times New Roman" w:hAnsi="Times New Roman" w:cs="Times New Roman"/>
          <w:sz w:val="24"/>
          <w:szCs w:val="24"/>
        </w:rPr>
        <w:t xml:space="preserve">World Bank. (2017). </w:t>
      </w:r>
      <w:r w:rsidRPr="000A15FA">
        <w:rPr>
          <w:rFonts w:ascii="Times New Roman" w:hAnsi="Times New Roman" w:cs="Times New Roman"/>
          <w:i/>
          <w:iCs/>
          <w:sz w:val="24"/>
          <w:szCs w:val="24"/>
        </w:rPr>
        <w:t>The potential of the blue economy</w:t>
      </w:r>
      <w:r w:rsidRPr="000A15FA">
        <w:rPr>
          <w:rFonts w:ascii="Times New Roman" w:hAnsi="Times New Roman" w:cs="Times New Roman"/>
          <w:sz w:val="24"/>
          <w:szCs w:val="24"/>
        </w:rPr>
        <w:t>. World Bank.</w:t>
      </w:r>
    </w:p>
    <w:p w:rsidR="00D60E89" w:rsidRPr="000A15FA" w:rsidRDefault="00D60E89" w:rsidP="000A15FA">
      <w:pPr>
        <w:pStyle w:val="ListParagraph"/>
        <w:numPr>
          <w:ilvl w:val="0"/>
          <w:numId w:val="24"/>
        </w:numPr>
        <w:spacing w:line="240" w:lineRule="auto"/>
        <w:jc w:val="both"/>
        <w:rPr>
          <w:rFonts w:ascii="Times New Roman" w:hAnsi="Times New Roman" w:cs="Times New Roman"/>
          <w:sz w:val="24"/>
          <w:szCs w:val="24"/>
        </w:rPr>
      </w:pPr>
      <w:r w:rsidRPr="000A15FA">
        <w:rPr>
          <w:rFonts w:ascii="Times New Roman" w:hAnsi="Times New Roman" w:cs="Times New Roman"/>
          <w:sz w:val="24"/>
          <w:szCs w:val="24"/>
        </w:rPr>
        <w:t xml:space="preserve">World Bank. (2023). </w:t>
      </w:r>
      <w:r w:rsidRPr="000A15FA">
        <w:rPr>
          <w:rFonts w:ascii="Times New Roman" w:hAnsi="Times New Roman" w:cs="Times New Roman"/>
          <w:i/>
          <w:iCs/>
          <w:sz w:val="24"/>
          <w:szCs w:val="24"/>
        </w:rPr>
        <w:t>Transforming Tanzania’s coastal and marine economy: Policy and investment priorities</w:t>
      </w:r>
      <w:r w:rsidRPr="000A15FA">
        <w:rPr>
          <w:rFonts w:ascii="Times New Roman" w:hAnsi="Times New Roman" w:cs="Times New Roman"/>
          <w:sz w:val="24"/>
          <w:szCs w:val="24"/>
        </w:rPr>
        <w:t>. World Bank Group.</w:t>
      </w:r>
    </w:p>
    <w:p w:rsidR="00D60E89" w:rsidRPr="00C62884" w:rsidRDefault="00D60E89" w:rsidP="00476ACE">
      <w:pPr>
        <w:jc w:val="both"/>
        <w:rPr>
          <w:rFonts w:ascii="Times New Roman" w:hAnsi="Times New Roman" w:cs="Times New Roman"/>
          <w:sz w:val="24"/>
          <w:szCs w:val="24"/>
        </w:rPr>
      </w:pPr>
    </w:p>
    <w:p w:rsidR="00D50185" w:rsidRPr="00935690" w:rsidRDefault="00D50185" w:rsidP="00981D71">
      <w:pPr>
        <w:spacing w:line="240" w:lineRule="auto"/>
        <w:jc w:val="both"/>
        <w:rPr>
          <w:rFonts w:ascii="Times New Roman" w:hAnsi="Times New Roman" w:cs="Times New Roman"/>
          <w:sz w:val="24"/>
          <w:szCs w:val="24"/>
        </w:rPr>
      </w:pPr>
    </w:p>
    <w:sectPr w:rsidR="00D50185" w:rsidRPr="00935690">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2EF4" w:rsidRDefault="003D2EF4" w:rsidP="00B82C1F">
      <w:pPr>
        <w:spacing w:after="0" w:line="240" w:lineRule="auto"/>
      </w:pPr>
      <w:r>
        <w:separator/>
      </w:r>
    </w:p>
  </w:endnote>
  <w:endnote w:type="continuationSeparator" w:id="0">
    <w:p w:rsidR="003D2EF4" w:rsidRDefault="003D2EF4" w:rsidP="00B82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0803101"/>
      <w:docPartObj>
        <w:docPartGallery w:val="Page Numbers (Bottom of Page)"/>
        <w:docPartUnique/>
      </w:docPartObj>
    </w:sdtPr>
    <w:sdtEndPr>
      <w:rPr>
        <w:noProof/>
      </w:rPr>
    </w:sdtEndPr>
    <w:sdtContent>
      <w:p w:rsidR="00B82C1F" w:rsidRDefault="00B82C1F">
        <w:pPr>
          <w:pStyle w:val="Footer"/>
          <w:jc w:val="center"/>
        </w:pPr>
        <w:r>
          <w:fldChar w:fldCharType="begin"/>
        </w:r>
        <w:r>
          <w:instrText xml:space="preserve"> PAGE   \* MERGEFORMAT </w:instrText>
        </w:r>
        <w:r>
          <w:fldChar w:fldCharType="separate"/>
        </w:r>
        <w:r w:rsidR="000C6727">
          <w:rPr>
            <w:noProof/>
          </w:rPr>
          <w:t>19</w:t>
        </w:r>
        <w:r>
          <w:rPr>
            <w:noProof/>
          </w:rPr>
          <w:fldChar w:fldCharType="end"/>
        </w:r>
      </w:p>
    </w:sdtContent>
  </w:sdt>
  <w:p w:rsidR="00B82C1F" w:rsidRDefault="00B82C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2EF4" w:rsidRDefault="003D2EF4" w:rsidP="00B82C1F">
      <w:pPr>
        <w:spacing w:after="0" w:line="240" w:lineRule="auto"/>
      </w:pPr>
      <w:r>
        <w:separator/>
      </w:r>
    </w:p>
  </w:footnote>
  <w:footnote w:type="continuationSeparator" w:id="0">
    <w:p w:rsidR="003D2EF4" w:rsidRDefault="003D2EF4" w:rsidP="00B82C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F042F"/>
    <w:multiLevelType w:val="multilevel"/>
    <w:tmpl w:val="6EB6BE74"/>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3137109"/>
    <w:multiLevelType w:val="multilevel"/>
    <w:tmpl w:val="5C267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41024C"/>
    <w:multiLevelType w:val="multilevel"/>
    <w:tmpl w:val="92F66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986B30"/>
    <w:multiLevelType w:val="multilevel"/>
    <w:tmpl w:val="C0C4B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1911CF"/>
    <w:multiLevelType w:val="multilevel"/>
    <w:tmpl w:val="EA1E0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8B04B9"/>
    <w:multiLevelType w:val="multilevel"/>
    <w:tmpl w:val="B14C4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517117"/>
    <w:multiLevelType w:val="multilevel"/>
    <w:tmpl w:val="944A4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2B6F62"/>
    <w:multiLevelType w:val="multilevel"/>
    <w:tmpl w:val="AA5646C8"/>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EA040B8"/>
    <w:multiLevelType w:val="multilevel"/>
    <w:tmpl w:val="2104E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D24B7D"/>
    <w:multiLevelType w:val="multilevel"/>
    <w:tmpl w:val="85C8E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2E2136"/>
    <w:multiLevelType w:val="multilevel"/>
    <w:tmpl w:val="78840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F31186"/>
    <w:multiLevelType w:val="multilevel"/>
    <w:tmpl w:val="EF5E9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873130"/>
    <w:multiLevelType w:val="multilevel"/>
    <w:tmpl w:val="573E4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BE4DBD"/>
    <w:multiLevelType w:val="multilevel"/>
    <w:tmpl w:val="FECA2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E461072"/>
    <w:multiLevelType w:val="multilevel"/>
    <w:tmpl w:val="302A3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527941"/>
    <w:multiLevelType w:val="hybridMultilevel"/>
    <w:tmpl w:val="2FE238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A23E80"/>
    <w:multiLevelType w:val="multilevel"/>
    <w:tmpl w:val="DC6EF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5AD0BFB"/>
    <w:multiLevelType w:val="multilevel"/>
    <w:tmpl w:val="93FCB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D8028C"/>
    <w:multiLevelType w:val="multilevel"/>
    <w:tmpl w:val="B928A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6F4A5C"/>
    <w:multiLevelType w:val="multilevel"/>
    <w:tmpl w:val="F7C4A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FC05FC"/>
    <w:multiLevelType w:val="multilevel"/>
    <w:tmpl w:val="AE209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9BD5303"/>
    <w:multiLevelType w:val="multilevel"/>
    <w:tmpl w:val="D0F4B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8E2201"/>
    <w:multiLevelType w:val="multilevel"/>
    <w:tmpl w:val="79845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F829E4"/>
    <w:multiLevelType w:val="hybridMultilevel"/>
    <w:tmpl w:val="70FE5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16"/>
  </w:num>
  <w:num w:numId="4">
    <w:abstractNumId w:val="23"/>
  </w:num>
  <w:num w:numId="5">
    <w:abstractNumId w:val="14"/>
  </w:num>
  <w:num w:numId="6">
    <w:abstractNumId w:val="9"/>
  </w:num>
  <w:num w:numId="7">
    <w:abstractNumId w:val="21"/>
  </w:num>
  <w:num w:numId="8">
    <w:abstractNumId w:val="22"/>
  </w:num>
  <w:num w:numId="9">
    <w:abstractNumId w:val="12"/>
  </w:num>
  <w:num w:numId="10">
    <w:abstractNumId w:val="20"/>
  </w:num>
  <w:num w:numId="11">
    <w:abstractNumId w:val="2"/>
  </w:num>
  <w:num w:numId="12">
    <w:abstractNumId w:val="19"/>
  </w:num>
  <w:num w:numId="13">
    <w:abstractNumId w:val="8"/>
  </w:num>
  <w:num w:numId="14">
    <w:abstractNumId w:val="6"/>
  </w:num>
  <w:num w:numId="15">
    <w:abstractNumId w:val="10"/>
  </w:num>
  <w:num w:numId="16">
    <w:abstractNumId w:val="4"/>
  </w:num>
  <w:num w:numId="17">
    <w:abstractNumId w:val="5"/>
  </w:num>
  <w:num w:numId="18">
    <w:abstractNumId w:val="11"/>
  </w:num>
  <w:num w:numId="19">
    <w:abstractNumId w:val="3"/>
  </w:num>
  <w:num w:numId="20">
    <w:abstractNumId w:val="0"/>
  </w:num>
  <w:num w:numId="21">
    <w:abstractNumId w:val="7"/>
  </w:num>
  <w:num w:numId="22">
    <w:abstractNumId w:val="17"/>
  </w:num>
  <w:num w:numId="23">
    <w:abstractNumId w:val="18"/>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2CAF"/>
    <w:rsid w:val="0005148C"/>
    <w:rsid w:val="000861C4"/>
    <w:rsid w:val="000A15FA"/>
    <w:rsid w:val="000C6727"/>
    <w:rsid w:val="001142D6"/>
    <w:rsid w:val="00180D58"/>
    <w:rsid w:val="0021051A"/>
    <w:rsid w:val="00242C4F"/>
    <w:rsid w:val="00253BA8"/>
    <w:rsid w:val="00270567"/>
    <w:rsid w:val="00282AE1"/>
    <w:rsid w:val="002B478D"/>
    <w:rsid w:val="002E48EF"/>
    <w:rsid w:val="003143AE"/>
    <w:rsid w:val="00321828"/>
    <w:rsid w:val="003B2D17"/>
    <w:rsid w:val="003C72D8"/>
    <w:rsid w:val="003D2EF4"/>
    <w:rsid w:val="003E30DD"/>
    <w:rsid w:val="00412872"/>
    <w:rsid w:val="004264B3"/>
    <w:rsid w:val="004354E7"/>
    <w:rsid w:val="00450AE7"/>
    <w:rsid w:val="00476ACE"/>
    <w:rsid w:val="004A4172"/>
    <w:rsid w:val="00526C52"/>
    <w:rsid w:val="00567AF9"/>
    <w:rsid w:val="0075253D"/>
    <w:rsid w:val="00782DFF"/>
    <w:rsid w:val="008431F0"/>
    <w:rsid w:val="008436A1"/>
    <w:rsid w:val="00862C5F"/>
    <w:rsid w:val="008B3E20"/>
    <w:rsid w:val="008D257C"/>
    <w:rsid w:val="00931449"/>
    <w:rsid w:val="00931E3D"/>
    <w:rsid w:val="00934A1B"/>
    <w:rsid w:val="00935690"/>
    <w:rsid w:val="00957681"/>
    <w:rsid w:val="00962CAF"/>
    <w:rsid w:val="00981D71"/>
    <w:rsid w:val="009E2946"/>
    <w:rsid w:val="009E2B79"/>
    <w:rsid w:val="009F4E09"/>
    <w:rsid w:val="00A11354"/>
    <w:rsid w:val="00A12277"/>
    <w:rsid w:val="00A255DA"/>
    <w:rsid w:val="00A556BF"/>
    <w:rsid w:val="00A56B91"/>
    <w:rsid w:val="00A607FB"/>
    <w:rsid w:val="00A85C25"/>
    <w:rsid w:val="00AC1F69"/>
    <w:rsid w:val="00AD6F79"/>
    <w:rsid w:val="00AE76D2"/>
    <w:rsid w:val="00B45140"/>
    <w:rsid w:val="00B54EC3"/>
    <w:rsid w:val="00B82C1F"/>
    <w:rsid w:val="00B854F3"/>
    <w:rsid w:val="00BC155E"/>
    <w:rsid w:val="00BD3E1F"/>
    <w:rsid w:val="00BD7697"/>
    <w:rsid w:val="00C62884"/>
    <w:rsid w:val="00CC1E26"/>
    <w:rsid w:val="00CD6F20"/>
    <w:rsid w:val="00CF267A"/>
    <w:rsid w:val="00CF2FB3"/>
    <w:rsid w:val="00D24365"/>
    <w:rsid w:val="00D47034"/>
    <w:rsid w:val="00D50185"/>
    <w:rsid w:val="00D60E89"/>
    <w:rsid w:val="00D65749"/>
    <w:rsid w:val="00D65D9B"/>
    <w:rsid w:val="00DD50C7"/>
    <w:rsid w:val="00E20FFD"/>
    <w:rsid w:val="00EA391B"/>
    <w:rsid w:val="00EF58C3"/>
    <w:rsid w:val="00F524DD"/>
    <w:rsid w:val="00FB0F24"/>
    <w:rsid w:val="00FD40C0"/>
    <w:rsid w:val="00FD7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79C1D"/>
  <w15:docId w15:val="{45607E1E-E82A-48E1-90C9-2F779B3B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436A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2CA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62CAF"/>
    <w:rPr>
      <w:b/>
      <w:bCs/>
    </w:rPr>
  </w:style>
  <w:style w:type="character" w:styleId="Hyperlink">
    <w:name w:val="Hyperlink"/>
    <w:basedOn w:val="DefaultParagraphFont"/>
    <w:uiPriority w:val="99"/>
    <w:unhideWhenUsed/>
    <w:rsid w:val="00CF2FB3"/>
    <w:rPr>
      <w:color w:val="0000FF" w:themeColor="hyperlink"/>
      <w:u w:val="single"/>
    </w:rPr>
  </w:style>
  <w:style w:type="character" w:customStyle="1" w:styleId="Heading2Char">
    <w:name w:val="Heading 2 Char"/>
    <w:basedOn w:val="DefaultParagraphFont"/>
    <w:link w:val="Heading2"/>
    <w:uiPriority w:val="9"/>
    <w:semiHidden/>
    <w:rsid w:val="008436A1"/>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8436A1"/>
    <w:pPr>
      <w:ind w:left="720"/>
      <w:contextualSpacing/>
    </w:pPr>
  </w:style>
  <w:style w:type="paragraph" w:styleId="Header">
    <w:name w:val="header"/>
    <w:basedOn w:val="Normal"/>
    <w:link w:val="HeaderChar"/>
    <w:uiPriority w:val="99"/>
    <w:unhideWhenUsed/>
    <w:rsid w:val="00B82C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2C1F"/>
  </w:style>
  <w:style w:type="paragraph" w:styleId="Footer">
    <w:name w:val="footer"/>
    <w:basedOn w:val="Normal"/>
    <w:link w:val="FooterChar"/>
    <w:uiPriority w:val="99"/>
    <w:unhideWhenUsed/>
    <w:rsid w:val="00B82C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2C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036590">
      <w:bodyDiv w:val="1"/>
      <w:marLeft w:val="0"/>
      <w:marRight w:val="0"/>
      <w:marTop w:val="0"/>
      <w:marBottom w:val="0"/>
      <w:divBdr>
        <w:top w:val="none" w:sz="0" w:space="0" w:color="auto"/>
        <w:left w:val="none" w:sz="0" w:space="0" w:color="auto"/>
        <w:bottom w:val="none" w:sz="0" w:space="0" w:color="auto"/>
        <w:right w:val="none" w:sz="0" w:space="0" w:color="auto"/>
      </w:divBdr>
    </w:div>
    <w:div w:id="206649495">
      <w:bodyDiv w:val="1"/>
      <w:marLeft w:val="0"/>
      <w:marRight w:val="0"/>
      <w:marTop w:val="0"/>
      <w:marBottom w:val="0"/>
      <w:divBdr>
        <w:top w:val="none" w:sz="0" w:space="0" w:color="auto"/>
        <w:left w:val="none" w:sz="0" w:space="0" w:color="auto"/>
        <w:bottom w:val="none" w:sz="0" w:space="0" w:color="auto"/>
        <w:right w:val="none" w:sz="0" w:space="0" w:color="auto"/>
      </w:divBdr>
    </w:div>
    <w:div w:id="263075792">
      <w:bodyDiv w:val="1"/>
      <w:marLeft w:val="0"/>
      <w:marRight w:val="0"/>
      <w:marTop w:val="0"/>
      <w:marBottom w:val="0"/>
      <w:divBdr>
        <w:top w:val="none" w:sz="0" w:space="0" w:color="auto"/>
        <w:left w:val="none" w:sz="0" w:space="0" w:color="auto"/>
        <w:bottom w:val="none" w:sz="0" w:space="0" w:color="auto"/>
        <w:right w:val="none" w:sz="0" w:space="0" w:color="auto"/>
      </w:divBdr>
    </w:div>
    <w:div w:id="386615011">
      <w:bodyDiv w:val="1"/>
      <w:marLeft w:val="0"/>
      <w:marRight w:val="0"/>
      <w:marTop w:val="0"/>
      <w:marBottom w:val="0"/>
      <w:divBdr>
        <w:top w:val="none" w:sz="0" w:space="0" w:color="auto"/>
        <w:left w:val="none" w:sz="0" w:space="0" w:color="auto"/>
        <w:bottom w:val="none" w:sz="0" w:space="0" w:color="auto"/>
        <w:right w:val="none" w:sz="0" w:space="0" w:color="auto"/>
      </w:divBdr>
    </w:div>
    <w:div w:id="612634105">
      <w:bodyDiv w:val="1"/>
      <w:marLeft w:val="0"/>
      <w:marRight w:val="0"/>
      <w:marTop w:val="0"/>
      <w:marBottom w:val="0"/>
      <w:divBdr>
        <w:top w:val="none" w:sz="0" w:space="0" w:color="auto"/>
        <w:left w:val="none" w:sz="0" w:space="0" w:color="auto"/>
        <w:bottom w:val="none" w:sz="0" w:space="0" w:color="auto"/>
        <w:right w:val="none" w:sz="0" w:space="0" w:color="auto"/>
      </w:divBdr>
    </w:div>
    <w:div w:id="634409557">
      <w:bodyDiv w:val="1"/>
      <w:marLeft w:val="0"/>
      <w:marRight w:val="0"/>
      <w:marTop w:val="0"/>
      <w:marBottom w:val="0"/>
      <w:divBdr>
        <w:top w:val="none" w:sz="0" w:space="0" w:color="auto"/>
        <w:left w:val="none" w:sz="0" w:space="0" w:color="auto"/>
        <w:bottom w:val="none" w:sz="0" w:space="0" w:color="auto"/>
        <w:right w:val="none" w:sz="0" w:space="0" w:color="auto"/>
      </w:divBdr>
    </w:div>
    <w:div w:id="644896540">
      <w:bodyDiv w:val="1"/>
      <w:marLeft w:val="0"/>
      <w:marRight w:val="0"/>
      <w:marTop w:val="0"/>
      <w:marBottom w:val="0"/>
      <w:divBdr>
        <w:top w:val="none" w:sz="0" w:space="0" w:color="auto"/>
        <w:left w:val="none" w:sz="0" w:space="0" w:color="auto"/>
        <w:bottom w:val="none" w:sz="0" w:space="0" w:color="auto"/>
        <w:right w:val="none" w:sz="0" w:space="0" w:color="auto"/>
      </w:divBdr>
    </w:div>
    <w:div w:id="674918236">
      <w:bodyDiv w:val="1"/>
      <w:marLeft w:val="0"/>
      <w:marRight w:val="0"/>
      <w:marTop w:val="0"/>
      <w:marBottom w:val="0"/>
      <w:divBdr>
        <w:top w:val="none" w:sz="0" w:space="0" w:color="auto"/>
        <w:left w:val="none" w:sz="0" w:space="0" w:color="auto"/>
        <w:bottom w:val="none" w:sz="0" w:space="0" w:color="auto"/>
        <w:right w:val="none" w:sz="0" w:space="0" w:color="auto"/>
      </w:divBdr>
    </w:div>
    <w:div w:id="680623538">
      <w:bodyDiv w:val="1"/>
      <w:marLeft w:val="0"/>
      <w:marRight w:val="0"/>
      <w:marTop w:val="0"/>
      <w:marBottom w:val="0"/>
      <w:divBdr>
        <w:top w:val="none" w:sz="0" w:space="0" w:color="auto"/>
        <w:left w:val="none" w:sz="0" w:space="0" w:color="auto"/>
        <w:bottom w:val="none" w:sz="0" w:space="0" w:color="auto"/>
        <w:right w:val="none" w:sz="0" w:space="0" w:color="auto"/>
      </w:divBdr>
    </w:div>
    <w:div w:id="767963024">
      <w:bodyDiv w:val="1"/>
      <w:marLeft w:val="0"/>
      <w:marRight w:val="0"/>
      <w:marTop w:val="0"/>
      <w:marBottom w:val="0"/>
      <w:divBdr>
        <w:top w:val="none" w:sz="0" w:space="0" w:color="auto"/>
        <w:left w:val="none" w:sz="0" w:space="0" w:color="auto"/>
        <w:bottom w:val="none" w:sz="0" w:space="0" w:color="auto"/>
        <w:right w:val="none" w:sz="0" w:space="0" w:color="auto"/>
      </w:divBdr>
    </w:div>
    <w:div w:id="799302928">
      <w:bodyDiv w:val="1"/>
      <w:marLeft w:val="0"/>
      <w:marRight w:val="0"/>
      <w:marTop w:val="0"/>
      <w:marBottom w:val="0"/>
      <w:divBdr>
        <w:top w:val="none" w:sz="0" w:space="0" w:color="auto"/>
        <w:left w:val="none" w:sz="0" w:space="0" w:color="auto"/>
        <w:bottom w:val="none" w:sz="0" w:space="0" w:color="auto"/>
        <w:right w:val="none" w:sz="0" w:space="0" w:color="auto"/>
      </w:divBdr>
    </w:div>
    <w:div w:id="823622392">
      <w:bodyDiv w:val="1"/>
      <w:marLeft w:val="0"/>
      <w:marRight w:val="0"/>
      <w:marTop w:val="0"/>
      <w:marBottom w:val="0"/>
      <w:divBdr>
        <w:top w:val="none" w:sz="0" w:space="0" w:color="auto"/>
        <w:left w:val="none" w:sz="0" w:space="0" w:color="auto"/>
        <w:bottom w:val="none" w:sz="0" w:space="0" w:color="auto"/>
        <w:right w:val="none" w:sz="0" w:space="0" w:color="auto"/>
      </w:divBdr>
    </w:div>
    <w:div w:id="929892993">
      <w:bodyDiv w:val="1"/>
      <w:marLeft w:val="0"/>
      <w:marRight w:val="0"/>
      <w:marTop w:val="0"/>
      <w:marBottom w:val="0"/>
      <w:divBdr>
        <w:top w:val="none" w:sz="0" w:space="0" w:color="auto"/>
        <w:left w:val="none" w:sz="0" w:space="0" w:color="auto"/>
        <w:bottom w:val="none" w:sz="0" w:space="0" w:color="auto"/>
        <w:right w:val="none" w:sz="0" w:space="0" w:color="auto"/>
      </w:divBdr>
    </w:div>
    <w:div w:id="996105684">
      <w:bodyDiv w:val="1"/>
      <w:marLeft w:val="0"/>
      <w:marRight w:val="0"/>
      <w:marTop w:val="0"/>
      <w:marBottom w:val="0"/>
      <w:divBdr>
        <w:top w:val="none" w:sz="0" w:space="0" w:color="auto"/>
        <w:left w:val="none" w:sz="0" w:space="0" w:color="auto"/>
        <w:bottom w:val="none" w:sz="0" w:space="0" w:color="auto"/>
        <w:right w:val="none" w:sz="0" w:space="0" w:color="auto"/>
      </w:divBdr>
    </w:div>
    <w:div w:id="1020202381">
      <w:bodyDiv w:val="1"/>
      <w:marLeft w:val="0"/>
      <w:marRight w:val="0"/>
      <w:marTop w:val="0"/>
      <w:marBottom w:val="0"/>
      <w:divBdr>
        <w:top w:val="none" w:sz="0" w:space="0" w:color="auto"/>
        <w:left w:val="none" w:sz="0" w:space="0" w:color="auto"/>
        <w:bottom w:val="none" w:sz="0" w:space="0" w:color="auto"/>
        <w:right w:val="none" w:sz="0" w:space="0" w:color="auto"/>
      </w:divBdr>
    </w:div>
    <w:div w:id="1035039326">
      <w:bodyDiv w:val="1"/>
      <w:marLeft w:val="0"/>
      <w:marRight w:val="0"/>
      <w:marTop w:val="0"/>
      <w:marBottom w:val="0"/>
      <w:divBdr>
        <w:top w:val="none" w:sz="0" w:space="0" w:color="auto"/>
        <w:left w:val="none" w:sz="0" w:space="0" w:color="auto"/>
        <w:bottom w:val="none" w:sz="0" w:space="0" w:color="auto"/>
        <w:right w:val="none" w:sz="0" w:space="0" w:color="auto"/>
      </w:divBdr>
    </w:div>
    <w:div w:id="1110315811">
      <w:bodyDiv w:val="1"/>
      <w:marLeft w:val="0"/>
      <w:marRight w:val="0"/>
      <w:marTop w:val="0"/>
      <w:marBottom w:val="0"/>
      <w:divBdr>
        <w:top w:val="none" w:sz="0" w:space="0" w:color="auto"/>
        <w:left w:val="none" w:sz="0" w:space="0" w:color="auto"/>
        <w:bottom w:val="none" w:sz="0" w:space="0" w:color="auto"/>
        <w:right w:val="none" w:sz="0" w:space="0" w:color="auto"/>
      </w:divBdr>
      <w:divsChild>
        <w:div w:id="13626266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7799697">
      <w:bodyDiv w:val="1"/>
      <w:marLeft w:val="0"/>
      <w:marRight w:val="0"/>
      <w:marTop w:val="0"/>
      <w:marBottom w:val="0"/>
      <w:divBdr>
        <w:top w:val="none" w:sz="0" w:space="0" w:color="auto"/>
        <w:left w:val="none" w:sz="0" w:space="0" w:color="auto"/>
        <w:bottom w:val="none" w:sz="0" w:space="0" w:color="auto"/>
        <w:right w:val="none" w:sz="0" w:space="0" w:color="auto"/>
      </w:divBdr>
    </w:div>
    <w:div w:id="1158108012">
      <w:bodyDiv w:val="1"/>
      <w:marLeft w:val="0"/>
      <w:marRight w:val="0"/>
      <w:marTop w:val="0"/>
      <w:marBottom w:val="0"/>
      <w:divBdr>
        <w:top w:val="none" w:sz="0" w:space="0" w:color="auto"/>
        <w:left w:val="none" w:sz="0" w:space="0" w:color="auto"/>
        <w:bottom w:val="none" w:sz="0" w:space="0" w:color="auto"/>
        <w:right w:val="none" w:sz="0" w:space="0" w:color="auto"/>
      </w:divBdr>
    </w:div>
    <w:div w:id="1199660563">
      <w:bodyDiv w:val="1"/>
      <w:marLeft w:val="0"/>
      <w:marRight w:val="0"/>
      <w:marTop w:val="0"/>
      <w:marBottom w:val="0"/>
      <w:divBdr>
        <w:top w:val="none" w:sz="0" w:space="0" w:color="auto"/>
        <w:left w:val="none" w:sz="0" w:space="0" w:color="auto"/>
        <w:bottom w:val="none" w:sz="0" w:space="0" w:color="auto"/>
        <w:right w:val="none" w:sz="0" w:space="0" w:color="auto"/>
      </w:divBdr>
    </w:div>
    <w:div w:id="1257985091">
      <w:bodyDiv w:val="1"/>
      <w:marLeft w:val="0"/>
      <w:marRight w:val="0"/>
      <w:marTop w:val="0"/>
      <w:marBottom w:val="0"/>
      <w:divBdr>
        <w:top w:val="none" w:sz="0" w:space="0" w:color="auto"/>
        <w:left w:val="none" w:sz="0" w:space="0" w:color="auto"/>
        <w:bottom w:val="none" w:sz="0" w:space="0" w:color="auto"/>
        <w:right w:val="none" w:sz="0" w:space="0" w:color="auto"/>
      </w:divBdr>
    </w:div>
    <w:div w:id="1311251577">
      <w:bodyDiv w:val="1"/>
      <w:marLeft w:val="0"/>
      <w:marRight w:val="0"/>
      <w:marTop w:val="0"/>
      <w:marBottom w:val="0"/>
      <w:divBdr>
        <w:top w:val="none" w:sz="0" w:space="0" w:color="auto"/>
        <w:left w:val="none" w:sz="0" w:space="0" w:color="auto"/>
        <w:bottom w:val="none" w:sz="0" w:space="0" w:color="auto"/>
        <w:right w:val="none" w:sz="0" w:space="0" w:color="auto"/>
      </w:divBdr>
    </w:div>
    <w:div w:id="1313631458">
      <w:bodyDiv w:val="1"/>
      <w:marLeft w:val="0"/>
      <w:marRight w:val="0"/>
      <w:marTop w:val="0"/>
      <w:marBottom w:val="0"/>
      <w:divBdr>
        <w:top w:val="none" w:sz="0" w:space="0" w:color="auto"/>
        <w:left w:val="none" w:sz="0" w:space="0" w:color="auto"/>
        <w:bottom w:val="none" w:sz="0" w:space="0" w:color="auto"/>
        <w:right w:val="none" w:sz="0" w:space="0" w:color="auto"/>
      </w:divBdr>
    </w:div>
    <w:div w:id="1443646468">
      <w:bodyDiv w:val="1"/>
      <w:marLeft w:val="0"/>
      <w:marRight w:val="0"/>
      <w:marTop w:val="0"/>
      <w:marBottom w:val="0"/>
      <w:divBdr>
        <w:top w:val="none" w:sz="0" w:space="0" w:color="auto"/>
        <w:left w:val="none" w:sz="0" w:space="0" w:color="auto"/>
        <w:bottom w:val="none" w:sz="0" w:space="0" w:color="auto"/>
        <w:right w:val="none" w:sz="0" w:space="0" w:color="auto"/>
      </w:divBdr>
    </w:div>
    <w:div w:id="1460100853">
      <w:bodyDiv w:val="1"/>
      <w:marLeft w:val="0"/>
      <w:marRight w:val="0"/>
      <w:marTop w:val="0"/>
      <w:marBottom w:val="0"/>
      <w:divBdr>
        <w:top w:val="none" w:sz="0" w:space="0" w:color="auto"/>
        <w:left w:val="none" w:sz="0" w:space="0" w:color="auto"/>
        <w:bottom w:val="none" w:sz="0" w:space="0" w:color="auto"/>
        <w:right w:val="none" w:sz="0" w:space="0" w:color="auto"/>
      </w:divBdr>
    </w:div>
    <w:div w:id="1481655178">
      <w:bodyDiv w:val="1"/>
      <w:marLeft w:val="0"/>
      <w:marRight w:val="0"/>
      <w:marTop w:val="0"/>
      <w:marBottom w:val="0"/>
      <w:divBdr>
        <w:top w:val="none" w:sz="0" w:space="0" w:color="auto"/>
        <w:left w:val="none" w:sz="0" w:space="0" w:color="auto"/>
        <w:bottom w:val="none" w:sz="0" w:space="0" w:color="auto"/>
        <w:right w:val="none" w:sz="0" w:space="0" w:color="auto"/>
      </w:divBdr>
    </w:div>
    <w:div w:id="1529642241">
      <w:bodyDiv w:val="1"/>
      <w:marLeft w:val="0"/>
      <w:marRight w:val="0"/>
      <w:marTop w:val="0"/>
      <w:marBottom w:val="0"/>
      <w:divBdr>
        <w:top w:val="none" w:sz="0" w:space="0" w:color="auto"/>
        <w:left w:val="none" w:sz="0" w:space="0" w:color="auto"/>
        <w:bottom w:val="none" w:sz="0" w:space="0" w:color="auto"/>
        <w:right w:val="none" w:sz="0" w:space="0" w:color="auto"/>
      </w:divBdr>
    </w:div>
    <w:div w:id="1612739192">
      <w:bodyDiv w:val="1"/>
      <w:marLeft w:val="0"/>
      <w:marRight w:val="0"/>
      <w:marTop w:val="0"/>
      <w:marBottom w:val="0"/>
      <w:divBdr>
        <w:top w:val="none" w:sz="0" w:space="0" w:color="auto"/>
        <w:left w:val="none" w:sz="0" w:space="0" w:color="auto"/>
        <w:bottom w:val="none" w:sz="0" w:space="0" w:color="auto"/>
        <w:right w:val="none" w:sz="0" w:space="0" w:color="auto"/>
      </w:divBdr>
    </w:div>
    <w:div w:id="1718624078">
      <w:bodyDiv w:val="1"/>
      <w:marLeft w:val="0"/>
      <w:marRight w:val="0"/>
      <w:marTop w:val="0"/>
      <w:marBottom w:val="0"/>
      <w:divBdr>
        <w:top w:val="none" w:sz="0" w:space="0" w:color="auto"/>
        <w:left w:val="none" w:sz="0" w:space="0" w:color="auto"/>
        <w:bottom w:val="none" w:sz="0" w:space="0" w:color="auto"/>
        <w:right w:val="none" w:sz="0" w:space="0" w:color="auto"/>
      </w:divBdr>
    </w:div>
    <w:div w:id="1730151939">
      <w:bodyDiv w:val="1"/>
      <w:marLeft w:val="0"/>
      <w:marRight w:val="0"/>
      <w:marTop w:val="0"/>
      <w:marBottom w:val="0"/>
      <w:divBdr>
        <w:top w:val="none" w:sz="0" w:space="0" w:color="auto"/>
        <w:left w:val="none" w:sz="0" w:space="0" w:color="auto"/>
        <w:bottom w:val="none" w:sz="0" w:space="0" w:color="auto"/>
        <w:right w:val="none" w:sz="0" w:space="0" w:color="auto"/>
      </w:divBdr>
    </w:div>
    <w:div w:id="1733776032">
      <w:bodyDiv w:val="1"/>
      <w:marLeft w:val="0"/>
      <w:marRight w:val="0"/>
      <w:marTop w:val="0"/>
      <w:marBottom w:val="0"/>
      <w:divBdr>
        <w:top w:val="none" w:sz="0" w:space="0" w:color="auto"/>
        <w:left w:val="none" w:sz="0" w:space="0" w:color="auto"/>
        <w:bottom w:val="none" w:sz="0" w:space="0" w:color="auto"/>
        <w:right w:val="none" w:sz="0" w:space="0" w:color="auto"/>
      </w:divBdr>
    </w:div>
    <w:div w:id="1785466242">
      <w:bodyDiv w:val="1"/>
      <w:marLeft w:val="0"/>
      <w:marRight w:val="0"/>
      <w:marTop w:val="0"/>
      <w:marBottom w:val="0"/>
      <w:divBdr>
        <w:top w:val="none" w:sz="0" w:space="0" w:color="auto"/>
        <w:left w:val="none" w:sz="0" w:space="0" w:color="auto"/>
        <w:bottom w:val="none" w:sz="0" w:space="0" w:color="auto"/>
        <w:right w:val="none" w:sz="0" w:space="0" w:color="auto"/>
      </w:divBdr>
    </w:div>
    <w:div w:id="1786921599">
      <w:bodyDiv w:val="1"/>
      <w:marLeft w:val="0"/>
      <w:marRight w:val="0"/>
      <w:marTop w:val="0"/>
      <w:marBottom w:val="0"/>
      <w:divBdr>
        <w:top w:val="none" w:sz="0" w:space="0" w:color="auto"/>
        <w:left w:val="none" w:sz="0" w:space="0" w:color="auto"/>
        <w:bottom w:val="none" w:sz="0" w:space="0" w:color="auto"/>
        <w:right w:val="none" w:sz="0" w:space="0" w:color="auto"/>
      </w:divBdr>
    </w:div>
    <w:div w:id="1839492694">
      <w:bodyDiv w:val="1"/>
      <w:marLeft w:val="0"/>
      <w:marRight w:val="0"/>
      <w:marTop w:val="0"/>
      <w:marBottom w:val="0"/>
      <w:divBdr>
        <w:top w:val="none" w:sz="0" w:space="0" w:color="auto"/>
        <w:left w:val="none" w:sz="0" w:space="0" w:color="auto"/>
        <w:bottom w:val="none" w:sz="0" w:space="0" w:color="auto"/>
        <w:right w:val="none" w:sz="0" w:space="0" w:color="auto"/>
      </w:divBdr>
    </w:div>
    <w:div w:id="1850409435">
      <w:bodyDiv w:val="1"/>
      <w:marLeft w:val="0"/>
      <w:marRight w:val="0"/>
      <w:marTop w:val="0"/>
      <w:marBottom w:val="0"/>
      <w:divBdr>
        <w:top w:val="none" w:sz="0" w:space="0" w:color="auto"/>
        <w:left w:val="none" w:sz="0" w:space="0" w:color="auto"/>
        <w:bottom w:val="none" w:sz="0" w:space="0" w:color="auto"/>
        <w:right w:val="none" w:sz="0" w:space="0" w:color="auto"/>
      </w:divBdr>
    </w:div>
    <w:div w:id="1883512642">
      <w:bodyDiv w:val="1"/>
      <w:marLeft w:val="0"/>
      <w:marRight w:val="0"/>
      <w:marTop w:val="0"/>
      <w:marBottom w:val="0"/>
      <w:divBdr>
        <w:top w:val="none" w:sz="0" w:space="0" w:color="auto"/>
        <w:left w:val="none" w:sz="0" w:space="0" w:color="auto"/>
        <w:bottom w:val="none" w:sz="0" w:space="0" w:color="auto"/>
        <w:right w:val="none" w:sz="0" w:space="0" w:color="auto"/>
      </w:divBdr>
    </w:div>
    <w:div w:id="1945382673">
      <w:bodyDiv w:val="1"/>
      <w:marLeft w:val="0"/>
      <w:marRight w:val="0"/>
      <w:marTop w:val="0"/>
      <w:marBottom w:val="0"/>
      <w:divBdr>
        <w:top w:val="none" w:sz="0" w:space="0" w:color="auto"/>
        <w:left w:val="none" w:sz="0" w:space="0" w:color="auto"/>
        <w:bottom w:val="none" w:sz="0" w:space="0" w:color="auto"/>
        <w:right w:val="none" w:sz="0" w:space="0" w:color="auto"/>
      </w:divBdr>
    </w:div>
    <w:div w:id="205831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j.1467-2979.2011.00426.x" TargetMode="External"/><Relationship Id="rId13" Type="http://schemas.openxmlformats.org/officeDocument/2006/relationships/hyperlink" Target="https://doi.org/10.1111/roiw.12101" TargetMode="External"/><Relationship Id="rId18" Type="http://schemas.openxmlformats.org/officeDocument/2006/relationships/hyperlink" Target="https://doi.org/10.1016/j.jbusvent.2013.01.003" TargetMode="External"/><Relationship Id="rId3" Type="http://schemas.openxmlformats.org/officeDocument/2006/relationships/settings" Target="settings.xml"/><Relationship Id="rId21" Type="http://schemas.openxmlformats.org/officeDocument/2006/relationships/hyperlink" Target="https://doi.org/10.1093/wbro/15.2.225" TargetMode="External"/><Relationship Id="rId7" Type="http://schemas.openxmlformats.org/officeDocument/2006/relationships/hyperlink" Target="https://doi.org/10.5465/amr.2002.5922314" TargetMode="External"/><Relationship Id="rId12" Type="http://schemas.openxmlformats.org/officeDocument/2006/relationships/hyperlink" Target="https://doi.org/10.1093/cdj/bsn010" TargetMode="External"/><Relationship Id="rId17" Type="http://schemas.openxmlformats.org/officeDocument/2006/relationships/hyperlink" Target="https://doi.org/10.1177/1070496515580797" TargetMode="External"/><Relationship Id="rId2" Type="http://schemas.openxmlformats.org/officeDocument/2006/relationships/styles" Target="styles.xml"/><Relationship Id="rId16" Type="http://schemas.openxmlformats.org/officeDocument/2006/relationships/hyperlink" Target="https://doi.org/10.1126/science.1090847" TargetMode="External"/><Relationship Id="rId20" Type="http://schemas.openxmlformats.org/officeDocument/2006/relationships/hyperlink" Target="https://doi.org/10.1016/j.jbusvent.2004.01.00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s41893-019-0404-1"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5465/amr.1998.533225" TargetMode="External"/><Relationship Id="rId23" Type="http://schemas.openxmlformats.org/officeDocument/2006/relationships/fontTable" Target="fontTable.xml"/><Relationship Id="rId10" Type="http://schemas.openxmlformats.org/officeDocument/2006/relationships/hyperlink" Target="https://doi.org/10.1016/j.worlddev.2015.11.007" TargetMode="External"/><Relationship Id="rId19" Type="http://schemas.openxmlformats.org/officeDocument/2006/relationships/hyperlink" Target="https://doi.org/10.5465/amr.1986.4283976" TargetMode="External"/><Relationship Id="rId4" Type="http://schemas.openxmlformats.org/officeDocument/2006/relationships/webSettings" Target="webSettings.xml"/><Relationship Id="rId9" Type="http://schemas.openxmlformats.org/officeDocument/2006/relationships/hyperlink" Target="https://doi.org/10.1080/01944366908977225" TargetMode="External"/><Relationship Id="rId14" Type="http://schemas.openxmlformats.org/officeDocument/2006/relationships/hyperlink" Target="https://doi.org/10.1016/j.marpol.2021.104689"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21</Pages>
  <Words>8418</Words>
  <Characters>47984</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Editor-1183</cp:lastModifiedBy>
  <cp:revision>36</cp:revision>
  <dcterms:created xsi:type="dcterms:W3CDTF">2026-02-17T12:18:00Z</dcterms:created>
  <dcterms:modified xsi:type="dcterms:W3CDTF">2026-03-18T09:54:00Z</dcterms:modified>
</cp:coreProperties>
</file>